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C4B97E" w14:textId="25D3322F" w:rsidR="00602F80" w:rsidRPr="004F51D2" w:rsidRDefault="00602F80" w:rsidP="00602F80">
      <w:pPr>
        <w:bidi w:val="0"/>
        <w:jc w:val="both"/>
        <w:rPr>
          <w:rFonts w:asciiTheme="majorBidi" w:hAnsiTheme="majorBidi" w:cstheme="majorBidi"/>
          <w:b/>
          <w:bCs/>
          <w:sz w:val="28"/>
          <w:szCs w:val="28"/>
        </w:rPr>
      </w:pPr>
      <w:r w:rsidRPr="004F51D2">
        <w:rPr>
          <w:rFonts w:asciiTheme="majorBidi" w:hAnsiTheme="majorBidi" w:cstheme="majorBidi"/>
          <w:b/>
          <w:bCs/>
          <w:sz w:val="28"/>
          <w:szCs w:val="28"/>
        </w:rPr>
        <w:t xml:space="preserve">Metacognitions as a predictor of online gaming in adolescents: </w:t>
      </w:r>
      <w:r w:rsidR="003252A0" w:rsidRPr="004F51D2">
        <w:rPr>
          <w:rFonts w:asciiTheme="majorBidi" w:hAnsiTheme="majorBidi" w:cstheme="majorBidi"/>
          <w:b/>
          <w:bCs/>
          <w:sz w:val="28"/>
          <w:szCs w:val="28"/>
        </w:rPr>
        <w:t xml:space="preserve">Psychometric </w:t>
      </w:r>
      <w:r w:rsidRPr="004F51D2">
        <w:rPr>
          <w:rFonts w:asciiTheme="majorBidi" w:hAnsiTheme="majorBidi" w:cstheme="majorBidi"/>
          <w:b/>
          <w:bCs/>
          <w:sz w:val="28"/>
          <w:szCs w:val="28"/>
        </w:rPr>
        <w:t>properties of the Metacognitions about Online Gaming Scale among Iranian adolescent</w:t>
      </w:r>
      <w:r w:rsidR="003252A0" w:rsidRPr="004F51D2">
        <w:rPr>
          <w:rFonts w:asciiTheme="majorBidi" w:hAnsiTheme="majorBidi" w:cstheme="majorBidi"/>
          <w:b/>
          <w:bCs/>
          <w:sz w:val="28"/>
          <w:szCs w:val="28"/>
        </w:rPr>
        <w:t>s</w:t>
      </w:r>
    </w:p>
    <w:p w14:paraId="2235295C" w14:textId="4B80DE5E" w:rsidR="00602F80" w:rsidRPr="004F51D2" w:rsidRDefault="00602F80" w:rsidP="00602F80">
      <w:pPr>
        <w:bidi w:val="0"/>
        <w:jc w:val="both"/>
        <w:rPr>
          <w:rFonts w:asciiTheme="majorBidi" w:hAnsiTheme="majorBidi" w:cstheme="majorBidi"/>
          <w:sz w:val="24"/>
          <w:szCs w:val="24"/>
        </w:rPr>
      </w:pPr>
    </w:p>
    <w:p w14:paraId="755DF68E" w14:textId="77777777" w:rsidR="00EE1EB7" w:rsidRPr="004F51D2" w:rsidRDefault="00EE1EB7" w:rsidP="00EE1EB7">
      <w:pPr>
        <w:bidi w:val="0"/>
        <w:jc w:val="both"/>
        <w:rPr>
          <w:rFonts w:asciiTheme="majorBidi" w:hAnsiTheme="majorBidi" w:cstheme="majorBidi"/>
          <w:sz w:val="24"/>
          <w:szCs w:val="24"/>
        </w:rPr>
      </w:pPr>
    </w:p>
    <w:p w14:paraId="5D457E9A" w14:textId="77777777" w:rsidR="00EE1EB7" w:rsidRPr="004F51D2" w:rsidRDefault="00EE1EB7" w:rsidP="00EE1EB7">
      <w:pPr>
        <w:bidi w:val="0"/>
        <w:jc w:val="both"/>
        <w:rPr>
          <w:rFonts w:asciiTheme="majorBidi" w:hAnsiTheme="majorBidi" w:cstheme="majorBidi"/>
          <w:sz w:val="24"/>
          <w:szCs w:val="24"/>
        </w:rPr>
      </w:pPr>
    </w:p>
    <w:p w14:paraId="30C8AA49" w14:textId="77777777" w:rsidR="00EE1EB7" w:rsidRPr="004F51D2" w:rsidRDefault="00EE1EB7" w:rsidP="00EE1EB7">
      <w:pPr>
        <w:bidi w:val="0"/>
        <w:jc w:val="both"/>
        <w:rPr>
          <w:rFonts w:asciiTheme="majorBidi" w:hAnsiTheme="majorBidi" w:cstheme="majorBidi"/>
          <w:sz w:val="24"/>
          <w:szCs w:val="24"/>
        </w:rPr>
      </w:pPr>
    </w:p>
    <w:p w14:paraId="59946C60" w14:textId="6EA970EC" w:rsidR="00643ABF" w:rsidRPr="004F51D2" w:rsidRDefault="00643ABF" w:rsidP="00EE1EB7">
      <w:pPr>
        <w:pBdr>
          <w:top w:val="single" w:sz="4" w:space="1" w:color="auto"/>
        </w:pBdr>
        <w:bidi w:val="0"/>
        <w:spacing w:after="0" w:line="480" w:lineRule="auto"/>
        <w:rPr>
          <w:rFonts w:ascii="Times New Roman" w:hAnsi="Times New Roman" w:cs="Times New Roman"/>
          <w:sz w:val="24"/>
          <w:szCs w:val="24"/>
        </w:rPr>
      </w:pPr>
      <w:r w:rsidRPr="004F51D2">
        <w:rPr>
          <w:rFonts w:ascii="Times New Roman" w:hAnsi="Times New Roman" w:cs="Times New Roman"/>
          <w:sz w:val="24"/>
          <w:szCs w:val="24"/>
        </w:rPr>
        <w:t>Highlights:</w:t>
      </w:r>
    </w:p>
    <w:p w14:paraId="66DEF52C" w14:textId="3D5E888D" w:rsidR="00643ABF" w:rsidRPr="004F51D2" w:rsidRDefault="00643ABF" w:rsidP="00C91D3D">
      <w:pPr>
        <w:pStyle w:val="ListParagraph"/>
        <w:numPr>
          <w:ilvl w:val="0"/>
          <w:numId w:val="6"/>
        </w:numPr>
        <w:bidi w:val="0"/>
        <w:spacing w:after="0" w:line="480" w:lineRule="auto"/>
        <w:ind w:left="360"/>
        <w:jc w:val="both"/>
        <w:rPr>
          <w:rFonts w:ascii="Times New Roman" w:hAnsi="Times New Roman" w:cs="Times New Roman"/>
          <w:sz w:val="24"/>
          <w:szCs w:val="24"/>
        </w:rPr>
      </w:pPr>
      <w:r w:rsidRPr="004F51D2">
        <w:rPr>
          <w:rFonts w:ascii="Times New Roman" w:hAnsi="Times New Roman" w:cs="Times New Roman"/>
          <w:sz w:val="24"/>
          <w:szCs w:val="24"/>
        </w:rPr>
        <w:t>The Persian MOGS demonstrates good psychometric properties.</w:t>
      </w:r>
    </w:p>
    <w:p w14:paraId="7F5395EC" w14:textId="19AC7A93" w:rsidR="00643ABF" w:rsidRPr="004F51D2" w:rsidRDefault="00643ABF" w:rsidP="00C91D3D">
      <w:pPr>
        <w:pStyle w:val="ListParagraph"/>
        <w:numPr>
          <w:ilvl w:val="0"/>
          <w:numId w:val="6"/>
        </w:numPr>
        <w:bidi w:val="0"/>
        <w:spacing w:after="0" w:line="480" w:lineRule="auto"/>
        <w:ind w:left="360"/>
        <w:jc w:val="both"/>
        <w:rPr>
          <w:rFonts w:ascii="Times New Roman" w:hAnsi="Times New Roman" w:cs="Times New Roman"/>
          <w:sz w:val="24"/>
          <w:szCs w:val="24"/>
        </w:rPr>
      </w:pPr>
      <w:r w:rsidRPr="004F51D2">
        <w:rPr>
          <w:rFonts w:ascii="Times New Roman" w:hAnsi="Times New Roman" w:cs="Times New Roman"/>
          <w:sz w:val="24"/>
          <w:szCs w:val="24"/>
        </w:rPr>
        <w:t>A three-factor structure was confirmed as in the parent self-report measure.</w:t>
      </w:r>
    </w:p>
    <w:p w14:paraId="44AB8BD3" w14:textId="77777777" w:rsidR="00643ABF" w:rsidRPr="004F51D2" w:rsidRDefault="00643ABF" w:rsidP="00C91D3D">
      <w:pPr>
        <w:pStyle w:val="ListParagraph"/>
        <w:numPr>
          <w:ilvl w:val="0"/>
          <w:numId w:val="6"/>
        </w:numPr>
        <w:pBdr>
          <w:bottom w:val="single" w:sz="4" w:space="1" w:color="auto"/>
        </w:pBdr>
        <w:bidi w:val="0"/>
        <w:spacing w:after="0" w:line="480" w:lineRule="auto"/>
        <w:ind w:left="360"/>
        <w:jc w:val="both"/>
        <w:rPr>
          <w:rFonts w:ascii="Times New Roman" w:hAnsi="Times New Roman" w:cs="Times New Roman"/>
          <w:sz w:val="24"/>
          <w:szCs w:val="24"/>
        </w:rPr>
      </w:pPr>
      <w:r w:rsidRPr="004F51D2">
        <w:rPr>
          <w:rFonts w:ascii="Times New Roman" w:hAnsi="Times New Roman" w:cs="Times New Roman"/>
          <w:sz w:val="24"/>
          <w:szCs w:val="24"/>
        </w:rPr>
        <w:t>Metacognitions about online gaming predict problematic online gaming independently of personality traits, negative affect, and both cognitions and motives.</w:t>
      </w:r>
    </w:p>
    <w:p w14:paraId="7B235C86" w14:textId="502E32C8" w:rsidR="00C91D3D" w:rsidRPr="004F51D2" w:rsidRDefault="00C91D3D" w:rsidP="00C91D3D">
      <w:pPr>
        <w:pStyle w:val="ListParagraph"/>
        <w:numPr>
          <w:ilvl w:val="0"/>
          <w:numId w:val="6"/>
        </w:numPr>
        <w:pBdr>
          <w:bottom w:val="single" w:sz="4" w:space="1" w:color="auto"/>
        </w:pBdr>
        <w:bidi w:val="0"/>
        <w:spacing w:after="0" w:line="480" w:lineRule="auto"/>
        <w:ind w:left="360"/>
        <w:jc w:val="both"/>
        <w:rPr>
          <w:rFonts w:ascii="Times New Roman" w:hAnsi="Times New Roman" w:cs="Times New Roman"/>
          <w:sz w:val="24"/>
          <w:szCs w:val="24"/>
        </w:rPr>
      </w:pPr>
      <w:r w:rsidRPr="004F51D2">
        <w:rPr>
          <w:rFonts w:ascii="Times New Roman" w:eastAsia="Calibri" w:hAnsi="Times New Roman" w:cs="Times New Roman"/>
          <w:color w:val="000000"/>
          <w:sz w:val="24"/>
          <w:szCs w:val="24"/>
        </w:rPr>
        <w:t>Interaction between the factors of MOGS and types of game and tools of gaming was significant.</w:t>
      </w:r>
    </w:p>
    <w:p w14:paraId="041FF8B2" w14:textId="77777777" w:rsidR="00643ABF" w:rsidRPr="004F51D2" w:rsidRDefault="00643ABF" w:rsidP="00643ABF">
      <w:pPr>
        <w:bidi w:val="0"/>
        <w:spacing w:after="0" w:line="240" w:lineRule="auto"/>
        <w:rPr>
          <w:rFonts w:ascii="Times New Roman" w:eastAsia="Times New Roman" w:hAnsi="Times New Roman" w:cs="Times New Roman"/>
          <w:color w:val="000000"/>
          <w:sz w:val="24"/>
          <w:szCs w:val="24"/>
          <w:lang w:bidi="ar-SA"/>
        </w:rPr>
      </w:pPr>
    </w:p>
    <w:p w14:paraId="29DF86A1" w14:textId="77777777" w:rsidR="00EC16DD" w:rsidRPr="004F51D2" w:rsidRDefault="00EC16DD" w:rsidP="001D1C08">
      <w:pPr>
        <w:bidi w:val="0"/>
        <w:spacing w:after="0" w:line="480" w:lineRule="auto"/>
        <w:jc w:val="both"/>
        <w:rPr>
          <w:rFonts w:ascii="Times New Roman" w:hAnsi="Times New Roman" w:cs="Times New Roman"/>
          <w:b/>
          <w:bCs/>
          <w:sz w:val="24"/>
          <w:szCs w:val="24"/>
        </w:rPr>
      </w:pPr>
    </w:p>
    <w:p w14:paraId="41FE8BC9" w14:textId="77777777" w:rsidR="00EE1EB7" w:rsidRPr="004F51D2" w:rsidRDefault="00EE1EB7">
      <w:pPr>
        <w:bidi w:val="0"/>
        <w:rPr>
          <w:rFonts w:ascii="Times New Roman" w:hAnsi="Times New Roman" w:cs="Times New Roman"/>
          <w:b/>
          <w:bCs/>
          <w:sz w:val="24"/>
          <w:szCs w:val="24"/>
        </w:rPr>
      </w:pPr>
      <w:r w:rsidRPr="004F51D2">
        <w:rPr>
          <w:rFonts w:ascii="Times New Roman" w:hAnsi="Times New Roman" w:cs="Times New Roman"/>
          <w:b/>
          <w:bCs/>
          <w:sz w:val="24"/>
          <w:szCs w:val="24"/>
        </w:rPr>
        <w:br w:type="page"/>
      </w:r>
    </w:p>
    <w:p w14:paraId="41BF6C73" w14:textId="1D39805F" w:rsidR="0081734A" w:rsidRPr="004F51D2" w:rsidRDefault="0081734A" w:rsidP="00EC16DD">
      <w:pPr>
        <w:bidi w:val="0"/>
        <w:spacing w:after="0" w:line="480" w:lineRule="auto"/>
        <w:jc w:val="both"/>
        <w:rPr>
          <w:rFonts w:ascii="Times New Roman" w:hAnsi="Times New Roman" w:cs="Times New Roman"/>
          <w:b/>
          <w:bCs/>
          <w:sz w:val="24"/>
          <w:szCs w:val="24"/>
        </w:rPr>
      </w:pPr>
      <w:r w:rsidRPr="004F51D2">
        <w:rPr>
          <w:rFonts w:ascii="Times New Roman" w:hAnsi="Times New Roman" w:cs="Times New Roman"/>
          <w:b/>
          <w:bCs/>
          <w:sz w:val="24"/>
          <w:szCs w:val="24"/>
        </w:rPr>
        <w:lastRenderedPageBreak/>
        <w:t>Abstract</w:t>
      </w:r>
    </w:p>
    <w:p w14:paraId="00FA2C3C" w14:textId="4DC8B149" w:rsidR="00C968FE" w:rsidRPr="004F51D2" w:rsidRDefault="00553BC2" w:rsidP="00C91D3D">
      <w:pPr>
        <w:bidi w:val="0"/>
        <w:spacing w:after="0" w:line="480" w:lineRule="auto"/>
        <w:jc w:val="both"/>
        <w:rPr>
          <w:rFonts w:ascii="Times New Roman" w:eastAsia="Calibri" w:hAnsi="Times New Roman" w:cs="Times New Roman"/>
          <w:color w:val="000000"/>
          <w:sz w:val="24"/>
          <w:szCs w:val="24"/>
        </w:rPr>
      </w:pPr>
      <w:r w:rsidRPr="004F51D2">
        <w:rPr>
          <w:rFonts w:ascii="Times New Roman" w:hAnsi="Times New Roman" w:cs="Times New Roman"/>
          <w:sz w:val="24"/>
          <w:szCs w:val="24"/>
        </w:rPr>
        <w:t xml:space="preserve">The </w:t>
      </w:r>
      <w:r w:rsidR="006F0EA8" w:rsidRPr="004F51D2">
        <w:rPr>
          <w:rFonts w:ascii="Times New Roman" w:hAnsi="Times New Roman" w:cs="Times New Roman"/>
          <w:sz w:val="24"/>
          <w:szCs w:val="24"/>
        </w:rPr>
        <w:t xml:space="preserve">Metacognitions </w:t>
      </w:r>
      <w:r w:rsidRPr="004F51D2">
        <w:rPr>
          <w:rFonts w:ascii="Times New Roman" w:hAnsi="Times New Roman" w:cs="Times New Roman"/>
          <w:sz w:val="24"/>
          <w:szCs w:val="24"/>
        </w:rPr>
        <w:t xml:space="preserve">about </w:t>
      </w:r>
      <w:r w:rsidR="006F0EA8" w:rsidRPr="004F51D2">
        <w:rPr>
          <w:rFonts w:ascii="Times New Roman" w:hAnsi="Times New Roman" w:cs="Times New Roman"/>
          <w:sz w:val="24"/>
          <w:szCs w:val="24"/>
        </w:rPr>
        <w:t xml:space="preserve">Online Gaming Scale </w:t>
      </w:r>
      <w:r w:rsidRPr="004F51D2">
        <w:rPr>
          <w:rFonts w:ascii="Times New Roman" w:hAnsi="Times New Roman" w:cs="Times New Roman"/>
          <w:sz w:val="24"/>
          <w:szCs w:val="24"/>
        </w:rPr>
        <w:t xml:space="preserve">(MOGS) </w:t>
      </w:r>
      <w:r w:rsidR="0054771B" w:rsidRPr="004F51D2">
        <w:rPr>
          <w:rFonts w:ascii="Times New Roman" w:hAnsi="Times New Roman" w:cs="Times New Roman"/>
          <w:sz w:val="24"/>
          <w:szCs w:val="24"/>
        </w:rPr>
        <w:t>measures</w:t>
      </w:r>
      <w:r w:rsidR="00A6223A" w:rsidRPr="004F51D2">
        <w:rPr>
          <w:rFonts w:ascii="Times New Roman" w:hAnsi="Times New Roman" w:cs="Times New Roman"/>
          <w:sz w:val="24"/>
          <w:szCs w:val="24"/>
        </w:rPr>
        <w:t xml:space="preserve"> </w:t>
      </w:r>
      <w:r w:rsidR="00596E5F" w:rsidRPr="004F51D2">
        <w:rPr>
          <w:rFonts w:ascii="Times New Roman" w:hAnsi="Times New Roman" w:cs="Times New Roman"/>
          <w:sz w:val="24"/>
          <w:szCs w:val="24"/>
        </w:rPr>
        <w:t xml:space="preserve">maladaptive </w:t>
      </w:r>
      <w:r w:rsidRPr="004F51D2">
        <w:rPr>
          <w:rFonts w:ascii="Times New Roman" w:hAnsi="Times New Roman" w:cs="Times New Roman"/>
          <w:sz w:val="24"/>
          <w:szCs w:val="24"/>
        </w:rPr>
        <w:t>metacognition</w:t>
      </w:r>
      <w:r w:rsidR="00A6223A" w:rsidRPr="004F51D2">
        <w:rPr>
          <w:rFonts w:ascii="Times New Roman" w:hAnsi="Times New Roman" w:cs="Times New Roman"/>
          <w:sz w:val="24"/>
          <w:szCs w:val="24"/>
        </w:rPr>
        <w:t>s</w:t>
      </w:r>
      <w:r w:rsidRPr="004F51D2">
        <w:rPr>
          <w:rFonts w:ascii="Times New Roman" w:hAnsi="Times New Roman" w:cs="Times New Roman"/>
          <w:sz w:val="24"/>
          <w:szCs w:val="24"/>
        </w:rPr>
        <w:t xml:space="preserve"> about online gaming. The purpose of </w:t>
      </w:r>
      <w:r w:rsidR="00C81197" w:rsidRPr="004F51D2">
        <w:rPr>
          <w:rFonts w:ascii="Times New Roman" w:hAnsi="Times New Roman" w:cs="Times New Roman"/>
          <w:sz w:val="24"/>
          <w:szCs w:val="24"/>
        </w:rPr>
        <w:t xml:space="preserve">the </w:t>
      </w:r>
      <w:r w:rsidRPr="004F51D2">
        <w:rPr>
          <w:rFonts w:ascii="Times New Roman" w:hAnsi="Times New Roman" w:cs="Times New Roman"/>
          <w:sz w:val="24"/>
          <w:szCs w:val="24"/>
        </w:rPr>
        <w:t xml:space="preserve">present study </w:t>
      </w:r>
      <w:r w:rsidR="0054771B" w:rsidRPr="004F51D2">
        <w:rPr>
          <w:rFonts w:ascii="Times New Roman" w:hAnsi="Times New Roman" w:cs="Times New Roman"/>
          <w:sz w:val="24"/>
          <w:szCs w:val="24"/>
        </w:rPr>
        <w:t xml:space="preserve">was </w:t>
      </w:r>
      <w:r w:rsidR="00C81197" w:rsidRPr="004F51D2">
        <w:rPr>
          <w:rFonts w:ascii="Times New Roman" w:hAnsi="Times New Roman" w:cs="Times New Roman"/>
          <w:sz w:val="24"/>
          <w:szCs w:val="24"/>
        </w:rPr>
        <w:t>to evaluate</w:t>
      </w:r>
      <w:r w:rsidRPr="004F51D2">
        <w:rPr>
          <w:rFonts w:ascii="Times New Roman" w:hAnsi="Times New Roman" w:cs="Times New Roman"/>
          <w:sz w:val="24"/>
          <w:szCs w:val="24"/>
        </w:rPr>
        <w:t xml:space="preserve"> psychometric properties</w:t>
      </w:r>
      <w:r w:rsidR="00A6223A" w:rsidRPr="004F51D2">
        <w:rPr>
          <w:rFonts w:ascii="Times New Roman" w:hAnsi="Times New Roman" w:cs="Times New Roman"/>
          <w:sz w:val="24"/>
          <w:szCs w:val="24"/>
        </w:rPr>
        <w:t xml:space="preserve"> of the MOGS, including </w:t>
      </w:r>
      <w:r w:rsidR="0054771B" w:rsidRPr="004F51D2">
        <w:rPr>
          <w:rFonts w:ascii="Times New Roman" w:hAnsi="Times New Roman" w:cs="Times New Roman"/>
          <w:sz w:val="24"/>
          <w:szCs w:val="24"/>
        </w:rPr>
        <w:t xml:space="preserve">its </w:t>
      </w:r>
      <w:r w:rsidR="00A6223A" w:rsidRPr="004F51D2">
        <w:rPr>
          <w:rFonts w:ascii="Times New Roman" w:hAnsi="Times New Roman" w:cs="Times New Roman"/>
          <w:color w:val="000000" w:themeColor="text1"/>
          <w:sz w:val="24"/>
          <w:szCs w:val="24"/>
        </w:rPr>
        <w:t xml:space="preserve">factor structure, reliability, and predictive validity </w:t>
      </w:r>
      <w:r w:rsidRPr="004F51D2">
        <w:rPr>
          <w:rFonts w:ascii="Times New Roman" w:hAnsi="Times New Roman" w:cs="Times New Roman"/>
          <w:sz w:val="24"/>
          <w:szCs w:val="24"/>
        </w:rPr>
        <w:t>among Iranian adolescent</w:t>
      </w:r>
      <w:r w:rsidR="00C81197" w:rsidRPr="004F51D2">
        <w:rPr>
          <w:rFonts w:ascii="Times New Roman" w:hAnsi="Times New Roman" w:cs="Times New Roman"/>
          <w:sz w:val="24"/>
          <w:szCs w:val="24"/>
        </w:rPr>
        <w:t>s</w:t>
      </w:r>
      <w:r w:rsidRPr="004F51D2">
        <w:rPr>
          <w:rFonts w:ascii="Times New Roman" w:hAnsi="Times New Roman" w:cs="Times New Roman"/>
          <w:sz w:val="24"/>
          <w:szCs w:val="24"/>
        </w:rPr>
        <w:t xml:space="preserve">. </w:t>
      </w:r>
      <w:r w:rsidR="00FF77B6" w:rsidRPr="004F51D2">
        <w:rPr>
          <w:rFonts w:ascii="Times New Roman" w:hAnsi="Times New Roman" w:cs="Times New Roman"/>
          <w:sz w:val="24"/>
          <w:szCs w:val="24"/>
        </w:rPr>
        <w:t>The scale</w:t>
      </w:r>
      <w:r w:rsidR="00F667A3" w:rsidRPr="004F51D2">
        <w:rPr>
          <w:rFonts w:ascii="Times New Roman" w:hAnsi="Times New Roman" w:cs="Times New Roman"/>
          <w:sz w:val="24"/>
          <w:szCs w:val="24"/>
        </w:rPr>
        <w:t xml:space="preserve"> was administered</w:t>
      </w:r>
      <w:r w:rsidRPr="004F51D2">
        <w:rPr>
          <w:rFonts w:ascii="Times New Roman" w:hAnsi="Times New Roman" w:cs="Times New Roman"/>
          <w:sz w:val="24"/>
          <w:szCs w:val="24"/>
        </w:rPr>
        <w:t xml:space="preserve"> </w:t>
      </w:r>
      <w:r w:rsidR="00F667A3" w:rsidRPr="004F51D2">
        <w:rPr>
          <w:rFonts w:ascii="Times New Roman" w:hAnsi="Times New Roman" w:cs="Times New Roman"/>
          <w:sz w:val="24"/>
          <w:szCs w:val="24"/>
        </w:rPr>
        <w:t>to 769 Iranian adolescent</w:t>
      </w:r>
      <w:r w:rsidR="00C81197" w:rsidRPr="004F51D2">
        <w:rPr>
          <w:rFonts w:ascii="Times New Roman" w:hAnsi="Times New Roman" w:cs="Times New Roman"/>
          <w:sz w:val="24"/>
          <w:szCs w:val="24"/>
        </w:rPr>
        <w:t>s</w:t>
      </w:r>
      <w:r w:rsidR="00F667A3" w:rsidRPr="004F51D2">
        <w:rPr>
          <w:rFonts w:ascii="Times New Roman" w:hAnsi="Times New Roman" w:cs="Times New Roman"/>
          <w:sz w:val="24"/>
          <w:szCs w:val="24"/>
        </w:rPr>
        <w:t xml:space="preserve"> </w:t>
      </w:r>
      <w:r w:rsidR="00A6223A" w:rsidRPr="004F51D2">
        <w:rPr>
          <w:rFonts w:ascii="Times New Roman" w:hAnsi="Times New Roman" w:cs="Times New Roman"/>
          <w:sz w:val="24"/>
          <w:szCs w:val="24"/>
        </w:rPr>
        <w:t>(577 male, mean age</w:t>
      </w:r>
      <w:r w:rsidR="007753A0" w:rsidRPr="004F51D2">
        <w:rPr>
          <w:rFonts w:ascii="Times New Roman" w:hAnsi="Times New Roman" w:cs="Times New Roman"/>
          <w:sz w:val="24"/>
          <w:szCs w:val="24"/>
        </w:rPr>
        <w:t xml:space="preserve"> </w:t>
      </w:r>
      <w:r w:rsidR="0054771B" w:rsidRPr="004F51D2">
        <w:rPr>
          <w:rFonts w:ascii="Times New Roman" w:hAnsi="Times New Roman" w:cs="Times New Roman"/>
          <w:sz w:val="24"/>
          <w:szCs w:val="24"/>
        </w:rPr>
        <w:t>=</w:t>
      </w:r>
      <w:r w:rsidR="007753A0" w:rsidRPr="004F51D2">
        <w:rPr>
          <w:rFonts w:ascii="Times New Roman" w:hAnsi="Times New Roman" w:cs="Times New Roman"/>
          <w:sz w:val="24"/>
          <w:szCs w:val="24"/>
        </w:rPr>
        <w:t xml:space="preserve"> </w:t>
      </w:r>
      <w:r w:rsidR="00A6223A" w:rsidRPr="004F51D2">
        <w:rPr>
          <w:rFonts w:ascii="Times New Roman" w:hAnsi="Times New Roman" w:cs="Times New Roman"/>
          <w:sz w:val="24"/>
          <w:szCs w:val="24"/>
        </w:rPr>
        <w:t xml:space="preserve">16.39± 1.68 years) </w:t>
      </w:r>
      <w:r w:rsidRPr="004F51D2">
        <w:rPr>
          <w:rFonts w:ascii="Times New Roman" w:hAnsi="Times New Roman" w:cs="Times New Roman"/>
          <w:sz w:val="24"/>
          <w:szCs w:val="24"/>
        </w:rPr>
        <w:t>with an age range of 15-19 years</w:t>
      </w:r>
      <w:r w:rsidR="00F667A3" w:rsidRPr="004F51D2">
        <w:rPr>
          <w:rFonts w:ascii="Times New Roman" w:hAnsi="Times New Roman" w:cs="Times New Roman"/>
          <w:sz w:val="24"/>
          <w:szCs w:val="24"/>
        </w:rPr>
        <w:t xml:space="preserve">. The participants </w:t>
      </w:r>
      <w:r w:rsidR="0054771B" w:rsidRPr="004F51D2">
        <w:rPr>
          <w:rFonts w:ascii="Times New Roman" w:hAnsi="Times New Roman" w:cs="Times New Roman"/>
          <w:sz w:val="24"/>
          <w:szCs w:val="24"/>
        </w:rPr>
        <w:t>completed</w:t>
      </w:r>
      <w:r w:rsidRPr="004F51D2">
        <w:rPr>
          <w:rFonts w:ascii="Times New Roman" w:hAnsi="Times New Roman" w:cs="Times New Roman"/>
          <w:sz w:val="24"/>
          <w:szCs w:val="24"/>
        </w:rPr>
        <w:t xml:space="preserve"> </w:t>
      </w:r>
      <w:r w:rsidR="00F667A3" w:rsidRPr="004F51D2">
        <w:rPr>
          <w:rFonts w:ascii="Times New Roman" w:hAnsi="Times New Roman" w:cs="Times New Roman"/>
          <w:sz w:val="24"/>
          <w:szCs w:val="24"/>
        </w:rPr>
        <w:t>the Persian-translate</w:t>
      </w:r>
      <w:r w:rsidR="0054771B" w:rsidRPr="004F51D2">
        <w:rPr>
          <w:rFonts w:ascii="Times New Roman" w:hAnsi="Times New Roman" w:cs="Times New Roman"/>
          <w:sz w:val="24"/>
          <w:szCs w:val="24"/>
        </w:rPr>
        <w:t>d</w:t>
      </w:r>
      <w:r w:rsidR="00F667A3" w:rsidRPr="004F51D2">
        <w:rPr>
          <w:rFonts w:ascii="Times New Roman" w:hAnsi="Times New Roman" w:cs="Times New Roman"/>
          <w:sz w:val="24"/>
          <w:szCs w:val="24"/>
        </w:rPr>
        <w:t xml:space="preserve"> version of the MOGS, the </w:t>
      </w:r>
      <w:r w:rsidR="00A6223A" w:rsidRPr="004F51D2">
        <w:rPr>
          <w:rFonts w:ascii="Times New Roman" w:hAnsi="Times New Roman" w:cs="Times New Roman"/>
          <w:sz w:val="24"/>
          <w:szCs w:val="24"/>
        </w:rPr>
        <w:t>Big Five Inventory-10</w:t>
      </w:r>
      <w:r w:rsidRPr="004F51D2">
        <w:rPr>
          <w:rFonts w:ascii="Times New Roman" w:hAnsi="Times New Roman" w:cs="Times New Roman"/>
          <w:sz w:val="24"/>
          <w:szCs w:val="24"/>
        </w:rPr>
        <w:t xml:space="preserve">, </w:t>
      </w:r>
      <w:r w:rsidR="00F667A3" w:rsidRPr="004F51D2">
        <w:rPr>
          <w:rFonts w:ascii="Times New Roman" w:hAnsi="Times New Roman" w:cs="Times New Roman"/>
          <w:sz w:val="24"/>
          <w:szCs w:val="24"/>
        </w:rPr>
        <w:t xml:space="preserve">the </w:t>
      </w:r>
      <w:r w:rsidRPr="004F51D2">
        <w:rPr>
          <w:rFonts w:ascii="Times New Roman" w:hAnsi="Times New Roman" w:cs="Times New Roman"/>
          <w:sz w:val="24"/>
          <w:szCs w:val="24"/>
        </w:rPr>
        <w:t>Depression</w:t>
      </w:r>
      <w:r w:rsidR="00094921" w:rsidRPr="004F51D2">
        <w:rPr>
          <w:rFonts w:ascii="Times New Roman" w:hAnsi="Times New Roman" w:cs="Times New Roman"/>
          <w:sz w:val="24"/>
          <w:szCs w:val="24"/>
        </w:rPr>
        <w:t>,</w:t>
      </w:r>
      <w:r w:rsidRPr="004F51D2">
        <w:rPr>
          <w:rFonts w:ascii="Times New Roman" w:hAnsi="Times New Roman" w:cs="Times New Roman"/>
          <w:sz w:val="24"/>
          <w:szCs w:val="24"/>
        </w:rPr>
        <w:t xml:space="preserve"> Anxiety </w:t>
      </w:r>
      <w:r w:rsidR="00094921" w:rsidRPr="004F51D2">
        <w:rPr>
          <w:rFonts w:ascii="Times New Roman" w:hAnsi="Times New Roman" w:cs="Times New Roman"/>
          <w:sz w:val="24"/>
          <w:szCs w:val="24"/>
        </w:rPr>
        <w:t xml:space="preserve">and </w:t>
      </w:r>
      <w:r w:rsidRPr="004F51D2">
        <w:rPr>
          <w:rFonts w:ascii="Times New Roman" w:hAnsi="Times New Roman" w:cs="Times New Roman"/>
          <w:sz w:val="24"/>
          <w:szCs w:val="24"/>
        </w:rPr>
        <w:t>Stress Scale</w:t>
      </w:r>
      <w:r w:rsidR="007753A0" w:rsidRPr="004F51D2">
        <w:rPr>
          <w:rFonts w:ascii="Times New Roman" w:hAnsi="Times New Roman" w:cs="Times New Roman"/>
          <w:sz w:val="24"/>
          <w:szCs w:val="24"/>
        </w:rPr>
        <w:t xml:space="preserve"> </w:t>
      </w:r>
      <w:r w:rsidRPr="004F51D2">
        <w:rPr>
          <w:rFonts w:ascii="Times New Roman" w:hAnsi="Times New Roman" w:cs="Times New Roman"/>
          <w:sz w:val="24"/>
          <w:szCs w:val="24"/>
        </w:rPr>
        <w:t xml:space="preserve">21, </w:t>
      </w:r>
      <w:r w:rsidR="00F667A3" w:rsidRPr="004F51D2">
        <w:rPr>
          <w:rFonts w:ascii="Times New Roman" w:hAnsi="Times New Roman" w:cs="Times New Roman"/>
          <w:sz w:val="24"/>
          <w:szCs w:val="24"/>
        </w:rPr>
        <w:t xml:space="preserve">the </w:t>
      </w:r>
      <w:r w:rsidR="00C11660" w:rsidRPr="004F51D2">
        <w:rPr>
          <w:rFonts w:ascii="Times New Roman" w:hAnsi="Times New Roman" w:cs="Times New Roman"/>
          <w:sz w:val="24"/>
          <w:szCs w:val="24"/>
        </w:rPr>
        <w:t>V</w:t>
      </w:r>
      <w:r w:rsidRPr="004F51D2">
        <w:rPr>
          <w:rFonts w:ascii="Times New Roman" w:hAnsi="Times New Roman" w:cs="Times New Roman"/>
          <w:sz w:val="24"/>
          <w:szCs w:val="24"/>
        </w:rPr>
        <w:t>ideo</w:t>
      </w:r>
      <w:r w:rsidR="00605E16" w:rsidRPr="004F51D2">
        <w:rPr>
          <w:rFonts w:ascii="Times New Roman" w:hAnsi="Times New Roman" w:cs="Times New Roman"/>
          <w:sz w:val="24"/>
          <w:szCs w:val="24"/>
        </w:rPr>
        <w:t xml:space="preserve">-Game </w:t>
      </w:r>
      <w:r w:rsidR="0054771B" w:rsidRPr="004F51D2">
        <w:rPr>
          <w:rFonts w:ascii="Times New Roman" w:hAnsi="Times New Roman" w:cs="Times New Roman"/>
          <w:sz w:val="24"/>
          <w:szCs w:val="24"/>
        </w:rPr>
        <w:t>Related Cognitions Scale</w:t>
      </w:r>
      <w:r w:rsidRPr="004F51D2">
        <w:rPr>
          <w:rFonts w:ascii="Times New Roman" w:hAnsi="Times New Roman" w:cs="Times New Roman"/>
          <w:sz w:val="24"/>
          <w:szCs w:val="24"/>
        </w:rPr>
        <w:t xml:space="preserve">, </w:t>
      </w:r>
      <w:r w:rsidR="00F667A3" w:rsidRPr="004F51D2">
        <w:rPr>
          <w:rFonts w:ascii="Times New Roman" w:hAnsi="Times New Roman" w:cs="Times New Roman"/>
          <w:sz w:val="24"/>
          <w:szCs w:val="24"/>
        </w:rPr>
        <w:t xml:space="preserve">the </w:t>
      </w:r>
      <w:r w:rsidR="00C11660" w:rsidRPr="004F51D2">
        <w:rPr>
          <w:rFonts w:ascii="Times New Roman" w:hAnsi="Times New Roman" w:cs="Times New Roman"/>
          <w:sz w:val="24"/>
          <w:szCs w:val="24"/>
        </w:rPr>
        <w:t>M</w:t>
      </w:r>
      <w:r w:rsidRPr="004F51D2">
        <w:rPr>
          <w:rFonts w:ascii="Times New Roman" w:hAnsi="Times New Roman" w:cs="Times New Roman"/>
          <w:sz w:val="24"/>
          <w:szCs w:val="24"/>
        </w:rPr>
        <w:t xml:space="preserve">otives for </w:t>
      </w:r>
      <w:r w:rsidR="0054771B" w:rsidRPr="004F51D2">
        <w:rPr>
          <w:rFonts w:ascii="Times New Roman" w:hAnsi="Times New Roman" w:cs="Times New Roman"/>
          <w:sz w:val="24"/>
          <w:szCs w:val="24"/>
        </w:rPr>
        <w:t>Online Gaming Questionnaire</w:t>
      </w:r>
      <w:r w:rsidRPr="004F51D2">
        <w:rPr>
          <w:rFonts w:ascii="Times New Roman" w:hAnsi="Times New Roman" w:cs="Times New Roman"/>
          <w:sz w:val="24"/>
          <w:szCs w:val="24"/>
        </w:rPr>
        <w:t xml:space="preserve">, </w:t>
      </w:r>
      <w:r w:rsidR="00C11660" w:rsidRPr="004F51D2">
        <w:rPr>
          <w:rFonts w:ascii="Times New Roman" w:hAnsi="Times New Roman" w:cs="Times New Roman"/>
          <w:sz w:val="24"/>
          <w:szCs w:val="24"/>
        </w:rPr>
        <w:t xml:space="preserve">and </w:t>
      </w:r>
      <w:r w:rsidR="00F667A3" w:rsidRPr="004F51D2">
        <w:rPr>
          <w:rFonts w:ascii="Times New Roman" w:hAnsi="Times New Roman" w:cs="Times New Roman"/>
          <w:sz w:val="24"/>
          <w:szCs w:val="24"/>
        </w:rPr>
        <w:t xml:space="preserve">the </w:t>
      </w:r>
      <w:r w:rsidRPr="004F51D2">
        <w:rPr>
          <w:rFonts w:ascii="Times New Roman" w:hAnsi="Times New Roman" w:cs="Times New Roman"/>
          <w:sz w:val="24"/>
          <w:szCs w:val="24"/>
        </w:rPr>
        <w:t xml:space="preserve">Problematic Online Gaming Questionnaire. </w:t>
      </w:r>
      <w:r w:rsidR="00A6223A" w:rsidRPr="004F51D2">
        <w:rPr>
          <w:rFonts w:ascii="Times New Roman" w:hAnsi="Times New Roman" w:cs="Times New Roman"/>
          <w:sz w:val="24"/>
          <w:szCs w:val="24"/>
        </w:rPr>
        <w:t xml:space="preserve">The results </w:t>
      </w:r>
      <w:r w:rsidRPr="004F51D2">
        <w:rPr>
          <w:rFonts w:ascii="Times New Roman" w:hAnsi="Times New Roman" w:cs="Times New Roman"/>
          <w:sz w:val="24"/>
          <w:szCs w:val="24"/>
        </w:rPr>
        <w:t xml:space="preserve">of the </w:t>
      </w:r>
      <w:r w:rsidR="0054771B" w:rsidRPr="004F51D2">
        <w:rPr>
          <w:rFonts w:ascii="Times New Roman" w:hAnsi="Times New Roman" w:cs="Times New Roman"/>
          <w:sz w:val="24"/>
          <w:szCs w:val="24"/>
        </w:rPr>
        <w:t xml:space="preserve">Exploratory Factor Analysis </w:t>
      </w:r>
      <w:r w:rsidRPr="004F51D2">
        <w:rPr>
          <w:rFonts w:ascii="Times New Roman" w:hAnsi="Times New Roman" w:cs="Times New Roman"/>
          <w:sz w:val="24"/>
          <w:szCs w:val="24"/>
        </w:rPr>
        <w:t>(</w:t>
      </w:r>
      <w:r w:rsidR="00A6223A" w:rsidRPr="004F51D2">
        <w:rPr>
          <w:rFonts w:ascii="Times New Roman" w:hAnsi="Times New Roman" w:cs="Times New Roman"/>
          <w:sz w:val="24"/>
          <w:szCs w:val="24"/>
        </w:rPr>
        <w:t>n=350</w:t>
      </w:r>
      <w:r w:rsidRPr="004F51D2">
        <w:rPr>
          <w:rFonts w:ascii="Times New Roman" w:hAnsi="Times New Roman" w:cs="Times New Roman"/>
          <w:sz w:val="24"/>
          <w:szCs w:val="24"/>
        </w:rPr>
        <w:t xml:space="preserve">) and </w:t>
      </w:r>
      <w:r w:rsidR="0054771B" w:rsidRPr="004F51D2">
        <w:rPr>
          <w:rFonts w:ascii="Times New Roman" w:hAnsi="Times New Roman" w:cs="Times New Roman"/>
          <w:sz w:val="24"/>
          <w:szCs w:val="24"/>
        </w:rPr>
        <w:t xml:space="preserve">Confirmatory Factor Analysis </w:t>
      </w:r>
      <w:r w:rsidRPr="004F51D2">
        <w:rPr>
          <w:rFonts w:ascii="Times New Roman" w:hAnsi="Times New Roman" w:cs="Times New Roman"/>
          <w:sz w:val="24"/>
          <w:szCs w:val="24"/>
        </w:rPr>
        <w:t>(</w:t>
      </w:r>
      <w:r w:rsidR="00A6223A" w:rsidRPr="004F51D2">
        <w:rPr>
          <w:rFonts w:ascii="Times New Roman" w:hAnsi="Times New Roman" w:cs="Times New Roman"/>
          <w:sz w:val="24"/>
          <w:szCs w:val="24"/>
        </w:rPr>
        <w:t>n</w:t>
      </w:r>
      <w:r w:rsidR="007753A0" w:rsidRPr="004F51D2">
        <w:rPr>
          <w:rFonts w:ascii="Times New Roman" w:hAnsi="Times New Roman" w:cs="Times New Roman"/>
          <w:sz w:val="24"/>
          <w:szCs w:val="24"/>
        </w:rPr>
        <w:t xml:space="preserve"> </w:t>
      </w:r>
      <w:r w:rsidR="00A6223A" w:rsidRPr="004F51D2">
        <w:rPr>
          <w:rFonts w:ascii="Times New Roman" w:hAnsi="Times New Roman" w:cs="Times New Roman"/>
          <w:sz w:val="24"/>
          <w:szCs w:val="24"/>
        </w:rPr>
        <w:t>=</w:t>
      </w:r>
      <w:r w:rsidR="007753A0" w:rsidRPr="004F51D2">
        <w:rPr>
          <w:rFonts w:ascii="Times New Roman" w:hAnsi="Times New Roman" w:cs="Times New Roman"/>
          <w:sz w:val="24"/>
          <w:szCs w:val="24"/>
        </w:rPr>
        <w:t xml:space="preserve"> </w:t>
      </w:r>
      <w:r w:rsidR="00A6223A" w:rsidRPr="004F51D2">
        <w:rPr>
          <w:rFonts w:ascii="Times New Roman" w:hAnsi="Times New Roman" w:cs="Times New Roman"/>
          <w:sz w:val="24"/>
          <w:szCs w:val="24"/>
        </w:rPr>
        <w:t>419</w:t>
      </w:r>
      <w:r w:rsidRPr="004F51D2">
        <w:rPr>
          <w:rFonts w:ascii="Times New Roman" w:hAnsi="Times New Roman" w:cs="Times New Roman"/>
          <w:sz w:val="24"/>
          <w:szCs w:val="24"/>
        </w:rPr>
        <w:t xml:space="preserve">) confirmed </w:t>
      </w:r>
      <w:r w:rsidR="00C11660" w:rsidRPr="004F51D2">
        <w:rPr>
          <w:rFonts w:ascii="Times New Roman" w:hAnsi="Times New Roman" w:cs="Times New Roman"/>
          <w:sz w:val="24"/>
          <w:szCs w:val="24"/>
        </w:rPr>
        <w:t>three</w:t>
      </w:r>
      <w:r w:rsidRPr="004F51D2">
        <w:rPr>
          <w:rFonts w:ascii="Times New Roman" w:hAnsi="Times New Roman" w:cs="Times New Roman"/>
          <w:sz w:val="24"/>
          <w:szCs w:val="24"/>
        </w:rPr>
        <w:t>-factors</w:t>
      </w:r>
      <w:r w:rsidR="00A6223A" w:rsidRPr="004F51D2">
        <w:rPr>
          <w:rFonts w:ascii="Times New Roman" w:hAnsi="Times New Roman" w:cs="Times New Roman"/>
          <w:sz w:val="24"/>
          <w:szCs w:val="24"/>
        </w:rPr>
        <w:t xml:space="preserve"> </w:t>
      </w:r>
      <w:r w:rsidR="00A6223A" w:rsidRPr="004F51D2">
        <w:rPr>
          <w:rFonts w:ascii="Times New Roman" w:hAnsi="Times New Roman" w:cs="Times New Roman"/>
          <w:color w:val="000000" w:themeColor="text1"/>
          <w:sz w:val="24"/>
          <w:szCs w:val="24"/>
        </w:rPr>
        <w:t xml:space="preserve">similar to the parent version, </w:t>
      </w:r>
      <w:r w:rsidR="00046EED" w:rsidRPr="004F51D2">
        <w:rPr>
          <w:rFonts w:ascii="Times New Roman" w:hAnsi="Times New Roman" w:cs="Times New Roman"/>
          <w:sz w:val="24"/>
          <w:szCs w:val="24"/>
        </w:rPr>
        <w:t xml:space="preserve">including </w:t>
      </w:r>
      <w:r w:rsidRPr="004F51D2">
        <w:rPr>
          <w:rFonts w:ascii="Times New Roman" w:hAnsi="Times New Roman" w:cs="Times New Roman"/>
          <w:sz w:val="24"/>
          <w:szCs w:val="24"/>
        </w:rPr>
        <w:t>“negative metacognitions about uncontrollability of online gaming” (N-MOGU), “negative metacognitions about dangers of online gaming” (N-MOGD), and “positive metacognitio</w:t>
      </w:r>
      <w:r w:rsidR="00F667A3" w:rsidRPr="004F51D2">
        <w:rPr>
          <w:rFonts w:ascii="Times New Roman" w:hAnsi="Times New Roman" w:cs="Times New Roman"/>
          <w:sz w:val="24"/>
          <w:szCs w:val="24"/>
        </w:rPr>
        <w:t>ns about online gaming” (P-MOG)</w:t>
      </w:r>
      <w:r w:rsidRPr="004F51D2">
        <w:rPr>
          <w:rFonts w:ascii="Times New Roman" w:hAnsi="Times New Roman" w:cs="Times New Roman"/>
          <w:sz w:val="24"/>
          <w:szCs w:val="24"/>
        </w:rPr>
        <w:t>.</w:t>
      </w:r>
      <w:r w:rsidR="00046EED" w:rsidRPr="004F51D2">
        <w:rPr>
          <w:rFonts w:ascii="Times New Roman" w:hAnsi="Times New Roman" w:cs="Times New Roman"/>
          <w:sz w:val="24"/>
          <w:szCs w:val="24"/>
        </w:rPr>
        <w:t xml:space="preserve"> The Persian MOGS</w:t>
      </w:r>
      <w:r w:rsidR="0054771B" w:rsidRPr="004F51D2">
        <w:rPr>
          <w:rFonts w:ascii="Times New Roman" w:hAnsi="Times New Roman" w:cs="Times New Roman"/>
          <w:sz w:val="24"/>
          <w:szCs w:val="24"/>
        </w:rPr>
        <w:t>’s</w:t>
      </w:r>
      <w:r w:rsidR="00046EED" w:rsidRPr="004F51D2">
        <w:rPr>
          <w:rFonts w:ascii="Times New Roman" w:hAnsi="Times New Roman" w:cs="Times New Roman"/>
          <w:sz w:val="24"/>
          <w:szCs w:val="24"/>
        </w:rPr>
        <w:t xml:space="preserve"> reliability</w:t>
      </w:r>
      <w:r w:rsidR="00174514" w:rsidRPr="004F51D2">
        <w:rPr>
          <w:rFonts w:ascii="Times New Roman" w:hAnsi="Times New Roman" w:cs="Times New Roman"/>
          <w:sz w:val="24"/>
          <w:szCs w:val="24"/>
        </w:rPr>
        <w:t xml:space="preserve"> </w:t>
      </w:r>
      <w:r w:rsidR="00046EED" w:rsidRPr="004F51D2">
        <w:rPr>
          <w:rFonts w:ascii="Times New Roman" w:eastAsia="Calibri" w:hAnsi="Times New Roman" w:cs="Times New Roman"/>
          <w:color w:val="000000"/>
          <w:sz w:val="24"/>
          <w:szCs w:val="24"/>
        </w:rPr>
        <w:t>showed a suitable internal consistency for the P-MOG, the N-MOGU</w:t>
      </w:r>
      <w:r w:rsidR="00046EED" w:rsidRPr="004F51D2">
        <w:rPr>
          <w:rFonts w:ascii="Times New Roman" w:hAnsi="Times New Roman" w:cs="Times New Roman"/>
          <w:sz w:val="24"/>
          <w:szCs w:val="24"/>
        </w:rPr>
        <w:t xml:space="preserve">, the </w:t>
      </w:r>
      <w:r w:rsidR="00046EED" w:rsidRPr="004F51D2">
        <w:rPr>
          <w:rFonts w:ascii="Times New Roman" w:eastAsia="Calibri" w:hAnsi="Times New Roman" w:cs="Times New Roman"/>
          <w:color w:val="000000"/>
          <w:sz w:val="24"/>
          <w:szCs w:val="24"/>
        </w:rPr>
        <w:t>N-MOGD, and the total score</w:t>
      </w:r>
      <w:r w:rsidR="00046EED" w:rsidRPr="004F51D2">
        <w:rPr>
          <w:rFonts w:ascii="Times New Roman" w:hAnsi="Times New Roman" w:cs="Times New Roman"/>
          <w:sz w:val="24"/>
          <w:szCs w:val="24"/>
        </w:rPr>
        <w:t xml:space="preserve"> </w:t>
      </w:r>
      <w:r w:rsidR="00046EED" w:rsidRPr="004F51D2">
        <w:rPr>
          <w:rFonts w:ascii="Times New Roman" w:eastAsia="Calibri" w:hAnsi="Times New Roman" w:cs="Times New Roman"/>
          <w:color w:val="000000"/>
          <w:sz w:val="24"/>
          <w:szCs w:val="24"/>
        </w:rPr>
        <w:t>in both confirmatory and exploratory samples (range 0.79 to 0.93).</w:t>
      </w:r>
      <w:r w:rsidRPr="004F51D2">
        <w:rPr>
          <w:rFonts w:ascii="Times New Roman" w:hAnsi="Times New Roman" w:cs="Times New Roman"/>
          <w:sz w:val="24"/>
          <w:szCs w:val="24"/>
        </w:rPr>
        <w:t xml:space="preserve"> </w:t>
      </w:r>
      <w:r w:rsidR="006C5588" w:rsidRPr="004F51D2">
        <w:rPr>
          <w:rFonts w:ascii="Times New Roman" w:hAnsi="Times New Roman" w:cs="Times New Roman"/>
          <w:sz w:val="24"/>
          <w:szCs w:val="24"/>
        </w:rPr>
        <w:t xml:space="preserve">A hierarchical regression analysis showed that </w:t>
      </w:r>
      <w:r w:rsidR="00046EED" w:rsidRPr="004F51D2">
        <w:rPr>
          <w:rFonts w:ascii="Times New Roman" w:hAnsi="Times New Roman" w:cs="Times New Roman"/>
          <w:sz w:val="24"/>
          <w:szCs w:val="24"/>
        </w:rPr>
        <w:t>the Persian MOGS predicted 33.</w:t>
      </w:r>
      <w:r w:rsidR="00855760" w:rsidRPr="004F51D2">
        <w:rPr>
          <w:rFonts w:ascii="Times New Roman" w:hAnsi="Times New Roman" w:cs="Times New Roman"/>
          <w:sz w:val="24"/>
          <w:szCs w:val="24"/>
        </w:rPr>
        <w:t>9</w:t>
      </w:r>
      <w:r w:rsidR="00046EED" w:rsidRPr="004F51D2">
        <w:rPr>
          <w:rFonts w:ascii="Times New Roman" w:hAnsi="Times New Roman" w:cs="Times New Roman"/>
          <w:sz w:val="24"/>
          <w:szCs w:val="24"/>
        </w:rPr>
        <w:t xml:space="preserve">% of </w:t>
      </w:r>
      <w:r w:rsidR="00C81197" w:rsidRPr="004F51D2">
        <w:rPr>
          <w:rFonts w:ascii="Times New Roman" w:hAnsi="Times New Roman" w:cs="Times New Roman"/>
          <w:sz w:val="24"/>
          <w:szCs w:val="24"/>
        </w:rPr>
        <w:t xml:space="preserve">the </w:t>
      </w:r>
      <w:r w:rsidR="00046EED" w:rsidRPr="004F51D2">
        <w:rPr>
          <w:rFonts w:ascii="Times New Roman" w:hAnsi="Times New Roman" w:cs="Times New Roman"/>
          <w:sz w:val="24"/>
          <w:szCs w:val="24"/>
        </w:rPr>
        <w:t xml:space="preserve">variance </w:t>
      </w:r>
      <w:r w:rsidR="00174514" w:rsidRPr="004F51D2">
        <w:rPr>
          <w:rFonts w:ascii="Times New Roman" w:hAnsi="Times New Roman" w:cs="Times New Roman"/>
          <w:sz w:val="24"/>
          <w:szCs w:val="24"/>
        </w:rPr>
        <w:t>in</w:t>
      </w:r>
      <w:r w:rsidR="00046EED" w:rsidRPr="004F51D2">
        <w:rPr>
          <w:rFonts w:ascii="Times New Roman" w:hAnsi="Times New Roman" w:cs="Times New Roman"/>
          <w:sz w:val="24"/>
          <w:szCs w:val="24"/>
        </w:rPr>
        <w:t xml:space="preserve"> </w:t>
      </w:r>
      <w:r w:rsidR="00174514" w:rsidRPr="004F51D2">
        <w:rPr>
          <w:rFonts w:ascii="Times New Roman" w:hAnsi="Times New Roman" w:cs="Times New Roman"/>
          <w:sz w:val="24"/>
          <w:szCs w:val="24"/>
        </w:rPr>
        <w:t>p</w:t>
      </w:r>
      <w:r w:rsidR="0054771B" w:rsidRPr="004F51D2">
        <w:rPr>
          <w:rFonts w:ascii="Times New Roman" w:hAnsi="Times New Roman" w:cs="Times New Roman"/>
          <w:sz w:val="24"/>
          <w:szCs w:val="24"/>
        </w:rPr>
        <w:t xml:space="preserve">roblematic </w:t>
      </w:r>
      <w:r w:rsidR="00174514" w:rsidRPr="004F51D2">
        <w:rPr>
          <w:rFonts w:ascii="Times New Roman" w:hAnsi="Times New Roman" w:cs="Times New Roman"/>
          <w:sz w:val="24"/>
          <w:szCs w:val="24"/>
        </w:rPr>
        <w:t>o</w:t>
      </w:r>
      <w:r w:rsidR="0054771B" w:rsidRPr="004F51D2">
        <w:rPr>
          <w:rFonts w:ascii="Times New Roman" w:hAnsi="Times New Roman" w:cs="Times New Roman"/>
          <w:sz w:val="24"/>
          <w:szCs w:val="24"/>
        </w:rPr>
        <w:t xml:space="preserve">nline </w:t>
      </w:r>
      <w:r w:rsidR="00174514" w:rsidRPr="004F51D2">
        <w:rPr>
          <w:rFonts w:ascii="Times New Roman" w:hAnsi="Times New Roman" w:cs="Times New Roman"/>
          <w:sz w:val="24"/>
          <w:szCs w:val="24"/>
        </w:rPr>
        <w:t>g</w:t>
      </w:r>
      <w:r w:rsidR="0054771B" w:rsidRPr="004F51D2">
        <w:rPr>
          <w:rFonts w:ascii="Times New Roman" w:hAnsi="Times New Roman" w:cs="Times New Roman"/>
          <w:sz w:val="24"/>
          <w:szCs w:val="24"/>
        </w:rPr>
        <w:t>aming</w:t>
      </w:r>
      <w:r w:rsidR="00046EED" w:rsidRPr="004F51D2">
        <w:rPr>
          <w:rFonts w:ascii="Times New Roman" w:hAnsi="Times New Roman" w:cs="Times New Roman"/>
          <w:sz w:val="24"/>
          <w:szCs w:val="24"/>
        </w:rPr>
        <w:t xml:space="preserve"> independently of personality trait</w:t>
      </w:r>
      <w:r w:rsidR="0054771B" w:rsidRPr="004F51D2">
        <w:rPr>
          <w:rFonts w:ascii="Times New Roman" w:hAnsi="Times New Roman" w:cs="Times New Roman"/>
          <w:sz w:val="24"/>
          <w:szCs w:val="24"/>
        </w:rPr>
        <w:t>s</w:t>
      </w:r>
      <w:r w:rsidR="00046EED" w:rsidRPr="004F51D2">
        <w:rPr>
          <w:rFonts w:ascii="Times New Roman" w:hAnsi="Times New Roman" w:cs="Times New Roman"/>
          <w:sz w:val="24"/>
          <w:szCs w:val="24"/>
        </w:rPr>
        <w:t xml:space="preserve">, anxiety, depression, stress, and </w:t>
      </w:r>
      <w:r w:rsidR="0054771B" w:rsidRPr="004F51D2">
        <w:rPr>
          <w:rFonts w:ascii="Times New Roman" w:hAnsi="Times New Roman" w:cs="Times New Roman"/>
          <w:sz w:val="24"/>
          <w:szCs w:val="24"/>
        </w:rPr>
        <w:t xml:space="preserve">both </w:t>
      </w:r>
      <w:r w:rsidR="006C5588" w:rsidRPr="004F51D2">
        <w:rPr>
          <w:rFonts w:ascii="Times New Roman" w:hAnsi="Times New Roman" w:cs="Times New Roman"/>
          <w:sz w:val="24"/>
          <w:szCs w:val="24"/>
        </w:rPr>
        <w:t xml:space="preserve">gaming-related </w:t>
      </w:r>
      <w:r w:rsidR="00046EED" w:rsidRPr="004F51D2">
        <w:rPr>
          <w:rFonts w:ascii="Times New Roman" w:hAnsi="Times New Roman" w:cs="Times New Roman"/>
          <w:sz w:val="24"/>
          <w:szCs w:val="24"/>
        </w:rPr>
        <w:t xml:space="preserve">cognitions and </w:t>
      </w:r>
      <w:r w:rsidR="006C5588" w:rsidRPr="004F51D2">
        <w:rPr>
          <w:rFonts w:ascii="Times New Roman" w:hAnsi="Times New Roman" w:cs="Times New Roman"/>
          <w:sz w:val="24"/>
          <w:szCs w:val="24"/>
        </w:rPr>
        <w:t xml:space="preserve">gaming </w:t>
      </w:r>
      <w:r w:rsidR="00046EED" w:rsidRPr="004F51D2">
        <w:rPr>
          <w:rFonts w:ascii="Times New Roman" w:hAnsi="Times New Roman" w:cs="Times New Roman"/>
          <w:sz w:val="24"/>
          <w:szCs w:val="24"/>
        </w:rPr>
        <w:t>motives.</w:t>
      </w:r>
      <w:r w:rsidR="00C968FE" w:rsidRPr="004F51D2">
        <w:rPr>
          <w:rFonts w:ascii="Times New Roman" w:hAnsi="Times New Roman" w:cs="Times New Roman"/>
          <w:sz w:val="24"/>
          <w:szCs w:val="24"/>
        </w:rPr>
        <w:t xml:space="preserve"> </w:t>
      </w:r>
      <w:r w:rsidR="00C91D3D" w:rsidRPr="004F51D2">
        <w:rPr>
          <w:rFonts w:ascii="Times New Roman" w:hAnsi="Times New Roman" w:cs="Times New Roman"/>
          <w:sz w:val="24"/>
          <w:szCs w:val="24"/>
        </w:rPr>
        <w:t xml:space="preserve">Furthermore, </w:t>
      </w:r>
      <w:r w:rsidR="00C91D3D" w:rsidRPr="004F51D2">
        <w:rPr>
          <w:rFonts w:ascii="Times New Roman" w:eastAsia="Calibri" w:hAnsi="Times New Roman" w:cs="Times New Roman"/>
          <w:color w:val="000000"/>
          <w:sz w:val="24"/>
          <w:szCs w:val="24"/>
        </w:rPr>
        <w:t>the results of analyses of variance with follow-up Bonferroni pairwise comparisons showed that interaction between the factors of MOGS and types of game and tools of gaming was significant.</w:t>
      </w:r>
      <w:r w:rsidR="00C91D3D" w:rsidRPr="004F51D2">
        <w:rPr>
          <w:rFonts w:ascii="Times New Roman" w:hAnsi="Times New Roman" w:cs="Times New Roman"/>
          <w:sz w:val="24"/>
          <w:szCs w:val="24"/>
        </w:rPr>
        <w:t xml:space="preserve"> </w:t>
      </w:r>
      <w:r w:rsidRPr="004F51D2">
        <w:rPr>
          <w:rFonts w:ascii="Times New Roman" w:hAnsi="Times New Roman" w:cs="Times New Roman"/>
          <w:sz w:val="24"/>
          <w:szCs w:val="24"/>
        </w:rPr>
        <w:t xml:space="preserve">The findings </w:t>
      </w:r>
      <w:r w:rsidR="00C968FE" w:rsidRPr="004F51D2">
        <w:rPr>
          <w:rFonts w:ascii="Times New Roman" w:eastAsia="Calibri" w:hAnsi="Times New Roman" w:cs="Times New Roman"/>
          <w:color w:val="000000"/>
          <w:sz w:val="24"/>
          <w:szCs w:val="24"/>
        </w:rPr>
        <w:t xml:space="preserve">provide evidence that the Persian MOGS </w:t>
      </w:r>
      <w:r w:rsidR="00C968FE" w:rsidRPr="004F51D2">
        <w:rPr>
          <w:rFonts w:ascii="Times New Roman" w:hAnsi="Times New Roman" w:cs="Times New Roman"/>
          <w:sz w:val="24"/>
          <w:szCs w:val="24"/>
        </w:rPr>
        <w:t>among Iranian adolescent</w:t>
      </w:r>
      <w:r w:rsidR="00C81197" w:rsidRPr="004F51D2">
        <w:rPr>
          <w:rFonts w:ascii="Times New Roman" w:hAnsi="Times New Roman" w:cs="Times New Roman"/>
          <w:sz w:val="24"/>
          <w:szCs w:val="24"/>
        </w:rPr>
        <w:t>s</w:t>
      </w:r>
      <w:r w:rsidR="00C968FE" w:rsidRPr="004F51D2">
        <w:rPr>
          <w:rFonts w:ascii="Times New Roman" w:eastAsia="Calibri" w:hAnsi="Times New Roman" w:cs="Times New Roman"/>
          <w:color w:val="000000"/>
          <w:sz w:val="24"/>
          <w:szCs w:val="24"/>
        </w:rPr>
        <w:t xml:space="preserve"> appears psychometrically appropriate to be used by researchers and practitioners dealing with the prevention and treatment of problem</w:t>
      </w:r>
      <w:r w:rsidR="0054771B" w:rsidRPr="004F51D2">
        <w:rPr>
          <w:rFonts w:ascii="Times New Roman" w:eastAsia="Calibri" w:hAnsi="Times New Roman" w:cs="Times New Roman"/>
          <w:color w:val="000000"/>
          <w:sz w:val="24"/>
          <w:szCs w:val="24"/>
        </w:rPr>
        <w:t>atic</w:t>
      </w:r>
      <w:r w:rsidR="00C968FE" w:rsidRPr="004F51D2">
        <w:rPr>
          <w:rFonts w:ascii="Times New Roman" w:eastAsia="Calibri" w:hAnsi="Times New Roman" w:cs="Times New Roman"/>
          <w:color w:val="000000"/>
          <w:sz w:val="24"/>
          <w:szCs w:val="24"/>
        </w:rPr>
        <w:t xml:space="preserve"> online gaming.</w:t>
      </w:r>
    </w:p>
    <w:p w14:paraId="259C828D" w14:textId="1945B099" w:rsidR="001D1C08" w:rsidRPr="004F51D2" w:rsidRDefault="00602F80" w:rsidP="001D1C08">
      <w:pPr>
        <w:bidi w:val="0"/>
        <w:spacing w:after="0" w:line="480" w:lineRule="auto"/>
        <w:jc w:val="both"/>
        <w:rPr>
          <w:rFonts w:ascii="Times New Roman" w:hAnsi="Times New Roman" w:cs="Times New Roman"/>
          <w:sz w:val="24"/>
          <w:szCs w:val="24"/>
        </w:rPr>
        <w:sectPr w:rsidR="001D1C08" w:rsidRPr="004F51D2" w:rsidSect="007E04AD">
          <w:pgSz w:w="12240" w:h="15840"/>
          <w:pgMar w:top="1440" w:right="1440" w:bottom="1440" w:left="1440" w:header="720" w:footer="720" w:gutter="0"/>
          <w:cols w:space="720"/>
          <w:docGrid w:linePitch="360"/>
        </w:sectPr>
      </w:pPr>
      <w:r w:rsidRPr="004F51D2">
        <w:rPr>
          <w:rFonts w:ascii="Times New Roman" w:hAnsi="Times New Roman" w:cs="Times New Roman"/>
          <w:b/>
          <w:bCs/>
          <w:i/>
          <w:iCs/>
          <w:sz w:val="24"/>
          <w:szCs w:val="24"/>
        </w:rPr>
        <w:lastRenderedPageBreak/>
        <w:t>Keywords</w:t>
      </w:r>
      <w:r w:rsidRPr="004F51D2">
        <w:rPr>
          <w:rFonts w:ascii="Times New Roman" w:hAnsi="Times New Roman" w:cs="Times New Roman"/>
          <w:b/>
          <w:bCs/>
          <w:sz w:val="24"/>
          <w:szCs w:val="24"/>
        </w:rPr>
        <w:t>:</w:t>
      </w:r>
      <w:r w:rsidRPr="004F51D2">
        <w:rPr>
          <w:rFonts w:ascii="Times New Roman" w:hAnsi="Times New Roman" w:cs="Times New Roman"/>
          <w:sz w:val="24"/>
          <w:szCs w:val="24"/>
        </w:rPr>
        <w:t xml:space="preserve"> </w:t>
      </w:r>
      <w:r w:rsidR="006C5588" w:rsidRPr="004F51D2">
        <w:rPr>
          <w:rFonts w:ascii="Times New Roman" w:hAnsi="Times New Roman" w:cs="Times New Roman"/>
          <w:sz w:val="24"/>
          <w:szCs w:val="24"/>
        </w:rPr>
        <w:t>Gaming motives; gaming-related cognitions;</w:t>
      </w:r>
      <w:r w:rsidRPr="004F51D2">
        <w:rPr>
          <w:rFonts w:ascii="Times New Roman" w:hAnsi="Times New Roman" w:cs="Times New Roman"/>
          <w:sz w:val="24"/>
          <w:szCs w:val="24"/>
        </w:rPr>
        <w:t xml:space="preserve"> </w:t>
      </w:r>
      <w:r w:rsidR="00C968FE" w:rsidRPr="004F51D2">
        <w:rPr>
          <w:rFonts w:ascii="Times New Roman" w:hAnsi="Times New Roman" w:cs="Times New Roman"/>
          <w:sz w:val="24"/>
          <w:szCs w:val="24"/>
        </w:rPr>
        <w:t>m</w:t>
      </w:r>
      <w:r w:rsidRPr="004F51D2">
        <w:rPr>
          <w:rFonts w:ascii="Times New Roman" w:hAnsi="Times New Roman" w:cs="Times New Roman"/>
          <w:sz w:val="24"/>
          <w:szCs w:val="24"/>
        </w:rPr>
        <w:t>etacognition</w:t>
      </w:r>
      <w:r w:rsidR="00D01C0E" w:rsidRPr="004F51D2">
        <w:rPr>
          <w:rFonts w:ascii="Times New Roman" w:hAnsi="Times New Roman" w:cs="Times New Roman"/>
          <w:sz w:val="24"/>
          <w:szCs w:val="24"/>
        </w:rPr>
        <w:t>s about online gaming</w:t>
      </w:r>
      <w:r w:rsidR="006C5588" w:rsidRPr="004F51D2">
        <w:rPr>
          <w:rFonts w:ascii="Times New Roman" w:hAnsi="Times New Roman" w:cs="Times New Roman"/>
          <w:sz w:val="24"/>
          <w:szCs w:val="24"/>
        </w:rPr>
        <w:t>;</w:t>
      </w:r>
      <w:r w:rsidRPr="004F51D2">
        <w:rPr>
          <w:rFonts w:ascii="Times New Roman" w:hAnsi="Times New Roman" w:cs="Times New Roman"/>
          <w:sz w:val="24"/>
          <w:szCs w:val="24"/>
        </w:rPr>
        <w:t xml:space="preserve"> </w:t>
      </w:r>
      <w:r w:rsidR="00C968FE" w:rsidRPr="004F51D2">
        <w:rPr>
          <w:rFonts w:ascii="Times New Roman" w:hAnsi="Times New Roman" w:cs="Times New Roman"/>
          <w:sz w:val="24"/>
          <w:szCs w:val="24"/>
        </w:rPr>
        <w:t xml:space="preserve">psychometric </w:t>
      </w:r>
      <w:r w:rsidRPr="004F51D2">
        <w:rPr>
          <w:rFonts w:ascii="Times New Roman" w:hAnsi="Times New Roman" w:cs="Times New Roman"/>
          <w:sz w:val="24"/>
          <w:szCs w:val="24"/>
        </w:rPr>
        <w:t>properties</w:t>
      </w:r>
      <w:r w:rsidR="006C5588" w:rsidRPr="004F51D2">
        <w:rPr>
          <w:rFonts w:ascii="Times New Roman" w:hAnsi="Times New Roman" w:cs="Times New Roman"/>
          <w:sz w:val="24"/>
          <w:szCs w:val="24"/>
        </w:rPr>
        <w:t>; problematic online gaming</w:t>
      </w:r>
      <w:r w:rsidRPr="004F51D2">
        <w:rPr>
          <w:rFonts w:ascii="Times New Roman" w:hAnsi="Times New Roman" w:cs="Times New Roman"/>
          <w:sz w:val="24"/>
          <w:szCs w:val="24"/>
        </w:rPr>
        <w:t>.</w:t>
      </w:r>
    </w:p>
    <w:p w14:paraId="4FEE2CCA" w14:textId="77777777" w:rsidR="00C24DE0" w:rsidRPr="004F51D2" w:rsidRDefault="00C24DE0" w:rsidP="001D1C08">
      <w:pPr>
        <w:bidi w:val="0"/>
        <w:spacing w:after="0" w:line="480" w:lineRule="auto"/>
        <w:jc w:val="both"/>
        <w:rPr>
          <w:rFonts w:ascii="Times New Roman" w:hAnsi="Times New Roman" w:cs="Times New Roman"/>
          <w:b/>
          <w:bCs/>
          <w:sz w:val="24"/>
          <w:szCs w:val="24"/>
        </w:rPr>
      </w:pPr>
      <w:r w:rsidRPr="004F51D2">
        <w:rPr>
          <w:rFonts w:ascii="Times New Roman" w:hAnsi="Times New Roman" w:cs="Times New Roman"/>
          <w:b/>
          <w:bCs/>
          <w:sz w:val="24"/>
          <w:szCs w:val="24"/>
        </w:rPr>
        <w:lastRenderedPageBreak/>
        <w:t>1. Introduction</w:t>
      </w:r>
    </w:p>
    <w:p w14:paraId="7F39130D" w14:textId="6AFE6A00" w:rsidR="00C24DE0" w:rsidRPr="004F51D2" w:rsidRDefault="00C24DE0" w:rsidP="00605E16">
      <w:pPr>
        <w:bidi w:val="0"/>
        <w:spacing w:after="0" w:line="480" w:lineRule="auto"/>
        <w:jc w:val="both"/>
        <w:rPr>
          <w:rFonts w:ascii="Times New Roman" w:hAnsi="Times New Roman" w:cs="Times New Roman"/>
          <w:sz w:val="24"/>
          <w:szCs w:val="24"/>
        </w:rPr>
      </w:pPr>
      <w:r w:rsidRPr="004F51D2">
        <w:rPr>
          <w:rFonts w:ascii="Times New Roman" w:hAnsi="Times New Roman" w:cs="Times New Roman"/>
          <w:sz w:val="24"/>
          <w:szCs w:val="24"/>
        </w:rPr>
        <w:t xml:space="preserve">In the latest version of the Diagnostic and Statistical Manual of Mental Disorders (DSM-5; APA, 2013) Internet Gaming Disorder (IGD) </w:t>
      </w:r>
      <w:r w:rsidR="00174514" w:rsidRPr="004F51D2">
        <w:rPr>
          <w:rFonts w:ascii="Times New Roman" w:hAnsi="Times New Roman" w:cs="Times New Roman"/>
          <w:sz w:val="24"/>
          <w:szCs w:val="24"/>
        </w:rPr>
        <w:t>has</w:t>
      </w:r>
      <w:r w:rsidRPr="004F51D2">
        <w:rPr>
          <w:rFonts w:ascii="Times New Roman" w:hAnsi="Times New Roman" w:cs="Times New Roman"/>
          <w:sz w:val="24"/>
          <w:szCs w:val="24"/>
        </w:rPr>
        <w:t xml:space="preserve"> been added to the research appendix section.</w:t>
      </w:r>
      <w:r w:rsidRPr="004F51D2">
        <w:rPr>
          <w:rFonts w:ascii="Times New Roman" w:hAnsi="Times New Roman" w:cs="Times New Roman"/>
          <w:sz w:val="24"/>
          <w:szCs w:val="24"/>
          <w:rtl/>
        </w:rPr>
        <w:t xml:space="preserve"> </w:t>
      </w:r>
      <w:r w:rsidRPr="004F51D2">
        <w:rPr>
          <w:rFonts w:ascii="Times New Roman" w:hAnsi="Times New Roman" w:cs="Times New Roman"/>
          <w:sz w:val="24"/>
          <w:szCs w:val="24"/>
        </w:rPr>
        <w:t xml:space="preserve">IGD is defined by symptoms such as loss of interest in real-life, loss of control, preoccupation with games, tolerance, withdrawal, and </w:t>
      </w:r>
      <w:r w:rsidR="009D2CD7" w:rsidRPr="004F51D2">
        <w:rPr>
          <w:rFonts w:ascii="Times New Roman" w:hAnsi="Times New Roman" w:cs="Times New Roman"/>
          <w:sz w:val="24"/>
          <w:szCs w:val="24"/>
        </w:rPr>
        <w:t xml:space="preserve">continuing </w:t>
      </w:r>
      <w:r w:rsidRPr="004F51D2">
        <w:rPr>
          <w:rFonts w:ascii="Times New Roman" w:hAnsi="Times New Roman" w:cs="Times New Roman"/>
          <w:sz w:val="24"/>
          <w:szCs w:val="24"/>
        </w:rPr>
        <w:t xml:space="preserve">to </w:t>
      </w:r>
      <w:r w:rsidR="009D2CD7" w:rsidRPr="004F51D2">
        <w:rPr>
          <w:rFonts w:ascii="Times New Roman" w:hAnsi="Times New Roman" w:cs="Times New Roman"/>
          <w:sz w:val="24"/>
          <w:szCs w:val="24"/>
        </w:rPr>
        <w:t xml:space="preserve">game </w:t>
      </w:r>
      <w:r w:rsidRPr="004F51D2">
        <w:rPr>
          <w:rFonts w:ascii="Times New Roman" w:hAnsi="Times New Roman" w:cs="Times New Roman"/>
          <w:sz w:val="24"/>
          <w:szCs w:val="24"/>
        </w:rPr>
        <w:t xml:space="preserve">despite </w:t>
      </w:r>
      <w:r w:rsidR="009D2CD7" w:rsidRPr="004F51D2">
        <w:rPr>
          <w:rFonts w:ascii="Times New Roman" w:hAnsi="Times New Roman" w:cs="Times New Roman"/>
          <w:sz w:val="24"/>
          <w:szCs w:val="24"/>
        </w:rPr>
        <w:t xml:space="preserve">its </w:t>
      </w:r>
      <w:r w:rsidRPr="004F51D2">
        <w:rPr>
          <w:rFonts w:ascii="Times New Roman" w:hAnsi="Times New Roman" w:cs="Times New Roman"/>
          <w:sz w:val="24"/>
          <w:szCs w:val="24"/>
        </w:rPr>
        <w:t xml:space="preserve">negative consequences (Müller et al., 2019). According to </w:t>
      </w:r>
      <w:r w:rsidR="004B40A3" w:rsidRPr="004F51D2">
        <w:rPr>
          <w:rFonts w:ascii="Times New Roman" w:hAnsi="Times New Roman" w:cs="Times New Roman"/>
          <w:sz w:val="24"/>
          <w:szCs w:val="24"/>
        </w:rPr>
        <w:t>a recent</w:t>
      </w:r>
      <w:r w:rsidRPr="004F51D2">
        <w:rPr>
          <w:rFonts w:ascii="Times New Roman" w:hAnsi="Times New Roman" w:cs="Times New Roman"/>
          <w:sz w:val="24"/>
          <w:szCs w:val="24"/>
        </w:rPr>
        <w:t xml:space="preserve"> national poll, 40% of boys and 20% of girls play video games every day, and 37% of these boys</w:t>
      </w:r>
      <w:r w:rsidRPr="004F51D2">
        <w:rPr>
          <w:rFonts w:ascii="Times New Roman" w:hAnsi="Times New Roman" w:cs="Times New Roman"/>
          <w:sz w:val="24"/>
          <w:szCs w:val="24"/>
          <w:rtl/>
        </w:rPr>
        <w:t xml:space="preserve"> </w:t>
      </w:r>
      <w:r w:rsidRPr="004F51D2">
        <w:rPr>
          <w:rFonts w:ascii="Times New Roman" w:hAnsi="Times New Roman" w:cs="Times New Roman"/>
          <w:sz w:val="24"/>
          <w:szCs w:val="24"/>
        </w:rPr>
        <w:t xml:space="preserve">compared to 20% of these girls play video games more than 3 hours per day (National </w:t>
      </w:r>
      <w:r w:rsidR="004B40A3" w:rsidRPr="004F51D2">
        <w:rPr>
          <w:rFonts w:ascii="Times New Roman" w:hAnsi="Times New Roman" w:cs="Times New Roman"/>
          <w:sz w:val="24"/>
          <w:szCs w:val="24"/>
        </w:rPr>
        <w:t xml:space="preserve">Poll </w:t>
      </w:r>
      <w:r w:rsidRPr="004F51D2">
        <w:rPr>
          <w:rFonts w:ascii="Times New Roman" w:hAnsi="Times New Roman" w:cs="Times New Roman"/>
          <w:sz w:val="24"/>
          <w:szCs w:val="24"/>
        </w:rPr>
        <w:t xml:space="preserve">on </w:t>
      </w:r>
      <w:r w:rsidR="004B40A3" w:rsidRPr="004F51D2">
        <w:rPr>
          <w:rFonts w:ascii="Times New Roman" w:hAnsi="Times New Roman" w:cs="Times New Roman"/>
          <w:sz w:val="24"/>
          <w:szCs w:val="24"/>
        </w:rPr>
        <w:t>Children's Health</w:t>
      </w:r>
      <w:r w:rsidRPr="004F51D2">
        <w:rPr>
          <w:rFonts w:ascii="Times New Roman" w:hAnsi="Times New Roman" w:cs="Times New Roman"/>
          <w:sz w:val="24"/>
          <w:szCs w:val="24"/>
        </w:rPr>
        <w:t>, 2020). The prevalence of online gam</w:t>
      </w:r>
      <w:r w:rsidR="00596E5F" w:rsidRPr="004F51D2">
        <w:rPr>
          <w:rFonts w:ascii="Times New Roman" w:hAnsi="Times New Roman" w:cs="Times New Roman"/>
          <w:sz w:val="24"/>
          <w:szCs w:val="24"/>
        </w:rPr>
        <w:t>ing</w:t>
      </w:r>
      <w:r w:rsidRPr="004F51D2">
        <w:rPr>
          <w:rFonts w:ascii="Times New Roman" w:hAnsi="Times New Roman" w:cs="Times New Roman"/>
          <w:sz w:val="24"/>
          <w:szCs w:val="24"/>
        </w:rPr>
        <w:t xml:space="preserve"> is higher in adolescents than in adults (Hawi, Samaha</w:t>
      </w:r>
      <w:r w:rsidR="00E325E4" w:rsidRPr="004F51D2">
        <w:rPr>
          <w:rFonts w:ascii="Times New Roman" w:hAnsi="Times New Roman" w:cs="Times New Roman"/>
          <w:sz w:val="24"/>
          <w:szCs w:val="24"/>
        </w:rPr>
        <w:t>,</w:t>
      </w:r>
      <w:r w:rsidRPr="004F51D2">
        <w:rPr>
          <w:rFonts w:ascii="Times New Roman" w:hAnsi="Times New Roman" w:cs="Times New Roman"/>
          <w:sz w:val="24"/>
          <w:szCs w:val="24"/>
        </w:rPr>
        <w:t xml:space="preserve"> &amp; Griffiths, 2018). </w:t>
      </w:r>
      <w:r w:rsidR="004B40A3" w:rsidRPr="004F51D2">
        <w:rPr>
          <w:rFonts w:ascii="Times New Roman" w:hAnsi="Times New Roman" w:cs="Times New Roman"/>
          <w:sz w:val="24"/>
          <w:szCs w:val="24"/>
        </w:rPr>
        <w:t>Furthermore</w:t>
      </w:r>
      <w:r w:rsidRPr="004F51D2">
        <w:rPr>
          <w:rFonts w:ascii="Times New Roman" w:hAnsi="Times New Roman" w:cs="Times New Roman"/>
          <w:sz w:val="24"/>
          <w:szCs w:val="24"/>
        </w:rPr>
        <w:t xml:space="preserve">, earlier age </w:t>
      </w:r>
      <w:r w:rsidR="004B40A3" w:rsidRPr="004F51D2">
        <w:rPr>
          <w:rFonts w:ascii="Times New Roman" w:hAnsi="Times New Roman" w:cs="Times New Roman"/>
          <w:sz w:val="24"/>
          <w:szCs w:val="24"/>
        </w:rPr>
        <w:t>in the inception</w:t>
      </w:r>
      <w:r w:rsidRPr="004F51D2">
        <w:rPr>
          <w:rFonts w:ascii="Times New Roman" w:hAnsi="Times New Roman" w:cs="Times New Roman"/>
          <w:sz w:val="24"/>
          <w:szCs w:val="24"/>
        </w:rPr>
        <w:t xml:space="preserve"> of gaming is related to more symptoms of IGD (Beard et al., 2017).</w:t>
      </w:r>
      <w:r w:rsidR="00501DDF" w:rsidRPr="004F51D2">
        <w:rPr>
          <w:rFonts w:ascii="Times New Roman" w:hAnsi="Times New Roman" w:cs="Times New Roman"/>
          <w:sz w:val="24"/>
          <w:szCs w:val="24"/>
          <w:rtl/>
        </w:rPr>
        <w:t xml:space="preserve"> </w:t>
      </w:r>
      <w:r w:rsidRPr="004F51D2">
        <w:rPr>
          <w:rFonts w:ascii="Times New Roman" w:hAnsi="Times New Roman" w:cs="Times New Roman"/>
          <w:sz w:val="24"/>
          <w:szCs w:val="24"/>
        </w:rPr>
        <w:t xml:space="preserve">In a meta-analysis, the prevalence of IGD among adolescents was 4% (Fam, 2018). IGD in adolescents is </w:t>
      </w:r>
      <w:r w:rsidR="004B40A3" w:rsidRPr="004F51D2">
        <w:rPr>
          <w:rFonts w:ascii="Times New Roman" w:hAnsi="Times New Roman" w:cs="Times New Roman"/>
          <w:sz w:val="24"/>
          <w:szCs w:val="24"/>
        </w:rPr>
        <w:t xml:space="preserve">also </w:t>
      </w:r>
      <w:r w:rsidRPr="004F51D2">
        <w:rPr>
          <w:rFonts w:ascii="Times New Roman" w:hAnsi="Times New Roman" w:cs="Times New Roman"/>
          <w:sz w:val="24"/>
          <w:szCs w:val="24"/>
        </w:rPr>
        <w:t>associated with adverse psychological and behavioral outcomes (</w:t>
      </w:r>
      <w:r w:rsidR="00605E16" w:rsidRPr="004F51D2">
        <w:rPr>
          <w:rFonts w:ascii="Times New Roman" w:hAnsi="Times New Roman" w:cs="Times New Roman"/>
          <w:sz w:val="24"/>
          <w:szCs w:val="24"/>
        </w:rPr>
        <w:t>Fioravanti, Dèttore, &amp; Casale, 2012;</w:t>
      </w:r>
      <w:r w:rsidR="00605E16" w:rsidRPr="004F51D2">
        <w:rPr>
          <w:rFonts w:ascii="Times New Roman" w:hAnsi="Times New Roman" w:cs="Times New Roman"/>
          <w:sz w:val="20"/>
          <w:szCs w:val="20"/>
        </w:rPr>
        <w:t xml:space="preserve"> </w:t>
      </w:r>
      <w:r w:rsidRPr="004F51D2">
        <w:rPr>
          <w:rFonts w:ascii="Times New Roman" w:hAnsi="Times New Roman" w:cs="Times New Roman"/>
          <w:sz w:val="24"/>
          <w:szCs w:val="24"/>
        </w:rPr>
        <w:t xml:space="preserve">Milani et al., 2017). </w:t>
      </w:r>
      <w:r w:rsidR="004B40A3" w:rsidRPr="004F51D2">
        <w:rPr>
          <w:rFonts w:ascii="Times New Roman" w:hAnsi="Times New Roman" w:cs="Times New Roman"/>
          <w:sz w:val="24"/>
          <w:szCs w:val="24"/>
        </w:rPr>
        <w:t xml:space="preserve">These include depression </w:t>
      </w:r>
      <w:r w:rsidRPr="004F51D2">
        <w:rPr>
          <w:rFonts w:ascii="Times New Roman" w:hAnsi="Times New Roman" w:cs="Times New Roman"/>
          <w:sz w:val="24"/>
          <w:szCs w:val="24"/>
        </w:rPr>
        <w:t>(Ko et al., 2014; Wartberg, Kriston</w:t>
      </w:r>
      <w:r w:rsidR="00A64A45" w:rsidRPr="004F51D2">
        <w:rPr>
          <w:rFonts w:ascii="Times New Roman" w:hAnsi="Times New Roman" w:cs="Times New Roman"/>
          <w:sz w:val="24"/>
          <w:szCs w:val="24"/>
        </w:rPr>
        <w:t>,</w:t>
      </w:r>
      <w:r w:rsidRPr="004F51D2">
        <w:rPr>
          <w:rFonts w:ascii="Times New Roman" w:hAnsi="Times New Roman" w:cs="Times New Roman"/>
          <w:sz w:val="24"/>
          <w:szCs w:val="24"/>
        </w:rPr>
        <w:t xml:space="preserve"> &amp; Thomasius, 2020), anxiety (Bonnaire &amp; Baptista, 2019; Stavropoulos et al., 2017), self-esteem problems (Wartberg, 2019), and impulse control problems (Du et al., 2016). In a study conducted in Iran on 1,024 students, the prevalence of IGD was estimated at 5.3% (Ahmadi et al., 2014). </w:t>
      </w:r>
      <w:r w:rsidR="00174514" w:rsidRPr="004F51D2">
        <w:rPr>
          <w:rFonts w:ascii="Times New Roman" w:hAnsi="Times New Roman" w:cs="Times New Roman"/>
          <w:sz w:val="24"/>
          <w:szCs w:val="24"/>
        </w:rPr>
        <w:t>Furthermore,</w:t>
      </w:r>
      <w:r w:rsidRPr="004F51D2">
        <w:rPr>
          <w:rFonts w:ascii="Times New Roman" w:hAnsi="Times New Roman" w:cs="Times New Roman"/>
          <w:sz w:val="24"/>
          <w:szCs w:val="24"/>
        </w:rPr>
        <w:t xml:space="preserve"> in Iran the social, educational, and financial problems caused by IGD have increased significantly </w:t>
      </w:r>
      <w:r w:rsidR="004B40A3" w:rsidRPr="004F51D2">
        <w:rPr>
          <w:rFonts w:ascii="Times New Roman" w:hAnsi="Times New Roman" w:cs="Times New Roman"/>
          <w:sz w:val="24"/>
          <w:szCs w:val="24"/>
        </w:rPr>
        <w:t xml:space="preserve">over the last decade </w:t>
      </w:r>
      <w:r w:rsidRPr="004F51D2">
        <w:rPr>
          <w:rFonts w:ascii="Times New Roman" w:hAnsi="Times New Roman" w:cs="Times New Roman"/>
          <w:sz w:val="24"/>
          <w:szCs w:val="24"/>
        </w:rPr>
        <w:t xml:space="preserve">(Shadloo et al., 2017). Many studies have shown the relationship between psychological distress, depression, insomnia, anxiety </w:t>
      </w:r>
      <w:r w:rsidR="004B40A3" w:rsidRPr="004F51D2">
        <w:rPr>
          <w:rFonts w:ascii="Times New Roman" w:hAnsi="Times New Roman" w:cs="Times New Roman"/>
          <w:sz w:val="24"/>
          <w:szCs w:val="24"/>
        </w:rPr>
        <w:t>and</w:t>
      </w:r>
      <w:r w:rsidRPr="004F51D2">
        <w:rPr>
          <w:rFonts w:ascii="Times New Roman" w:hAnsi="Times New Roman" w:cs="Times New Roman"/>
          <w:sz w:val="24"/>
          <w:szCs w:val="24"/>
        </w:rPr>
        <w:t xml:space="preserve"> IGD among </w:t>
      </w:r>
      <w:r w:rsidR="004B40A3" w:rsidRPr="004F51D2">
        <w:rPr>
          <w:rFonts w:ascii="Times New Roman" w:hAnsi="Times New Roman" w:cs="Times New Roman"/>
          <w:sz w:val="24"/>
          <w:szCs w:val="24"/>
        </w:rPr>
        <w:t xml:space="preserve">the </w:t>
      </w:r>
      <w:r w:rsidRPr="004F51D2">
        <w:rPr>
          <w:rFonts w:ascii="Times New Roman" w:hAnsi="Times New Roman" w:cs="Times New Roman"/>
          <w:sz w:val="24"/>
          <w:szCs w:val="24"/>
        </w:rPr>
        <w:t>Iranian</w:t>
      </w:r>
      <w:r w:rsidR="004B40A3" w:rsidRPr="004F51D2">
        <w:rPr>
          <w:rFonts w:ascii="Times New Roman" w:hAnsi="Times New Roman" w:cs="Times New Roman"/>
          <w:sz w:val="24"/>
          <w:szCs w:val="24"/>
        </w:rPr>
        <w:t xml:space="preserve"> population</w:t>
      </w:r>
      <w:r w:rsidRPr="004F51D2">
        <w:rPr>
          <w:rFonts w:ascii="Times New Roman" w:hAnsi="Times New Roman" w:cs="Times New Roman"/>
          <w:sz w:val="24"/>
          <w:szCs w:val="24"/>
        </w:rPr>
        <w:t xml:space="preserve"> (Amini et al., 2014; Fazeli et al., 2020; Lin et al., 202</w:t>
      </w:r>
      <w:r w:rsidR="00605E16" w:rsidRPr="004F51D2">
        <w:rPr>
          <w:rFonts w:ascii="Times New Roman" w:hAnsi="Times New Roman" w:cs="Times New Roman"/>
          <w:sz w:val="24"/>
          <w:szCs w:val="24"/>
        </w:rPr>
        <w:t>0</w:t>
      </w:r>
      <w:r w:rsidRPr="004F51D2">
        <w:rPr>
          <w:rFonts w:ascii="Times New Roman" w:hAnsi="Times New Roman" w:cs="Times New Roman"/>
          <w:sz w:val="24"/>
          <w:szCs w:val="24"/>
        </w:rPr>
        <w:t>).</w:t>
      </w:r>
    </w:p>
    <w:p w14:paraId="2AFD53DB" w14:textId="02E6AC9D" w:rsidR="00C24DE0" w:rsidRPr="004F51D2" w:rsidRDefault="00C24DE0" w:rsidP="001D1C08">
      <w:pPr>
        <w:bidi w:val="0"/>
        <w:spacing w:after="0" w:line="480" w:lineRule="auto"/>
        <w:jc w:val="both"/>
        <w:rPr>
          <w:rFonts w:ascii="Times New Roman" w:hAnsi="Times New Roman" w:cs="Times New Roman"/>
          <w:i/>
          <w:iCs/>
          <w:sz w:val="24"/>
          <w:szCs w:val="24"/>
          <w:rtl/>
        </w:rPr>
      </w:pPr>
      <w:r w:rsidRPr="004F51D2">
        <w:rPr>
          <w:rFonts w:ascii="Times New Roman" w:hAnsi="Times New Roman" w:cs="Times New Roman"/>
          <w:i/>
          <w:iCs/>
          <w:sz w:val="24"/>
          <w:szCs w:val="24"/>
        </w:rPr>
        <w:t>1.1. Metacognitions</w:t>
      </w:r>
      <w:r w:rsidR="006715F1" w:rsidRPr="004F51D2">
        <w:rPr>
          <w:rFonts w:ascii="Times New Roman" w:hAnsi="Times New Roman" w:cs="Times New Roman"/>
          <w:i/>
          <w:iCs/>
          <w:sz w:val="24"/>
          <w:szCs w:val="24"/>
        </w:rPr>
        <w:t>, problematic online gaming, and IGD</w:t>
      </w:r>
    </w:p>
    <w:p w14:paraId="0216D102" w14:textId="10D9FBC0" w:rsidR="008F33EB" w:rsidRPr="004F51D2" w:rsidRDefault="00C24DE0" w:rsidP="00E325E4">
      <w:pPr>
        <w:bidi w:val="0"/>
        <w:spacing w:after="0" w:line="480" w:lineRule="auto"/>
        <w:jc w:val="both"/>
        <w:rPr>
          <w:rFonts w:ascii="Times New Roman" w:hAnsi="Times New Roman" w:cs="Times New Roman"/>
          <w:spacing w:val="-2"/>
          <w:sz w:val="24"/>
          <w:szCs w:val="24"/>
        </w:rPr>
      </w:pPr>
      <w:r w:rsidRPr="004F51D2">
        <w:rPr>
          <w:rFonts w:ascii="Times New Roman" w:hAnsi="Times New Roman" w:cs="Times New Roman"/>
          <w:spacing w:val="-2"/>
          <w:sz w:val="24"/>
          <w:szCs w:val="24"/>
        </w:rPr>
        <w:t xml:space="preserve">There are several factors involved in the development and </w:t>
      </w:r>
      <w:r w:rsidR="004B40A3" w:rsidRPr="004F51D2">
        <w:rPr>
          <w:rFonts w:ascii="Times New Roman" w:hAnsi="Times New Roman" w:cs="Times New Roman"/>
          <w:spacing w:val="-2"/>
          <w:sz w:val="24"/>
          <w:szCs w:val="24"/>
        </w:rPr>
        <w:t xml:space="preserve">maintenance of </w:t>
      </w:r>
      <w:r w:rsidR="006715F1" w:rsidRPr="004F51D2">
        <w:rPr>
          <w:rFonts w:ascii="Times New Roman" w:hAnsi="Times New Roman" w:cs="Times New Roman"/>
          <w:spacing w:val="-2"/>
          <w:sz w:val="24"/>
          <w:szCs w:val="24"/>
        </w:rPr>
        <w:t xml:space="preserve">problematic online gaming and </w:t>
      </w:r>
      <w:r w:rsidRPr="004F51D2">
        <w:rPr>
          <w:rFonts w:ascii="Times New Roman" w:hAnsi="Times New Roman" w:cs="Times New Roman"/>
          <w:spacing w:val="-2"/>
          <w:sz w:val="24"/>
          <w:szCs w:val="24"/>
        </w:rPr>
        <w:t>IGD (Marino et al., 2020). Metacognition</w:t>
      </w:r>
      <w:r w:rsidR="00596E5F" w:rsidRPr="004F51D2">
        <w:rPr>
          <w:rFonts w:ascii="Times New Roman" w:hAnsi="Times New Roman" w:cs="Times New Roman"/>
          <w:spacing w:val="-2"/>
          <w:sz w:val="24"/>
          <w:szCs w:val="24"/>
        </w:rPr>
        <w:t>s</w:t>
      </w:r>
      <w:r w:rsidRPr="004F51D2">
        <w:rPr>
          <w:rFonts w:ascii="Times New Roman" w:hAnsi="Times New Roman" w:cs="Times New Roman"/>
          <w:spacing w:val="-2"/>
          <w:sz w:val="24"/>
          <w:szCs w:val="24"/>
        </w:rPr>
        <w:t xml:space="preserve"> </w:t>
      </w:r>
      <w:r w:rsidR="00BA6DDB" w:rsidRPr="004F51D2">
        <w:rPr>
          <w:rFonts w:ascii="Times New Roman" w:hAnsi="Times New Roman" w:cs="Times New Roman"/>
          <w:spacing w:val="-2"/>
          <w:sz w:val="24"/>
          <w:szCs w:val="24"/>
        </w:rPr>
        <w:t xml:space="preserve">are beliefs about cognitive-affective </w:t>
      </w:r>
      <w:r w:rsidR="00BA6DDB" w:rsidRPr="004F51D2">
        <w:rPr>
          <w:rFonts w:ascii="Times New Roman" w:hAnsi="Times New Roman" w:cs="Times New Roman"/>
          <w:spacing w:val="-2"/>
          <w:sz w:val="24"/>
          <w:szCs w:val="24"/>
        </w:rPr>
        <w:lastRenderedPageBreak/>
        <w:t>experiences and means of controlling them</w:t>
      </w:r>
      <w:r w:rsidRPr="004F51D2">
        <w:rPr>
          <w:rFonts w:ascii="Times New Roman" w:hAnsi="Times New Roman" w:cs="Times New Roman"/>
          <w:spacing w:val="-2"/>
          <w:sz w:val="24"/>
          <w:szCs w:val="24"/>
        </w:rPr>
        <w:t xml:space="preserve"> (Wells, </w:t>
      </w:r>
      <w:r w:rsidR="001905C1" w:rsidRPr="004F51D2">
        <w:rPr>
          <w:rFonts w:ascii="Times New Roman" w:hAnsi="Times New Roman" w:cs="Times New Roman"/>
          <w:spacing w:val="-2"/>
          <w:sz w:val="24"/>
          <w:szCs w:val="24"/>
        </w:rPr>
        <w:t>2002</w:t>
      </w:r>
      <w:r w:rsidRPr="004F51D2">
        <w:rPr>
          <w:rFonts w:ascii="Times New Roman" w:hAnsi="Times New Roman" w:cs="Times New Roman"/>
          <w:spacing w:val="-2"/>
          <w:sz w:val="24"/>
          <w:szCs w:val="24"/>
        </w:rPr>
        <w:t xml:space="preserve">). </w:t>
      </w:r>
      <w:r w:rsidR="00BA6DDB" w:rsidRPr="004F51D2">
        <w:rPr>
          <w:rFonts w:ascii="Times New Roman" w:hAnsi="Times New Roman" w:cs="Times New Roman"/>
          <w:spacing w:val="-2"/>
          <w:sz w:val="24"/>
          <w:szCs w:val="24"/>
        </w:rPr>
        <w:t xml:space="preserve">Two types of metacognitions have been identified in the literature: positive and negative. Positive metacognitions relate to the benefits of engaging in coping strategies for controlling cognitive-affective experience (e.g., “Using alcohol will help me to reduce my self-consciousness”) and are linked to the activation of such coping strategies. Negative metacognitions </w:t>
      </w:r>
      <w:r w:rsidR="008F33EB" w:rsidRPr="004F51D2">
        <w:rPr>
          <w:rFonts w:ascii="Times New Roman" w:hAnsi="Times New Roman" w:cs="Times New Roman"/>
          <w:spacing w:val="-2"/>
          <w:sz w:val="24"/>
          <w:szCs w:val="24"/>
        </w:rPr>
        <w:t xml:space="preserve">are judgements relating to the </w:t>
      </w:r>
      <w:r w:rsidR="00174514" w:rsidRPr="004F51D2">
        <w:rPr>
          <w:rFonts w:ascii="Times New Roman" w:hAnsi="Times New Roman" w:cs="Times New Roman"/>
          <w:spacing w:val="-2"/>
          <w:sz w:val="24"/>
          <w:szCs w:val="24"/>
        </w:rPr>
        <w:t xml:space="preserve">perceived </w:t>
      </w:r>
      <w:r w:rsidR="008F33EB" w:rsidRPr="004F51D2">
        <w:rPr>
          <w:rFonts w:ascii="Times New Roman" w:hAnsi="Times New Roman" w:cs="Times New Roman"/>
          <w:spacing w:val="-2"/>
          <w:sz w:val="24"/>
          <w:szCs w:val="24"/>
        </w:rPr>
        <w:t>control o</w:t>
      </w:r>
      <w:r w:rsidR="00174514" w:rsidRPr="004F51D2">
        <w:rPr>
          <w:rFonts w:ascii="Times New Roman" w:hAnsi="Times New Roman" w:cs="Times New Roman"/>
          <w:spacing w:val="-2"/>
          <w:sz w:val="24"/>
          <w:szCs w:val="24"/>
        </w:rPr>
        <w:t xml:space="preserve">ver adopted </w:t>
      </w:r>
      <w:r w:rsidR="008F33EB" w:rsidRPr="004F51D2">
        <w:rPr>
          <w:rFonts w:ascii="Times New Roman" w:hAnsi="Times New Roman" w:cs="Times New Roman"/>
          <w:spacing w:val="-2"/>
          <w:sz w:val="24"/>
          <w:szCs w:val="24"/>
        </w:rPr>
        <w:t>coping strategies and resultant cognitive-affective states (e.g., “I cannot stop thinking about gambling”</w:t>
      </w:r>
      <w:r w:rsidR="00842EE6" w:rsidRPr="004F51D2">
        <w:rPr>
          <w:rFonts w:ascii="Times New Roman" w:hAnsi="Times New Roman" w:cs="Times New Roman"/>
          <w:spacing w:val="-2"/>
          <w:sz w:val="24"/>
          <w:szCs w:val="24"/>
        </w:rPr>
        <w:t xml:space="preserve">; “My thoughts about </w:t>
      </w:r>
      <w:r w:rsidR="00F33DB0" w:rsidRPr="004F51D2">
        <w:rPr>
          <w:rFonts w:ascii="Times New Roman" w:hAnsi="Times New Roman" w:cs="Times New Roman"/>
          <w:spacing w:val="-2"/>
          <w:sz w:val="24"/>
          <w:szCs w:val="24"/>
        </w:rPr>
        <w:t>alcohol use are uncontrollable”</w:t>
      </w:r>
      <w:r w:rsidR="008F33EB" w:rsidRPr="004F51D2">
        <w:rPr>
          <w:rFonts w:ascii="Times New Roman" w:hAnsi="Times New Roman" w:cs="Times New Roman"/>
          <w:spacing w:val="-2"/>
          <w:sz w:val="24"/>
          <w:szCs w:val="24"/>
        </w:rPr>
        <w:t>).</w:t>
      </w:r>
      <w:r w:rsidRPr="004F51D2">
        <w:rPr>
          <w:rFonts w:ascii="Times New Roman" w:hAnsi="Times New Roman" w:cs="Times New Roman"/>
          <w:spacing w:val="-2"/>
          <w:sz w:val="24"/>
          <w:szCs w:val="24"/>
        </w:rPr>
        <w:t xml:space="preserve"> </w:t>
      </w:r>
      <w:r w:rsidR="008F33EB" w:rsidRPr="004F51D2">
        <w:rPr>
          <w:rFonts w:ascii="Times New Roman" w:hAnsi="Times New Roman" w:cs="Times New Roman"/>
          <w:spacing w:val="-2"/>
          <w:sz w:val="24"/>
          <w:szCs w:val="24"/>
        </w:rPr>
        <w:t xml:space="preserve">The ubiquitous </w:t>
      </w:r>
      <w:r w:rsidRPr="004F51D2">
        <w:rPr>
          <w:rFonts w:ascii="Times New Roman" w:hAnsi="Times New Roman" w:cs="Times New Roman"/>
          <w:spacing w:val="-2"/>
          <w:sz w:val="24"/>
          <w:szCs w:val="24"/>
        </w:rPr>
        <w:t xml:space="preserve">role of </w:t>
      </w:r>
      <w:r w:rsidR="008F33EB" w:rsidRPr="004F51D2">
        <w:rPr>
          <w:rFonts w:ascii="Times New Roman" w:hAnsi="Times New Roman" w:cs="Times New Roman"/>
          <w:spacing w:val="-2"/>
          <w:sz w:val="24"/>
          <w:szCs w:val="24"/>
        </w:rPr>
        <w:t xml:space="preserve">both </w:t>
      </w:r>
      <w:r w:rsidRPr="004F51D2">
        <w:rPr>
          <w:rFonts w:ascii="Times New Roman" w:hAnsi="Times New Roman" w:cs="Times New Roman"/>
          <w:spacing w:val="-2"/>
          <w:sz w:val="24"/>
          <w:szCs w:val="24"/>
        </w:rPr>
        <w:t xml:space="preserve">positive and negative metacognitions </w:t>
      </w:r>
      <w:r w:rsidR="008F33EB" w:rsidRPr="004F51D2">
        <w:rPr>
          <w:rFonts w:ascii="Times New Roman" w:hAnsi="Times New Roman" w:cs="Times New Roman"/>
          <w:spacing w:val="-2"/>
          <w:sz w:val="24"/>
          <w:szCs w:val="24"/>
        </w:rPr>
        <w:t xml:space="preserve">in addictive </w:t>
      </w:r>
      <w:r w:rsidR="00D36266" w:rsidRPr="004F51D2">
        <w:rPr>
          <w:rFonts w:ascii="Times New Roman" w:hAnsi="Times New Roman" w:cs="Times New Roman"/>
          <w:spacing w:val="-2"/>
          <w:sz w:val="24"/>
          <w:szCs w:val="24"/>
        </w:rPr>
        <w:t>behavior</w:t>
      </w:r>
      <w:r w:rsidR="008F33EB" w:rsidRPr="004F51D2">
        <w:rPr>
          <w:rFonts w:ascii="Times New Roman" w:hAnsi="Times New Roman" w:cs="Times New Roman"/>
          <w:spacing w:val="-2"/>
          <w:sz w:val="24"/>
          <w:szCs w:val="24"/>
        </w:rPr>
        <w:t>s has been widely evidence</w:t>
      </w:r>
      <w:r w:rsidR="00F33DB0" w:rsidRPr="004F51D2">
        <w:rPr>
          <w:rFonts w:ascii="Times New Roman" w:hAnsi="Times New Roman" w:cs="Times New Roman"/>
          <w:spacing w:val="-2"/>
          <w:sz w:val="24"/>
          <w:szCs w:val="24"/>
        </w:rPr>
        <w:t>d</w:t>
      </w:r>
      <w:r w:rsidR="008F33EB" w:rsidRPr="004F51D2">
        <w:rPr>
          <w:rFonts w:ascii="Times New Roman" w:hAnsi="Times New Roman" w:cs="Times New Roman"/>
          <w:spacing w:val="-2"/>
          <w:sz w:val="24"/>
          <w:szCs w:val="24"/>
        </w:rPr>
        <w:t xml:space="preserve"> across numerous studies</w:t>
      </w:r>
      <w:r w:rsidRPr="004F51D2">
        <w:rPr>
          <w:rFonts w:ascii="Times New Roman" w:hAnsi="Times New Roman" w:cs="Times New Roman"/>
          <w:spacing w:val="-2"/>
          <w:sz w:val="24"/>
          <w:szCs w:val="24"/>
        </w:rPr>
        <w:t xml:space="preserve"> (</w:t>
      </w:r>
      <w:r w:rsidR="008F33EB" w:rsidRPr="004F51D2">
        <w:rPr>
          <w:rFonts w:ascii="Times New Roman" w:hAnsi="Times New Roman" w:cs="Times New Roman"/>
          <w:spacing w:val="-2"/>
          <w:sz w:val="24"/>
          <w:szCs w:val="24"/>
        </w:rPr>
        <w:t xml:space="preserve">e.g., </w:t>
      </w:r>
      <w:r w:rsidRPr="004F51D2">
        <w:rPr>
          <w:rFonts w:ascii="Times New Roman" w:hAnsi="Times New Roman" w:cs="Times New Roman"/>
          <w:spacing w:val="-2"/>
          <w:sz w:val="24"/>
          <w:szCs w:val="24"/>
        </w:rPr>
        <w:t xml:space="preserve">Spada et al., 2015; Hamonniere &amp; Varescon, 2018). </w:t>
      </w:r>
    </w:p>
    <w:p w14:paraId="71F85620" w14:textId="4302FB25" w:rsidR="00C24DE0" w:rsidRPr="004F51D2" w:rsidRDefault="00F33DB0" w:rsidP="001D1C08">
      <w:pPr>
        <w:bidi w:val="0"/>
        <w:spacing w:after="0" w:line="480" w:lineRule="auto"/>
        <w:ind w:firstLine="720"/>
        <w:jc w:val="both"/>
        <w:rPr>
          <w:rFonts w:ascii="Times New Roman" w:hAnsi="Times New Roman" w:cs="Times New Roman"/>
          <w:spacing w:val="-2"/>
          <w:sz w:val="24"/>
          <w:szCs w:val="24"/>
        </w:rPr>
      </w:pPr>
      <w:r w:rsidRPr="004F51D2">
        <w:rPr>
          <w:rFonts w:ascii="Times New Roman" w:hAnsi="Times New Roman" w:cs="Times New Roman"/>
          <w:spacing w:val="-2"/>
          <w:sz w:val="24"/>
          <w:szCs w:val="24"/>
        </w:rPr>
        <w:t xml:space="preserve">Metacognitions have also been identified as predictors of </w:t>
      </w:r>
      <w:r w:rsidR="006715F1" w:rsidRPr="004F51D2">
        <w:rPr>
          <w:rFonts w:ascii="Times New Roman" w:hAnsi="Times New Roman" w:cs="Times New Roman"/>
          <w:spacing w:val="-2"/>
          <w:sz w:val="24"/>
          <w:szCs w:val="24"/>
        </w:rPr>
        <w:t>problematic online gaming and IGD</w:t>
      </w:r>
      <w:r w:rsidRPr="004F51D2">
        <w:rPr>
          <w:rFonts w:ascii="Times New Roman" w:hAnsi="Times New Roman" w:cs="Times New Roman"/>
          <w:spacing w:val="-2"/>
          <w:sz w:val="24"/>
          <w:szCs w:val="24"/>
        </w:rPr>
        <w:t>.</w:t>
      </w:r>
      <w:r w:rsidRPr="004F51D2">
        <w:rPr>
          <w:rFonts w:ascii="Times New Roman" w:hAnsi="Times New Roman" w:cs="Times New Roman" w:hint="cs"/>
          <w:spacing w:val="-2"/>
          <w:sz w:val="24"/>
          <w:szCs w:val="24"/>
          <w:rtl/>
        </w:rPr>
        <w:t xml:space="preserve"> </w:t>
      </w:r>
      <w:r w:rsidR="00C24DE0" w:rsidRPr="004F51D2">
        <w:rPr>
          <w:rFonts w:ascii="Times New Roman" w:hAnsi="Times New Roman" w:cs="Times New Roman"/>
          <w:spacing w:val="-2"/>
          <w:sz w:val="24"/>
          <w:szCs w:val="24"/>
        </w:rPr>
        <w:t xml:space="preserve">Spada and Caselli (2017) designed a self-report </w:t>
      </w:r>
      <w:r w:rsidRPr="004F51D2">
        <w:rPr>
          <w:rFonts w:ascii="Times New Roman" w:hAnsi="Times New Roman" w:cs="Times New Roman"/>
          <w:spacing w:val="-2"/>
          <w:sz w:val="24"/>
          <w:szCs w:val="24"/>
        </w:rPr>
        <w:t xml:space="preserve">measure </w:t>
      </w:r>
      <w:r w:rsidR="00C24DE0" w:rsidRPr="004F51D2">
        <w:rPr>
          <w:rFonts w:ascii="Times New Roman" w:hAnsi="Times New Roman" w:cs="Times New Roman"/>
          <w:spacing w:val="-2"/>
          <w:sz w:val="24"/>
          <w:szCs w:val="24"/>
        </w:rPr>
        <w:t>for assessing metacognitions about online gaming</w:t>
      </w:r>
      <w:r w:rsidRPr="004F51D2">
        <w:rPr>
          <w:rFonts w:ascii="Times New Roman" w:hAnsi="Times New Roman" w:cs="Times New Roman"/>
          <w:spacing w:val="-2"/>
          <w:sz w:val="24"/>
          <w:szCs w:val="24"/>
        </w:rPr>
        <w:t xml:space="preserve">, the </w:t>
      </w:r>
      <w:r w:rsidRPr="004F51D2">
        <w:rPr>
          <w:rFonts w:ascii="Times New Roman" w:hAnsi="Times New Roman" w:cs="Times New Roman"/>
          <w:sz w:val="24"/>
          <w:szCs w:val="24"/>
        </w:rPr>
        <w:t>Metacognitions about Online Gaming Scale (MOGS)</w:t>
      </w:r>
      <w:r w:rsidRPr="004F51D2">
        <w:rPr>
          <w:rFonts w:ascii="Times New Roman" w:hAnsi="Times New Roman" w:cs="Times New Roman"/>
          <w:spacing w:val="-2"/>
          <w:sz w:val="24"/>
          <w:szCs w:val="24"/>
        </w:rPr>
        <w:t xml:space="preserve">. </w:t>
      </w:r>
      <w:r w:rsidR="00174514" w:rsidRPr="004F51D2">
        <w:rPr>
          <w:rFonts w:ascii="Times New Roman" w:hAnsi="Times New Roman" w:cs="Times New Roman"/>
          <w:spacing w:val="-2"/>
          <w:sz w:val="24"/>
          <w:szCs w:val="24"/>
        </w:rPr>
        <w:t xml:space="preserve">In this study an initial analysis </w:t>
      </w:r>
      <w:r w:rsidR="00C24DE0" w:rsidRPr="004F51D2">
        <w:rPr>
          <w:rFonts w:ascii="Times New Roman" w:hAnsi="Times New Roman" w:cs="Times New Roman"/>
          <w:spacing w:val="-2"/>
          <w:sz w:val="24"/>
          <w:szCs w:val="24"/>
        </w:rPr>
        <w:t xml:space="preserve">supported </w:t>
      </w:r>
      <w:r w:rsidR="00174514" w:rsidRPr="004F51D2">
        <w:rPr>
          <w:rFonts w:ascii="Times New Roman" w:hAnsi="Times New Roman" w:cs="Times New Roman"/>
          <w:spacing w:val="-2"/>
          <w:sz w:val="24"/>
          <w:szCs w:val="24"/>
        </w:rPr>
        <w:t xml:space="preserve">a </w:t>
      </w:r>
      <w:r w:rsidR="00C24DE0" w:rsidRPr="004F51D2">
        <w:rPr>
          <w:rFonts w:ascii="Times New Roman" w:hAnsi="Times New Roman" w:cs="Times New Roman"/>
          <w:spacing w:val="-2"/>
          <w:sz w:val="24"/>
          <w:szCs w:val="24"/>
        </w:rPr>
        <w:t>two</w:t>
      </w:r>
      <w:r w:rsidR="00174514" w:rsidRPr="004F51D2">
        <w:rPr>
          <w:rFonts w:ascii="Times New Roman" w:hAnsi="Times New Roman" w:cs="Times New Roman"/>
          <w:spacing w:val="-2"/>
          <w:sz w:val="24"/>
          <w:szCs w:val="24"/>
        </w:rPr>
        <w:t>-</w:t>
      </w:r>
      <w:r w:rsidR="00C24DE0" w:rsidRPr="004F51D2">
        <w:rPr>
          <w:rFonts w:ascii="Times New Roman" w:hAnsi="Times New Roman" w:cs="Times New Roman"/>
          <w:spacing w:val="-2"/>
          <w:sz w:val="24"/>
          <w:szCs w:val="24"/>
        </w:rPr>
        <w:t>factor</w:t>
      </w:r>
      <w:r w:rsidR="00174514" w:rsidRPr="004F51D2">
        <w:rPr>
          <w:rFonts w:ascii="Times New Roman" w:hAnsi="Times New Roman" w:cs="Times New Roman"/>
          <w:spacing w:val="-2"/>
          <w:sz w:val="24"/>
          <w:szCs w:val="24"/>
        </w:rPr>
        <w:t xml:space="preserve"> solution</w:t>
      </w:r>
      <w:r w:rsidR="00C24DE0" w:rsidRPr="004F51D2">
        <w:rPr>
          <w:rFonts w:ascii="Times New Roman" w:hAnsi="Times New Roman" w:cs="Times New Roman"/>
          <w:spacing w:val="-2"/>
          <w:sz w:val="24"/>
          <w:szCs w:val="24"/>
        </w:rPr>
        <w:t>: (i) positive metacognitions about online gaming (P-MOG)</w:t>
      </w:r>
      <w:r w:rsidRPr="004F51D2">
        <w:rPr>
          <w:rFonts w:ascii="Times New Roman" w:hAnsi="Times New Roman" w:cs="Times New Roman"/>
          <w:spacing w:val="-2"/>
          <w:sz w:val="24"/>
          <w:szCs w:val="24"/>
        </w:rPr>
        <w:t>;</w:t>
      </w:r>
      <w:r w:rsidR="00C24DE0" w:rsidRPr="004F51D2">
        <w:rPr>
          <w:rFonts w:ascii="Times New Roman" w:hAnsi="Times New Roman" w:cs="Times New Roman"/>
          <w:spacing w:val="-2"/>
          <w:sz w:val="24"/>
          <w:szCs w:val="24"/>
        </w:rPr>
        <w:t xml:space="preserve"> and (ii) negative metacognitions about the uncontrollability of online gaming (N-MOG). P-MOG refers to </w:t>
      </w:r>
      <w:r w:rsidRPr="004F51D2">
        <w:rPr>
          <w:rFonts w:ascii="Times New Roman" w:hAnsi="Times New Roman" w:cs="Times New Roman"/>
          <w:spacing w:val="-2"/>
          <w:sz w:val="24"/>
          <w:szCs w:val="24"/>
        </w:rPr>
        <w:t>metacognitions about the</w:t>
      </w:r>
      <w:r w:rsidR="00C24DE0" w:rsidRPr="004F51D2">
        <w:rPr>
          <w:rFonts w:ascii="Times New Roman" w:hAnsi="Times New Roman" w:cs="Times New Roman"/>
          <w:spacing w:val="-2"/>
          <w:sz w:val="24"/>
          <w:szCs w:val="24"/>
        </w:rPr>
        <w:t xml:space="preserve"> benefits of online gaming</w:t>
      </w:r>
      <w:r w:rsidRPr="004F51D2">
        <w:rPr>
          <w:rFonts w:ascii="Times New Roman" w:hAnsi="Times New Roman" w:cs="Times New Roman"/>
          <w:spacing w:val="-2"/>
          <w:sz w:val="24"/>
          <w:szCs w:val="24"/>
        </w:rPr>
        <w:t xml:space="preserve"> as a coping strategy to regulate cognitive-affective states</w:t>
      </w:r>
      <w:r w:rsidR="00C24DE0" w:rsidRPr="004F51D2">
        <w:rPr>
          <w:rFonts w:ascii="Times New Roman" w:hAnsi="Times New Roman" w:cs="Times New Roman"/>
          <w:spacing w:val="-2"/>
          <w:sz w:val="24"/>
          <w:szCs w:val="24"/>
        </w:rPr>
        <w:t xml:space="preserve">, </w:t>
      </w:r>
      <w:r w:rsidRPr="004F51D2">
        <w:rPr>
          <w:rFonts w:ascii="Times New Roman" w:hAnsi="Times New Roman" w:cs="Times New Roman"/>
          <w:spacing w:val="-2"/>
          <w:sz w:val="24"/>
          <w:szCs w:val="24"/>
        </w:rPr>
        <w:t>for example</w:t>
      </w:r>
      <w:r w:rsidR="00C24DE0" w:rsidRPr="004F51D2">
        <w:rPr>
          <w:rFonts w:ascii="Times New Roman" w:hAnsi="Times New Roman" w:cs="Times New Roman"/>
          <w:spacing w:val="-2"/>
          <w:sz w:val="24"/>
          <w:szCs w:val="24"/>
        </w:rPr>
        <w:t xml:space="preserve"> “Online gaming makes my worries more bearable”. N-MOG refers to </w:t>
      </w:r>
      <w:r w:rsidRPr="004F51D2">
        <w:rPr>
          <w:rFonts w:ascii="Times New Roman" w:hAnsi="Times New Roman" w:cs="Times New Roman"/>
          <w:spacing w:val="-2"/>
          <w:sz w:val="24"/>
          <w:szCs w:val="24"/>
        </w:rPr>
        <w:t>metacognitions about</w:t>
      </w:r>
      <w:r w:rsidR="00C24DE0" w:rsidRPr="004F51D2">
        <w:rPr>
          <w:rFonts w:ascii="Times New Roman" w:hAnsi="Times New Roman" w:cs="Times New Roman"/>
          <w:spacing w:val="-2"/>
          <w:sz w:val="24"/>
          <w:szCs w:val="24"/>
        </w:rPr>
        <w:t xml:space="preserve"> the uncontrollability of online gaming,</w:t>
      </w:r>
      <w:r w:rsidR="00C24DE0" w:rsidRPr="004F51D2">
        <w:rPr>
          <w:rFonts w:ascii="Times New Roman" w:hAnsi="Times New Roman" w:cs="Times New Roman"/>
          <w:spacing w:val="-2"/>
          <w:sz w:val="24"/>
          <w:szCs w:val="24"/>
          <w:rtl/>
        </w:rPr>
        <w:t xml:space="preserve"> </w:t>
      </w:r>
      <w:r w:rsidRPr="004F51D2">
        <w:rPr>
          <w:rFonts w:ascii="Times New Roman" w:hAnsi="Times New Roman" w:cs="Times New Roman"/>
          <w:spacing w:val="-2"/>
          <w:sz w:val="24"/>
          <w:szCs w:val="24"/>
        </w:rPr>
        <w:t>for example</w:t>
      </w:r>
      <w:r w:rsidR="00C24DE0" w:rsidRPr="004F51D2">
        <w:rPr>
          <w:rFonts w:ascii="Times New Roman" w:hAnsi="Times New Roman" w:cs="Times New Roman"/>
          <w:spacing w:val="-2"/>
          <w:sz w:val="24"/>
          <w:szCs w:val="24"/>
        </w:rPr>
        <w:t xml:space="preserve"> “I continue to play despite I think it would be better to stop”</w:t>
      </w:r>
      <w:r w:rsidR="00501DDF" w:rsidRPr="004F51D2">
        <w:rPr>
          <w:rFonts w:ascii="Times New Roman" w:hAnsi="Times New Roman" w:cs="Times New Roman"/>
          <w:spacing w:val="-2"/>
          <w:sz w:val="24"/>
          <w:szCs w:val="24"/>
        </w:rPr>
        <w:t xml:space="preserve">. </w:t>
      </w:r>
      <w:r w:rsidR="00174514" w:rsidRPr="004F51D2">
        <w:rPr>
          <w:rFonts w:ascii="Times New Roman" w:hAnsi="Times New Roman" w:cs="Times New Roman"/>
          <w:spacing w:val="-2"/>
          <w:sz w:val="24"/>
          <w:szCs w:val="24"/>
        </w:rPr>
        <w:t>A further analysis led to the identification of a</w:t>
      </w:r>
      <w:r w:rsidRPr="004F51D2">
        <w:rPr>
          <w:rFonts w:ascii="Times New Roman" w:hAnsi="Times New Roman" w:cs="Times New Roman"/>
          <w:spacing w:val="-2"/>
          <w:sz w:val="24"/>
          <w:szCs w:val="24"/>
        </w:rPr>
        <w:t xml:space="preserve"> </w:t>
      </w:r>
      <w:r w:rsidR="00174514" w:rsidRPr="004F51D2">
        <w:rPr>
          <w:rFonts w:ascii="Times New Roman" w:hAnsi="Times New Roman" w:cs="Times New Roman"/>
          <w:spacing w:val="-2"/>
          <w:sz w:val="24"/>
          <w:szCs w:val="24"/>
        </w:rPr>
        <w:t>three-factor structure</w:t>
      </w:r>
      <w:r w:rsidR="00C24DE0" w:rsidRPr="004F51D2">
        <w:rPr>
          <w:rFonts w:ascii="Times New Roman" w:hAnsi="Times New Roman" w:cs="Times New Roman"/>
          <w:spacing w:val="-2"/>
          <w:sz w:val="24"/>
          <w:szCs w:val="24"/>
        </w:rPr>
        <w:t>: (i) positive metacognitions about online gaming (P-MOG)</w:t>
      </w:r>
      <w:r w:rsidRPr="004F51D2">
        <w:rPr>
          <w:rFonts w:ascii="Times New Roman" w:hAnsi="Times New Roman" w:cs="Times New Roman"/>
          <w:spacing w:val="-2"/>
          <w:sz w:val="24"/>
          <w:szCs w:val="24"/>
        </w:rPr>
        <w:t>;</w:t>
      </w:r>
      <w:r w:rsidR="00C24DE0" w:rsidRPr="004F51D2">
        <w:rPr>
          <w:rFonts w:ascii="Times New Roman" w:hAnsi="Times New Roman" w:cs="Times New Roman"/>
          <w:spacing w:val="-2"/>
          <w:sz w:val="24"/>
          <w:szCs w:val="24"/>
        </w:rPr>
        <w:t xml:space="preserve"> (ii) negative metacognitions about </w:t>
      </w:r>
      <w:r w:rsidRPr="004F51D2">
        <w:rPr>
          <w:rFonts w:ascii="Times New Roman" w:hAnsi="Times New Roman" w:cs="Times New Roman"/>
          <w:spacing w:val="-2"/>
          <w:sz w:val="24"/>
          <w:szCs w:val="24"/>
        </w:rPr>
        <w:t xml:space="preserve">the </w:t>
      </w:r>
      <w:r w:rsidR="00C24DE0" w:rsidRPr="004F51D2">
        <w:rPr>
          <w:rFonts w:ascii="Times New Roman" w:hAnsi="Times New Roman" w:cs="Times New Roman"/>
          <w:spacing w:val="-2"/>
          <w:sz w:val="24"/>
          <w:szCs w:val="24"/>
        </w:rPr>
        <w:t>uncontrollability of online gaming</w:t>
      </w:r>
      <w:r w:rsidR="00C24DE0" w:rsidRPr="004F51D2">
        <w:rPr>
          <w:rFonts w:ascii="Times New Roman" w:hAnsi="Times New Roman" w:cs="Times New Roman"/>
          <w:spacing w:val="-2"/>
          <w:sz w:val="24"/>
          <w:szCs w:val="24"/>
          <w:rtl/>
        </w:rPr>
        <w:t xml:space="preserve"> </w:t>
      </w:r>
      <w:r w:rsidR="00C24DE0" w:rsidRPr="004F51D2">
        <w:rPr>
          <w:rFonts w:ascii="Times New Roman" w:hAnsi="Times New Roman" w:cs="Times New Roman"/>
          <w:spacing w:val="-2"/>
          <w:sz w:val="24"/>
          <w:szCs w:val="24"/>
        </w:rPr>
        <w:t>(N-MOG1)</w:t>
      </w:r>
      <w:r w:rsidRPr="004F51D2">
        <w:rPr>
          <w:rFonts w:ascii="Times New Roman" w:hAnsi="Times New Roman" w:cs="Times New Roman"/>
          <w:spacing w:val="-2"/>
          <w:sz w:val="24"/>
          <w:szCs w:val="24"/>
        </w:rPr>
        <w:t>;</w:t>
      </w:r>
      <w:r w:rsidR="00C24DE0" w:rsidRPr="004F51D2">
        <w:rPr>
          <w:rFonts w:ascii="Times New Roman" w:hAnsi="Times New Roman" w:cs="Times New Roman"/>
          <w:spacing w:val="-2"/>
          <w:sz w:val="24"/>
          <w:szCs w:val="24"/>
        </w:rPr>
        <w:t xml:space="preserve"> and (iii) negative metacognitions about the dangers of online gaming (N-MOG2). </w:t>
      </w:r>
      <w:r w:rsidR="00CE52EA" w:rsidRPr="004F51D2">
        <w:rPr>
          <w:rFonts w:ascii="Times New Roman" w:hAnsi="Times New Roman" w:cs="Times New Roman"/>
          <w:spacing w:val="-2"/>
          <w:sz w:val="24"/>
          <w:szCs w:val="24"/>
        </w:rPr>
        <w:t xml:space="preserve">In this three-factor structure </w:t>
      </w:r>
      <w:r w:rsidR="00C24DE0" w:rsidRPr="004F51D2">
        <w:rPr>
          <w:rFonts w:ascii="Times New Roman" w:hAnsi="Times New Roman" w:cs="Times New Roman"/>
          <w:spacing w:val="-2"/>
          <w:sz w:val="24"/>
          <w:szCs w:val="24"/>
        </w:rPr>
        <w:t xml:space="preserve">negative metacognitions were divided into two </w:t>
      </w:r>
      <w:r w:rsidR="00CE52EA" w:rsidRPr="004F51D2">
        <w:rPr>
          <w:rFonts w:ascii="Times New Roman" w:hAnsi="Times New Roman" w:cs="Times New Roman"/>
          <w:spacing w:val="-2"/>
          <w:sz w:val="24"/>
          <w:szCs w:val="24"/>
        </w:rPr>
        <w:t>factors:</w:t>
      </w:r>
      <w:r w:rsidR="00C24DE0" w:rsidRPr="004F51D2">
        <w:rPr>
          <w:rFonts w:ascii="Times New Roman" w:hAnsi="Times New Roman" w:cs="Times New Roman"/>
          <w:spacing w:val="-2"/>
          <w:sz w:val="24"/>
          <w:szCs w:val="24"/>
        </w:rPr>
        <w:t xml:space="preserve"> N-MOG1 </w:t>
      </w:r>
      <w:r w:rsidR="00CE52EA" w:rsidRPr="004F51D2">
        <w:rPr>
          <w:rFonts w:ascii="Times New Roman" w:hAnsi="Times New Roman" w:cs="Times New Roman"/>
          <w:spacing w:val="-2"/>
          <w:sz w:val="24"/>
          <w:szCs w:val="24"/>
        </w:rPr>
        <w:t>relating</w:t>
      </w:r>
      <w:r w:rsidR="00C24DE0" w:rsidRPr="004F51D2">
        <w:rPr>
          <w:rFonts w:ascii="Times New Roman" w:hAnsi="Times New Roman" w:cs="Times New Roman"/>
          <w:spacing w:val="-2"/>
          <w:sz w:val="24"/>
          <w:szCs w:val="24"/>
        </w:rPr>
        <w:t xml:space="preserve"> </w:t>
      </w:r>
      <w:r w:rsidR="00CE52EA" w:rsidRPr="004F51D2">
        <w:rPr>
          <w:rFonts w:ascii="Times New Roman" w:hAnsi="Times New Roman" w:cs="Times New Roman"/>
          <w:spacing w:val="-2"/>
          <w:sz w:val="24"/>
          <w:szCs w:val="24"/>
        </w:rPr>
        <w:t xml:space="preserve">to </w:t>
      </w:r>
      <w:r w:rsidR="00C24DE0" w:rsidRPr="004F51D2">
        <w:rPr>
          <w:rFonts w:ascii="Times New Roman" w:hAnsi="Times New Roman" w:cs="Times New Roman"/>
          <w:spacing w:val="-2"/>
          <w:sz w:val="24"/>
          <w:szCs w:val="24"/>
        </w:rPr>
        <w:t>dangers</w:t>
      </w:r>
      <w:r w:rsidRPr="004F51D2">
        <w:rPr>
          <w:rFonts w:ascii="Times New Roman" w:hAnsi="Times New Roman" w:cs="Times New Roman"/>
          <w:spacing w:val="-2"/>
          <w:sz w:val="24"/>
          <w:szCs w:val="24"/>
        </w:rPr>
        <w:t xml:space="preserve"> about online gaming</w:t>
      </w:r>
      <w:r w:rsidR="00CE52EA" w:rsidRPr="004F51D2">
        <w:rPr>
          <w:rFonts w:ascii="Times New Roman" w:hAnsi="Times New Roman" w:cs="Times New Roman"/>
          <w:spacing w:val="-2"/>
          <w:sz w:val="24"/>
          <w:szCs w:val="24"/>
        </w:rPr>
        <w:t xml:space="preserve"> (e.g., </w:t>
      </w:r>
      <w:r w:rsidR="00C24DE0" w:rsidRPr="004F51D2">
        <w:rPr>
          <w:rFonts w:ascii="Times New Roman" w:hAnsi="Times New Roman" w:cs="Times New Roman"/>
          <w:spacing w:val="-2"/>
          <w:sz w:val="24"/>
          <w:szCs w:val="24"/>
        </w:rPr>
        <w:t>“Thoughts about online gaming interfere with my functioning”</w:t>
      </w:r>
      <w:r w:rsidR="00CE52EA" w:rsidRPr="004F51D2">
        <w:rPr>
          <w:rFonts w:ascii="Times New Roman" w:hAnsi="Times New Roman" w:cs="Times New Roman"/>
          <w:spacing w:val="-2"/>
          <w:sz w:val="24"/>
          <w:szCs w:val="24"/>
        </w:rPr>
        <w:t>)</w:t>
      </w:r>
      <w:r w:rsidR="00C24DE0" w:rsidRPr="004F51D2">
        <w:rPr>
          <w:rFonts w:ascii="Times New Roman" w:hAnsi="Times New Roman" w:cs="Times New Roman"/>
          <w:spacing w:val="-2"/>
          <w:sz w:val="24"/>
          <w:szCs w:val="24"/>
        </w:rPr>
        <w:t xml:space="preserve"> and N-</w:t>
      </w:r>
      <w:r w:rsidR="00C24DE0" w:rsidRPr="004F51D2">
        <w:rPr>
          <w:rFonts w:ascii="Times New Roman" w:hAnsi="Times New Roman" w:cs="Times New Roman"/>
          <w:spacing w:val="-2"/>
          <w:sz w:val="24"/>
          <w:szCs w:val="24"/>
        </w:rPr>
        <w:lastRenderedPageBreak/>
        <w:t xml:space="preserve">MOG2 </w:t>
      </w:r>
      <w:r w:rsidR="00CE52EA" w:rsidRPr="004F51D2">
        <w:rPr>
          <w:rFonts w:ascii="Times New Roman" w:hAnsi="Times New Roman" w:cs="Times New Roman"/>
          <w:spacing w:val="-2"/>
          <w:sz w:val="24"/>
          <w:szCs w:val="24"/>
        </w:rPr>
        <w:t xml:space="preserve">relating to </w:t>
      </w:r>
      <w:r w:rsidR="00C24DE0" w:rsidRPr="004F51D2">
        <w:rPr>
          <w:rFonts w:ascii="Times New Roman" w:hAnsi="Times New Roman" w:cs="Times New Roman"/>
          <w:spacing w:val="-2"/>
          <w:sz w:val="24"/>
          <w:szCs w:val="24"/>
        </w:rPr>
        <w:t>the uncontrollability</w:t>
      </w:r>
      <w:r w:rsidRPr="004F51D2">
        <w:rPr>
          <w:rFonts w:ascii="Times New Roman" w:hAnsi="Times New Roman" w:cs="Times New Roman"/>
          <w:spacing w:val="-2"/>
          <w:sz w:val="24"/>
          <w:szCs w:val="24"/>
        </w:rPr>
        <w:t xml:space="preserve"> of online gaming</w:t>
      </w:r>
      <w:r w:rsidR="00CE52EA" w:rsidRPr="004F51D2">
        <w:rPr>
          <w:rFonts w:ascii="Times New Roman" w:hAnsi="Times New Roman" w:cs="Times New Roman"/>
          <w:spacing w:val="-2"/>
          <w:sz w:val="24"/>
          <w:szCs w:val="24"/>
        </w:rPr>
        <w:t xml:space="preserve"> (e.g., </w:t>
      </w:r>
      <w:r w:rsidR="00C24DE0" w:rsidRPr="004F51D2">
        <w:rPr>
          <w:rFonts w:ascii="Times New Roman" w:hAnsi="Times New Roman" w:cs="Times New Roman"/>
          <w:spacing w:val="-2"/>
          <w:sz w:val="24"/>
          <w:szCs w:val="24"/>
        </w:rPr>
        <w:t>“I have no control over how much time I play”</w:t>
      </w:r>
      <w:r w:rsidR="00CE52EA" w:rsidRPr="004F51D2">
        <w:rPr>
          <w:rFonts w:ascii="Times New Roman" w:hAnsi="Times New Roman" w:cs="Times New Roman"/>
          <w:spacing w:val="-2"/>
          <w:sz w:val="24"/>
          <w:szCs w:val="24"/>
        </w:rPr>
        <w:t>)</w:t>
      </w:r>
      <w:r w:rsidR="00501DDF" w:rsidRPr="004F51D2">
        <w:rPr>
          <w:rFonts w:ascii="Times New Roman" w:hAnsi="Times New Roman" w:cs="Times New Roman"/>
          <w:spacing w:val="-2"/>
          <w:sz w:val="24"/>
          <w:szCs w:val="24"/>
        </w:rPr>
        <w:t>.</w:t>
      </w:r>
      <w:r w:rsidR="00C24DE0" w:rsidRPr="004F51D2">
        <w:rPr>
          <w:rFonts w:ascii="Times New Roman" w:hAnsi="Times New Roman" w:cs="Times New Roman"/>
          <w:spacing w:val="-2"/>
          <w:sz w:val="24"/>
          <w:szCs w:val="24"/>
        </w:rPr>
        <w:t xml:space="preserve"> These factors </w:t>
      </w:r>
      <w:r w:rsidRPr="004F51D2">
        <w:rPr>
          <w:rFonts w:ascii="Times New Roman" w:hAnsi="Times New Roman" w:cs="Times New Roman"/>
          <w:spacing w:val="-2"/>
          <w:sz w:val="24"/>
          <w:szCs w:val="24"/>
        </w:rPr>
        <w:t xml:space="preserve">were found to be </w:t>
      </w:r>
      <w:r w:rsidR="00C24DE0" w:rsidRPr="004F51D2">
        <w:rPr>
          <w:rFonts w:ascii="Times New Roman" w:hAnsi="Times New Roman" w:cs="Times New Roman"/>
          <w:spacing w:val="-2"/>
          <w:sz w:val="24"/>
          <w:szCs w:val="24"/>
        </w:rPr>
        <w:t>linked to w</w:t>
      </w:r>
      <w:r w:rsidR="009E7280" w:rsidRPr="004F51D2">
        <w:rPr>
          <w:rFonts w:ascii="Times New Roman" w:hAnsi="Times New Roman" w:cs="Times New Roman"/>
          <w:spacing w:val="-2"/>
          <w:sz w:val="24"/>
          <w:szCs w:val="24"/>
        </w:rPr>
        <w:t xml:space="preserve">eekly online gaming hours and </w:t>
      </w:r>
      <w:r w:rsidRPr="004F51D2">
        <w:rPr>
          <w:rFonts w:ascii="Times New Roman" w:hAnsi="Times New Roman" w:cs="Times New Roman"/>
          <w:spacing w:val="-2"/>
          <w:sz w:val="24"/>
          <w:szCs w:val="24"/>
        </w:rPr>
        <w:t>problematic Internet use</w:t>
      </w:r>
      <w:r w:rsidR="00C24DE0" w:rsidRPr="004F51D2">
        <w:rPr>
          <w:rFonts w:ascii="Times New Roman" w:hAnsi="Times New Roman" w:cs="Times New Roman"/>
          <w:spacing w:val="-2"/>
          <w:sz w:val="24"/>
          <w:szCs w:val="24"/>
        </w:rPr>
        <w:t xml:space="preserve"> (Spada &amp; Caselli, 2017). Similarly, subsequent studies showed the role of </w:t>
      </w:r>
      <w:r w:rsidR="002F6834" w:rsidRPr="004F51D2">
        <w:rPr>
          <w:rFonts w:ascii="Times New Roman" w:hAnsi="Times New Roman" w:cs="Times New Roman"/>
          <w:spacing w:val="-2"/>
          <w:sz w:val="24"/>
          <w:szCs w:val="24"/>
        </w:rPr>
        <w:t xml:space="preserve">generic </w:t>
      </w:r>
      <w:r w:rsidR="00C24DE0" w:rsidRPr="004F51D2">
        <w:rPr>
          <w:rFonts w:ascii="Times New Roman" w:hAnsi="Times New Roman" w:cs="Times New Roman"/>
          <w:spacing w:val="-2"/>
          <w:sz w:val="24"/>
          <w:szCs w:val="24"/>
        </w:rPr>
        <w:t>metacognition</w:t>
      </w:r>
      <w:r w:rsidRPr="004F51D2">
        <w:rPr>
          <w:rFonts w:ascii="Times New Roman" w:hAnsi="Times New Roman" w:cs="Times New Roman"/>
          <w:spacing w:val="-2"/>
          <w:sz w:val="24"/>
          <w:szCs w:val="24"/>
        </w:rPr>
        <w:t>s</w:t>
      </w:r>
      <w:r w:rsidR="00C24DE0" w:rsidRPr="004F51D2">
        <w:rPr>
          <w:rFonts w:ascii="Times New Roman" w:hAnsi="Times New Roman" w:cs="Times New Roman"/>
          <w:spacing w:val="-2"/>
          <w:sz w:val="24"/>
          <w:szCs w:val="24"/>
        </w:rPr>
        <w:t xml:space="preserve"> </w:t>
      </w:r>
      <w:r w:rsidR="002F6834" w:rsidRPr="004F51D2">
        <w:rPr>
          <w:rFonts w:ascii="Times New Roman" w:hAnsi="Times New Roman" w:cs="Times New Roman"/>
          <w:spacing w:val="-2"/>
          <w:sz w:val="24"/>
          <w:szCs w:val="24"/>
        </w:rPr>
        <w:t xml:space="preserve">(Aydın et al., 2020) and metacognitions </w:t>
      </w:r>
      <w:r w:rsidR="00C24DE0" w:rsidRPr="004F51D2">
        <w:rPr>
          <w:rFonts w:ascii="Times New Roman" w:hAnsi="Times New Roman" w:cs="Times New Roman"/>
          <w:spacing w:val="-2"/>
          <w:sz w:val="24"/>
          <w:szCs w:val="24"/>
        </w:rPr>
        <w:t>about online gaming in IGD (</w:t>
      </w:r>
      <w:r w:rsidRPr="004F51D2">
        <w:rPr>
          <w:rFonts w:ascii="Times New Roman" w:hAnsi="Times New Roman" w:cs="Times New Roman"/>
          <w:spacing w:val="-2"/>
          <w:sz w:val="24"/>
          <w:szCs w:val="24"/>
        </w:rPr>
        <w:t xml:space="preserve">e.g., </w:t>
      </w:r>
      <w:r w:rsidR="00C24DE0" w:rsidRPr="004F51D2">
        <w:rPr>
          <w:rFonts w:ascii="Times New Roman" w:hAnsi="Times New Roman" w:cs="Times New Roman"/>
          <w:spacing w:val="-2"/>
          <w:sz w:val="24"/>
          <w:szCs w:val="24"/>
        </w:rPr>
        <w:t>Marino et al., 2020; Caselli et al., 2020).</w:t>
      </w:r>
    </w:p>
    <w:p w14:paraId="5F0D0ABA" w14:textId="1AE4AB5B" w:rsidR="00C24DE0" w:rsidRPr="004F51D2" w:rsidRDefault="00C24DE0" w:rsidP="001D1C08">
      <w:pPr>
        <w:bidi w:val="0"/>
        <w:spacing w:after="0" w:line="480" w:lineRule="auto"/>
        <w:jc w:val="both"/>
        <w:rPr>
          <w:rFonts w:ascii="Times New Roman" w:hAnsi="Times New Roman" w:cs="Times New Roman"/>
          <w:sz w:val="24"/>
          <w:szCs w:val="24"/>
        </w:rPr>
      </w:pPr>
      <w:r w:rsidRPr="004F51D2">
        <w:rPr>
          <w:rFonts w:ascii="Times New Roman" w:hAnsi="Times New Roman" w:cs="Times New Roman"/>
          <w:i/>
          <w:iCs/>
          <w:sz w:val="24"/>
          <w:szCs w:val="24"/>
        </w:rPr>
        <w:t xml:space="preserve">1.2. Gaming </w:t>
      </w:r>
      <w:r w:rsidR="00D36266" w:rsidRPr="004F51D2">
        <w:rPr>
          <w:rFonts w:ascii="Times New Roman" w:hAnsi="Times New Roman" w:cs="Times New Roman"/>
          <w:i/>
          <w:iCs/>
          <w:sz w:val="24"/>
          <w:szCs w:val="24"/>
        </w:rPr>
        <w:t>motives</w:t>
      </w:r>
      <w:r w:rsidR="006715F1" w:rsidRPr="004F51D2">
        <w:rPr>
          <w:rFonts w:ascii="Times New Roman" w:hAnsi="Times New Roman" w:cs="Times New Roman"/>
          <w:i/>
          <w:iCs/>
          <w:sz w:val="24"/>
          <w:szCs w:val="24"/>
        </w:rPr>
        <w:t>, problematic online gaming,</w:t>
      </w:r>
      <w:r w:rsidRPr="004F51D2">
        <w:rPr>
          <w:rFonts w:ascii="Times New Roman" w:hAnsi="Times New Roman" w:cs="Times New Roman"/>
          <w:i/>
          <w:iCs/>
          <w:sz w:val="24"/>
          <w:szCs w:val="24"/>
        </w:rPr>
        <w:t xml:space="preserve"> and IGD</w:t>
      </w:r>
    </w:p>
    <w:p w14:paraId="12615A37" w14:textId="0587EED4" w:rsidR="00C24DE0" w:rsidRPr="004F51D2" w:rsidRDefault="00C24DE0" w:rsidP="00BA07A3">
      <w:pPr>
        <w:bidi w:val="0"/>
        <w:spacing w:after="0" w:line="480" w:lineRule="auto"/>
        <w:jc w:val="both"/>
        <w:rPr>
          <w:rFonts w:ascii="Times New Roman" w:hAnsi="Times New Roman" w:cs="Times New Roman"/>
          <w:sz w:val="24"/>
          <w:szCs w:val="24"/>
        </w:rPr>
      </w:pPr>
      <w:r w:rsidRPr="004F51D2">
        <w:rPr>
          <w:rFonts w:ascii="Times New Roman" w:hAnsi="Times New Roman" w:cs="Times New Roman"/>
          <w:sz w:val="24"/>
          <w:szCs w:val="24"/>
        </w:rPr>
        <w:t xml:space="preserve">Motivation is </w:t>
      </w:r>
      <w:r w:rsidR="00F278AB" w:rsidRPr="004F51D2">
        <w:rPr>
          <w:rFonts w:ascii="Times New Roman" w:hAnsi="Times New Roman" w:cs="Times New Roman"/>
          <w:sz w:val="24"/>
          <w:szCs w:val="24"/>
        </w:rPr>
        <w:t>a</w:t>
      </w:r>
      <w:r w:rsidRPr="004F51D2">
        <w:rPr>
          <w:rFonts w:ascii="Times New Roman" w:hAnsi="Times New Roman" w:cs="Times New Roman"/>
          <w:sz w:val="24"/>
          <w:szCs w:val="24"/>
        </w:rPr>
        <w:t xml:space="preserve"> predictor of </w:t>
      </w:r>
      <w:r w:rsidR="006715F1" w:rsidRPr="004F51D2">
        <w:rPr>
          <w:rFonts w:ascii="Times New Roman" w:hAnsi="Times New Roman" w:cs="Times New Roman"/>
          <w:sz w:val="24"/>
          <w:szCs w:val="24"/>
        </w:rPr>
        <w:t xml:space="preserve">both problematic online gaming and </w:t>
      </w:r>
      <w:r w:rsidRPr="004F51D2">
        <w:rPr>
          <w:rFonts w:ascii="Times New Roman" w:hAnsi="Times New Roman" w:cs="Times New Roman"/>
          <w:sz w:val="24"/>
          <w:szCs w:val="24"/>
        </w:rPr>
        <w:t>IGD, which turns the fun use of online gaming into excessive use</w:t>
      </w:r>
      <w:r w:rsidR="00184702" w:rsidRPr="004F51D2">
        <w:rPr>
          <w:rFonts w:ascii="Times New Roman" w:hAnsi="Times New Roman" w:cs="Times New Roman"/>
          <w:sz w:val="24"/>
          <w:szCs w:val="24"/>
        </w:rPr>
        <w:t>,</w:t>
      </w:r>
      <w:r w:rsidRPr="004F51D2">
        <w:rPr>
          <w:rFonts w:ascii="Times New Roman" w:hAnsi="Times New Roman" w:cs="Times New Roman"/>
          <w:sz w:val="24"/>
          <w:szCs w:val="24"/>
        </w:rPr>
        <w:t xml:space="preserve"> </w:t>
      </w:r>
      <w:r w:rsidR="00184702" w:rsidRPr="004F51D2">
        <w:rPr>
          <w:rFonts w:ascii="Times New Roman" w:hAnsi="Times New Roman" w:cs="Times New Roman"/>
          <w:sz w:val="24"/>
          <w:szCs w:val="24"/>
        </w:rPr>
        <w:t xml:space="preserve">negatively </w:t>
      </w:r>
      <w:r w:rsidR="00FA0C05" w:rsidRPr="004F51D2">
        <w:rPr>
          <w:rFonts w:ascii="Times New Roman" w:hAnsi="Times New Roman" w:cs="Times New Roman"/>
          <w:sz w:val="24"/>
          <w:szCs w:val="24"/>
        </w:rPr>
        <w:t>impacting quality of life</w:t>
      </w:r>
      <w:r w:rsidRPr="004F51D2">
        <w:rPr>
          <w:rFonts w:ascii="Times New Roman" w:hAnsi="Times New Roman" w:cs="Times New Roman"/>
          <w:sz w:val="24"/>
          <w:szCs w:val="24"/>
        </w:rPr>
        <w:t xml:space="preserve"> (Mills et al., 2018). </w:t>
      </w:r>
      <w:r w:rsidR="00513F75" w:rsidRPr="004F51D2">
        <w:rPr>
          <w:rFonts w:ascii="Times New Roman" w:hAnsi="Times New Roman" w:cs="Times New Roman"/>
          <w:sz w:val="24"/>
          <w:szCs w:val="24"/>
        </w:rPr>
        <w:t xml:space="preserve">Examining gaming </w:t>
      </w:r>
      <w:r w:rsidR="00D36266" w:rsidRPr="004F51D2">
        <w:rPr>
          <w:rFonts w:ascii="Times New Roman" w:hAnsi="Times New Roman" w:cs="Times New Roman"/>
          <w:sz w:val="24"/>
          <w:szCs w:val="24"/>
        </w:rPr>
        <w:t>motives</w:t>
      </w:r>
      <w:r w:rsidR="00513F75" w:rsidRPr="004F51D2">
        <w:rPr>
          <w:rFonts w:ascii="Times New Roman" w:hAnsi="Times New Roman" w:cs="Times New Roman"/>
          <w:sz w:val="24"/>
          <w:szCs w:val="24"/>
        </w:rPr>
        <w:t xml:space="preserve"> </w:t>
      </w:r>
      <w:r w:rsidR="00184702" w:rsidRPr="004F51D2">
        <w:rPr>
          <w:rFonts w:ascii="Times New Roman" w:hAnsi="Times New Roman" w:cs="Times New Roman"/>
          <w:sz w:val="24"/>
          <w:szCs w:val="24"/>
        </w:rPr>
        <w:t>is a crucial</w:t>
      </w:r>
      <w:r w:rsidR="00513F75" w:rsidRPr="004F51D2">
        <w:rPr>
          <w:rFonts w:ascii="Times New Roman" w:hAnsi="Times New Roman" w:cs="Times New Roman"/>
          <w:sz w:val="24"/>
          <w:szCs w:val="24"/>
        </w:rPr>
        <w:t xml:space="preserve"> step in understanding how gaming can become an addictive behavior</w:t>
      </w:r>
      <w:r w:rsidRPr="004F51D2">
        <w:rPr>
          <w:rFonts w:ascii="Times New Roman" w:hAnsi="Times New Roman" w:cs="Times New Roman"/>
          <w:sz w:val="24"/>
          <w:szCs w:val="24"/>
        </w:rPr>
        <w:t xml:space="preserve"> (Lafrenière, Verner-Filion</w:t>
      </w:r>
      <w:r w:rsidR="00596E5F" w:rsidRPr="004F51D2">
        <w:rPr>
          <w:rFonts w:ascii="Times New Roman" w:hAnsi="Times New Roman" w:cs="Times New Roman"/>
          <w:sz w:val="24"/>
          <w:szCs w:val="24"/>
        </w:rPr>
        <w:t>,</w:t>
      </w:r>
      <w:r w:rsidRPr="004F51D2">
        <w:rPr>
          <w:rFonts w:ascii="Times New Roman" w:hAnsi="Times New Roman" w:cs="Times New Roman"/>
          <w:sz w:val="24"/>
          <w:szCs w:val="24"/>
        </w:rPr>
        <w:t xml:space="preserve"> &amp; Vallerand, 2012</w:t>
      </w:r>
      <w:r w:rsidR="00184702" w:rsidRPr="004F51D2">
        <w:rPr>
          <w:rFonts w:ascii="Times New Roman" w:hAnsi="Times New Roman" w:cs="Times New Roman"/>
          <w:sz w:val="24"/>
          <w:szCs w:val="24"/>
        </w:rPr>
        <w:t xml:space="preserve">; </w:t>
      </w:r>
      <w:r w:rsidRPr="004F51D2">
        <w:rPr>
          <w:rFonts w:ascii="Times New Roman" w:hAnsi="Times New Roman" w:cs="Times New Roman"/>
          <w:sz w:val="24"/>
          <w:szCs w:val="24"/>
        </w:rPr>
        <w:t>King &amp; Delfabbro, 2009</w:t>
      </w:r>
      <w:r w:rsidR="00184702" w:rsidRPr="004F51D2">
        <w:rPr>
          <w:rFonts w:ascii="Times New Roman" w:hAnsi="Times New Roman" w:cs="Times New Roman"/>
          <w:sz w:val="24"/>
          <w:szCs w:val="24"/>
        </w:rPr>
        <w:t xml:space="preserve">; Moudiab &amp; Spada, 2019). </w:t>
      </w:r>
      <w:r w:rsidRPr="004F51D2">
        <w:rPr>
          <w:rFonts w:ascii="Times New Roman" w:hAnsi="Times New Roman" w:cs="Times New Roman"/>
          <w:sz w:val="24"/>
          <w:szCs w:val="24"/>
        </w:rPr>
        <w:t xml:space="preserve">Demetrovics </w:t>
      </w:r>
      <w:r w:rsidR="00184702" w:rsidRPr="004F51D2">
        <w:rPr>
          <w:rFonts w:ascii="Times New Roman" w:hAnsi="Times New Roman" w:cs="Times New Roman"/>
          <w:sz w:val="24"/>
          <w:szCs w:val="24"/>
        </w:rPr>
        <w:t>and colleagues</w:t>
      </w:r>
      <w:r w:rsidRPr="004F51D2">
        <w:rPr>
          <w:rFonts w:ascii="Times New Roman" w:hAnsi="Times New Roman" w:cs="Times New Roman"/>
          <w:sz w:val="24"/>
          <w:szCs w:val="24"/>
        </w:rPr>
        <w:t xml:space="preserve"> (2011)</w:t>
      </w:r>
      <w:r w:rsidR="00184702" w:rsidRPr="004F51D2">
        <w:rPr>
          <w:rFonts w:ascii="Times New Roman" w:hAnsi="Times New Roman" w:cs="Times New Roman"/>
          <w:sz w:val="24"/>
          <w:szCs w:val="24"/>
        </w:rPr>
        <w:t>,</w:t>
      </w:r>
      <w:r w:rsidRPr="004F51D2">
        <w:rPr>
          <w:rFonts w:ascii="Times New Roman" w:hAnsi="Times New Roman" w:cs="Times New Roman"/>
          <w:sz w:val="24"/>
          <w:szCs w:val="24"/>
        </w:rPr>
        <w:t xml:space="preserve"> </w:t>
      </w:r>
      <w:r w:rsidR="00184702" w:rsidRPr="004F51D2">
        <w:rPr>
          <w:rFonts w:ascii="Times New Roman" w:hAnsi="Times New Roman" w:cs="Times New Roman"/>
          <w:sz w:val="24"/>
          <w:szCs w:val="24"/>
        </w:rPr>
        <w:t>using</w:t>
      </w:r>
      <w:r w:rsidR="00FA0C05" w:rsidRPr="004F51D2">
        <w:rPr>
          <w:rFonts w:ascii="Times New Roman" w:hAnsi="Times New Roman" w:cs="Times New Roman"/>
          <w:sz w:val="24"/>
          <w:szCs w:val="24"/>
        </w:rPr>
        <w:t xml:space="preserve"> </w:t>
      </w:r>
      <w:r w:rsidRPr="004F51D2">
        <w:rPr>
          <w:rFonts w:ascii="Times New Roman" w:hAnsi="Times New Roman" w:cs="Times New Roman"/>
          <w:sz w:val="24"/>
          <w:szCs w:val="24"/>
        </w:rPr>
        <w:t xml:space="preserve">exploratory factor analysis, </w:t>
      </w:r>
      <w:r w:rsidR="00FA0C05" w:rsidRPr="004F51D2">
        <w:rPr>
          <w:rFonts w:ascii="Times New Roman" w:hAnsi="Times New Roman" w:cs="Times New Roman"/>
          <w:sz w:val="24"/>
          <w:szCs w:val="24"/>
        </w:rPr>
        <w:t xml:space="preserve">identified </w:t>
      </w:r>
      <w:r w:rsidRPr="004F51D2">
        <w:rPr>
          <w:rFonts w:ascii="Times New Roman" w:hAnsi="Times New Roman" w:cs="Times New Roman"/>
          <w:sz w:val="24"/>
          <w:szCs w:val="24"/>
        </w:rPr>
        <w:t xml:space="preserve">seven different </w:t>
      </w:r>
      <w:r w:rsidR="00FA0C05" w:rsidRPr="004F51D2">
        <w:rPr>
          <w:rFonts w:ascii="Times New Roman" w:hAnsi="Times New Roman" w:cs="Times New Roman"/>
          <w:sz w:val="24"/>
          <w:szCs w:val="24"/>
        </w:rPr>
        <w:t xml:space="preserve">motives </w:t>
      </w:r>
      <w:r w:rsidRPr="004F51D2">
        <w:rPr>
          <w:rFonts w:ascii="Times New Roman" w:hAnsi="Times New Roman" w:cs="Times New Roman"/>
          <w:sz w:val="24"/>
          <w:szCs w:val="24"/>
        </w:rPr>
        <w:t>for gaming</w:t>
      </w:r>
      <w:r w:rsidR="00184702" w:rsidRPr="004F51D2">
        <w:rPr>
          <w:rFonts w:ascii="Times New Roman" w:hAnsi="Times New Roman" w:cs="Times New Roman"/>
          <w:sz w:val="24"/>
          <w:szCs w:val="24"/>
        </w:rPr>
        <w:t>:</w:t>
      </w:r>
      <w:r w:rsidRPr="004F51D2">
        <w:rPr>
          <w:rFonts w:ascii="Times New Roman" w:hAnsi="Times New Roman" w:cs="Times New Roman"/>
          <w:sz w:val="24"/>
          <w:szCs w:val="24"/>
        </w:rPr>
        <w:t xml:space="preserve"> social connections, escaping from reality, competition with others, coping with distress, skill development, fantasy world</w:t>
      </w:r>
      <w:r w:rsidR="00FA0C05" w:rsidRPr="004F51D2">
        <w:rPr>
          <w:rFonts w:ascii="Times New Roman" w:hAnsi="Times New Roman" w:cs="Times New Roman"/>
          <w:sz w:val="24"/>
          <w:szCs w:val="24"/>
        </w:rPr>
        <w:t xml:space="preserve"> engagement</w:t>
      </w:r>
      <w:r w:rsidRPr="004F51D2">
        <w:rPr>
          <w:rFonts w:ascii="Times New Roman" w:hAnsi="Times New Roman" w:cs="Times New Roman"/>
          <w:sz w:val="24"/>
          <w:szCs w:val="24"/>
        </w:rPr>
        <w:t>, recreation, and relation.</w:t>
      </w:r>
      <w:r w:rsidR="00513F75" w:rsidRPr="004F51D2">
        <w:rPr>
          <w:rFonts w:ascii="Times New Roman" w:hAnsi="Times New Roman" w:cs="Times New Roman"/>
          <w:sz w:val="24"/>
          <w:szCs w:val="24"/>
        </w:rPr>
        <w:t xml:space="preserve"> In another study</w:t>
      </w:r>
      <w:r w:rsidR="00184702" w:rsidRPr="004F51D2">
        <w:rPr>
          <w:rFonts w:ascii="Times New Roman" w:hAnsi="Times New Roman" w:cs="Times New Roman"/>
          <w:sz w:val="24"/>
          <w:szCs w:val="24"/>
        </w:rPr>
        <w:t>,</w:t>
      </w:r>
      <w:r w:rsidR="00513F75" w:rsidRPr="004F51D2">
        <w:rPr>
          <w:rFonts w:ascii="Times New Roman" w:hAnsi="Times New Roman" w:cs="Times New Roman"/>
          <w:sz w:val="24"/>
          <w:szCs w:val="24"/>
        </w:rPr>
        <w:t xml:space="preserve"> social motives, immersion</w:t>
      </w:r>
      <w:r w:rsidR="00184702" w:rsidRPr="004F51D2">
        <w:rPr>
          <w:rFonts w:ascii="Times New Roman" w:hAnsi="Times New Roman" w:cs="Times New Roman"/>
          <w:sz w:val="24"/>
          <w:szCs w:val="24"/>
        </w:rPr>
        <w:t>,</w:t>
      </w:r>
      <w:r w:rsidR="00513F75" w:rsidRPr="004F51D2">
        <w:rPr>
          <w:rFonts w:ascii="Times New Roman" w:hAnsi="Times New Roman" w:cs="Times New Roman"/>
          <w:sz w:val="24"/>
          <w:szCs w:val="24"/>
        </w:rPr>
        <w:t xml:space="preserve"> and achievement were introduced as three main component</w:t>
      </w:r>
      <w:r w:rsidR="00184702" w:rsidRPr="004F51D2">
        <w:rPr>
          <w:rFonts w:ascii="Times New Roman" w:hAnsi="Times New Roman" w:cs="Times New Roman"/>
          <w:sz w:val="24"/>
          <w:szCs w:val="24"/>
        </w:rPr>
        <w:t>s</w:t>
      </w:r>
      <w:r w:rsidR="00513F75" w:rsidRPr="004F51D2">
        <w:rPr>
          <w:rFonts w:ascii="Times New Roman" w:hAnsi="Times New Roman" w:cs="Times New Roman"/>
          <w:sz w:val="24"/>
          <w:szCs w:val="24"/>
        </w:rPr>
        <w:t xml:space="preserve"> of </w:t>
      </w:r>
      <w:r w:rsidR="00184702" w:rsidRPr="004F51D2">
        <w:rPr>
          <w:rFonts w:ascii="Times New Roman" w:hAnsi="Times New Roman" w:cs="Times New Roman"/>
          <w:sz w:val="24"/>
          <w:szCs w:val="24"/>
        </w:rPr>
        <w:t xml:space="preserve">problematic gaming </w:t>
      </w:r>
      <w:r w:rsidR="00D36266" w:rsidRPr="004F51D2">
        <w:rPr>
          <w:rFonts w:ascii="Times New Roman" w:hAnsi="Times New Roman" w:cs="Times New Roman"/>
          <w:sz w:val="24"/>
          <w:szCs w:val="24"/>
        </w:rPr>
        <w:t>behavior</w:t>
      </w:r>
      <w:r w:rsidR="00513F75" w:rsidRPr="004F51D2">
        <w:rPr>
          <w:rFonts w:ascii="Times New Roman" w:hAnsi="Times New Roman" w:cs="Times New Roman"/>
          <w:sz w:val="24"/>
          <w:szCs w:val="24"/>
        </w:rPr>
        <w:t>; achievement motivation is related to the development of power, domination, challenging others, provocation</w:t>
      </w:r>
      <w:r w:rsidR="00184702" w:rsidRPr="004F51D2">
        <w:rPr>
          <w:rFonts w:ascii="Times New Roman" w:hAnsi="Times New Roman" w:cs="Times New Roman"/>
          <w:sz w:val="24"/>
          <w:szCs w:val="24"/>
        </w:rPr>
        <w:t>,</w:t>
      </w:r>
      <w:r w:rsidR="00513F75" w:rsidRPr="004F51D2">
        <w:rPr>
          <w:rFonts w:ascii="Times New Roman" w:hAnsi="Times New Roman" w:cs="Times New Roman"/>
          <w:sz w:val="24"/>
          <w:szCs w:val="24"/>
        </w:rPr>
        <w:t xml:space="preserve"> and similar motives.</w:t>
      </w:r>
      <w:r w:rsidR="00513F75" w:rsidRPr="004F51D2">
        <w:t xml:space="preserve"> </w:t>
      </w:r>
      <w:r w:rsidR="00513F75" w:rsidRPr="004F51D2">
        <w:rPr>
          <w:rFonts w:ascii="Times New Roman" w:hAnsi="Times New Roman" w:cs="Times New Roman"/>
          <w:sz w:val="24"/>
          <w:szCs w:val="24"/>
        </w:rPr>
        <w:t xml:space="preserve">Social </w:t>
      </w:r>
      <w:r w:rsidR="00D36266" w:rsidRPr="004F51D2">
        <w:rPr>
          <w:rFonts w:ascii="Times New Roman" w:hAnsi="Times New Roman" w:cs="Times New Roman"/>
          <w:sz w:val="24"/>
          <w:szCs w:val="24"/>
        </w:rPr>
        <w:t>motives</w:t>
      </w:r>
      <w:r w:rsidR="00513F75" w:rsidRPr="004F51D2">
        <w:rPr>
          <w:rFonts w:ascii="Times New Roman" w:hAnsi="Times New Roman" w:cs="Times New Roman"/>
          <w:sz w:val="24"/>
          <w:szCs w:val="24"/>
        </w:rPr>
        <w:t xml:space="preserve"> lead to goals such as making friends, helping others, self-disclosure, and getting support and teamwork</w:t>
      </w:r>
      <w:r w:rsidR="00184702" w:rsidRPr="004F51D2">
        <w:rPr>
          <w:rFonts w:ascii="Times New Roman" w:hAnsi="Times New Roman" w:cs="Times New Roman"/>
          <w:sz w:val="24"/>
          <w:szCs w:val="24"/>
        </w:rPr>
        <w:t>.</w:t>
      </w:r>
      <w:r w:rsidR="00513F75" w:rsidRPr="004F51D2">
        <w:t xml:space="preserve"> </w:t>
      </w:r>
      <w:r w:rsidR="00513F75" w:rsidRPr="004F51D2">
        <w:rPr>
          <w:rFonts w:ascii="Times New Roman" w:hAnsi="Times New Roman" w:cs="Times New Roman"/>
          <w:sz w:val="24"/>
          <w:szCs w:val="24"/>
        </w:rPr>
        <w:t>Immersion is related to searching and finding hidden or mysterious things, fantasy</w:t>
      </w:r>
      <w:r w:rsidR="00184702" w:rsidRPr="004F51D2">
        <w:rPr>
          <w:rFonts w:ascii="Times New Roman" w:hAnsi="Times New Roman" w:cs="Times New Roman"/>
          <w:sz w:val="24"/>
          <w:szCs w:val="24"/>
        </w:rPr>
        <w:t>,</w:t>
      </w:r>
      <w:r w:rsidR="00513F75" w:rsidRPr="004F51D2">
        <w:rPr>
          <w:rFonts w:ascii="Times New Roman" w:hAnsi="Times New Roman" w:cs="Times New Roman"/>
          <w:sz w:val="24"/>
          <w:szCs w:val="24"/>
        </w:rPr>
        <w:t xml:space="preserve"> and interest in role-playing and escaping from the real world and its problems (Yee, 2006).</w:t>
      </w:r>
      <w:r w:rsidRPr="004F51D2">
        <w:rPr>
          <w:rFonts w:ascii="Times New Roman" w:hAnsi="Times New Roman" w:cs="Times New Roman"/>
          <w:sz w:val="24"/>
          <w:szCs w:val="24"/>
        </w:rPr>
        <w:t xml:space="preserve"> These </w:t>
      </w:r>
      <w:r w:rsidR="00FA0C05" w:rsidRPr="004F51D2">
        <w:rPr>
          <w:rFonts w:ascii="Times New Roman" w:hAnsi="Times New Roman" w:cs="Times New Roman"/>
          <w:sz w:val="24"/>
          <w:szCs w:val="24"/>
        </w:rPr>
        <w:t xml:space="preserve">gaming </w:t>
      </w:r>
      <w:r w:rsidRPr="004F51D2">
        <w:rPr>
          <w:rFonts w:ascii="Times New Roman" w:hAnsi="Times New Roman" w:cs="Times New Roman"/>
          <w:sz w:val="24"/>
          <w:szCs w:val="24"/>
        </w:rPr>
        <w:t>motiv</w:t>
      </w:r>
      <w:r w:rsidR="00184702" w:rsidRPr="004F51D2">
        <w:rPr>
          <w:rFonts w:ascii="Times New Roman" w:hAnsi="Times New Roman" w:cs="Times New Roman"/>
          <w:sz w:val="24"/>
          <w:szCs w:val="24"/>
        </w:rPr>
        <w:t>es</w:t>
      </w:r>
      <w:r w:rsidRPr="004F51D2">
        <w:rPr>
          <w:rFonts w:ascii="Times New Roman" w:hAnsi="Times New Roman" w:cs="Times New Roman"/>
          <w:sz w:val="24"/>
          <w:szCs w:val="24"/>
        </w:rPr>
        <w:t xml:space="preserve"> </w:t>
      </w:r>
      <w:r w:rsidR="00FA0C05" w:rsidRPr="004F51D2">
        <w:rPr>
          <w:rFonts w:ascii="Times New Roman" w:hAnsi="Times New Roman" w:cs="Times New Roman"/>
          <w:sz w:val="24"/>
          <w:szCs w:val="24"/>
        </w:rPr>
        <w:t xml:space="preserve">appear to be key </w:t>
      </w:r>
      <w:r w:rsidRPr="004F51D2">
        <w:rPr>
          <w:rFonts w:ascii="Times New Roman" w:hAnsi="Times New Roman" w:cs="Times New Roman"/>
          <w:sz w:val="24"/>
          <w:szCs w:val="24"/>
        </w:rPr>
        <w:t xml:space="preserve">determinants of IGD (Király et al., 2015). For example, </w:t>
      </w:r>
      <w:r w:rsidR="00184702" w:rsidRPr="004F51D2">
        <w:rPr>
          <w:rFonts w:ascii="Times New Roman" w:hAnsi="Times New Roman" w:cs="Times New Roman"/>
          <w:sz w:val="24"/>
          <w:szCs w:val="24"/>
        </w:rPr>
        <w:t>individuals</w:t>
      </w:r>
      <w:r w:rsidRPr="004F51D2">
        <w:rPr>
          <w:rFonts w:ascii="Times New Roman" w:hAnsi="Times New Roman" w:cs="Times New Roman"/>
          <w:sz w:val="24"/>
          <w:szCs w:val="24"/>
        </w:rPr>
        <w:t xml:space="preserve"> who </w:t>
      </w:r>
      <w:r w:rsidR="00184702" w:rsidRPr="004F51D2">
        <w:rPr>
          <w:rFonts w:ascii="Times New Roman" w:hAnsi="Times New Roman" w:cs="Times New Roman"/>
          <w:sz w:val="24"/>
          <w:szCs w:val="24"/>
        </w:rPr>
        <w:t>game</w:t>
      </w:r>
      <w:r w:rsidRPr="004F51D2">
        <w:rPr>
          <w:rFonts w:ascii="Times New Roman" w:hAnsi="Times New Roman" w:cs="Times New Roman"/>
          <w:sz w:val="24"/>
          <w:szCs w:val="24"/>
        </w:rPr>
        <w:t xml:space="preserve"> for skill development are less prone to IGD, </w:t>
      </w:r>
      <w:r w:rsidR="00FA0C05" w:rsidRPr="004F51D2">
        <w:rPr>
          <w:rFonts w:ascii="Times New Roman" w:hAnsi="Times New Roman" w:cs="Times New Roman"/>
          <w:sz w:val="24"/>
          <w:szCs w:val="24"/>
        </w:rPr>
        <w:t xml:space="preserve">whilst </w:t>
      </w:r>
      <w:r w:rsidRPr="004F51D2">
        <w:rPr>
          <w:rFonts w:ascii="Times New Roman" w:hAnsi="Times New Roman" w:cs="Times New Roman"/>
          <w:sz w:val="24"/>
          <w:szCs w:val="24"/>
        </w:rPr>
        <w:t xml:space="preserve">players who play for social </w:t>
      </w:r>
      <w:r w:rsidR="00D36266" w:rsidRPr="004F51D2">
        <w:rPr>
          <w:rFonts w:ascii="Times New Roman" w:hAnsi="Times New Roman" w:cs="Times New Roman"/>
          <w:sz w:val="24"/>
          <w:szCs w:val="24"/>
        </w:rPr>
        <w:t>motives</w:t>
      </w:r>
      <w:r w:rsidRPr="004F51D2">
        <w:rPr>
          <w:rFonts w:ascii="Times New Roman" w:hAnsi="Times New Roman" w:cs="Times New Roman"/>
          <w:sz w:val="24"/>
          <w:szCs w:val="24"/>
        </w:rPr>
        <w:t xml:space="preserve"> are more involved in gaming than others because they want to have </w:t>
      </w:r>
      <w:r w:rsidR="00D36266" w:rsidRPr="004F51D2">
        <w:rPr>
          <w:rFonts w:ascii="Times New Roman" w:hAnsi="Times New Roman" w:cs="Times New Roman"/>
          <w:sz w:val="24"/>
          <w:szCs w:val="24"/>
        </w:rPr>
        <w:t>greater</w:t>
      </w:r>
      <w:r w:rsidRPr="004F51D2">
        <w:rPr>
          <w:rFonts w:ascii="Times New Roman" w:hAnsi="Times New Roman" w:cs="Times New Roman"/>
          <w:sz w:val="24"/>
          <w:szCs w:val="24"/>
        </w:rPr>
        <w:t xml:space="preserve"> social </w:t>
      </w:r>
      <w:r w:rsidR="00596E5F" w:rsidRPr="004F51D2">
        <w:rPr>
          <w:rFonts w:ascii="Times New Roman" w:hAnsi="Times New Roman" w:cs="Times New Roman"/>
          <w:sz w:val="24"/>
          <w:szCs w:val="24"/>
        </w:rPr>
        <w:t xml:space="preserve">connections </w:t>
      </w:r>
      <w:r w:rsidRPr="004F51D2">
        <w:rPr>
          <w:rFonts w:ascii="Times New Roman" w:hAnsi="Times New Roman" w:cs="Times New Roman"/>
          <w:sz w:val="24"/>
          <w:szCs w:val="24"/>
        </w:rPr>
        <w:t>(Wu et al., 201</w:t>
      </w:r>
      <w:r w:rsidR="00BA07A3" w:rsidRPr="004F51D2">
        <w:rPr>
          <w:rFonts w:ascii="Times New Roman" w:hAnsi="Times New Roman" w:cs="Times New Roman"/>
          <w:sz w:val="24"/>
          <w:szCs w:val="24"/>
        </w:rPr>
        <w:t>6</w:t>
      </w:r>
      <w:r w:rsidRPr="004F51D2">
        <w:rPr>
          <w:rFonts w:ascii="Times New Roman" w:hAnsi="Times New Roman" w:cs="Times New Roman"/>
          <w:sz w:val="24"/>
          <w:szCs w:val="24"/>
        </w:rPr>
        <w:t>).</w:t>
      </w:r>
      <w:r w:rsidR="00501DDF" w:rsidRPr="004F51D2">
        <w:rPr>
          <w:rFonts w:ascii="Times New Roman" w:hAnsi="Times New Roman" w:cs="Times New Roman"/>
          <w:sz w:val="24"/>
          <w:szCs w:val="24"/>
        </w:rPr>
        <w:t xml:space="preserve"> </w:t>
      </w:r>
      <w:r w:rsidRPr="004F51D2">
        <w:rPr>
          <w:rFonts w:ascii="Times New Roman" w:hAnsi="Times New Roman" w:cs="Times New Roman"/>
          <w:sz w:val="24"/>
          <w:szCs w:val="24"/>
        </w:rPr>
        <w:t>Although few studies have been done on female gamers</w:t>
      </w:r>
      <w:r w:rsidR="00596E5F" w:rsidRPr="004F51D2">
        <w:rPr>
          <w:rFonts w:ascii="Times New Roman" w:hAnsi="Times New Roman" w:cs="Times New Roman"/>
          <w:sz w:val="24"/>
          <w:szCs w:val="24"/>
        </w:rPr>
        <w:t>,</w:t>
      </w:r>
      <w:r w:rsidRPr="004F51D2">
        <w:rPr>
          <w:rFonts w:ascii="Times New Roman" w:hAnsi="Times New Roman" w:cs="Times New Roman"/>
          <w:sz w:val="24"/>
          <w:szCs w:val="24"/>
        </w:rPr>
        <w:t xml:space="preserve"> in </w:t>
      </w:r>
      <w:r w:rsidR="00FA0C05" w:rsidRPr="004F51D2">
        <w:rPr>
          <w:rFonts w:ascii="Times New Roman" w:hAnsi="Times New Roman" w:cs="Times New Roman"/>
          <w:sz w:val="24"/>
          <w:szCs w:val="24"/>
        </w:rPr>
        <w:t xml:space="preserve">one </w:t>
      </w:r>
      <w:r w:rsidRPr="004F51D2">
        <w:rPr>
          <w:rFonts w:ascii="Times New Roman" w:hAnsi="Times New Roman" w:cs="Times New Roman"/>
          <w:sz w:val="24"/>
          <w:szCs w:val="24"/>
        </w:rPr>
        <w:t>study, achievement and social motivations</w:t>
      </w:r>
      <w:r w:rsidRPr="004F51D2">
        <w:rPr>
          <w:rFonts w:ascii="Times New Roman" w:hAnsi="Times New Roman" w:cs="Times New Roman"/>
          <w:sz w:val="24"/>
          <w:szCs w:val="24"/>
          <w:rtl/>
        </w:rPr>
        <w:t xml:space="preserve"> </w:t>
      </w:r>
      <w:r w:rsidRPr="004F51D2">
        <w:rPr>
          <w:rFonts w:ascii="Times New Roman" w:hAnsi="Times New Roman" w:cs="Times New Roman"/>
          <w:sz w:val="24"/>
          <w:szCs w:val="24"/>
        </w:rPr>
        <w:t xml:space="preserve">were also related </w:t>
      </w:r>
      <w:r w:rsidRPr="004F51D2">
        <w:rPr>
          <w:rFonts w:ascii="Times New Roman" w:hAnsi="Times New Roman" w:cs="Times New Roman"/>
          <w:sz w:val="24"/>
          <w:szCs w:val="24"/>
        </w:rPr>
        <w:lastRenderedPageBreak/>
        <w:t>to IGD among women gamers (Lopez-Fernandez, Williams</w:t>
      </w:r>
      <w:r w:rsidR="00E325E4" w:rsidRPr="004F51D2">
        <w:rPr>
          <w:rFonts w:ascii="Times New Roman" w:hAnsi="Times New Roman" w:cs="Times New Roman"/>
          <w:sz w:val="24"/>
          <w:szCs w:val="24"/>
        </w:rPr>
        <w:t>,</w:t>
      </w:r>
      <w:r w:rsidRPr="004F51D2">
        <w:rPr>
          <w:rFonts w:ascii="Times New Roman" w:hAnsi="Times New Roman" w:cs="Times New Roman"/>
          <w:sz w:val="24"/>
          <w:szCs w:val="24"/>
        </w:rPr>
        <w:t xml:space="preserve"> &amp; Kuss, 2019). </w:t>
      </w:r>
      <w:r w:rsidR="00FA0C05" w:rsidRPr="004F51D2">
        <w:rPr>
          <w:rFonts w:ascii="Times New Roman" w:hAnsi="Times New Roman" w:cs="Times New Roman"/>
          <w:sz w:val="24"/>
          <w:szCs w:val="24"/>
        </w:rPr>
        <w:t xml:space="preserve">In </w:t>
      </w:r>
      <w:r w:rsidR="00184702" w:rsidRPr="004F51D2">
        <w:rPr>
          <w:rFonts w:ascii="Times New Roman" w:hAnsi="Times New Roman" w:cs="Times New Roman"/>
          <w:sz w:val="24"/>
          <w:szCs w:val="24"/>
        </w:rPr>
        <w:t xml:space="preserve">Iran a key study by </w:t>
      </w:r>
      <w:r w:rsidRPr="004F51D2">
        <w:rPr>
          <w:rFonts w:ascii="Times New Roman" w:hAnsi="Times New Roman" w:cs="Times New Roman"/>
          <w:sz w:val="24"/>
          <w:szCs w:val="24"/>
        </w:rPr>
        <w:t xml:space="preserve">Aminimanesh </w:t>
      </w:r>
      <w:r w:rsidR="00184702" w:rsidRPr="004F51D2">
        <w:rPr>
          <w:rFonts w:ascii="Times New Roman" w:hAnsi="Times New Roman" w:cs="Times New Roman"/>
          <w:sz w:val="24"/>
          <w:szCs w:val="24"/>
        </w:rPr>
        <w:t>and colleagues</w:t>
      </w:r>
      <w:r w:rsidRPr="004F51D2">
        <w:rPr>
          <w:rFonts w:ascii="Times New Roman" w:hAnsi="Times New Roman" w:cs="Times New Roman"/>
          <w:sz w:val="24"/>
          <w:szCs w:val="24"/>
        </w:rPr>
        <w:t xml:space="preserve"> (2017) </w:t>
      </w:r>
      <w:r w:rsidR="00184702" w:rsidRPr="004F51D2">
        <w:rPr>
          <w:rFonts w:ascii="Times New Roman" w:hAnsi="Times New Roman" w:cs="Times New Roman"/>
          <w:sz w:val="24"/>
          <w:szCs w:val="24"/>
        </w:rPr>
        <w:t xml:space="preserve">has confirmed </w:t>
      </w:r>
      <w:r w:rsidRPr="004F51D2">
        <w:rPr>
          <w:rFonts w:ascii="Times New Roman" w:hAnsi="Times New Roman" w:cs="Times New Roman"/>
          <w:sz w:val="24"/>
          <w:szCs w:val="24"/>
        </w:rPr>
        <w:t xml:space="preserve">the relationship between gaming </w:t>
      </w:r>
      <w:r w:rsidR="00184702" w:rsidRPr="004F51D2">
        <w:rPr>
          <w:rFonts w:ascii="Times New Roman" w:hAnsi="Times New Roman" w:cs="Times New Roman"/>
          <w:sz w:val="24"/>
          <w:szCs w:val="24"/>
        </w:rPr>
        <w:t>motives</w:t>
      </w:r>
      <w:r w:rsidRPr="004F51D2">
        <w:rPr>
          <w:rFonts w:ascii="Times New Roman" w:hAnsi="Times New Roman" w:cs="Times New Roman"/>
          <w:sz w:val="24"/>
          <w:szCs w:val="24"/>
        </w:rPr>
        <w:t xml:space="preserve"> and IGD in 409 Iranian students.</w:t>
      </w:r>
    </w:p>
    <w:p w14:paraId="3BCE9EE3" w14:textId="170F1B21" w:rsidR="00C24DE0" w:rsidRPr="004F51D2" w:rsidRDefault="00C24DE0" w:rsidP="001D1C08">
      <w:pPr>
        <w:bidi w:val="0"/>
        <w:spacing w:after="0" w:line="480" w:lineRule="auto"/>
        <w:jc w:val="both"/>
        <w:rPr>
          <w:rFonts w:ascii="Times New Roman" w:hAnsi="Times New Roman" w:cs="Times New Roman"/>
          <w:i/>
          <w:iCs/>
          <w:sz w:val="24"/>
          <w:szCs w:val="24"/>
        </w:rPr>
      </w:pPr>
      <w:r w:rsidRPr="004F51D2">
        <w:rPr>
          <w:rFonts w:ascii="Times New Roman" w:hAnsi="Times New Roman" w:cs="Times New Roman"/>
          <w:i/>
          <w:iCs/>
          <w:sz w:val="24"/>
          <w:szCs w:val="24"/>
        </w:rPr>
        <w:t>1.3. Gaming-</w:t>
      </w:r>
      <w:r w:rsidR="00D36266" w:rsidRPr="004F51D2">
        <w:rPr>
          <w:rFonts w:ascii="Times New Roman" w:hAnsi="Times New Roman" w:cs="Times New Roman"/>
          <w:i/>
          <w:iCs/>
          <w:sz w:val="24"/>
          <w:szCs w:val="24"/>
        </w:rPr>
        <w:t>r</w:t>
      </w:r>
      <w:r w:rsidRPr="004F51D2">
        <w:rPr>
          <w:rFonts w:ascii="Times New Roman" w:hAnsi="Times New Roman" w:cs="Times New Roman"/>
          <w:i/>
          <w:iCs/>
          <w:sz w:val="24"/>
          <w:szCs w:val="24"/>
        </w:rPr>
        <w:t xml:space="preserve">elated </w:t>
      </w:r>
      <w:r w:rsidR="00D36266" w:rsidRPr="004F51D2">
        <w:rPr>
          <w:rFonts w:ascii="Times New Roman" w:hAnsi="Times New Roman" w:cs="Times New Roman"/>
          <w:i/>
          <w:iCs/>
          <w:sz w:val="24"/>
          <w:szCs w:val="24"/>
        </w:rPr>
        <w:t>c</w:t>
      </w:r>
      <w:r w:rsidRPr="004F51D2">
        <w:rPr>
          <w:rFonts w:ascii="Times New Roman" w:hAnsi="Times New Roman" w:cs="Times New Roman"/>
          <w:i/>
          <w:iCs/>
          <w:sz w:val="24"/>
          <w:szCs w:val="24"/>
        </w:rPr>
        <w:t>ognitions</w:t>
      </w:r>
      <w:r w:rsidR="006715F1" w:rsidRPr="004F51D2">
        <w:rPr>
          <w:rFonts w:ascii="Times New Roman" w:hAnsi="Times New Roman" w:cs="Times New Roman"/>
          <w:i/>
          <w:iCs/>
          <w:sz w:val="24"/>
          <w:szCs w:val="24"/>
        </w:rPr>
        <w:t>, problematic online gaming,</w:t>
      </w:r>
      <w:r w:rsidRPr="004F51D2">
        <w:rPr>
          <w:rFonts w:ascii="Times New Roman" w:hAnsi="Times New Roman" w:cs="Times New Roman"/>
          <w:i/>
          <w:iCs/>
          <w:sz w:val="24"/>
          <w:szCs w:val="24"/>
        </w:rPr>
        <w:t xml:space="preserve"> and IGD</w:t>
      </w:r>
    </w:p>
    <w:p w14:paraId="6A51BED8" w14:textId="7BF36280" w:rsidR="007A7679" w:rsidRPr="004F51D2" w:rsidRDefault="0051134B" w:rsidP="007A7679">
      <w:pPr>
        <w:bidi w:val="0"/>
        <w:spacing w:after="0" w:line="480" w:lineRule="auto"/>
        <w:jc w:val="both"/>
        <w:rPr>
          <w:rFonts w:ascii="Times New Roman" w:hAnsi="Times New Roman" w:cs="Times New Roman"/>
          <w:sz w:val="24"/>
          <w:szCs w:val="24"/>
        </w:rPr>
      </w:pPr>
      <w:r w:rsidRPr="004F51D2">
        <w:rPr>
          <w:rFonts w:ascii="Times New Roman" w:hAnsi="Times New Roman" w:cs="Times New Roman"/>
          <w:sz w:val="24"/>
          <w:szCs w:val="24"/>
        </w:rPr>
        <w:t xml:space="preserve">Although </w:t>
      </w:r>
      <w:r w:rsidR="00552BAF" w:rsidRPr="004F51D2">
        <w:rPr>
          <w:rFonts w:ascii="Times New Roman" w:hAnsi="Times New Roman" w:cs="Times New Roman"/>
          <w:sz w:val="24"/>
          <w:szCs w:val="24"/>
        </w:rPr>
        <w:t>many</w:t>
      </w:r>
      <w:r w:rsidRPr="004F51D2">
        <w:rPr>
          <w:rFonts w:ascii="Times New Roman" w:hAnsi="Times New Roman" w:cs="Times New Roman"/>
          <w:sz w:val="24"/>
          <w:szCs w:val="24"/>
        </w:rPr>
        <w:t xml:space="preserve"> </w:t>
      </w:r>
      <w:r w:rsidR="00552BAF" w:rsidRPr="004F51D2">
        <w:rPr>
          <w:rFonts w:ascii="Times New Roman" w:hAnsi="Times New Roman" w:cs="Times New Roman"/>
          <w:sz w:val="24"/>
          <w:szCs w:val="24"/>
        </w:rPr>
        <w:t>studies</w:t>
      </w:r>
      <w:r w:rsidRPr="004F51D2">
        <w:rPr>
          <w:rFonts w:ascii="Times New Roman" w:hAnsi="Times New Roman" w:cs="Times New Roman"/>
          <w:sz w:val="24"/>
          <w:szCs w:val="24"/>
        </w:rPr>
        <w:t xml:space="preserve"> </w:t>
      </w:r>
      <w:r w:rsidR="00552BAF" w:rsidRPr="004F51D2">
        <w:rPr>
          <w:rFonts w:ascii="Times New Roman" w:hAnsi="Times New Roman" w:cs="Times New Roman"/>
          <w:sz w:val="24"/>
          <w:szCs w:val="24"/>
        </w:rPr>
        <w:t>have</w:t>
      </w:r>
      <w:r w:rsidRPr="004F51D2">
        <w:rPr>
          <w:rFonts w:ascii="Times New Roman" w:hAnsi="Times New Roman" w:cs="Times New Roman"/>
          <w:sz w:val="24"/>
          <w:szCs w:val="24"/>
        </w:rPr>
        <w:t xml:space="preserve"> shown that </w:t>
      </w:r>
      <w:r w:rsidR="00D36266" w:rsidRPr="004F51D2">
        <w:rPr>
          <w:rFonts w:ascii="Times New Roman" w:hAnsi="Times New Roman" w:cs="Times New Roman"/>
          <w:sz w:val="24"/>
          <w:szCs w:val="24"/>
        </w:rPr>
        <w:t>gaming motives</w:t>
      </w:r>
      <w:r w:rsidRPr="004F51D2">
        <w:rPr>
          <w:rFonts w:ascii="Times New Roman" w:hAnsi="Times New Roman" w:cs="Times New Roman"/>
          <w:sz w:val="24"/>
          <w:szCs w:val="24"/>
        </w:rPr>
        <w:t xml:space="preserve"> predict </w:t>
      </w:r>
      <w:r w:rsidR="006715F1" w:rsidRPr="004F51D2">
        <w:rPr>
          <w:rFonts w:ascii="Times New Roman" w:hAnsi="Times New Roman" w:cs="Times New Roman"/>
          <w:sz w:val="24"/>
          <w:szCs w:val="24"/>
        </w:rPr>
        <w:t xml:space="preserve">both problematic online gaming and </w:t>
      </w:r>
      <w:r w:rsidR="00552BAF" w:rsidRPr="004F51D2">
        <w:rPr>
          <w:rFonts w:ascii="Times New Roman" w:hAnsi="Times New Roman" w:cs="Times New Roman"/>
          <w:sz w:val="24"/>
          <w:szCs w:val="24"/>
        </w:rPr>
        <w:t>IGD</w:t>
      </w:r>
      <w:r w:rsidRPr="004F51D2">
        <w:rPr>
          <w:rFonts w:ascii="Times New Roman" w:hAnsi="Times New Roman" w:cs="Times New Roman"/>
          <w:sz w:val="24"/>
          <w:szCs w:val="24"/>
        </w:rPr>
        <w:t xml:space="preserve">, </w:t>
      </w:r>
      <w:r w:rsidR="00552BAF" w:rsidRPr="004F51D2">
        <w:rPr>
          <w:rFonts w:ascii="Times New Roman" w:hAnsi="Times New Roman" w:cs="Times New Roman"/>
          <w:sz w:val="24"/>
          <w:szCs w:val="24"/>
        </w:rPr>
        <w:t xml:space="preserve">maladaptive </w:t>
      </w:r>
      <w:r w:rsidR="00D36266" w:rsidRPr="004F51D2">
        <w:rPr>
          <w:rFonts w:ascii="Times New Roman" w:hAnsi="Times New Roman" w:cs="Times New Roman"/>
          <w:sz w:val="24"/>
          <w:szCs w:val="24"/>
        </w:rPr>
        <w:t xml:space="preserve">gaming-related </w:t>
      </w:r>
      <w:r w:rsidRPr="004F51D2">
        <w:rPr>
          <w:rFonts w:ascii="Times New Roman" w:hAnsi="Times New Roman" w:cs="Times New Roman"/>
          <w:sz w:val="24"/>
          <w:szCs w:val="24"/>
        </w:rPr>
        <w:t xml:space="preserve">cognitions </w:t>
      </w:r>
      <w:r w:rsidR="00D36266" w:rsidRPr="004F51D2">
        <w:rPr>
          <w:rFonts w:ascii="Times New Roman" w:hAnsi="Times New Roman" w:cs="Times New Roman"/>
          <w:sz w:val="24"/>
          <w:szCs w:val="24"/>
        </w:rPr>
        <w:t>also appear to be</w:t>
      </w:r>
      <w:r w:rsidR="00246CA6" w:rsidRPr="004F51D2">
        <w:rPr>
          <w:rFonts w:ascii="Times New Roman" w:hAnsi="Times New Roman" w:cs="Times New Roman"/>
          <w:sz w:val="24"/>
          <w:szCs w:val="24"/>
        </w:rPr>
        <w:t xml:space="preserve"> important </w:t>
      </w:r>
      <w:r w:rsidR="00D36266" w:rsidRPr="004F51D2">
        <w:rPr>
          <w:rFonts w:ascii="Times New Roman" w:hAnsi="Times New Roman" w:cs="Times New Roman"/>
          <w:sz w:val="24"/>
          <w:szCs w:val="24"/>
        </w:rPr>
        <w:t>predictors of</w:t>
      </w:r>
      <w:r w:rsidR="00246CA6" w:rsidRPr="004F51D2">
        <w:rPr>
          <w:rFonts w:ascii="Times New Roman" w:hAnsi="Times New Roman" w:cs="Times New Roman"/>
          <w:sz w:val="24"/>
          <w:szCs w:val="24"/>
        </w:rPr>
        <w:t xml:space="preserve"> </w:t>
      </w:r>
      <w:r w:rsidR="006715F1" w:rsidRPr="004F51D2">
        <w:rPr>
          <w:rFonts w:ascii="Times New Roman" w:hAnsi="Times New Roman" w:cs="Times New Roman"/>
          <w:sz w:val="24"/>
          <w:szCs w:val="24"/>
        </w:rPr>
        <w:t xml:space="preserve">both problematic online gaming and </w:t>
      </w:r>
      <w:r w:rsidR="00246CA6" w:rsidRPr="004F51D2">
        <w:rPr>
          <w:rFonts w:ascii="Times New Roman" w:hAnsi="Times New Roman" w:cs="Times New Roman"/>
          <w:sz w:val="24"/>
          <w:szCs w:val="24"/>
        </w:rPr>
        <w:t>IGD</w:t>
      </w:r>
      <w:r w:rsidR="005B3148" w:rsidRPr="004F51D2">
        <w:rPr>
          <w:rFonts w:ascii="Times New Roman" w:hAnsi="Times New Roman" w:cs="Times New Roman"/>
          <w:sz w:val="24"/>
          <w:szCs w:val="24"/>
        </w:rPr>
        <w:t>,</w:t>
      </w:r>
      <w:r w:rsidR="00552BAF" w:rsidRPr="004F51D2">
        <w:rPr>
          <w:rFonts w:ascii="Times New Roman" w:hAnsi="Times New Roman" w:cs="Times New Roman"/>
          <w:sz w:val="24"/>
          <w:szCs w:val="24"/>
        </w:rPr>
        <w:t xml:space="preserve"> </w:t>
      </w:r>
      <w:r w:rsidR="00246CA6" w:rsidRPr="004F51D2">
        <w:rPr>
          <w:rFonts w:ascii="Times New Roman" w:hAnsi="Times New Roman" w:cs="Times New Roman"/>
          <w:sz w:val="24"/>
          <w:szCs w:val="24"/>
        </w:rPr>
        <w:t>particularly</w:t>
      </w:r>
      <w:r w:rsidR="00552BAF" w:rsidRPr="004F51D2">
        <w:rPr>
          <w:rFonts w:ascii="Times New Roman" w:hAnsi="Times New Roman" w:cs="Times New Roman"/>
          <w:sz w:val="24"/>
          <w:szCs w:val="24"/>
        </w:rPr>
        <w:t xml:space="preserve"> </w:t>
      </w:r>
      <w:r w:rsidR="007A7679" w:rsidRPr="004F51D2">
        <w:rPr>
          <w:rFonts w:ascii="Times New Roman" w:hAnsi="Times New Roman" w:cs="Times New Roman"/>
          <w:sz w:val="24"/>
          <w:szCs w:val="24"/>
        </w:rPr>
        <w:t>in the presence of negative affect</w:t>
      </w:r>
      <w:r w:rsidR="00F16269" w:rsidRPr="004F51D2">
        <w:rPr>
          <w:rFonts w:ascii="Arial" w:hAnsi="Arial" w:cs="Arial"/>
          <w:color w:val="222222"/>
          <w:sz w:val="20"/>
          <w:szCs w:val="20"/>
          <w:shd w:val="clear" w:color="auto" w:fill="FFFFFF"/>
        </w:rPr>
        <w:t xml:space="preserve"> (</w:t>
      </w:r>
      <w:r w:rsidR="00F16269" w:rsidRPr="004F51D2">
        <w:rPr>
          <w:rFonts w:ascii="Times New Roman" w:hAnsi="Times New Roman" w:cs="Times New Roman"/>
          <w:sz w:val="24"/>
          <w:szCs w:val="24"/>
        </w:rPr>
        <w:t>Moudiab &amp; Spada</w:t>
      </w:r>
      <w:r w:rsidR="005B3148" w:rsidRPr="004F51D2">
        <w:rPr>
          <w:rFonts w:ascii="Times New Roman" w:hAnsi="Times New Roman" w:cs="Times New Roman"/>
          <w:sz w:val="24"/>
          <w:szCs w:val="24"/>
        </w:rPr>
        <w:t>,</w:t>
      </w:r>
      <w:r w:rsidR="00F16269" w:rsidRPr="004F51D2">
        <w:rPr>
          <w:rFonts w:ascii="Times New Roman" w:hAnsi="Times New Roman" w:cs="Times New Roman"/>
          <w:sz w:val="24"/>
          <w:szCs w:val="24"/>
        </w:rPr>
        <w:t xml:space="preserve"> 2019</w:t>
      </w:r>
      <w:r w:rsidR="005B3148" w:rsidRPr="004F51D2">
        <w:rPr>
          <w:rFonts w:ascii="Times New Roman" w:hAnsi="Times New Roman" w:cs="Times New Roman"/>
          <w:sz w:val="24"/>
          <w:szCs w:val="24"/>
        </w:rPr>
        <w:t xml:space="preserve">; </w:t>
      </w:r>
      <w:r w:rsidR="005B3148" w:rsidRPr="004F51D2">
        <w:rPr>
          <w:rFonts w:ascii="Times New Roman" w:hAnsi="Times New Roman" w:cs="Times New Roman"/>
          <w:sz w:val="24"/>
          <w:szCs w:val="24"/>
          <w:lang w:val="en-GB"/>
        </w:rPr>
        <w:t>Marino &amp; Spada, 2017</w:t>
      </w:r>
      <w:r w:rsidR="00F16269" w:rsidRPr="004F51D2">
        <w:rPr>
          <w:rFonts w:ascii="Times New Roman" w:hAnsi="Times New Roman" w:cs="Times New Roman"/>
          <w:sz w:val="24"/>
          <w:szCs w:val="24"/>
        </w:rPr>
        <w:t>)</w:t>
      </w:r>
      <w:r w:rsidR="00552BAF" w:rsidRPr="004F51D2">
        <w:rPr>
          <w:rFonts w:ascii="Times New Roman" w:hAnsi="Times New Roman" w:cs="Times New Roman"/>
          <w:sz w:val="24"/>
          <w:szCs w:val="24"/>
        </w:rPr>
        <w:t xml:space="preserve">. </w:t>
      </w:r>
      <w:r w:rsidR="00FA0C05" w:rsidRPr="004F51D2">
        <w:rPr>
          <w:rFonts w:ascii="Times New Roman" w:hAnsi="Times New Roman" w:cs="Times New Roman"/>
          <w:sz w:val="24"/>
          <w:szCs w:val="24"/>
        </w:rPr>
        <w:t xml:space="preserve">Maladaptive </w:t>
      </w:r>
      <w:r w:rsidR="00D36266" w:rsidRPr="004F51D2">
        <w:rPr>
          <w:rFonts w:ascii="Times New Roman" w:hAnsi="Times New Roman" w:cs="Times New Roman"/>
          <w:sz w:val="24"/>
          <w:szCs w:val="24"/>
        </w:rPr>
        <w:t xml:space="preserve">gaming-related </w:t>
      </w:r>
      <w:r w:rsidR="00FA0C05" w:rsidRPr="004F51D2">
        <w:rPr>
          <w:rFonts w:ascii="Times New Roman" w:hAnsi="Times New Roman" w:cs="Times New Roman"/>
          <w:sz w:val="24"/>
          <w:szCs w:val="24"/>
        </w:rPr>
        <w:t>cognitions</w:t>
      </w:r>
      <w:r w:rsidR="00C24DE0" w:rsidRPr="004F51D2">
        <w:rPr>
          <w:rFonts w:ascii="Times New Roman" w:hAnsi="Times New Roman" w:cs="Times New Roman"/>
          <w:sz w:val="24"/>
          <w:szCs w:val="24"/>
        </w:rPr>
        <w:t xml:space="preserve"> can lead to </w:t>
      </w:r>
      <w:r w:rsidR="007A7679" w:rsidRPr="004F51D2">
        <w:rPr>
          <w:rFonts w:ascii="Times New Roman" w:hAnsi="Times New Roman" w:cs="Times New Roman"/>
          <w:sz w:val="24"/>
          <w:szCs w:val="24"/>
        </w:rPr>
        <w:t xml:space="preserve">the </w:t>
      </w:r>
      <w:r w:rsidR="00C24DE0" w:rsidRPr="004F51D2">
        <w:rPr>
          <w:rFonts w:ascii="Times New Roman" w:hAnsi="Times New Roman" w:cs="Times New Roman"/>
          <w:sz w:val="24"/>
          <w:szCs w:val="24"/>
        </w:rPr>
        <w:t xml:space="preserve">persistence and over-involvement in online gaming (Forrest, King, &amp; Delfabbro, 2017; Marino &amp; Spada, 2017; Billieux et al., 2020). Maladaptive gaming-related cognitions </w:t>
      </w:r>
      <w:r w:rsidR="00FA0C05" w:rsidRPr="004F51D2">
        <w:rPr>
          <w:rFonts w:ascii="Times New Roman" w:hAnsi="Times New Roman" w:cs="Times New Roman"/>
          <w:sz w:val="24"/>
          <w:szCs w:val="24"/>
        </w:rPr>
        <w:t xml:space="preserve">have </w:t>
      </w:r>
      <w:r w:rsidR="007A7679" w:rsidRPr="004F51D2">
        <w:rPr>
          <w:rFonts w:ascii="Times New Roman" w:hAnsi="Times New Roman" w:cs="Times New Roman"/>
          <w:sz w:val="24"/>
          <w:szCs w:val="24"/>
        </w:rPr>
        <w:t xml:space="preserve">also </w:t>
      </w:r>
      <w:r w:rsidR="00FA0C05" w:rsidRPr="004F51D2">
        <w:rPr>
          <w:rFonts w:ascii="Times New Roman" w:hAnsi="Times New Roman" w:cs="Times New Roman"/>
          <w:sz w:val="24"/>
          <w:szCs w:val="24"/>
        </w:rPr>
        <w:t xml:space="preserve">been found to </w:t>
      </w:r>
      <w:r w:rsidR="00C24DE0" w:rsidRPr="004F51D2">
        <w:rPr>
          <w:rFonts w:ascii="Times New Roman" w:hAnsi="Times New Roman" w:cs="Times New Roman"/>
          <w:sz w:val="24"/>
          <w:szCs w:val="24"/>
        </w:rPr>
        <w:t xml:space="preserve">affect the overestimation of rewards and activities of the games, </w:t>
      </w:r>
      <w:r w:rsidR="00FA0C05" w:rsidRPr="004F51D2">
        <w:rPr>
          <w:rFonts w:ascii="Times New Roman" w:hAnsi="Times New Roman" w:cs="Times New Roman"/>
          <w:sz w:val="24"/>
          <w:szCs w:val="24"/>
        </w:rPr>
        <w:t xml:space="preserve">leading </w:t>
      </w:r>
      <w:r w:rsidR="00C24DE0" w:rsidRPr="004F51D2">
        <w:rPr>
          <w:rFonts w:ascii="Times New Roman" w:hAnsi="Times New Roman" w:cs="Times New Roman"/>
          <w:sz w:val="24"/>
          <w:szCs w:val="24"/>
        </w:rPr>
        <w:t xml:space="preserve">gamers </w:t>
      </w:r>
      <w:r w:rsidR="00FA0C05" w:rsidRPr="004F51D2">
        <w:rPr>
          <w:rFonts w:ascii="Times New Roman" w:hAnsi="Times New Roman" w:cs="Times New Roman"/>
          <w:sz w:val="24"/>
          <w:szCs w:val="24"/>
        </w:rPr>
        <w:t xml:space="preserve">to </w:t>
      </w:r>
      <w:r w:rsidR="00C24DE0" w:rsidRPr="004F51D2">
        <w:rPr>
          <w:rFonts w:ascii="Times New Roman" w:hAnsi="Times New Roman" w:cs="Times New Roman"/>
          <w:sz w:val="24"/>
          <w:szCs w:val="24"/>
        </w:rPr>
        <w:t xml:space="preserve">set strict rules for completing and continuing gaming (King &amp; Delfabbro, 2014). </w:t>
      </w:r>
      <w:r w:rsidR="007A7679" w:rsidRPr="004F51D2">
        <w:rPr>
          <w:rFonts w:ascii="Times New Roman" w:hAnsi="Times New Roman" w:cs="Times New Roman"/>
          <w:sz w:val="24"/>
          <w:szCs w:val="24"/>
        </w:rPr>
        <w:t xml:space="preserve">King and Delfabbro (2014) identified four broad categories of maladaptive </w:t>
      </w:r>
      <w:r w:rsidR="00D36266" w:rsidRPr="004F51D2">
        <w:rPr>
          <w:rFonts w:ascii="Times New Roman" w:hAnsi="Times New Roman" w:cs="Times New Roman"/>
          <w:sz w:val="24"/>
          <w:szCs w:val="24"/>
        </w:rPr>
        <w:t xml:space="preserve">gaming-related </w:t>
      </w:r>
      <w:r w:rsidR="007A7679" w:rsidRPr="004F51D2">
        <w:rPr>
          <w:rFonts w:ascii="Times New Roman" w:hAnsi="Times New Roman" w:cs="Times New Roman"/>
          <w:sz w:val="24"/>
          <w:szCs w:val="24"/>
        </w:rPr>
        <w:t>cognitions: (1) Cognitions regarding game reward value and tangibility (including cognitions relating to reward regulation and obsession); (2) Cognitions regarding maladaptive and inflexible rules about Internet gaming (including cognitions relating to sunk cost bias and procrastination); (3) Cognitions regarding over-reliance on gaming to meet self-esteem needs (including cognitions relating to control and gaming self-esteem); and (4) Cognitions regarding social acceptance in the gaming community rather than the real-world (</w:t>
      </w:r>
      <w:r w:rsidR="00D36266" w:rsidRPr="004F51D2">
        <w:rPr>
          <w:rFonts w:ascii="Times New Roman" w:hAnsi="Times New Roman" w:cs="Times New Roman"/>
          <w:sz w:val="24"/>
          <w:szCs w:val="24"/>
        </w:rPr>
        <w:t>i</w:t>
      </w:r>
      <w:r w:rsidR="007A7679" w:rsidRPr="004F51D2">
        <w:rPr>
          <w:rFonts w:ascii="Times New Roman" w:hAnsi="Times New Roman" w:cs="Times New Roman"/>
          <w:sz w:val="24"/>
          <w:szCs w:val="24"/>
        </w:rPr>
        <w:t xml:space="preserve">ncluding cognitions relating to social avoidance and sense of belonging). The findings and observations of King and Delfabbro were broadly supported by recent reviews of the literature (e.g., Marino &amp; Spada, 2017). </w:t>
      </w:r>
    </w:p>
    <w:p w14:paraId="50440968" w14:textId="2AE9B016" w:rsidR="00C24DE0" w:rsidRPr="004F51D2" w:rsidRDefault="00C24DE0" w:rsidP="001D1C08">
      <w:pPr>
        <w:bidi w:val="0"/>
        <w:spacing w:after="0" w:line="480" w:lineRule="auto"/>
        <w:jc w:val="both"/>
        <w:rPr>
          <w:rFonts w:ascii="Times New Roman" w:hAnsi="Times New Roman" w:cs="Times New Roman"/>
          <w:i/>
          <w:iCs/>
          <w:sz w:val="24"/>
          <w:szCs w:val="24"/>
        </w:rPr>
      </w:pPr>
      <w:r w:rsidRPr="004F51D2">
        <w:rPr>
          <w:rFonts w:ascii="Times New Roman" w:hAnsi="Times New Roman" w:cs="Times New Roman"/>
          <w:i/>
          <w:iCs/>
          <w:sz w:val="24"/>
          <w:szCs w:val="24"/>
        </w:rPr>
        <w:t>1.4. Personality</w:t>
      </w:r>
      <w:r w:rsidR="00237AA9" w:rsidRPr="004F51D2">
        <w:rPr>
          <w:rFonts w:ascii="Times New Roman" w:hAnsi="Times New Roman" w:cs="Times New Roman"/>
          <w:i/>
          <w:iCs/>
          <w:sz w:val="24"/>
          <w:szCs w:val="24"/>
        </w:rPr>
        <w:t xml:space="preserve"> trait</w:t>
      </w:r>
      <w:r w:rsidR="00FA0C05" w:rsidRPr="004F51D2">
        <w:rPr>
          <w:rFonts w:ascii="Times New Roman" w:hAnsi="Times New Roman" w:cs="Times New Roman"/>
          <w:i/>
          <w:iCs/>
          <w:sz w:val="24"/>
          <w:szCs w:val="24"/>
        </w:rPr>
        <w:t>s</w:t>
      </w:r>
      <w:r w:rsidR="006715F1" w:rsidRPr="004F51D2">
        <w:rPr>
          <w:rFonts w:ascii="Times New Roman" w:hAnsi="Times New Roman" w:cs="Times New Roman"/>
          <w:i/>
          <w:iCs/>
          <w:sz w:val="24"/>
          <w:szCs w:val="24"/>
        </w:rPr>
        <w:t>, problematic online gaming,</w:t>
      </w:r>
      <w:r w:rsidRPr="004F51D2">
        <w:rPr>
          <w:rFonts w:ascii="Times New Roman" w:hAnsi="Times New Roman" w:cs="Times New Roman"/>
          <w:i/>
          <w:iCs/>
          <w:sz w:val="24"/>
          <w:szCs w:val="24"/>
        </w:rPr>
        <w:t xml:space="preserve"> and IGD</w:t>
      </w:r>
    </w:p>
    <w:p w14:paraId="1EFB2C78" w14:textId="39B10898" w:rsidR="001D1C08" w:rsidRPr="004F51D2" w:rsidRDefault="00C84500" w:rsidP="00E365CD">
      <w:pPr>
        <w:bidi w:val="0"/>
        <w:spacing w:after="0" w:line="480" w:lineRule="auto"/>
        <w:jc w:val="both"/>
        <w:rPr>
          <w:rFonts w:ascii="Times New Roman" w:hAnsi="Times New Roman" w:cs="Times New Roman"/>
          <w:sz w:val="24"/>
          <w:szCs w:val="24"/>
        </w:rPr>
      </w:pPr>
      <w:r w:rsidRPr="004F51D2">
        <w:rPr>
          <w:rFonts w:ascii="Times New Roman" w:hAnsi="Times New Roman" w:cs="Times New Roman"/>
          <w:sz w:val="24"/>
          <w:szCs w:val="24"/>
        </w:rPr>
        <w:t>A</w:t>
      </w:r>
      <w:r w:rsidR="00147799" w:rsidRPr="004F51D2">
        <w:rPr>
          <w:rFonts w:ascii="Times New Roman" w:hAnsi="Times New Roman" w:cs="Times New Roman"/>
          <w:sz w:val="24"/>
          <w:szCs w:val="24"/>
        </w:rPr>
        <w:t xml:space="preserve"> </w:t>
      </w:r>
      <w:r w:rsidR="003574D1" w:rsidRPr="004F51D2">
        <w:rPr>
          <w:rFonts w:ascii="Times New Roman" w:hAnsi="Times New Roman" w:cs="Times New Roman"/>
          <w:sz w:val="24"/>
          <w:szCs w:val="24"/>
        </w:rPr>
        <w:t xml:space="preserve">further predictor of </w:t>
      </w:r>
      <w:r w:rsidR="00147799" w:rsidRPr="004F51D2">
        <w:rPr>
          <w:rFonts w:ascii="Times New Roman" w:hAnsi="Times New Roman" w:cs="Times New Roman"/>
          <w:sz w:val="24"/>
          <w:szCs w:val="24"/>
        </w:rPr>
        <w:t xml:space="preserve">IGD </w:t>
      </w:r>
      <w:r w:rsidR="003574D1" w:rsidRPr="004F51D2">
        <w:rPr>
          <w:rFonts w:ascii="Times New Roman" w:hAnsi="Times New Roman" w:cs="Times New Roman"/>
          <w:sz w:val="24"/>
          <w:szCs w:val="24"/>
        </w:rPr>
        <w:t>has been found to be</w:t>
      </w:r>
      <w:r w:rsidR="00147799" w:rsidRPr="004F51D2">
        <w:rPr>
          <w:rFonts w:ascii="Times New Roman" w:hAnsi="Times New Roman" w:cs="Times New Roman"/>
          <w:sz w:val="24"/>
          <w:szCs w:val="24"/>
        </w:rPr>
        <w:t xml:space="preserve"> differences in gamers’ personality traits (González-Bueso et al., 2020). </w:t>
      </w:r>
      <w:r w:rsidR="00FA0C05" w:rsidRPr="004F51D2">
        <w:rPr>
          <w:rFonts w:ascii="Times New Roman" w:hAnsi="Times New Roman" w:cs="Times New Roman"/>
          <w:sz w:val="24"/>
          <w:szCs w:val="24"/>
        </w:rPr>
        <w:t xml:space="preserve">High </w:t>
      </w:r>
      <w:r w:rsidR="00C24DE0" w:rsidRPr="004F51D2">
        <w:rPr>
          <w:rFonts w:ascii="Times New Roman" w:hAnsi="Times New Roman" w:cs="Times New Roman"/>
          <w:sz w:val="24"/>
          <w:szCs w:val="24"/>
        </w:rPr>
        <w:t xml:space="preserve">neuroticism and </w:t>
      </w:r>
      <w:r w:rsidR="00FA0C05" w:rsidRPr="004F51D2">
        <w:rPr>
          <w:rFonts w:ascii="Times New Roman" w:hAnsi="Times New Roman" w:cs="Times New Roman"/>
          <w:sz w:val="24"/>
          <w:szCs w:val="24"/>
        </w:rPr>
        <w:t xml:space="preserve">low </w:t>
      </w:r>
      <w:r w:rsidR="00C24DE0" w:rsidRPr="004F51D2">
        <w:rPr>
          <w:rFonts w:ascii="Times New Roman" w:hAnsi="Times New Roman" w:cs="Times New Roman"/>
          <w:sz w:val="24"/>
          <w:szCs w:val="24"/>
        </w:rPr>
        <w:t xml:space="preserve">conscientiousness </w:t>
      </w:r>
      <w:r w:rsidR="003574D1" w:rsidRPr="004F51D2">
        <w:rPr>
          <w:rFonts w:ascii="Times New Roman" w:hAnsi="Times New Roman" w:cs="Times New Roman"/>
          <w:sz w:val="24"/>
          <w:szCs w:val="24"/>
        </w:rPr>
        <w:t xml:space="preserve">have been </w:t>
      </w:r>
      <w:r w:rsidR="00C24DE0" w:rsidRPr="004F51D2">
        <w:rPr>
          <w:rFonts w:ascii="Times New Roman" w:hAnsi="Times New Roman" w:cs="Times New Roman"/>
          <w:sz w:val="24"/>
          <w:szCs w:val="24"/>
        </w:rPr>
        <w:lastRenderedPageBreak/>
        <w:t xml:space="preserve">linked to problematic </w:t>
      </w:r>
      <w:r w:rsidR="00FA0C05" w:rsidRPr="004F51D2">
        <w:rPr>
          <w:rFonts w:ascii="Times New Roman" w:hAnsi="Times New Roman" w:cs="Times New Roman"/>
          <w:sz w:val="24"/>
          <w:szCs w:val="24"/>
        </w:rPr>
        <w:t>Internet use</w:t>
      </w:r>
      <w:r w:rsidR="003574D1" w:rsidRPr="004F51D2">
        <w:rPr>
          <w:rFonts w:ascii="Times New Roman" w:hAnsi="Times New Roman" w:cs="Times New Roman"/>
          <w:sz w:val="24"/>
          <w:szCs w:val="24"/>
        </w:rPr>
        <w:t xml:space="preserve"> and</w:t>
      </w:r>
      <w:r w:rsidR="00C24DE0" w:rsidRPr="004F51D2">
        <w:rPr>
          <w:rFonts w:ascii="Times New Roman" w:hAnsi="Times New Roman" w:cs="Times New Roman"/>
          <w:sz w:val="24"/>
          <w:szCs w:val="24"/>
        </w:rPr>
        <w:t xml:space="preserve"> </w:t>
      </w:r>
      <w:r w:rsidR="00FA0C05" w:rsidRPr="004F51D2">
        <w:rPr>
          <w:rFonts w:ascii="Times New Roman" w:hAnsi="Times New Roman" w:cs="Times New Roman"/>
          <w:sz w:val="24"/>
          <w:szCs w:val="24"/>
        </w:rPr>
        <w:t>low</w:t>
      </w:r>
      <w:r w:rsidR="00C24DE0" w:rsidRPr="004F51D2">
        <w:rPr>
          <w:rFonts w:ascii="Times New Roman" w:hAnsi="Times New Roman" w:cs="Times New Roman"/>
          <w:sz w:val="24"/>
          <w:szCs w:val="24"/>
        </w:rPr>
        <w:t xml:space="preserve"> conscientiousness and low openness </w:t>
      </w:r>
      <w:r w:rsidR="003574D1" w:rsidRPr="004F51D2">
        <w:rPr>
          <w:rFonts w:ascii="Times New Roman" w:hAnsi="Times New Roman" w:cs="Times New Roman"/>
          <w:sz w:val="24"/>
          <w:szCs w:val="24"/>
        </w:rPr>
        <w:t>have been</w:t>
      </w:r>
      <w:r w:rsidR="00C24DE0" w:rsidRPr="004F51D2">
        <w:rPr>
          <w:rFonts w:ascii="Times New Roman" w:hAnsi="Times New Roman" w:cs="Times New Roman"/>
          <w:sz w:val="24"/>
          <w:szCs w:val="24"/>
        </w:rPr>
        <w:t xml:space="preserve"> linked to IGD (Wang et al., 2015). Many studies have shown that personality traits are associated with IGD (</w:t>
      </w:r>
      <w:r w:rsidR="00FA0C05" w:rsidRPr="004F51D2">
        <w:rPr>
          <w:rFonts w:ascii="Times New Roman" w:hAnsi="Times New Roman" w:cs="Times New Roman"/>
          <w:sz w:val="24"/>
          <w:szCs w:val="24"/>
        </w:rPr>
        <w:t xml:space="preserve">e.g., </w:t>
      </w:r>
      <w:r w:rsidR="00C24DE0" w:rsidRPr="004F51D2">
        <w:rPr>
          <w:rFonts w:ascii="Times New Roman" w:hAnsi="Times New Roman" w:cs="Times New Roman"/>
          <w:sz w:val="24"/>
          <w:szCs w:val="24"/>
        </w:rPr>
        <w:t>Collins, Freeman</w:t>
      </w:r>
      <w:r w:rsidR="00596E5F" w:rsidRPr="004F51D2">
        <w:rPr>
          <w:rFonts w:ascii="Times New Roman" w:hAnsi="Times New Roman" w:cs="Times New Roman"/>
          <w:sz w:val="24"/>
          <w:szCs w:val="24"/>
        </w:rPr>
        <w:t>,</w:t>
      </w:r>
      <w:r w:rsidR="00C24DE0" w:rsidRPr="004F51D2">
        <w:rPr>
          <w:rFonts w:ascii="Times New Roman" w:hAnsi="Times New Roman" w:cs="Times New Roman"/>
          <w:sz w:val="24"/>
          <w:szCs w:val="24"/>
        </w:rPr>
        <w:t xml:space="preserve"> &amp; Chamarro-Premuzic, 2012; Throuvala et al., 2019; Liao et al., 2020). </w:t>
      </w:r>
      <w:r w:rsidR="003574D1" w:rsidRPr="004F51D2">
        <w:rPr>
          <w:rFonts w:ascii="Times New Roman" w:hAnsi="Times New Roman" w:cs="Times New Roman"/>
          <w:sz w:val="24"/>
          <w:szCs w:val="24"/>
        </w:rPr>
        <w:t>L</w:t>
      </w:r>
      <w:r w:rsidR="00C24DE0" w:rsidRPr="004F51D2">
        <w:rPr>
          <w:rFonts w:ascii="Times New Roman" w:hAnsi="Times New Roman" w:cs="Times New Roman"/>
          <w:sz w:val="24"/>
          <w:szCs w:val="24"/>
        </w:rPr>
        <w:t xml:space="preserve">ow agreeableness, </w:t>
      </w:r>
      <w:r w:rsidR="00FA0C05" w:rsidRPr="004F51D2">
        <w:rPr>
          <w:rFonts w:ascii="Times New Roman" w:hAnsi="Times New Roman" w:cs="Times New Roman"/>
          <w:sz w:val="24"/>
          <w:szCs w:val="24"/>
        </w:rPr>
        <w:t>extraversion</w:t>
      </w:r>
      <w:r w:rsidR="00C24DE0" w:rsidRPr="004F51D2">
        <w:rPr>
          <w:rFonts w:ascii="Times New Roman" w:hAnsi="Times New Roman" w:cs="Times New Roman"/>
          <w:sz w:val="24"/>
          <w:szCs w:val="24"/>
        </w:rPr>
        <w:t xml:space="preserve">, and conscientiousness are </w:t>
      </w:r>
      <w:r w:rsidR="00D36266" w:rsidRPr="004F51D2">
        <w:rPr>
          <w:rFonts w:ascii="Times New Roman" w:hAnsi="Times New Roman" w:cs="Times New Roman"/>
          <w:sz w:val="24"/>
          <w:szCs w:val="24"/>
        </w:rPr>
        <w:t>typically associated with</w:t>
      </w:r>
      <w:r w:rsidR="00C24DE0" w:rsidRPr="004F51D2">
        <w:rPr>
          <w:rFonts w:ascii="Times New Roman" w:hAnsi="Times New Roman" w:cs="Times New Roman"/>
          <w:sz w:val="24"/>
          <w:szCs w:val="24"/>
        </w:rPr>
        <w:t xml:space="preserve"> IGD (Gervasi et al., 2017). A systematic review </w:t>
      </w:r>
      <w:r w:rsidR="003574D1" w:rsidRPr="004F51D2">
        <w:rPr>
          <w:rFonts w:ascii="Times New Roman" w:hAnsi="Times New Roman" w:cs="Times New Roman"/>
          <w:sz w:val="24"/>
          <w:szCs w:val="24"/>
        </w:rPr>
        <w:t xml:space="preserve">has </w:t>
      </w:r>
      <w:r w:rsidR="00C24DE0" w:rsidRPr="004F51D2">
        <w:rPr>
          <w:rFonts w:ascii="Times New Roman" w:hAnsi="Times New Roman" w:cs="Times New Roman"/>
          <w:sz w:val="24"/>
          <w:szCs w:val="24"/>
        </w:rPr>
        <w:t>show</w:t>
      </w:r>
      <w:r w:rsidR="003574D1" w:rsidRPr="004F51D2">
        <w:rPr>
          <w:rFonts w:ascii="Times New Roman" w:hAnsi="Times New Roman" w:cs="Times New Roman"/>
          <w:sz w:val="24"/>
          <w:szCs w:val="24"/>
        </w:rPr>
        <w:t>n</w:t>
      </w:r>
      <w:r w:rsidR="00C24DE0" w:rsidRPr="004F51D2">
        <w:rPr>
          <w:rFonts w:ascii="Times New Roman" w:hAnsi="Times New Roman" w:cs="Times New Roman"/>
          <w:sz w:val="24"/>
          <w:szCs w:val="24"/>
        </w:rPr>
        <w:t xml:space="preserve"> </w:t>
      </w:r>
      <w:r w:rsidR="006D0E57" w:rsidRPr="004F51D2">
        <w:rPr>
          <w:rFonts w:ascii="Times New Roman" w:hAnsi="Times New Roman" w:cs="Times New Roman"/>
          <w:sz w:val="24"/>
          <w:szCs w:val="24"/>
        </w:rPr>
        <w:t xml:space="preserve">that </w:t>
      </w:r>
      <w:r w:rsidR="00C24DE0" w:rsidRPr="004F51D2">
        <w:rPr>
          <w:rFonts w:ascii="Times New Roman" w:hAnsi="Times New Roman" w:cs="Times New Roman"/>
          <w:sz w:val="24"/>
          <w:szCs w:val="24"/>
        </w:rPr>
        <w:t>higher novelty</w:t>
      </w:r>
      <w:r w:rsidR="003574D1" w:rsidRPr="004F51D2">
        <w:rPr>
          <w:rFonts w:ascii="Times New Roman" w:hAnsi="Times New Roman" w:cs="Times New Roman"/>
          <w:sz w:val="24"/>
          <w:szCs w:val="24"/>
        </w:rPr>
        <w:t>-</w:t>
      </w:r>
      <w:r w:rsidR="00C24DE0" w:rsidRPr="004F51D2">
        <w:rPr>
          <w:rFonts w:ascii="Times New Roman" w:hAnsi="Times New Roman" w:cs="Times New Roman"/>
          <w:sz w:val="24"/>
          <w:szCs w:val="24"/>
        </w:rPr>
        <w:t>seeking and harm avoidance</w:t>
      </w:r>
      <w:r w:rsidR="006D0E57" w:rsidRPr="004F51D2">
        <w:rPr>
          <w:rFonts w:ascii="Times New Roman" w:hAnsi="Times New Roman" w:cs="Times New Roman"/>
          <w:sz w:val="24"/>
          <w:szCs w:val="24"/>
        </w:rPr>
        <w:t xml:space="preserve"> </w:t>
      </w:r>
      <w:r w:rsidR="003574D1" w:rsidRPr="004F51D2">
        <w:rPr>
          <w:rFonts w:ascii="Times New Roman" w:hAnsi="Times New Roman" w:cs="Times New Roman"/>
          <w:sz w:val="24"/>
          <w:szCs w:val="24"/>
        </w:rPr>
        <w:t>are</w:t>
      </w:r>
      <w:r w:rsidR="006D0E57" w:rsidRPr="004F51D2">
        <w:rPr>
          <w:rFonts w:ascii="Times New Roman" w:hAnsi="Times New Roman" w:cs="Times New Roman"/>
          <w:sz w:val="24"/>
          <w:szCs w:val="24"/>
        </w:rPr>
        <w:t xml:space="preserve"> </w:t>
      </w:r>
      <w:r w:rsidR="00D36266" w:rsidRPr="004F51D2">
        <w:rPr>
          <w:rFonts w:ascii="Times New Roman" w:hAnsi="Times New Roman" w:cs="Times New Roman"/>
          <w:sz w:val="24"/>
          <w:szCs w:val="24"/>
        </w:rPr>
        <w:t xml:space="preserve">also </w:t>
      </w:r>
      <w:r w:rsidR="006D0E57" w:rsidRPr="004F51D2">
        <w:rPr>
          <w:rFonts w:ascii="Times New Roman" w:hAnsi="Times New Roman" w:cs="Times New Roman"/>
          <w:sz w:val="24"/>
          <w:szCs w:val="24"/>
        </w:rPr>
        <w:t xml:space="preserve">risk factors for IGD </w:t>
      </w:r>
      <w:r w:rsidR="00C24DE0" w:rsidRPr="004F51D2">
        <w:rPr>
          <w:rFonts w:ascii="Times New Roman" w:hAnsi="Times New Roman" w:cs="Times New Roman"/>
          <w:sz w:val="24"/>
          <w:szCs w:val="24"/>
        </w:rPr>
        <w:t xml:space="preserve">(Şalvarlı &amp; Griffiths, 2019). Another study </w:t>
      </w:r>
      <w:r w:rsidR="003574D1" w:rsidRPr="004F51D2">
        <w:rPr>
          <w:rFonts w:ascii="Times New Roman" w:hAnsi="Times New Roman" w:cs="Times New Roman"/>
          <w:sz w:val="24"/>
          <w:szCs w:val="24"/>
        </w:rPr>
        <w:t>on</w:t>
      </w:r>
      <w:r w:rsidR="00C24DE0" w:rsidRPr="004F51D2">
        <w:rPr>
          <w:rFonts w:ascii="Times New Roman" w:hAnsi="Times New Roman" w:cs="Times New Roman"/>
          <w:sz w:val="24"/>
          <w:szCs w:val="24"/>
        </w:rPr>
        <w:t xml:space="preserve"> 30 </w:t>
      </w:r>
      <w:r w:rsidR="003574D1" w:rsidRPr="004F51D2">
        <w:rPr>
          <w:rFonts w:ascii="Times New Roman" w:hAnsi="Times New Roman" w:cs="Times New Roman"/>
          <w:sz w:val="24"/>
          <w:szCs w:val="24"/>
        </w:rPr>
        <w:t>individuals</w:t>
      </w:r>
      <w:r w:rsidR="00C24DE0" w:rsidRPr="004F51D2">
        <w:rPr>
          <w:rFonts w:ascii="Times New Roman" w:hAnsi="Times New Roman" w:cs="Times New Roman"/>
          <w:sz w:val="24"/>
          <w:szCs w:val="24"/>
        </w:rPr>
        <w:t xml:space="preserve"> age</w:t>
      </w:r>
      <w:r w:rsidR="003574D1" w:rsidRPr="004F51D2">
        <w:rPr>
          <w:rFonts w:ascii="Times New Roman" w:hAnsi="Times New Roman" w:cs="Times New Roman"/>
          <w:sz w:val="24"/>
          <w:szCs w:val="24"/>
        </w:rPr>
        <w:t>d</w:t>
      </w:r>
      <w:r w:rsidR="00C24DE0" w:rsidRPr="004F51D2">
        <w:rPr>
          <w:rFonts w:ascii="Times New Roman" w:hAnsi="Times New Roman" w:cs="Times New Roman"/>
          <w:sz w:val="24"/>
          <w:szCs w:val="24"/>
        </w:rPr>
        <w:t xml:space="preserve"> </w:t>
      </w:r>
      <w:r w:rsidR="003574D1" w:rsidRPr="004F51D2">
        <w:rPr>
          <w:rFonts w:ascii="Times New Roman" w:hAnsi="Times New Roman" w:cs="Times New Roman"/>
          <w:sz w:val="24"/>
          <w:szCs w:val="24"/>
        </w:rPr>
        <w:t>between</w:t>
      </w:r>
      <w:r w:rsidR="00C24DE0" w:rsidRPr="004F51D2">
        <w:rPr>
          <w:rFonts w:ascii="Times New Roman" w:hAnsi="Times New Roman" w:cs="Times New Roman"/>
          <w:sz w:val="24"/>
          <w:szCs w:val="24"/>
        </w:rPr>
        <w:t xml:space="preserve"> 12 </w:t>
      </w:r>
      <w:r w:rsidR="003574D1" w:rsidRPr="004F51D2">
        <w:rPr>
          <w:rFonts w:ascii="Times New Roman" w:hAnsi="Times New Roman" w:cs="Times New Roman"/>
          <w:sz w:val="24"/>
          <w:szCs w:val="24"/>
        </w:rPr>
        <w:t>and</w:t>
      </w:r>
      <w:r w:rsidR="00C24DE0" w:rsidRPr="004F51D2">
        <w:rPr>
          <w:rFonts w:ascii="Times New Roman" w:hAnsi="Times New Roman" w:cs="Times New Roman"/>
          <w:sz w:val="24"/>
          <w:szCs w:val="24"/>
        </w:rPr>
        <w:t xml:space="preserve"> 21 </w:t>
      </w:r>
      <w:r w:rsidR="003574D1" w:rsidRPr="004F51D2">
        <w:rPr>
          <w:rFonts w:ascii="Times New Roman" w:hAnsi="Times New Roman" w:cs="Times New Roman"/>
          <w:sz w:val="24"/>
          <w:szCs w:val="24"/>
        </w:rPr>
        <w:t xml:space="preserve">presenting </w:t>
      </w:r>
      <w:r w:rsidR="00C24DE0" w:rsidRPr="004F51D2">
        <w:rPr>
          <w:rFonts w:ascii="Times New Roman" w:hAnsi="Times New Roman" w:cs="Times New Roman"/>
          <w:sz w:val="24"/>
          <w:szCs w:val="24"/>
        </w:rPr>
        <w:t xml:space="preserve">with IGD found that they were more </w:t>
      </w:r>
      <w:r w:rsidR="006D0E57" w:rsidRPr="004F51D2">
        <w:rPr>
          <w:rFonts w:ascii="Times New Roman" w:hAnsi="Times New Roman" w:cs="Times New Roman"/>
          <w:sz w:val="24"/>
          <w:szCs w:val="24"/>
        </w:rPr>
        <w:t>introverted</w:t>
      </w:r>
      <w:r w:rsidR="00C24DE0" w:rsidRPr="004F51D2">
        <w:rPr>
          <w:rFonts w:ascii="Times New Roman" w:hAnsi="Times New Roman" w:cs="Times New Roman"/>
          <w:sz w:val="24"/>
          <w:szCs w:val="24"/>
        </w:rPr>
        <w:t xml:space="preserve">, inhibited, and histrionic than </w:t>
      </w:r>
      <w:r w:rsidR="003574D1" w:rsidRPr="004F51D2">
        <w:rPr>
          <w:rFonts w:ascii="Times New Roman" w:hAnsi="Times New Roman" w:cs="Times New Roman"/>
          <w:sz w:val="24"/>
          <w:szCs w:val="24"/>
        </w:rPr>
        <w:t>a</w:t>
      </w:r>
      <w:r w:rsidR="00C24DE0" w:rsidRPr="004F51D2">
        <w:rPr>
          <w:rFonts w:ascii="Times New Roman" w:hAnsi="Times New Roman" w:cs="Times New Roman"/>
          <w:sz w:val="24"/>
          <w:szCs w:val="24"/>
        </w:rPr>
        <w:t xml:space="preserve"> control group (González-Bueso et al., 2018).</w:t>
      </w:r>
      <w:r w:rsidR="00B5233F" w:rsidRPr="004F51D2" w:rsidDel="00B5233F">
        <w:rPr>
          <w:rFonts w:ascii="Times New Roman" w:hAnsi="Times New Roman" w:cs="Times New Roman"/>
          <w:sz w:val="24"/>
          <w:szCs w:val="24"/>
        </w:rPr>
        <w:t xml:space="preserve"> </w:t>
      </w:r>
      <w:r w:rsidR="00E365CD" w:rsidRPr="004F51D2">
        <w:t xml:space="preserve"> </w:t>
      </w:r>
      <w:r w:rsidR="00E365CD" w:rsidRPr="004F51D2">
        <w:rPr>
          <w:rFonts w:ascii="Times New Roman" w:hAnsi="Times New Roman" w:cs="Times New Roman"/>
          <w:sz w:val="24"/>
          <w:szCs w:val="24"/>
        </w:rPr>
        <w:t xml:space="preserve">Also, González-Bueso </w:t>
      </w:r>
      <w:r w:rsidR="003574D1" w:rsidRPr="004F51D2">
        <w:rPr>
          <w:rFonts w:ascii="Times New Roman" w:hAnsi="Times New Roman" w:cs="Times New Roman"/>
          <w:sz w:val="24"/>
          <w:szCs w:val="24"/>
        </w:rPr>
        <w:t>and colleagues</w:t>
      </w:r>
      <w:r w:rsidR="00E365CD" w:rsidRPr="004F51D2">
        <w:rPr>
          <w:rFonts w:ascii="Times New Roman" w:hAnsi="Times New Roman" w:cs="Times New Roman"/>
          <w:sz w:val="24"/>
          <w:szCs w:val="24"/>
        </w:rPr>
        <w:t xml:space="preserve"> (2020) </w:t>
      </w:r>
      <w:r w:rsidR="003574D1" w:rsidRPr="004F51D2">
        <w:rPr>
          <w:rFonts w:ascii="Times New Roman" w:hAnsi="Times New Roman" w:cs="Times New Roman"/>
          <w:sz w:val="24"/>
          <w:szCs w:val="24"/>
        </w:rPr>
        <w:t xml:space="preserve">have </w:t>
      </w:r>
      <w:r w:rsidR="00E365CD" w:rsidRPr="004F51D2">
        <w:rPr>
          <w:rFonts w:ascii="Times New Roman" w:hAnsi="Times New Roman" w:cs="Times New Roman"/>
          <w:sz w:val="24"/>
          <w:szCs w:val="24"/>
        </w:rPr>
        <w:t>show</w:t>
      </w:r>
      <w:r w:rsidR="003574D1" w:rsidRPr="004F51D2">
        <w:rPr>
          <w:rFonts w:ascii="Times New Roman" w:hAnsi="Times New Roman" w:cs="Times New Roman"/>
          <w:sz w:val="24"/>
          <w:szCs w:val="24"/>
        </w:rPr>
        <w:t>n</w:t>
      </w:r>
      <w:r w:rsidR="00E365CD" w:rsidRPr="004F51D2">
        <w:rPr>
          <w:rFonts w:ascii="Times New Roman" w:hAnsi="Times New Roman" w:cs="Times New Roman"/>
          <w:sz w:val="24"/>
          <w:szCs w:val="24"/>
        </w:rPr>
        <w:t xml:space="preserve"> </w:t>
      </w:r>
      <w:r w:rsidR="003574D1" w:rsidRPr="004F51D2">
        <w:rPr>
          <w:rFonts w:ascii="Times New Roman" w:hAnsi="Times New Roman" w:cs="Times New Roman"/>
          <w:sz w:val="24"/>
          <w:szCs w:val="24"/>
        </w:rPr>
        <w:t xml:space="preserve">that individuals presenting with </w:t>
      </w:r>
      <w:r w:rsidR="00E365CD" w:rsidRPr="004F51D2">
        <w:rPr>
          <w:rFonts w:ascii="Times New Roman" w:hAnsi="Times New Roman" w:cs="Times New Roman"/>
          <w:sz w:val="24"/>
          <w:szCs w:val="24"/>
        </w:rPr>
        <w:t xml:space="preserve">symptoms of IGD </w:t>
      </w:r>
      <w:r w:rsidR="003574D1" w:rsidRPr="004F51D2">
        <w:rPr>
          <w:rFonts w:ascii="Times New Roman" w:hAnsi="Times New Roman" w:cs="Times New Roman"/>
          <w:sz w:val="24"/>
          <w:szCs w:val="24"/>
        </w:rPr>
        <w:t>have</w:t>
      </w:r>
      <w:r w:rsidR="00E365CD" w:rsidRPr="004F51D2">
        <w:rPr>
          <w:rFonts w:ascii="Times New Roman" w:hAnsi="Times New Roman" w:cs="Times New Roman"/>
          <w:sz w:val="24"/>
          <w:szCs w:val="24"/>
        </w:rPr>
        <w:t xml:space="preserve"> significant difference</w:t>
      </w:r>
      <w:r w:rsidR="003574D1" w:rsidRPr="004F51D2">
        <w:rPr>
          <w:rFonts w:ascii="Times New Roman" w:hAnsi="Times New Roman" w:cs="Times New Roman"/>
          <w:sz w:val="24"/>
          <w:szCs w:val="24"/>
        </w:rPr>
        <w:t>s</w:t>
      </w:r>
      <w:r w:rsidR="00E365CD" w:rsidRPr="004F51D2">
        <w:rPr>
          <w:rFonts w:ascii="Times New Roman" w:hAnsi="Times New Roman" w:cs="Times New Roman"/>
          <w:sz w:val="24"/>
          <w:szCs w:val="24"/>
        </w:rPr>
        <w:t xml:space="preserve"> in personality traits</w:t>
      </w:r>
      <w:r w:rsidR="003574D1" w:rsidRPr="004F51D2">
        <w:rPr>
          <w:rFonts w:ascii="Times New Roman" w:hAnsi="Times New Roman" w:cs="Times New Roman"/>
          <w:sz w:val="24"/>
          <w:szCs w:val="24"/>
        </w:rPr>
        <w:t xml:space="preserve"> compared to non-clinical samples</w:t>
      </w:r>
      <w:r w:rsidR="00E365CD" w:rsidRPr="004F51D2">
        <w:rPr>
          <w:rFonts w:ascii="Times New Roman" w:hAnsi="Times New Roman" w:cs="Times New Roman"/>
          <w:sz w:val="24"/>
          <w:szCs w:val="24"/>
        </w:rPr>
        <w:t>. They are more introver</w:t>
      </w:r>
      <w:r w:rsidR="003574D1" w:rsidRPr="004F51D2">
        <w:rPr>
          <w:rFonts w:ascii="Times New Roman" w:hAnsi="Times New Roman" w:cs="Times New Roman"/>
          <w:sz w:val="24"/>
          <w:szCs w:val="24"/>
        </w:rPr>
        <w:t>ted</w:t>
      </w:r>
      <w:r w:rsidR="00E365CD" w:rsidRPr="004F51D2">
        <w:rPr>
          <w:rFonts w:ascii="Times New Roman" w:hAnsi="Times New Roman" w:cs="Times New Roman"/>
          <w:sz w:val="24"/>
          <w:szCs w:val="24"/>
        </w:rPr>
        <w:t>, oppositional</w:t>
      </w:r>
      <w:r w:rsidR="003574D1" w:rsidRPr="004F51D2">
        <w:rPr>
          <w:rFonts w:ascii="Times New Roman" w:hAnsi="Times New Roman" w:cs="Times New Roman"/>
          <w:sz w:val="24"/>
          <w:szCs w:val="24"/>
        </w:rPr>
        <w:t>,</w:t>
      </w:r>
      <w:r w:rsidR="00E365CD" w:rsidRPr="004F51D2">
        <w:rPr>
          <w:rFonts w:ascii="Times New Roman" w:hAnsi="Times New Roman" w:cs="Times New Roman"/>
          <w:sz w:val="24"/>
          <w:szCs w:val="24"/>
        </w:rPr>
        <w:t xml:space="preserve"> and self-demeaning, and have borderline tendency traits. </w:t>
      </w:r>
    </w:p>
    <w:p w14:paraId="0B930F3F" w14:textId="7BE5A63B" w:rsidR="00C24DE0" w:rsidRPr="004F51D2" w:rsidRDefault="00C24DE0" w:rsidP="001D1C08">
      <w:pPr>
        <w:bidi w:val="0"/>
        <w:spacing w:after="0" w:line="480" w:lineRule="auto"/>
        <w:jc w:val="both"/>
        <w:rPr>
          <w:rFonts w:ascii="Times New Roman" w:hAnsi="Times New Roman" w:cs="Times New Roman"/>
          <w:i/>
          <w:iCs/>
          <w:sz w:val="24"/>
          <w:szCs w:val="24"/>
          <w:rtl/>
        </w:rPr>
      </w:pPr>
      <w:r w:rsidRPr="004F51D2">
        <w:rPr>
          <w:rFonts w:ascii="Times New Roman" w:hAnsi="Times New Roman" w:cs="Times New Roman"/>
          <w:i/>
          <w:iCs/>
          <w:sz w:val="24"/>
          <w:szCs w:val="24"/>
        </w:rPr>
        <w:t>1.</w:t>
      </w:r>
      <w:r w:rsidR="00237AA9" w:rsidRPr="004F51D2">
        <w:rPr>
          <w:rFonts w:ascii="Times New Roman" w:hAnsi="Times New Roman" w:cs="Times New Roman"/>
          <w:i/>
          <w:iCs/>
          <w:sz w:val="24"/>
          <w:szCs w:val="24"/>
        </w:rPr>
        <w:t>5</w:t>
      </w:r>
      <w:r w:rsidRPr="004F51D2">
        <w:rPr>
          <w:rFonts w:ascii="Times New Roman" w:hAnsi="Times New Roman" w:cs="Times New Roman"/>
          <w:i/>
          <w:iCs/>
          <w:sz w:val="24"/>
          <w:szCs w:val="24"/>
        </w:rPr>
        <w:t>. The aim</w:t>
      </w:r>
      <w:r w:rsidR="006D0E57" w:rsidRPr="004F51D2">
        <w:rPr>
          <w:rFonts w:ascii="Times New Roman" w:hAnsi="Times New Roman" w:cs="Times New Roman"/>
          <w:i/>
          <w:iCs/>
          <w:sz w:val="24"/>
          <w:szCs w:val="24"/>
        </w:rPr>
        <w:t>s</w:t>
      </w:r>
      <w:r w:rsidRPr="004F51D2">
        <w:rPr>
          <w:rFonts w:ascii="Times New Roman" w:hAnsi="Times New Roman" w:cs="Times New Roman"/>
          <w:i/>
          <w:iCs/>
          <w:sz w:val="24"/>
          <w:szCs w:val="24"/>
        </w:rPr>
        <w:t xml:space="preserve"> of the current study</w:t>
      </w:r>
    </w:p>
    <w:p w14:paraId="23BC8E86" w14:textId="2665042E" w:rsidR="00C24DE0" w:rsidRPr="004F51D2" w:rsidRDefault="00C24DE0" w:rsidP="001D1C08">
      <w:pPr>
        <w:bidi w:val="0"/>
        <w:spacing w:after="0" w:line="480" w:lineRule="auto"/>
        <w:jc w:val="both"/>
        <w:rPr>
          <w:rFonts w:ascii="Times New Roman" w:hAnsi="Times New Roman" w:cs="Times New Roman"/>
          <w:sz w:val="24"/>
          <w:szCs w:val="24"/>
        </w:rPr>
      </w:pPr>
      <w:r w:rsidRPr="004F51D2">
        <w:rPr>
          <w:rFonts w:ascii="Times New Roman" w:hAnsi="Times New Roman" w:cs="Times New Roman"/>
          <w:sz w:val="24"/>
          <w:szCs w:val="24"/>
        </w:rPr>
        <w:t>Considering the importance of the role of metacognition</w:t>
      </w:r>
      <w:r w:rsidR="006D0E57" w:rsidRPr="004F51D2">
        <w:rPr>
          <w:rFonts w:ascii="Times New Roman" w:hAnsi="Times New Roman" w:cs="Times New Roman"/>
          <w:sz w:val="24"/>
          <w:szCs w:val="24"/>
        </w:rPr>
        <w:t>s</w:t>
      </w:r>
      <w:r w:rsidRPr="004F51D2">
        <w:rPr>
          <w:rFonts w:ascii="Times New Roman" w:hAnsi="Times New Roman" w:cs="Times New Roman"/>
          <w:sz w:val="24"/>
          <w:szCs w:val="24"/>
        </w:rPr>
        <w:t xml:space="preserve"> in </w:t>
      </w:r>
      <w:r w:rsidR="006D0E57" w:rsidRPr="004F51D2">
        <w:rPr>
          <w:rFonts w:ascii="Times New Roman" w:hAnsi="Times New Roman" w:cs="Times New Roman"/>
          <w:sz w:val="24"/>
          <w:szCs w:val="24"/>
        </w:rPr>
        <w:t xml:space="preserve">predicting addictive </w:t>
      </w:r>
      <w:r w:rsidR="00D36266" w:rsidRPr="004F51D2">
        <w:rPr>
          <w:rFonts w:ascii="Times New Roman" w:hAnsi="Times New Roman" w:cs="Times New Roman"/>
          <w:sz w:val="24"/>
          <w:szCs w:val="24"/>
        </w:rPr>
        <w:t>behavior</w:t>
      </w:r>
      <w:r w:rsidR="006D0E57" w:rsidRPr="004F51D2">
        <w:rPr>
          <w:rFonts w:ascii="Times New Roman" w:hAnsi="Times New Roman" w:cs="Times New Roman"/>
          <w:sz w:val="24"/>
          <w:szCs w:val="24"/>
        </w:rPr>
        <w:t xml:space="preserve">s, including </w:t>
      </w:r>
      <w:r w:rsidRPr="004F51D2">
        <w:rPr>
          <w:rFonts w:ascii="Times New Roman" w:hAnsi="Times New Roman" w:cs="Times New Roman"/>
          <w:sz w:val="24"/>
          <w:szCs w:val="24"/>
        </w:rPr>
        <w:t>IGD</w:t>
      </w:r>
      <w:r w:rsidR="006D0E57" w:rsidRPr="004F51D2">
        <w:rPr>
          <w:rFonts w:ascii="Times New Roman" w:hAnsi="Times New Roman" w:cs="Times New Roman"/>
          <w:sz w:val="24"/>
          <w:szCs w:val="24"/>
        </w:rPr>
        <w:t>,</w:t>
      </w:r>
      <w:r w:rsidRPr="004F51D2">
        <w:rPr>
          <w:rFonts w:ascii="Times New Roman" w:hAnsi="Times New Roman" w:cs="Times New Roman"/>
          <w:sz w:val="24"/>
          <w:szCs w:val="24"/>
        </w:rPr>
        <w:t xml:space="preserve"> the first aim of the current study </w:t>
      </w:r>
      <w:r w:rsidR="006D0E57" w:rsidRPr="004F51D2">
        <w:rPr>
          <w:rFonts w:ascii="Times New Roman" w:hAnsi="Times New Roman" w:cs="Times New Roman"/>
          <w:sz w:val="24"/>
          <w:szCs w:val="24"/>
        </w:rPr>
        <w:t xml:space="preserve">was </w:t>
      </w:r>
      <w:r w:rsidRPr="004F51D2">
        <w:rPr>
          <w:rFonts w:ascii="Times New Roman" w:hAnsi="Times New Roman" w:cs="Times New Roman"/>
          <w:sz w:val="24"/>
          <w:szCs w:val="24"/>
        </w:rPr>
        <w:t xml:space="preserve">to evaluate the </w:t>
      </w:r>
      <w:r w:rsidR="006D0E57" w:rsidRPr="004F51D2">
        <w:rPr>
          <w:rFonts w:ascii="Times New Roman" w:hAnsi="Times New Roman" w:cs="Times New Roman"/>
          <w:sz w:val="24"/>
          <w:szCs w:val="24"/>
        </w:rPr>
        <w:t>psychometric properties of the MOGS in an Iranian population</w:t>
      </w:r>
      <w:r w:rsidRPr="004F51D2">
        <w:rPr>
          <w:rFonts w:ascii="Times New Roman" w:hAnsi="Times New Roman" w:cs="Times New Roman"/>
          <w:sz w:val="24"/>
          <w:szCs w:val="24"/>
        </w:rPr>
        <w:t xml:space="preserve">. </w:t>
      </w:r>
      <w:r w:rsidR="006D0E57" w:rsidRPr="004F51D2">
        <w:rPr>
          <w:rFonts w:ascii="Times New Roman" w:hAnsi="Times New Roman" w:cs="Times New Roman"/>
          <w:sz w:val="24"/>
          <w:szCs w:val="24"/>
        </w:rPr>
        <w:t xml:space="preserve">The second aim of the study was to </w:t>
      </w:r>
      <w:r w:rsidR="006715F1" w:rsidRPr="004F51D2">
        <w:rPr>
          <w:rFonts w:ascii="Times New Roman" w:hAnsi="Times New Roman" w:cs="Times New Roman"/>
          <w:sz w:val="24"/>
          <w:szCs w:val="24"/>
        </w:rPr>
        <w:t>explore the</w:t>
      </w:r>
      <w:r w:rsidR="006D0E57" w:rsidRPr="004F51D2">
        <w:rPr>
          <w:rFonts w:ascii="Times New Roman" w:hAnsi="Times New Roman" w:cs="Times New Roman"/>
          <w:sz w:val="24"/>
          <w:szCs w:val="24"/>
        </w:rPr>
        <w:t xml:space="preserve"> relative contribution of </w:t>
      </w:r>
      <w:r w:rsidR="006C5588" w:rsidRPr="004F51D2">
        <w:rPr>
          <w:rFonts w:ascii="Times New Roman" w:hAnsi="Times New Roman" w:cs="Times New Roman"/>
          <w:sz w:val="24"/>
          <w:szCs w:val="24"/>
        </w:rPr>
        <w:t xml:space="preserve">gaming-related </w:t>
      </w:r>
      <w:r w:rsidRPr="004F51D2">
        <w:rPr>
          <w:rFonts w:ascii="Times New Roman" w:hAnsi="Times New Roman" w:cs="Times New Roman"/>
          <w:sz w:val="24"/>
          <w:szCs w:val="24"/>
        </w:rPr>
        <w:t>cogniti</w:t>
      </w:r>
      <w:r w:rsidR="006D0E57" w:rsidRPr="004F51D2">
        <w:rPr>
          <w:rFonts w:ascii="Times New Roman" w:hAnsi="Times New Roman" w:cs="Times New Roman"/>
          <w:sz w:val="24"/>
          <w:szCs w:val="24"/>
        </w:rPr>
        <w:t>ons</w:t>
      </w:r>
      <w:r w:rsidRPr="004F51D2">
        <w:rPr>
          <w:rFonts w:ascii="Times New Roman" w:hAnsi="Times New Roman" w:cs="Times New Roman"/>
          <w:sz w:val="24"/>
          <w:szCs w:val="24"/>
        </w:rPr>
        <w:t xml:space="preserve">, </w:t>
      </w:r>
      <w:r w:rsidR="006C5588" w:rsidRPr="004F51D2">
        <w:rPr>
          <w:rFonts w:ascii="Times New Roman" w:hAnsi="Times New Roman" w:cs="Times New Roman"/>
          <w:sz w:val="24"/>
          <w:szCs w:val="24"/>
        </w:rPr>
        <w:t xml:space="preserve">gaming </w:t>
      </w:r>
      <w:r w:rsidR="003574D1" w:rsidRPr="004F51D2">
        <w:rPr>
          <w:rFonts w:ascii="Times New Roman" w:hAnsi="Times New Roman" w:cs="Times New Roman"/>
          <w:sz w:val="24"/>
          <w:szCs w:val="24"/>
        </w:rPr>
        <w:t>motives</w:t>
      </w:r>
      <w:r w:rsidRPr="004F51D2">
        <w:rPr>
          <w:rFonts w:ascii="Times New Roman" w:hAnsi="Times New Roman" w:cs="Times New Roman"/>
          <w:sz w:val="24"/>
          <w:szCs w:val="24"/>
        </w:rPr>
        <w:t xml:space="preserve">, and metacognitions </w:t>
      </w:r>
      <w:r w:rsidR="006C5588" w:rsidRPr="004F51D2">
        <w:rPr>
          <w:rFonts w:ascii="Times New Roman" w:hAnsi="Times New Roman" w:cs="Times New Roman"/>
          <w:sz w:val="24"/>
          <w:szCs w:val="24"/>
        </w:rPr>
        <w:t xml:space="preserve">about online gaming </w:t>
      </w:r>
      <w:r w:rsidR="006D0E57" w:rsidRPr="004F51D2">
        <w:rPr>
          <w:rFonts w:ascii="Times New Roman" w:hAnsi="Times New Roman" w:cs="Times New Roman"/>
          <w:sz w:val="24"/>
          <w:szCs w:val="24"/>
        </w:rPr>
        <w:t>to</w:t>
      </w:r>
      <w:r w:rsidRPr="004F51D2">
        <w:rPr>
          <w:rFonts w:ascii="Times New Roman" w:hAnsi="Times New Roman" w:cs="Times New Roman"/>
          <w:sz w:val="24"/>
          <w:szCs w:val="24"/>
        </w:rPr>
        <w:t xml:space="preserve"> </w:t>
      </w:r>
      <w:r w:rsidR="006715F1" w:rsidRPr="004F51D2">
        <w:rPr>
          <w:rFonts w:ascii="Times New Roman" w:hAnsi="Times New Roman" w:cs="Times New Roman"/>
          <w:sz w:val="24"/>
          <w:szCs w:val="24"/>
        </w:rPr>
        <w:t>problematic online gaming</w:t>
      </w:r>
      <w:r w:rsidRPr="004F51D2">
        <w:rPr>
          <w:rFonts w:ascii="Times New Roman" w:hAnsi="Times New Roman" w:cs="Times New Roman"/>
          <w:sz w:val="24"/>
          <w:szCs w:val="24"/>
        </w:rPr>
        <w:t xml:space="preserve"> </w:t>
      </w:r>
      <w:r w:rsidR="006D0E57" w:rsidRPr="004F51D2">
        <w:rPr>
          <w:rFonts w:ascii="Times New Roman" w:hAnsi="Times New Roman" w:cs="Times New Roman"/>
          <w:sz w:val="24"/>
          <w:szCs w:val="24"/>
        </w:rPr>
        <w:t>controlling for</w:t>
      </w:r>
      <w:r w:rsidRPr="004F51D2">
        <w:rPr>
          <w:rFonts w:ascii="Times New Roman" w:hAnsi="Times New Roman" w:cs="Times New Roman"/>
          <w:sz w:val="24"/>
          <w:szCs w:val="24"/>
        </w:rPr>
        <w:t xml:space="preserve"> personality trait</w:t>
      </w:r>
      <w:r w:rsidR="006D0E57" w:rsidRPr="004F51D2">
        <w:rPr>
          <w:rFonts w:ascii="Times New Roman" w:hAnsi="Times New Roman" w:cs="Times New Roman"/>
          <w:sz w:val="24"/>
          <w:szCs w:val="24"/>
        </w:rPr>
        <w:t>s and negative affect (</w:t>
      </w:r>
      <w:r w:rsidRPr="004F51D2">
        <w:rPr>
          <w:rFonts w:ascii="Times New Roman" w:hAnsi="Times New Roman" w:cs="Times New Roman"/>
          <w:sz w:val="24"/>
          <w:szCs w:val="24"/>
        </w:rPr>
        <w:t>anxiety, depression, stress</w:t>
      </w:r>
      <w:r w:rsidR="006D0E57" w:rsidRPr="004F51D2">
        <w:rPr>
          <w:rFonts w:ascii="Times New Roman" w:hAnsi="Times New Roman" w:cs="Times New Roman"/>
          <w:sz w:val="24"/>
          <w:szCs w:val="24"/>
        </w:rPr>
        <w:t>). No study</w:t>
      </w:r>
      <w:r w:rsidR="003574D1" w:rsidRPr="004F51D2">
        <w:rPr>
          <w:rFonts w:ascii="Times New Roman" w:hAnsi="Times New Roman" w:cs="Times New Roman"/>
          <w:sz w:val="24"/>
          <w:szCs w:val="24"/>
        </w:rPr>
        <w:t>,</w:t>
      </w:r>
      <w:r w:rsidR="006D0E57" w:rsidRPr="004F51D2">
        <w:rPr>
          <w:rFonts w:ascii="Times New Roman" w:hAnsi="Times New Roman" w:cs="Times New Roman"/>
          <w:sz w:val="24"/>
          <w:szCs w:val="24"/>
        </w:rPr>
        <w:t xml:space="preserve"> to date</w:t>
      </w:r>
      <w:r w:rsidR="003574D1" w:rsidRPr="004F51D2">
        <w:rPr>
          <w:rFonts w:ascii="Times New Roman" w:hAnsi="Times New Roman" w:cs="Times New Roman"/>
          <w:sz w:val="24"/>
          <w:szCs w:val="24"/>
        </w:rPr>
        <w:t>,</w:t>
      </w:r>
      <w:r w:rsidR="006D0E57" w:rsidRPr="004F51D2">
        <w:rPr>
          <w:rFonts w:ascii="Times New Roman" w:hAnsi="Times New Roman" w:cs="Times New Roman"/>
          <w:sz w:val="24"/>
          <w:szCs w:val="24"/>
        </w:rPr>
        <w:t xml:space="preserve"> has investigated the relative contribution of </w:t>
      </w:r>
      <w:r w:rsidR="006C5588" w:rsidRPr="004F51D2">
        <w:rPr>
          <w:rFonts w:ascii="Times New Roman" w:hAnsi="Times New Roman" w:cs="Times New Roman"/>
          <w:sz w:val="24"/>
          <w:szCs w:val="24"/>
        </w:rPr>
        <w:t xml:space="preserve">gaming-related </w:t>
      </w:r>
      <w:r w:rsidR="006D0E57" w:rsidRPr="004F51D2">
        <w:rPr>
          <w:rFonts w:ascii="Times New Roman" w:hAnsi="Times New Roman" w:cs="Times New Roman"/>
          <w:sz w:val="24"/>
          <w:szCs w:val="24"/>
        </w:rPr>
        <w:t xml:space="preserve">cognitions, </w:t>
      </w:r>
      <w:r w:rsidR="006C5588" w:rsidRPr="004F51D2">
        <w:rPr>
          <w:rFonts w:ascii="Times New Roman" w:hAnsi="Times New Roman" w:cs="Times New Roman"/>
          <w:sz w:val="24"/>
          <w:szCs w:val="24"/>
        </w:rPr>
        <w:t xml:space="preserve">gaming </w:t>
      </w:r>
      <w:r w:rsidR="003574D1" w:rsidRPr="004F51D2">
        <w:rPr>
          <w:rFonts w:ascii="Times New Roman" w:hAnsi="Times New Roman" w:cs="Times New Roman"/>
          <w:sz w:val="24"/>
          <w:szCs w:val="24"/>
        </w:rPr>
        <w:t>motives,</w:t>
      </w:r>
      <w:r w:rsidR="006D0E57" w:rsidRPr="004F51D2">
        <w:rPr>
          <w:rFonts w:ascii="Times New Roman" w:hAnsi="Times New Roman" w:cs="Times New Roman"/>
          <w:sz w:val="24"/>
          <w:szCs w:val="24"/>
        </w:rPr>
        <w:t xml:space="preserve"> and metacognitions </w:t>
      </w:r>
      <w:r w:rsidR="006C5588" w:rsidRPr="004F51D2">
        <w:rPr>
          <w:rFonts w:ascii="Times New Roman" w:hAnsi="Times New Roman" w:cs="Times New Roman"/>
          <w:sz w:val="24"/>
          <w:szCs w:val="24"/>
        </w:rPr>
        <w:t xml:space="preserve">about online gaming </w:t>
      </w:r>
      <w:r w:rsidR="006D0E57" w:rsidRPr="004F51D2">
        <w:rPr>
          <w:rFonts w:ascii="Times New Roman" w:hAnsi="Times New Roman" w:cs="Times New Roman"/>
          <w:sz w:val="24"/>
          <w:szCs w:val="24"/>
        </w:rPr>
        <w:t xml:space="preserve">to </w:t>
      </w:r>
      <w:r w:rsidR="006C5588" w:rsidRPr="004F51D2">
        <w:rPr>
          <w:rFonts w:ascii="Times New Roman" w:hAnsi="Times New Roman" w:cs="Times New Roman"/>
          <w:sz w:val="24"/>
          <w:szCs w:val="24"/>
        </w:rPr>
        <w:t>problematic</w:t>
      </w:r>
      <w:r w:rsidR="00094921" w:rsidRPr="004F51D2">
        <w:rPr>
          <w:rFonts w:ascii="Times New Roman" w:hAnsi="Times New Roman" w:cs="Times New Roman"/>
          <w:sz w:val="24"/>
          <w:szCs w:val="24"/>
        </w:rPr>
        <w:t xml:space="preserve"> online gaming</w:t>
      </w:r>
      <w:r w:rsidR="006D0E57" w:rsidRPr="004F51D2">
        <w:rPr>
          <w:rFonts w:ascii="Times New Roman" w:hAnsi="Times New Roman" w:cs="Times New Roman"/>
          <w:sz w:val="24"/>
          <w:szCs w:val="24"/>
        </w:rPr>
        <w:t>.</w:t>
      </w:r>
    </w:p>
    <w:p w14:paraId="0B953ECC" w14:textId="77777777" w:rsidR="00C24DE0" w:rsidRPr="004F51D2" w:rsidRDefault="00C24DE0" w:rsidP="001D1C08">
      <w:pPr>
        <w:bidi w:val="0"/>
        <w:spacing w:after="0" w:line="480" w:lineRule="auto"/>
        <w:jc w:val="both"/>
        <w:rPr>
          <w:rFonts w:ascii="Times New Roman" w:hAnsi="Times New Roman" w:cs="Times New Roman"/>
          <w:b/>
          <w:bCs/>
          <w:sz w:val="24"/>
          <w:szCs w:val="24"/>
        </w:rPr>
      </w:pPr>
      <w:r w:rsidRPr="004F51D2">
        <w:rPr>
          <w:rFonts w:ascii="Times New Roman" w:hAnsi="Times New Roman" w:cs="Times New Roman"/>
          <w:b/>
          <w:bCs/>
          <w:sz w:val="24"/>
          <w:szCs w:val="24"/>
        </w:rPr>
        <w:t>2. Methods</w:t>
      </w:r>
    </w:p>
    <w:p w14:paraId="7796E07D" w14:textId="0116BBAD" w:rsidR="00C24DE0" w:rsidRPr="004F51D2" w:rsidRDefault="00C24DE0" w:rsidP="001D1C08">
      <w:pPr>
        <w:bidi w:val="0"/>
        <w:spacing w:after="0" w:line="480" w:lineRule="auto"/>
        <w:jc w:val="both"/>
        <w:rPr>
          <w:rFonts w:ascii="Times New Roman" w:hAnsi="Times New Roman" w:cs="Times New Roman"/>
          <w:i/>
          <w:iCs/>
          <w:sz w:val="24"/>
          <w:szCs w:val="24"/>
        </w:rPr>
      </w:pPr>
      <w:r w:rsidRPr="004F51D2">
        <w:rPr>
          <w:rFonts w:ascii="Times New Roman" w:hAnsi="Times New Roman" w:cs="Times New Roman"/>
          <w:i/>
          <w:iCs/>
          <w:sz w:val="24"/>
          <w:szCs w:val="24"/>
        </w:rPr>
        <w:t>2.1. Participants</w:t>
      </w:r>
    </w:p>
    <w:p w14:paraId="722F0714" w14:textId="315EFE1A" w:rsidR="00C24DE0" w:rsidRPr="004F51D2" w:rsidRDefault="00C24DE0" w:rsidP="00AE563F">
      <w:pPr>
        <w:bidi w:val="0"/>
        <w:spacing w:after="0" w:line="480" w:lineRule="auto"/>
        <w:jc w:val="both"/>
        <w:rPr>
          <w:rFonts w:ascii="Times New Roman" w:hAnsi="Times New Roman" w:cs="Times New Roman"/>
          <w:sz w:val="24"/>
          <w:szCs w:val="24"/>
        </w:rPr>
      </w:pPr>
      <w:r w:rsidRPr="004F51D2">
        <w:rPr>
          <w:rFonts w:ascii="Times New Roman" w:hAnsi="Times New Roman" w:cs="Times New Roman"/>
          <w:sz w:val="24"/>
          <w:szCs w:val="24"/>
        </w:rPr>
        <w:t xml:space="preserve">In the present study, </w:t>
      </w:r>
      <w:r w:rsidR="00C274B7" w:rsidRPr="004F51D2">
        <w:rPr>
          <w:rFonts w:ascii="Times New Roman" w:hAnsi="Times New Roman" w:cs="Times New Roman"/>
          <w:sz w:val="24"/>
          <w:szCs w:val="24"/>
        </w:rPr>
        <w:t>769</w:t>
      </w:r>
      <w:r w:rsidRPr="004F51D2">
        <w:rPr>
          <w:rFonts w:ascii="Times New Roman" w:hAnsi="Times New Roman" w:cs="Times New Roman"/>
          <w:sz w:val="24"/>
          <w:szCs w:val="24"/>
        </w:rPr>
        <w:t xml:space="preserve"> participants (577 male, 192 female)</w:t>
      </w:r>
      <w:r w:rsidRPr="004F51D2">
        <w:rPr>
          <w:rFonts w:ascii="Times New Roman" w:eastAsia="Calibri" w:hAnsi="Times New Roman" w:cs="Times New Roman"/>
          <w:sz w:val="24"/>
          <w:szCs w:val="24"/>
        </w:rPr>
        <w:t xml:space="preserve"> were</w:t>
      </w:r>
      <w:r w:rsidRPr="004F51D2">
        <w:rPr>
          <w:rFonts w:ascii="Times New Roman" w:hAnsi="Times New Roman" w:cs="Times New Roman"/>
          <w:sz w:val="24"/>
          <w:szCs w:val="24"/>
        </w:rPr>
        <w:t xml:space="preserve"> selected via convenience sampling from the adolescent population in Iran (mean age</w:t>
      </w:r>
      <w:r w:rsidR="00094921" w:rsidRPr="004F51D2">
        <w:rPr>
          <w:rFonts w:ascii="Times New Roman" w:hAnsi="Times New Roman" w:cs="Times New Roman"/>
          <w:sz w:val="24"/>
          <w:szCs w:val="24"/>
        </w:rPr>
        <w:t xml:space="preserve"> </w:t>
      </w:r>
      <w:r w:rsidRPr="004F51D2">
        <w:rPr>
          <w:rFonts w:ascii="Times New Roman" w:hAnsi="Times New Roman" w:cs="Times New Roman"/>
          <w:sz w:val="24"/>
          <w:szCs w:val="24"/>
        </w:rPr>
        <w:t>= 16.39± 1.68 years).</w:t>
      </w:r>
      <w:r w:rsidR="004E1615" w:rsidRPr="004F51D2">
        <w:t xml:space="preserve"> </w:t>
      </w:r>
      <w:r w:rsidR="004E1615" w:rsidRPr="004F51D2">
        <w:rPr>
          <w:rFonts w:ascii="Times New Roman" w:hAnsi="Times New Roman" w:cs="Times New Roman"/>
          <w:sz w:val="24"/>
          <w:szCs w:val="24"/>
        </w:rPr>
        <w:t xml:space="preserve">The call </w:t>
      </w:r>
      <w:r w:rsidR="004E1615" w:rsidRPr="004F51D2">
        <w:rPr>
          <w:rFonts w:ascii="Times New Roman" w:hAnsi="Times New Roman" w:cs="Times New Roman"/>
          <w:sz w:val="24"/>
          <w:szCs w:val="24"/>
        </w:rPr>
        <w:lastRenderedPageBreak/>
        <w:t xml:space="preserve">to participate in the study was initially published in groups, channels, pages </w:t>
      </w:r>
      <w:r w:rsidR="008023F4" w:rsidRPr="004F51D2">
        <w:rPr>
          <w:rFonts w:ascii="Times New Roman" w:hAnsi="Times New Roman" w:cs="Times New Roman"/>
          <w:sz w:val="24"/>
          <w:szCs w:val="24"/>
        </w:rPr>
        <w:t>of public</w:t>
      </w:r>
      <w:r w:rsidR="004E1615" w:rsidRPr="004F51D2">
        <w:rPr>
          <w:rFonts w:ascii="Times New Roman" w:hAnsi="Times New Roman" w:cs="Times New Roman"/>
          <w:sz w:val="24"/>
          <w:szCs w:val="24"/>
        </w:rPr>
        <w:t xml:space="preserve"> </w:t>
      </w:r>
      <w:r w:rsidR="001C00B4" w:rsidRPr="004F51D2">
        <w:rPr>
          <w:rFonts w:ascii="Times New Roman" w:hAnsi="Times New Roman" w:cs="Times New Roman"/>
          <w:sz w:val="24"/>
          <w:szCs w:val="24"/>
        </w:rPr>
        <w:t>messengers</w:t>
      </w:r>
      <w:r w:rsidR="00366AFD" w:rsidRPr="004F51D2">
        <w:rPr>
          <w:rFonts w:ascii="Times New Roman" w:hAnsi="Times New Roman" w:cs="Times New Roman"/>
          <w:sz w:val="24"/>
          <w:szCs w:val="24"/>
        </w:rPr>
        <w:t>,</w:t>
      </w:r>
      <w:r w:rsidR="001C00B4" w:rsidRPr="004F51D2">
        <w:rPr>
          <w:rFonts w:ascii="Times New Roman" w:hAnsi="Times New Roman" w:cs="Times New Roman"/>
          <w:sz w:val="24"/>
          <w:szCs w:val="24"/>
        </w:rPr>
        <w:t xml:space="preserve"> social media </w:t>
      </w:r>
      <w:r w:rsidR="004E1615" w:rsidRPr="004F51D2">
        <w:rPr>
          <w:rFonts w:ascii="Times New Roman" w:hAnsi="Times New Roman" w:cs="Times New Roman"/>
          <w:sz w:val="24"/>
          <w:szCs w:val="24"/>
        </w:rPr>
        <w:t>(</w:t>
      </w:r>
      <w:r w:rsidR="00ED18A9" w:rsidRPr="004F51D2">
        <w:rPr>
          <w:rFonts w:ascii="Times New Roman" w:hAnsi="Times New Roman" w:cs="Times New Roman"/>
          <w:sz w:val="24"/>
          <w:szCs w:val="24"/>
        </w:rPr>
        <w:t>e. g., Telegram</w:t>
      </w:r>
      <w:r w:rsidR="004E1615" w:rsidRPr="004F51D2">
        <w:rPr>
          <w:rFonts w:ascii="Times New Roman" w:hAnsi="Times New Roman" w:cs="Times New Roman"/>
          <w:sz w:val="24"/>
          <w:szCs w:val="24"/>
        </w:rPr>
        <w:t xml:space="preserve">, </w:t>
      </w:r>
      <w:r w:rsidR="00ED18A9" w:rsidRPr="004F51D2">
        <w:rPr>
          <w:rFonts w:ascii="Times New Roman" w:hAnsi="Times New Roman" w:cs="Times New Roman"/>
          <w:sz w:val="24"/>
          <w:szCs w:val="24"/>
        </w:rPr>
        <w:t>Instagram</w:t>
      </w:r>
      <w:r w:rsidR="004E1615" w:rsidRPr="004F51D2">
        <w:rPr>
          <w:rFonts w:ascii="Times New Roman" w:hAnsi="Times New Roman" w:cs="Times New Roman"/>
          <w:sz w:val="24"/>
          <w:szCs w:val="24"/>
        </w:rPr>
        <w:t xml:space="preserve"> </w:t>
      </w:r>
      <w:r w:rsidR="008023F4" w:rsidRPr="004F51D2">
        <w:rPr>
          <w:rFonts w:ascii="Times New Roman" w:hAnsi="Times New Roman" w:cs="Times New Roman"/>
          <w:sz w:val="24"/>
          <w:szCs w:val="24"/>
        </w:rPr>
        <w:t>and WhatsApp</w:t>
      </w:r>
      <w:r w:rsidR="004E1615" w:rsidRPr="004F51D2">
        <w:rPr>
          <w:rFonts w:ascii="Times New Roman" w:hAnsi="Times New Roman" w:cs="Times New Roman"/>
          <w:sz w:val="24"/>
          <w:szCs w:val="24"/>
        </w:rPr>
        <w:t>) and web forums related to online gaming.</w:t>
      </w:r>
      <w:r w:rsidR="00C77203" w:rsidRPr="004F51D2">
        <w:t xml:space="preserve"> </w:t>
      </w:r>
      <w:r w:rsidR="00366AFD" w:rsidRPr="004F51D2">
        <w:rPr>
          <w:rFonts w:ascii="Times New Roman" w:hAnsi="Times New Roman" w:cs="Times New Roman"/>
          <w:sz w:val="24"/>
          <w:szCs w:val="24"/>
        </w:rPr>
        <w:t>Participants</w:t>
      </w:r>
      <w:r w:rsidR="00426DC8" w:rsidRPr="004F51D2">
        <w:rPr>
          <w:rFonts w:ascii="Times New Roman" w:hAnsi="Times New Roman" w:cs="Times New Roman"/>
          <w:sz w:val="24"/>
          <w:szCs w:val="24"/>
        </w:rPr>
        <w:t xml:space="preserve"> </w:t>
      </w:r>
      <w:r w:rsidR="00366AFD" w:rsidRPr="004F51D2">
        <w:rPr>
          <w:rFonts w:ascii="Times New Roman" w:hAnsi="Times New Roman" w:cs="Times New Roman"/>
          <w:sz w:val="24"/>
          <w:szCs w:val="24"/>
        </w:rPr>
        <w:t xml:space="preserve">were sent an </w:t>
      </w:r>
      <w:r w:rsidR="00426DC8" w:rsidRPr="004F51D2">
        <w:rPr>
          <w:rFonts w:ascii="Times New Roman" w:hAnsi="Times New Roman" w:cs="Times New Roman"/>
          <w:sz w:val="24"/>
          <w:szCs w:val="24"/>
        </w:rPr>
        <w:t>invitation link</w:t>
      </w:r>
      <w:r w:rsidR="00366AFD" w:rsidRPr="004F51D2">
        <w:rPr>
          <w:rFonts w:ascii="Times New Roman" w:hAnsi="Times New Roman" w:cs="Times New Roman"/>
          <w:sz w:val="24"/>
          <w:szCs w:val="24"/>
        </w:rPr>
        <w:t xml:space="preserve"> and had the opportunity to read an information sheet. If agreeing to consent to</w:t>
      </w:r>
      <w:r w:rsidR="00426DC8" w:rsidRPr="004F51D2">
        <w:rPr>
          <w:rFonts w:ascii="Times New Roman" w:hAnsi="Times New Roman" w:cs="Times New Roman"/>
          <w:sz w:val="24"/>
          <w:szCs w:val="24"/>
        </w:rPr>
        <w:t xml:space="preserve"> participation </w:t>
      </w:r>
      <w:r w:rsidR="00366AFD" w:rsidRPr="004F51D2">
        <w:rPr>
          <w:rFonts w:ascii="Times New Roman" w:hAnsi="Times New Roman" w:cs="Times New Roman"/>
          <w:sz w:val="24"/>
          <w:szCs w:val="24"/>
        </w:rPr>
        <w:t>in the study they were directed to</w:t>
      </w:r>
      <w:r w:rsidR="00426DC8" w:rsidRPr="004F51D2">
        <w:rPr>
          <w:rFonts w:ascii="Times New Roman" w:hAnsi="Times New Roman" w:cs="Times New Roman"/>
          <w:sz w:val="24"/>
          <w:szCs w:val="24"/>
        </w:rPr>
        <w:t xml:space="preserve"> questions about the inclusion criteria and contacting channels, including phone number or email</w:t>
      </w:r>
      <w:r w:rsidR="00C73AE1" w:rsidRPr="004F51D2">
        <w:rPr>
          <w:rFonts w:ascii="Times New Roman" w:hAnsi="Times New Roman" w:cs="Times New Roman"/>
          <w:sz w:val="24"/>
          <w:szCs w:val="24"/>
        </w:rPr>
        <w:t xml:space="preserve"> </w:t>
      </w:r>
      <w:r w:rsidR="00366AFD" w:rsidRPr="004F51D2">
        <w:rPr>
          <w:rFonts w:ascii="Times New Roman" w:hAnsi="Times New Roman" w:cs="Times New Roman"/>
          <w:sz w:val="24"/>
          <w:szCs w:val="24"/>
        </w:rPr>
        <w:t xml:space="preserve">for </w:t>
      </w:r>
      <w:r w:rsidR="00C73AE1" w:rsidRPr="004F51D2">
        <w:rPr>
          <w:rFonts w:ascii="Times New Roman" w:hAnsi="Times New Roman" w:cs="Times New Roman"/>
          <w:sz w:val="24"/>
          <w:szCs w:val="24"/>
        </w:rPr>
        <w:t>themselves and their parents</w:t>
      </w:r>
      <w:r w:rsidR="00426DC8" w:rsidRPr="004F51D2">
        <w:rPr>
          <w:rFonts w:ascii="Times New Roman" w:hAnsi="Times New Roman" w:cs="Times New Roman"/>
          <w:sz w:val="24"/>
          <w:szCs w:val="24"/>
        </w:rPr>
        <w:t>.</w:t>
      </w:r>
      <w:r w:rsidRPr="004F51D2">
        <w:rPr>
          <w:rFonts w:ascii="Times New Roman" w:hAnsi="Times New Roman" w:cs="Times New Roman"/>
          <w:sz w:val="24"/>
          <w:szCs w:val="24"/>
        </w:rPr>
        <w:t xml:space="preserve"> </w:t>
      </w:r>
      <w:r w:rsidR="008023F4" w:rsidRPr="004F51D2">
        <w:rPr>
          <w:rFonts w:ascii="Times New Roman" w:hAnsi="Times New Roman" w:cs="Times New Roman"/>
          <w:sz w:val="24"/>
          <w:szCs w:val="24"/>
        </w:rPr>
        <w:t xml:space="preserve">This process </w:t>
      </w:r>
      <w:r w:rsidR="00366AFD" w:rsidRPr="004F51D2">
        <w:rPr>
          <w:rFonts w:ascii="Times New Roman" w:hAnsi="Times New Roman" w:cs="Times New Roman"/>
          <w:sz w:val="24"/>
          <w:szCs w:val="24"/>
        </w:rPr>
        <w:t>was</w:t>
      </w:r>
      <w:r w:rsidR="008023F4" w:rsidRPr="004F51D2">
        <w:rPr>
          <w:rFonts w:ascii="Times New Roman" w:hAnsi="Times New Roman" w:cs="Times New Roman"/>
          <w:sz w:val="24"/>
          <w:szCs w:val="24"/>
        </w:rPr>
        <w:t xml:space="preserve"> managed and screened by two authors of the present study. </w:t>
      </w:r>
      <w:r w:rsidR="00B85C65" w:rsidRPr="004F51D2">
        <w:rPr>
          <w:rFonts w:ascii="Times New Roman" w:hAnsi="Times New Roman" w:cs="Times New Roman"/>
          <w:sz w:val="24"/>
          <w:szCs w:val="24"/>
        </w:rPr>
        <w:t xml:space="preserve">All final </w:t>
      </w:r>
      <w:r w:rsidRPr="004F51D2">
        <w:rPr>
          <w:rFonts w:ascii="Times New Roman" w:hAnsi="Times New Roman" w:cs="Times New Roman"/>
          <w:sz w:val="24"/>
          <w:szCs w:val="24"/>
        </w:rPr>
        <w:t xml:space="preserve">participants, who </w:t>
      </w:r>
      <w:r w:rsidRPr="004F51D2">
        <w:rPr>
          <w:rFonts w:ascii="Times New Roman" w:eastAsia="Calibri" w:hAnsi="Times New Roman" w:cs="Times New Roman"/>
          <w:sz w:val="24"/>
          <w:szCs w:val="24"/>
          <w:lang w:val="en-GB"/>
        </w:rPr>
        <w:t xml:space="preserve">completed a battery of questionnaires </w:t>
      </w:r>
      <w:r w:rsidR="003574D1" w:rsidRPr="004F51D2">
        <w:rPr>
          <w:rFonts w:ascii="Times New Roman" w:hAnsi="Times New Roman" w:cs="Times New Roman"/>
          <w:sz w:val="24"/>
          <w:szCs w:val="24"/>
        </w:rPr>
        <w:t xml:space="preserve">between </w:t>
      </w:r>
      <w:r w:rsidRPr="004F51D2">
        <w:rPr>
          <w:rFonts w:ascii="Times New Roman" w:hAnsi="Times New Roman" w:cs="Times New Roman"/>
          <w:sz w:val="24"/>
          <w:szCs w:val="24"/>
        </w:rPr>
        <w:t>December 20, 2020</w:t>
      </w:r>
      <w:r w:rsidR="003574D1" w:rsidRPr="004F51D2">
        <w:rPr>
          <w:rFonts w:ascii="Times New Roman" w:hAnsi="Times New Roman" w:cs="Times New Roman"/>
          <w:sz w:val="24"/>
          <w:szCs w:val="24"/>
        </w:rPr>
        <w:t xml:space="preserve"> and </w:t>
      </w:r>
      <w:r w:rsidRPr="004F51D2">
        <w:rPr>
          <w:rFonts w:ascii="Times New Roman" w:hAnsi="Times New Roman" w:cs="Times New Roman"/>
          <w:sz w:val="24"/>
          <w:szCs w:val="24"/>
        </w:rPr>
        <w:t xml:space="preserve">January 10, 2021, met the </w:t>
      </w:r>
      <w:r w:rsidR="003574D1" w:rsidRPr="004F51D2">
        <w:rPr>
          <w:rFonts w:ascii="Times New Roman" w:hAnsi="Times New Roman" w:cs="Times New Roman"/>
          <w:sz w:val="24"/>
          <w:szCs w:val="24"/>
        </w:rPr>
        <w:t xml:space="preserve">following </w:t>
      </w:r>
      <w:r w:rsidRPr="004F51D2">
        <w:rPr>
          <w:rFonts w:ascii="Times New Roman" w:hAnsi="Times New Roman" w:cs="Times New Roman"/>
          <w:sz w:val="24"/>
          <w:szCs w:val="24"/>
        </w:rPr>
        <w:t>inclusion criteria</w:t>
      </w:r>
      <w:r w:rsidR="003574D1" w:rsidRPr="004F51D2">
        <w:rPr>
          <w:rFonts w:ascii="Times New Roman" w:hAnsi="Times New Roman" w:cs="Times New Roman"/>
          <w:sz w:val="24"/>
          <w:szCs w:val="24"/>
        </w:rPr>
        <w:t xml:space="preserve">: </w:t>
      </w:r>
      <w:r w:rsidRPr="004F51D2">
        <w:rPr>
          <w:rFonts w:ascii="Times New Roman" w:hAnsi="Times New Roman" w:cs="Times New Roman"/>
          <w:sz w:val="24"/>
          <w:szCs w:val="24"/>
        </w:rPr>
        <w:t xml:space="preserve">(1) minimum age </w:t>
      </w:r>
      <w:r w:rsidR="003574D1" w:rsidRPr="004F51D2">
        <w:rPr>
          <w:rFonts w:ascii="Times New Roman" w:hAnsi="Times New Roman" w:cs="Times New Roman"/>
          <w:sz w:val="24"/>
          <w:szCs w:val="24"/>
        </w:rPr>
        <w:t xml:space="preserve">of </w:t>
      </w:r>
      <w:r w:rsidRPr="004F51D2">
        <w:rPr>
          <w:rFonts w:ascii="Times New Roman" w:hAnsi="Times New Roman" w:cs="Times New Roman"/>
          <w:sz w:val="24"/>
          <w:szCs w:val="24"/>
        </w:rPr>
        <w:t>14</w:t>
      </w:r>
      <w:r w:rsidR="003574D1" w:rsidRPr="004F51D2">
        <w:rPr>
          <w:rFonts w:ascii="Times New Roman" w:hAnsi="Times New Roman" w:cs="Times New Roman"/>
          <w:sz w:val="24"/>
          <w:szCs w:val="24"/>
        </w:rPr>
        <w:t xml:space="preserve"> years</w:t>
      </w:r>
      <w:r w:rsidRPr="004F51D2">
        <w:rPr>
          <w:rFonts w:ascii="Times New Roman" w:hAnsi="Times New Roman" w:cs="Times New Roman"/>
          <w:sz w:val="24"/>
          <w:szCs w:val="24"/>
        </w:rPr>
        <w:t xml:space="preserve"> and maximum age </w:t>
      </w:r>
      <w:r w:rsidR="003574D1" w:rsidRPr="004F51D2">
        <w:rPr>
          <w:rFonts w:ascii="Times New Roman" w:hAnsi="Times New Roman" w:cs="Times New Roman"/>
          <w:sz w:val="24"/>
          <w:szCs w:val="24"/>
        </w:rPr>
        <w:t xml:space="preserve">of </w:t>
      </w:r>
      <w:r w:rsidRPr="004F51D2">
        <w:rPr>
          <w:rFonts w:ascii="Times New Roman" w:hAnsi="Times New Roman" w:cs="Times New Roman"/>
          <w:sz w:val="24"/>
          <w:szCs w:val="24"/>
        </w:rPr>
        <w:t>19</w:t>
      </w:r>
      <w:r w:rsidR="003574D1" w:rsidRPr="004F51D2">
        <w:rPr>
          <w:rFonts w:ascii="Times New Roman" w:hAnsi="Times New Roman" w:cs="Times New Roman"/>
          <w:sz w:val="24"/>
          <w:szCs w:val="24"/>
        </w:rPr>
        <w:t xml:space="preserve"> years; </w:t>
      </w:r>
      <w:r w:rsidRPr="004F51D2">
        <w:rPr>
          <w:rFonts w:ascii="Times New Roman" w:hAnsi="Times New Roman" w:cs="Times New Roman"/>
          <w:sz w:val="24"/>
          <w:szCs w:val="24"/>
        </w:rPr>
        <w:t>(2) understand spoken and written Persian</w:t>
      </w:r>
      <w:r w:rsidR="003574D1" w:rsidRPr="004F51D2">
        <w:rPr>
          <w:rFonts w:ascii="Times New Roman" w:hAnsi="Times New Roman" w:cs="Times New Roman"/>
          <w:sz w:val="24"/>
          <w:szCs w:val="24"/>
        </w:rPr>
        <w:t>;</w:t>
      </w:r>
      <w:r w:rsidRPr="004F51D2">
        <w:rPr>
          <w:rFonts w:ascii="Times New Roman" w:hAnsi="Times New Roman" w:cs="Times New Roman"/>
          <w:sz w:val="24"/>
          <w:szCs w:val="24"/>
        </w:rPr>
        <w:t xml:space="preserve"> (3) engaging in online gaming at least one hour per week (with the exclusion of online gambling</w:t>
      </w:r>
      <w:r w:rsidR="0053645E" w:rsidRPr="004F51D2">
        <w:rPr>
          <w:rFonts w:ascii="Times New Roman" w:hAnsi="Times New Roman" w:cs="Times New Roman"/>
          <w:sz w:val="24"/>
          <w:szCs w:val="24"/>
        </w:rPr>
        <w:t xml:space="preserve"> since the psychopathology of online gambling and </w:t>
      </w:r>
      <w:r w:rsidR="00AE563F" w:rsidRPr="004F51D2">
        <w:rPr>
          <w:rFonts w:ascii="Times New Roman" w:hAnsi="Times New Roman" w:cs="Times New Roman"/>
          <w:sz w:val="24"/>
          <w:szCs w:val="24"/>
        </w:rPr>
        <w:t xml:space="preserve">online gambling </w:t>
      </w:r>
      <w:r w:rsidR="0053645E" w:rsidRPr="004F51D2">
        <w:rPr>
          <w:rFonts w:ascii="Times New Roman" w:hAnsi="Times New Roman" w:cs="Times New Roman"/>
          <w:sz w:val="24"/>
          <w:szCs w:val="24"/>
        </w:rPr>
        <w:t>may be different; e g., Tonioni et al., 2014</w:t>
      </w:r>
      <w:r w:rsidRPr="004F51D2">
        <w:rPr>
          <w:rFonts w:ascii="Times New Roman" w:hAnsi="Times New Roman" w:cs="Times New Roman"/>
          <w:sz w:val="24"/>
          <w:szCs w:val="24"/>
        </w:rPr>
        <w:t>)</w:t>
      </w:r>
      <w:r w:rsidR="003574D1" w:rsidRPr="004F51D2">
        <w:rPr>
          <w:rFonts w:ascii="Times New Roman" w:hAnsi="Times New Roman" w:cs="Times New Roman"/>
          <w:sz w:val="24"/>
          <w:szCs w:val="24"/>
        </w:rPr>
        <w:t>;</w:t>
      </w:r>
      <w:r w:rsidRPr="004F51D2">
        <w:rPr>
          <w:rFonts w:ascii="Times New Roman" w:hAnsi="Times New Roman" w:cs="Times New Roman"/>
          <w:sz w:val="24"/>
          <w:szCs w:val="24"/>
        </w:rPr>
        <w:t xml:space="preserve"> and (4) consent to participate</w:t>
      </w:r>
      <w:r w:rsidR="003574D1" w:rsidRPr="004F51D2">
        <w:rPr>
          <w:rFonts w:ascii="Times New Roman" w:hAnsi="Times New Roman" w:cs="Times New Roman"/>
          <w:sz w:val="24"/>
          <w:szCs w:val="24"/>
        </w:rPr>
        <w:t xml:space="preserve"> in the study</w:t>
      </w:r>
      <w:r w:rsidRPr="004F51D2">
        <w:rPr>
          <w:rFonts w:ascii="Times New Roman" w:hAnsi="Times New Roman" w:cs="Times New Roman"/>
          <w:sz w:val="24"/>
          <w:szCs w:val="24"/>
        </w:rPr>
        <w:t>.</w:t>
      </w:r>
      <w:r w:rsidR="00B22999" w:rsidRPr="004F51D2">
        <w:rPr>
          <w:rFonts w:ascii="Times New Roman" w:hAnsi="Times New Roman" w:cs="Times New Roman"/>
          <w:sz w:val="24"/>
          <w:szCs w:val="24"/>
        </w:rPr>
        <w:t xml:space="preserve"> </w:t>
      </w:r>
      <w:r w:rsidR="002B7D21" w:rsidRPr="004F51D2">
        <w:rPr>
          <w:rFonts w:ascii="Times New Roman" w:hAnsi="Times New Roman" w:cs="Times New Roman"/>
          <w:sz w:val="24"/>
          <w:szCs w:val="24"/>
        </w:rPr>
        <w:t>In this study,</w:t>
      </w:r>
      <w:r w:rsidR="002B7D21" w:rsidRPr="004F51D2">
        <w:t xml:space="preserve"> </w:t>
      </w:r>
      <w:r w:rsidR="00B22999" w:rsidRPr="004F51D2">
        <w:rPr>
          <w:rFonts w:ascii="Times New Roman" w:hAnsi="Times New Roman" w:cs="Times New Roman"/>
          <w:sz w:val="24"/>
          <w:szCs w:val="24"/>
        </w:rPr>
        <w:t xml:space="preserve">7253 people clicked the invitation link and among </w:t>
      </w:r>
      <w:r w:rsidR="00366AFD" w:rsidRPr="004F51D2">
        <w:rPr>
          <w:rFonts w:ascii="Times New Roman" w:hAnsi="Times New Roman" w:cs="Times New Roman"/>
          <w:sz w:val="24"/>
          <w:szCs w:val="24"/>
        </w:rPr>
        <w:t>and</w:t>
      </w:r>
      <w:r w:rsidR="00B22999" w:rsidRPr="004F51D2">
        <w:rPr>
          <w:rFonts w:ascii="Times New Roman" w:hAnsi="Times New Roman" w:cs="Times New Roman"/>
          <w:sz w:val="24"/>
          <w:szCs w:val="24"/>
        </w:rPr>
        <w:t xml:space="preserve"> 1</w:t>
      </w:r>
      <w:r w:rsidR="002B7D21" w:rsidRPr="004F51D2">
        <w:rPr>
          <w:rFonts w:ascii="Times New Roman" w:hAnsi="Times New Roman" w:cs="Times New Roman"/>
          <w:sz w:val="24"/>
          <w:szCs w:val="24"/>
        </w:rPr>
        <w:t>11</w:t>
      </w:r>
      <w:r w:rsidR="00B22999" w:rsidRPr="004F51D2">
        <w:rPr>
          <w:rFonts w:ascii="Times New Roman" w:hAnsi="Times New Roman" w:cs="Times New Roman"/>
          <w:sz w:val="24"/>
          <w:szCs w:val="24"/>
        </w:rPr>
        <w:t xml:space="preserve">7 people </w:t>
      </w:r>
      <w:r w:rsidR="00366AFD" w:rsidRPr="004F51D2">
        <w:rPr>
          <w:rFonts w:ascii="Times New Roman" w:hAnsi="Times New Roman" w:cs="Times New Roman"/>
          <w:sz w:val="24"/>
          <w:szCs w:val="24"/>
        </w:rPr>
        <w:t>who agreed to participate</w:t>
      </w:r>
      <w:r w:rsidR="00B22999" w:rsidRPr="004F51D2">
        <w:rPr>
          <w:rFonts w:ascii="Times New Roman" w:hAnsi="Times New Roman" w:cs="Times New Roman"/>
          <w:sz w:val="24"/>
          <w:szCs w:val="24"/>
        </w:rPr>
        <w:t xml:space="preserve"> 2</w:t>
      </w:r>
      <w:r w:rsidR="002B7D21" w:rsidRPr="004F51D2">
        <w:rPr>
          <w:rFonts w:ascii="Times New Roman" w:hAnsi="Times New Roman" w:cs="Times New Roman"/>
          <w:sz w:val="24"/>
          <w:szCs w:val="24"/>
        </w:rPr>
        <w:t>3</w:t>
      </w:r>
      <w:r w:rsidR="00B22999" w:rsidRPr="004F51D2">
        <w:rPr>
          <w:rFonts w:ascii="Times New Roman" w:hAnsi="Times New Roman" w:cs="Times New Roman"/>
          <w:sz w:val="24"/>
          <w:szCs w:val="24"/>
        </w:rPr>
        <w:t xml:space="preserve">3 of them were excluded </w:t>
      </w:r>
      <w:r w:rsidR="00366AFD" w:rsidRPr="004F51D2">
        <w:rPr>
          <w:rFonts w:ascii="Times New Roman" w:hAnsi="Times New Roman" w:cs="Times New Roman"/>
          <w:sz w:val="24"/>
          <w:szCs w:val="24"/>
        </w:rPr>
        <w:t>because they did not meet all inclusion criteria</w:t>
      </w:r>
      <w:r w:rsidR="00531EFE" w:rsidRPr="004F51D2">
        <w:rPr>
          <w:rFonts w:ascii="Times New Roman" w:hAnsi="Times New Roman" w:cs="Times New Roman"/>
          <w:sz w:val="24"/>
          <w:szCs w:val="24"/>
        </w:rPr>
        <w:t>.</w:t>
      </w:r>
      <w:r w:rsidR="008942EB" w:rsidRPr="004F51D2">
        <w:t xml:space="preserve"> </w:t>
      </w:r>
      <w:r w:rsidR="008942EB" w:rsidRPr="004F51D2">
        <w:rPr>
          <w:rFonts w:ascii="Times New Roman" w:hAnsi="Times New Roman" w:cs="Times New Roman"/>
          <w:sz w:val="24"/>
          <w:szCs w:val="24"/>
        </w:rPr>
        <w:t xml:space="preserve">In the next stage, the parental consent form of </w:t>
      </w:r>
      <w:r w:rsidR="002B7D21" w:rsidRPr="004F51D2">
        <w:rPr>
          <w:rFonts w:ascii="Times New Roman" w:hAnsi="Times New Roman" w:cs="Times New Roman"/>
          <w:sz w:val="24"/>
          <w:szCs w:val="24"/>
        </w:rPr>
        <w:t>5</w:t>
      </w:r>
      <w:r w:rsidR="008942EB" w:rsidRPr="004F51D2">
        <w:rPr>
          <w:rFonts w:ascii="Times New Roman" w:hAnsi="Times New Roman" w:cs="Times New Roman"/>
          <w:sz w:val="24"/>
          <w:szCs w:val="24"/>
        </w:rPr>
        <w:t>3 people was not received</w:t>
      </w:r>
      <w:r w:rsidR="00801538" w:rsidRPr="004F51D2">
        <w:rPr>
          <w:rFonts w:ascii="Times New Roman" w:hAnsi="Times New Roman" w:cs="Times New Roman"/>
          <w:sz w:val="24"/>
          <w:szCs w:val="24"/>
        </w:rPr>
        <w:t>.</w:t>
      </w:r>
      <w:r w:rsidR="008942EB" w:rsidRPr="004F51D2">
        <w:rPr>
          <w:rFonts w:ascii="Times New Roman" w:hAnsi="Times New Roman" w:cs="Times New Roman"/>
          <w:sz w:val="24"/>
          <w:szCs w:val="24"/>
        </w:rPr>
        <w:t xml:space="preserve"> </w:t>
      </w:r>
      <w:r w:rsidR="00801538" w:rsidRPr="004F51D2">
        <w:rPr>
          <w:rFonts w:ascii="Times New Roman" w:hAnsi="Times New Roman" w:cs="Times New Roman"/>
          <w:sz w:val="24"/>
          <w:szCs w:val="24"/>
        </w:rPr>
        <w:t xml:space="preserve">Finally, the questionnaire was emailed or texted to </w:t>
      </w:r>
      <w:r w:rsidR="002B7D21" w:rsidRPr="004F51D2">
        <w:rPr>
          <w:rFonts w:ascii="Times New Roman" w:hAnsi="Times New Roman" w:cs="Times New Roman"/>
          <w:sz w:val="24"/>
          <w:szCs w:val="24"/>
        </w:rPr>
        <w:t>831</w:t>
      </w:r>
      <w:r w:rsidR="00801538" w:rsidRPr="004F51D2">
        <w:rPr>
          <w:rFonts w:ascii="Times New Roman" w:hAnsi="Times New Roman" w:cs="Times New Roman"/>
          <w:sz w:val="24"/>
          <w:szCs w:val="24"/>
        </w:rPr>
        <w:t xml:space="preserve"> people</w:t>
      </w:r>
      <w:r w:rsidR="00366AFD" w:rsidRPr="004F51D2">
        <w:rPr>
          <w:rFonts w:ascii="Times New Roman" w:hAnsi="Times New Roman" w:cs="Times New Roman"/>
          <w:sz w:val="24"/>
          <w:szCs w:val="24"/>
        </w:rPr>
        <w:t>,</w:t>
      </w:r>
      <w:r w:rsidR="00801538" w:rsidRPr="004F51D2">
        <w:rPr>
          <w:rFonts w:ascii="Times New Roman" w:hAnsi="Times New Roman" w:cs="Times New Roman"/>
          <w:sz w:val="24"/>
          <w:szCs w:val="24"/>
        </w:rPr>
        <w:t xml:space="preserve"> </w:t>
      </w:r>
      <w:r w:rsidR="002B7D21" w:rsidRPr="004F51D2">
        <w:rPr>
          <w:rFonts w:ascii="Times New Roman" w:hAnsi="Times New Roman" w:cs="Times New Roman"/>
          <w:sz w:val="24"/>
          <w:szCs w:val="24"/>
        </w:rPr>
        <w:t>62</w:t>
      </w:r>
      <w:r w:rsidR="00801538" w:rsidRPr="004F51D2">
        <w:rPr>
          <w:rFonts w:ascii="Times New Roman" w:hAnsi="Times New Roman" w:cs="Times New Roman"/>
          <w:sz w:val="24"/>
          <w:szCs w:val="24"/>
        </w:rPr>
        <w:t xml:space="preserve"> of whom did not complete it</w:t>
      </w:r>
      <w:r w:rsidR="008942EB" w:rsidRPr="004F51D2">
        <w:rPr>
          <w:rFonts w:ascii="Times New Roman" w:eastAsia="Calibri" w:hAnsi="Times New Roman" w:cs="Times New Roman"/>
          <w:sz w:val="24"/>
          <w:szCs w:val="24"/>
          <w:lang w:val="en-GB"/>
        </w:rPr>
        <w:t>.</w:t>
      </w:r>
      <w:r w:rsidRPr="004F51D2">
        <w:rPr>
          <w:rFonts w:ascii="Times New Roman" w:hAnsi="Times New Roman" w:cs="Times New Roman"/>
          <w:sz w:val="24"/>
          <w:szCs w:val="24"/>
        </w:rPr>
        <w:t xml:space="preserve"> </w:t>
      </w:r>
    </w:p>
    <w:p w14:paraId="67FCAE0C" w14:textId="3E13B7F4" w:rsidR="00C24DE0" w:rsidRPr="004F51D2" w:rsidRDefault="00C24DE0" w:rsidP="001D1C08">
      <w:pPr>
        <w:bidi w:val="0"/>
        <w:spacing w:after="0" w:line="480" w:lineRule="auto"/>
        <w:jc w:val="both"/>
        <w:rPr>
          <w:rFonts w:ascii="Times New Roman" w:hAnsi="Times New Roman" w:cs="Times New Roman"/>
          <w:i/>
          <w:iCs/>
          <w:sz w:val="24"/>
          <w:szCs w:val="24"/>
        </w:rPr>
      </w:pPr>
      <w:r w:rsidRPr="004F51D2">
        <w:rPr>
          <w:rFonts w:ascii="Times New Roman" w:hAnsi="Times New Roman" w:cs="Times New Roman"/>
          <w:i/>
          <w:iCs/>
          <w:sz w:val="24"/>
          <w:szCs w:val="24"/>
        </w:rPr>
        <w:t xml:space="preserve">2.2. </w:t>
      </w:r>
      <w:r w:rsidR="00094921" w:rsidRPr="004F51D2">
        <w:rPr>
          <w:rFonts w:ascii="Times New Roman" w:hAnsi="Times New Roman" w:cs="Times New Roman"/>
          <w:i/>
          <w:iCs/>
          <w:sz w:val="24"/>
          <w:szCs w:val="24"/>
        </w:rPr>
        <w:t xml:space="preserve">Socio-demographics and self-report </w:t>
      </w:r>
      <w:r w:rsidR="00094921" w:rsidRPr="004F51D2">
        <w:rPr>
          <w:rFonts w:ascii="Times New Roman" w:eastAsia="Calibri" w:hAnsi="Times New Roman" w:cs="Times New Roman"/>
          <w:i/>
          <w:iCs/>
          <w:color w:val="000000" w:themeColor="text1"/>
          <w:sz w:val="24"/>
          <w:szCs w:val="24"/>
        </w:rPr>
        <w:t>m</w:t>
      </w:r>
      <w:r w:rsidRPr="004F51D2">
        <w:rPr>
          <w:rFonts w:ascii="Times New Roman" w:eastAsia="Calibri" w:hAnsi="Times New Roman" w:cs="Times New Roman"/>
          <w:i/>
          <w:iCs/>
          <w:color w:val="000000" w:themeColor="text1"/>
          <w:sz w:val="24"/>
          <w:szCs w:val="24"/>
        </w:rPr>
        <w:t>easures</w:t>
      </w:r>
    </w:p>
    <w:p w14:paraId="63ADDFDE" w14:textId="294624D5" w:rsidR="00C24DE0" w:rsidRPr="004F51D2" w:rsidRDefault="00C24DE0" w:rsidP="001D1C08">
      <w:pPr>
        <w:bidi w:val="0"/>
        <w:spacing w:after="0" w:line="480" w:lineRule="auto"/>
        <w:jc w:val="both"/>
        <w:rPr>
          <w:rFonts w:ascii="Times New Roman" w:hAnsi="Times New Roman" w:cs="Times New Roman"/>
          <w:sz w:val="24"/>
          <w:szCs w:val="24"/>
        </w:rPr>
      </w:pPr>
      <w:r w:rsidRPr="004F51D2">
        <w:rPr>
          <w:rFonts w:ascii="Times New Roman" w:hAnsi="Times New Roman" w:cs="Times New Roman"/>
          <w:b/>
          <w:bCs/>
          <w:sz w:val="24"/>
          <w:szCs w:val="24"/>
        </w:rPr>
        <w:t>2.2.1. Socio-demographic form:</w:t>
      </w:r>
      <w:r w:rsidRPr="004F51D2">
        <w:rPr>
          <w:rFonts w:ascii="Times New Roman" w:hAnsi="Times New Roman" w:cs="Times New Roman"/>
          <w:sz w:val="24"/>
          <w:szCs w:val="24"/>
        </w:rPr>
        <w:t xml:space="preserve"> The socio-demographic factors in the study included age, gender, the total count of siblings, </w:t>
      </w:r>
      <w:r w:rsidR="003574D1" w:rsidRPr="004F51D2">
        <w:rPr>
          <w:rFonts w:ascii="Times New Roman" w:hAnsi="Times New Roman" w:cs="Times New Roman"/>
          <w:sz w:val="24"/>
          <w:szCs w:val="24"/>
        </w:rPr>
        <w:t xml:space="preserve">school </w:t>
      </w:r>
      <w:r w:rsidRPr="004F51D2">
        <w:rPr>
          <w:rFonts w:ascii="Times New Roman" w:hAnsi="Times New Roman" w:cs="Times New Roman"/>
          <w:sz w:val="24"/>
          <w:szCs w:val="24"/>
        </w:rPr>
        <w:t xml:space="preserve">grade point average, socio-economic status of the adolescent’s family, residential area, presence of </w:t>
      </w:r>
      <w:r w:rsidR="003574D1" w:rsidRPr="004F51D2">
        <w:rPr>
          <w:rFonts w:ascii="Times New Roman" w:hAnsi="Times New Roman" w:cs="Times New Roman"/>
          <w:sz w:val="24"/>
          <w:szCs w:val="24"/>
        </w:rPr>
        <w:t xml:space="preserve">Internet </w:t>
      </w:r>
      <w:r w:rsidRPr="004F51D2">
        <w:rPr>
          <w:rFonts w:ascii="Times New Roman" w:hAnsi="Times New Roman" w:cs="Times New Roman"/>
          <w:sz w:val="24"/>
          <w:szCs w:val="24"/>
        </w:rPr>
        <w:t xml:space="preserve">connection at home, average daily </w:t>
      </w:r>
      <w:r w:rsidR="003574D1" w:rsidRPr="004F51D2">
        <w:rPr>
          <w:rFonts w:ascii="Times New Roman" w:hAnsi="Times New Roman" w:cs="Times New Roman"/>
          <w:sz w:val="24"/>
          <w:szCs w:val="24"/>
        </w:rPr>
        <w:t xml:space="preserve">Internet </w:t>
      </w:r>
      <w:r w:rsidRPr="004F51D2">
        <w:rPr>
          <w:rFonts w:ascii="Times New Roman" w:hAnsi="Times New Roman" w:cs="Times New Roman"/>
          <w:sz w:val="24"/>
          <w:szCs w:val="24"/>
        </w:rPr>
        <w:t xml:space="preserve">use, tools for gaming, </w:t>
      </w:r>
      <w:r w:rsidR="003574D1" w:rsidRPr="004F51D2">
        <w:rPr>
          <w:rFonts w:ascii="Times New Roman" w:hAnsi="Times New Roman" w:cs="Times New Roman"/>
          <w:sz w:val="24"/>
          <w:szCs w:val="24"/>
        </w:rPr>
        <w:t>self-recognition as a problematic gamer</w:t>
      </w:r>
      <w:r w:rsidRPr="004F51D2">
        <w:rPr>
          <w:rFonts w:ascii="Times New Roman" w:hAnsi="Times New Roman" w:cs="Times New Roman"/>
          <w:sz w:val="24"/>
          <w:szCs w:val="24"/>
        </w:rPr>
        <w:t>, and type of game. This form was developed based on the purpose of the current study.</w:t>
      </w:r>
    </w:p>
    <w:p w14:paraId="20723BDD" w14:textId="5615F7E2" w:rsidR="00C24DE0" w:rsidRPr="004F51D2" w:rsidRDefault="00C24DE0" w:rsidP="001D1C08">
      <w:pPr>
        <w:bidi w:val="0"/>
        <w:spacing w:after="0" w:line="480" w:lineRule="auto"/>
        <w:jc w:val="both"/>
        <w:rPr>
          <w:rFonts w:ascii="Times New Roman" w:hAnsi="Times New Roman" w:cs="Times New Roman"/>
          <w:sz w:val="24"/>
          <w:szCs w:val="24"/>
        </w:rPr>
      </w:pPr>
      <w:r w:rsidRPr="004F51D2">
        <w:rPr>
          <w:rFonts w:ascii="Times New Roman" w:hAnsi="Times New Roman" w:cs="Times New Roman"/>
          <w:b/>
          <w:bCs/>
          <w:sz w:val="24"/>
          <w:szCs w:val="24"/>
        </w:rPr>
        <w:t>2.2.1. Metacognitions about Online Gaming Scale (MOGS)</w:t>
      </w:r>
      <w:r w:rsidRPr="004F51D2">
        <w:rPr>
          <w:rFonts w:ascii="Times New Roman" w:hAnsi="Times New Roman" w:cs="Times New Roman"/>
          <w:sz w:val="24"/>
          <w:szCs w:val="24"/>
        </w:rPr>
        <w:t>: The MOGS (Spada &amp; Casel</w:t>
      </w:r>
      <w:r w:rsidR="00B44C8E" w:rsidRPr="004F51D2">
        <w:rPr>
          <w:rFonts w:ascii="Times New Roman" w:hAnsi="Times New Roman" w:cs="Times New Roman"/>
          <w:sz w:val="24"/>
          <w:szCs w:val="24"/>
        </w:rPr>
        <w:t>l</w:t>
      </w:r>
      <w:r w:rsidRPr="004F51D2">
        <w:rPr>
          <w:rFonts w:ascii="Times New Roman" w:hAnsi="Times New Roman" w:cs="Times New Roman"/>
          <w:sz w:val="24"/>
          <w:szCs w:val="24"/>
        </w:rPr>
        <w:t xml:space="preserve">i, 2017) </w:t>
      </w:r>
      <w:r w:rsidR="008E4CA3" w:rsidRPr="004F51D2">
        <w:rPr>
          <w:rFonts w:ascii="Times New Roman" w:hAnsi="Times New Roman" w:cs="Times New Roman"/>
          <w:sz w:val="24"/>
          <w:szCs w:val="24"/>
        </w:rPr>
        <w:t xml:space="preserve">is a self-report measure </w:t>
      </w:r>
      <w:r w:rsidR="00B44C8E" w:rsidRPr="004F51D2">
        <w:rPr>
          <w:rFonts w:ascii="Times New Roman" w:hAnsi="Times New Roman" w:cs="Times New Roman"/>
          <w:sz w:val="24"/>
          <w:szCs w:val="24"/>
        </w:rPr>
        <w:t xml:space="preserve">of metacognitions about online gaming </w:t>
      </w:r>
      <w:r w:rsidR="008E4CA3" w:rsidRPr="004F51D2">
        <w:rPr>
          <w:rFonts w:ascii="Times New Roman" w:hAnsi="Times New Roman" w:cs="Times New Roman"/>
          <w:sz w:val="24"/>
          <w:szCs w:val="24"/>
        </w:rPr>
        <w:t xml:space="preserve">consisting </w:t>
      </w:r>
      <w:r w:rsidRPr="004F51D2">
        <w:rPr>
          <w:rFonts w:ascii="Times New Roman" w:hAnsi="Times New Roman" w:cs="Times New Roman"/>
          <w:sz w:val="24"/>
          <w:szCs w:val="24"/>
        </w:rPr>
        <w:t xml:space="preserve">of </w:t>
      </w:r>
      <w:r w:rsidRPr="004F51D2">
        <w:rPr>
          <w:rFonts w:ascii="Times New Roman" w:hAnsi="Times New Roman" w:cs="Times New Roman"/>
          <w:sz w:val="24"/>
          <w:szCs w:val="24"/>
        </w:rPr>
        <w:lastRenderedPageBreak/>
        <w:t xml:space="preserve">12 </w:t>
      </w:r>
      <w:r w:rsidR="00B44C8E" w:rsidRPr="004F51D2">
        <w:rPr>
          <w:rFonts w:ascii="Times New Roman" w:hAnsi="Times New Roman" w:cs="Times New Roman"/>
          <w:sz w:val="24"/>
          <w:szCs w:val="24"/>
        </w:rPr>
        <w:t>items and</w:t>
      </w:r>
      <w:r w:rsidR="008E4CA3" w:rsidRPr="004F51D2">
        <w:rPr>
          <w:rFonts w:ascii="Times New Roman" w:hAnsi="Times New Roman" w:cs="Times New Roman"/>
          <w:sz w:val="24"/>
          <w:szCs w:val="24"/>
        </w:rPr>
        <w:t xml:space="preserve"> </w:t>
      </w:r>
      <w:r w:rsidRPr="004F51D2">
        <w:rPr>
          <w:rFonts w:ascii="Times New Roman" w:hAnsi="Times New Roman" w:cs="Times New Roman"/>
          <w:sz w:val="24"/>
          <w:szCs w:val="24"/>
        </w:rPr>
        <w:t xml:space="preserve">three factors as follows: (1) positive metacognitions about online gaming (P-MOG; e. g., </w:t>
      </w:r>
      <w:r w:rsidR="003574D1" w:rsidRPr="004F51D2">
        <w:rPr>
          <w:rFonts w:ascii="Times New Roman" w:hAnsi="Times New Roman" w:cs="Times New Roman"/>
          <w:sz w:val="24"/>
          <w:szCs w:val="24"/>
        </w:rPr>
        <w:t xml:space="preserve">“Online </w:t>
      </w:r>
      <w:r w:rsidRPr="004F51D2">
        <w:rPr>
          <w:rFonts w:ascii="Times New Roman" w:hAnsi="Times New Roman" w:cs="Times New Roman"/>
          <w:sz w:val="24"/>
          <w:szCs w:val="24"/>
        </w:rPr>
        <w:t>gaming reduces my negative feelings</w:t>
      </w:r>
      <w:r w:rsidR="003574D1" w:rsidRPr="004F51D2">
        <w:rPr>
          <w:rFonts w:ascii="Times New Roman" w:hAnsi="Times New Roman" w:cs="Times New Roman"/>
          <w:sz w:val="24"/>
          <w:szCs w:val="24"/>
        </w:rPr>
        <w:t>”</w:t>
      </w:r>
      <w:r w:rsidR="00501DDF" w:rsidRPr="004F51D2">
        <w:rPr>
          <w:rFonts w:ascii="Times New Roman" w:hAnsi="Times New Roman" w:cs="Times New Roman"/>
          <w:sz w:val="24"/>
          <w:szCs w:val="24"/>
        </w:rPr>
        <w:t>)</w:t>
      </w:r>
      <w:r w:rsidRPr="004F51D2">
        <w:rPr>
          <w:rFonts w:ascii="Times New Roman" w:hAnsi="Times New Roman" w:cs="Times New Roman"/>
          <w:sz w:val="24"/>
          <w:szCs w:val="24"/>
        </w:rPr>
        <w:t xml:space="preserve">, (2) negative metacognitions about the uncontrollability of online gaming (N-MOGU; e. g., </w:t>
      </w:r>
      <w:r w:rsidR="003574D1" w:rsidRPr="004F51D2">
        <w:rPr>
          <w:rFonts w:ascii="Times New Roman" w:hAnsi="Times New Roman" w:cs="Times New Roman"/>
          <w:sz w:val="24"/>
          <w:szCs w:val="24"/>
        </w:rPr>
        <w:t>“</w:t>
      </w:r>
      <w:r w:rsidRPr="004F51D2">
        <w:rPr>
          <w:rFonts w:ascii="Times New Roman" w:hAnsi="Times New Roman" w:cs="Times New Roman"/>
          <w:sz w:val="24"/>
          <w:szCs w:val="24"/>
        </w:rPr>
        <w:t>I have no control over how much time I play</w:t>
      </w:r>
      <w:r w:rsidR="003574D1" w:rsidRPr="004F51D2">
        <w:rPr>
          <w:rFonts w:ascii="Times New Roman" w:hAnsi="Times New Roman" w:cs="Times New Roman"/>
          <w:sz w:val="24"/>
          <w:szCs w:val="24"/>
        </w:rPr>
        <w:t>”</w:t>
      </w:r>
      <w:r w:rsidRPr="004F51D2">
        <w:rPr>
          <w:rFonts w:ascii="Times New Roman" w:hAnsi="Times New Roman" w:cs="Times New Roman"/>
          <w:sz w:val="24"/>
          <w:szCs w:val="24"/>
        </w:rPr>
        <w:t xml:space="preserve">), and (3) negative metacognitions about the dangers of online gaming (N-MOGD; e. g., </w:t>
      </w:r>
      <w:r w:rsidR="003574D1" w:rsidRPr="004F51D2">
        <w:rPr>
          <w:rFonts w:ascii="Times New Roman" w:hAnsi="Times New Roman" w:cs="Times New Roman"/>
          <w:sz w:val="24"/>
          <w:szCs w:val="24"/>
        </w:rPr>
        <w:t xml:space="preserve">“Thoughts </w:t>
      </w:r>
      <w:r w:rsidRPr="004F51D2">
        <w:rPr>
          <w:rFonts w:ascii="Times New Roman" w:hAnsi="Times New Roman" w:cs="Times New Roman"/>
          <w:sz w:val="24"/>
          <w:szCs w:val="24"/>
        </w:rPr>
        <w:t>about online gaming are becoming an obsession</w:t>
      </w:r>
      <w:r w:rsidR="003574D1" w:rsidRPr="004F51D2">
        <w:rPr>
          <w:rFonts w:ascii="Times New Roman" w:hAnsi="Times New Roman" w:cs="Times New Roman"/>
          <w:sz w:val="24"/>
          <w:szCs w:val="24"/>
        </w:rPr>
        <w:t>”</w:t>
      </w:r>
      <w:r w:rsidRPr="004F51D2">
        <w:rPr>
          <w:rFonts w:ascii="Times New Roman" w:hAnsi="Times New Roman" w:cs="Times New Roman"/>
          <w:sz w:val="24"/>
          <w:szCs w:val="24"/>
        </w:rPr>
        <w:t xml:space="preserve">). Each item is scored on a four-point </w:t>
      </w:r>
      <w:r w:rsidR="008E4CA3" w:rsidRPr="004F51D2">
        <w:rPr>
          <w:rFonts w:ascii="Times New Roman" w:hAnsi="Times New Roman" w:cs="Times New Roman"/>
          <w:sz w:val="24"/>
          <w:szCs w:val="24"/>
        </w:rPr>
        <w:t xml:space="preserve">Likert </w:t>
      </w:r>
      <w:r w:rsidRPr="004F51D2">
        <w:rPr>
          <w:rFonts w:ascii="Times New Roman" w:hAnsi="Times New Roman" w:cs="Times New Roman"/>
          <w:sz w:val="24"/>
          <w:szCs w:val="24"/>
        </w:rPr>
        <w:t xml:space="preserve">scale </w:t>
      </w:r>
      <w:r w:rsidR="008E4CA3" w:rsidRPr="004F51D2">
        <w:rPr>
          <w:rFonts w:ascii="Times New Roman" w:hAnsi="Times New Roman" w:cs="Times New Roman"/>
          <w:sz w:val="24"/>
          <w:szCs w:val="24"/>
        </w:rPr>
        <w:t>from “</w:t>
      </w:r>
      <w:r w:rsidRPr="004F51D2">
        <w:rPr>
          <w:rFonts w:ascii="Times New Roman" w:hAnsi="Times New Roman" w:cs="Times New Roman"/>
          <w:sz w:val="24"/>
          <w:szCs w:val="24"/>
        </w:rPr>
        <w:t>do not agree</w:t>
      </w:r>
      <w:r w:rsidR="008E4CA3" w:rsidRPr="004F51D2">
        <w:rPr>
          <w:rFonts w:ascii="Times New Roman" w:hAnsi="Times New Roman" w:cs="Times New Roman"/>
          <w:sz w:val="24"/>
          <w:szCs w:val="24"/>
        </w:rPr>
        <w:t>” to “agree very much”</w:t>
      </w:r>
      <w:r w:rsidRPr="004F51D2">
        <w:rPr>
          <w:rFonts w:ascii="Times New Roman" w:hAnsi="Times New Roman" w:cs="Times New Roman"/>
          <w:sz w:val="24"/>
          <w:szCs w:val="24"/>
        </w:rPr>
        <w:t xml:space="preserve">. </w:t>
      </w:r>
      <w:r w:rsidR="003574D1" w:rsidRPr="004F51D2">
        <w:rPr>
          <w:rFonts w:ascii="Times New Roman" w:hAnsi="Times New Roman" w:cs="Times New Roman"/>
          <w:sz w:val="24"/>
          <w:szCs w:val="24"/>
        </w:rPr>
        <w:t>Higher scores indicate greater levels of mal</w:t>
      </w:r>
      <w:r w:rsidR="008E4CA3" w:rsidRPr="004F51D2">
        <w:rPr>
          <w:rFonts w:ascii="Times New Roman" w:hAnsi="Times New Roman" w:cs="Times New Roman"/>
          <w:sz w:val="24"/>
          <w:szCs w:val="24"/>
        </w:rPr>
        <w:t>a</w:t>
      </w:r>
      <w:r w:rsidR="003574D1" w:rsidRPr="004F51D2">
        <w:rPr>
          <w:rFonts w:ascii="Times New Roman" w:hAnsi="Times New Roman" w:cs="Times New Roman"/>
          <w:sz w:val="24"/>
          <w:szCs w:val="24"/>
        </w:rPr>
        <w:t>daption in metacognitions</w:t>
      </w:r>
      <w:r w:rsidR="00094921" w:rsidRPr="004F51D2">
        <w:rPr>
          <w:rFonts w:ascii="Times New Roman" w:hAnsi="Times New Roman" w:cs="Times New Roman"/>
          <w:sz w:val="24"/>
          <w:szCs w:val="24"/>
        </w:rPr>
        <w:t xml:space="preserve"> about online gaming</w:t>
      </w:r>
      <w:r w:rsidR="003574D1" w:rsidRPr="004F51D2">
        <w:rPr>
          <w:rFonts w:ascii="Times New Roman" w:hAnsi="Times New Roman" w:cs="Times New Roman"/>
          <w:sz w:val="24"/>
          <w:szCs w:val="24"/>
        </w:rPr>
        <w:t xml:space="preserve">. </w:t>
      </w:r>
      <w:r w:rsidRPr="004F51D2">
        <w:rPr>
          <w:rFonts w:ascii="Times New Roman" w:hAnsi="Times New Roman" w:cs="Times New Roman"/>
          <w:sz w:val="24"/>
          <w:szCs w:val="24"/>
        </w:rPr>
        <w:t xml:space="preserve">The Cronbach's alpha coefficient for the P-MOG factor was 0.84, for the N-MOGU </w:t>
      </w:r>
      <w:r w:rsidR="003574D1" w:rsidRPr="004F51D2">
        <w:rPr>
          <w:rFonts w:ascii="Times New Roman" w:hAnsi="Times New Roman" w:cs="Times New Roman"/>
          <w:sz w:val="24"/>
          <w:szCs w:val="24"/>
        </w:rPr>
        <w:t xml:space="preserve">factor </w:t>
      </w:r>
      <w:r w:rsidRPr="004F51D2">
        <w:rPr>
          <w:rFonts w:ascii="Times New Roman" w:hAnsi="Times New Roman" w:cs="Times New Roman"/>
          <w:sz w:val="24"/>
          <w:szCs w:val="24"/>
        </w:rPr>
        <w:t xml:space="preserve">was 0.86 and for the N-MOGD </w:t>
      </w:r>
      <w:r w:rsidR="003574D1" w:rsidRPr="004F51D2">
        <w:rPr>
          <w:rFonts w:ascii="Times New Roman" w:hAnsi="Times New Roman" w:cs="Times New Roman"/>
          <w:sz w:val="24"/>
          <w:szCs w:val="24"/>
        </w:rPr>
        <w:t xml:space="preserve">factor </w:t>
      </w:r>
      <w:r w:rsidRPr="004F51D2">
        <w:rPr>
          <w:rFonts w:ascii="Times New Roman" w:hAnsi="Times New Roman" w:cs="Times New Roman"/>
          <w:sz w:val="24"/>
          <w:szCs w:val="24"/>
        </w:rPr>
        <w:t xml:space="preserve">was 0.79. </w:t>
      </w:r>
      <w:r w:rsidR="003574D1" w:rsidRPr="004F51D2">
        <w:rPr>
          <w:rFonts w:ascii="Times New Roman" w:hAnsi="Times New Roman" w:cs="Times New Roman"/>
          <w:sz w:val="24"/>
          <w:szCs w:val="24"/>
        </w:rPr>
        <w:t>T</w:t>
      </w:r>
      <w:r w:rsidRPr="004F51D2">
        <w:rPr>
          <w:rFonts w:ascii="Times New Roman" w:hAnsi="Times New Roman" w:cs="Times New Roman"/>
          <w:sz w:val="24"/>
          <w:szCs w:val="24"/>
        </w:rPr>
        <w:t xml:space="preserve">he MOGS has shown </w:t>
      </w:r>
      <w:r w:rsidR="003574D1" w:rsidRPr="004F51D2">
        <w:rPr>
          <w:rFonts w:ascii="Times New Roman" w:hAnsi="Times New Roman" w:cs="Times New Roman"/>
          <w:sz w:val="24"/>
          <w:szCs w:val="24"/>
        </w:rPr>
        <w:t xml:space="preserve">to have </w:t>
      </w:r>
      <w:r w:rsidRPr="004F51D2">
        <w:rPr>
          <w:rFonts w:ascii="Times New Roman" w:hAnsi="Times New Roman" w:cs="Times New Roman"/>
          <w:sz w:val="24"/>
          <w:szCs w:val="24"/>
        </w:rPr>
        <w:t>good internal consistency, predictive</w:t>
      </w:r>
      <w:r w:rsidR="003574D1" w:rsidRPr="004F51D2">
        <w:rPr>
          <w:rFonts w:ascii="Times New Roman" w:hAnsi="Times New Roman" w:cs="Times New Roman"/>
          <w:sz w:val="24"/>
          <w:szCs w:val="24"/>
        </w:rPr>
        <w:t>,</w:t>
      </w:r>
      <w:r w:rsidRPr="004F51D2">
        <w:rPr>
          <w:rFonts w:ascii="Times New Roman" w:hAnsi="Times New Roman" w:cs="Times New Roman"/>
          <w:sz w:val="24"/>
          <w:szCs w:val="24"/>
        </w:rPr>
        <w:t xml:space="preserve"> and divergent validity (Spada &amp; Casseli, 2017).</w:t>
      </w:r>
    </w:p>
    <w:p w14:paraId="596F5C8F" w14:textId="29B2D1C6" w:rsidR="00C24DE0" w:rsidRPr="004F51D2" w:rsidRDefault="00C24DE0" w:rsidP="001D1C08">
      <w:pPr>
        <w:bidi w:val="0"/>
        <w:spacing w:after="0" w:line="480" w:lineRule="auto"/>
        <w:jc w:val="both"/>
        <w:rPr>
          <w:rFonts w:ascii="Times New Roman" w:hAnsi="Times New Roman" w:cs="Times New Roman"/>
          <w:sz w:val="24"/>
          <w:szCs w:val="24"/>
        </w:rPr>
      </w:pPr>
      <w:r w:rsidRPr="004F51D2">
        <w:rPr>
          <w:rFonts w:ascii="Times New Roman" w:hAnsi="Times New Roman" w:cs="Times New Roman"/>
          <w:b/>
          <w:bCs/>
          <w:sz w:val="24"/>
          <w:szCs w:val="24"/>
        </w:rPr>
        <w:t>2.2.2. Problematic Online Gaming Questionnaire (POGQ):</w:t>
      </w:r>
      <w:r w:rsidRPr="004F51D2">
        <w:rPr>
          <w:rFonts w:ascii="Times New Roman" w:hAnsi="Times New Roman" w:cs="Times New Roman"/>
          <w:sz w:val="24"/>
          <w:szCs w:val="24"/>
        </w:rPr>
        <w:t xml:space="preserve"> The POGQ (Demetrovics et al., 2012) is </w:t>
      </w:r>
      <w:r w:rsidR="008E4CA3" w:rsidRPr="004F51D2">
        <w:rPr>
          <w:rFonts w:ascii="Times New Roman" w:hAnsi="Times New Roman" w:cs="Times New Roman"/>
          <w:sz w:val="24"/>
          <w:szCs w:val="24"/>
        </w:rPr>
        <w:t>a self-report measure</w:t>
      </w:r>
      <w:r w:rsidRPr="004F51D2">
        <w:rPr>
          <w:rFonts w:ascii="Times New Roman" w:hAnsi="Times New Roman" w:cs="Times New Roman"/>
          <w:sz w:val="24"/>
          <w:szCs w:val="24"/>
        </w:rPr>
        <w:t xml:space="preserve"> to assess online gaming problems</w:t>
      </w:r>
      <w:r w:rsidR="008E4CA3" w:rsidRPr="004F51D2">
        <w:rPr>
          <w:rFonts w:ascii="Times New Roman" w:hAnsi="Times New Roman" w:cs="Times New Roman"/>
          <w:sz w:val="24"/>
          <w:szCs w:val="24"/>
        </w:rPr>
        <w:t xml:space="preserve"> consisting of </w:t>
      </w:r>
      <w:r w:rsidRPr="004F51D2">
        <w:rPr>
          <w:rFonts w:ascii="Times New Roman" w:hAnsi="Times New Roman" w:cs="Times New Roman"/>
          <w:sz w:val="24"/>
          <w:szCs w:val="24"/>
        </w:rPr>
        <w:t xml:space="preserve">18 </w:t>
      </w:r>
      <w:r w:rsidR="00B44C8E" w:rsidRPr="004F51D2">
        <w:rPr>
          <w:rFonts w:ascii="Times New Roman" w:hAnsi="Times New Roman" w:cs="Times New Roman"/>
          <w:sz w:val="24"/>
          <w:szCs w:val="24"/>
        </w:rPr>
        <w:t xml:space="preserve">items </w:t>
      </w:r>
      <w:r w:rsidRPr="004F51D2">
        <w:rPr>
          <w:rFonts w:ascii="Times New Roman" w:hAnsi="Times New Roman" w:cs="Times New Roman"/>
          <w:sz w:val="24"/>
          <w:szCs w:val="24"/>
        </w:rPr>
        <w:t>and six factors (</w:t>
      </w:r>
      <w:r w:rsidR="008E4CA3" w:rsidRPr="004F51D2">
        <w:rPr>
          <w:rFonts w:ascii="Times New Roman" w:hAnsi="Times New Roman" w:cs="Times New Roman"/>
          <w:sz w:val="24"/>
          <w:szCs w:val="24"/>
        </w:rPr>
        <w:t xml:space="preserve">i.e., </w:t>
      </w:r>
      <w:r w:rsidRPr="004F51D2">
        <w:rPr>
          <w:rFonts w:ascii="Times New Roman" w:hAnsi="Times New Roman" w:cs="Times New Roman"/>
          <w:sz w:val="24"/>
          <w:szCs w:val="24"/>
        </w:rPr>
        <w:t xml:space="preserve">preoccupation, overuse, immersion, social isolation, interpersonal conflicts, and withdrawal). Each item is scored on a five-point </w:t>
      </w:r>
      <w:r w:rsidR="008E4CA3" w:rsidRPr="004F51D2">
        <w:rPr>
          <w:rFonts w:ascii="Times New Roman" w:hAnsi="Times New Roman" w:cs="Times New Roman"/>
          <w:sz w:val="24"/>
          <w:szCs w:val="24"/>
        </w:rPr>
        <w:t xml:space="preserve">Likert </w:t>
      </w:r>
      <w:r w:rsidRPr="004F51D2">
        <w:rPr>
          <w:rFonts w:ascii="Times New Roman" w:hAnsi="Times New Roman" w:cs="Times New Roman"/>
          <w:sz w:val="24"/>
          <w:szCs w:val="24"/>
        </w:rPr>
        <w:t xml:space="preserve">scale from "never" to "always". </w:t>
      </w:r>
      <w:r w:rsidR="008E4CA3" w:rsidRPr="004F51D2">
        <w:rPr>
          <w:rFonts w:ascii="Times New Roman" w:hAnsi="Times New Roman" w:cs="Times New Roman"/>
          <w:sz w:val="24"/>
          <w:szCs w:val="24"/>
        </w:rPr>
        <w:t>Higher scores indicate greater levels of problematic online gaming</w:t>
      </w:r>
      <w:r w:rsidRPr="004F51D2">
        <w:rPr>
          <w:rFonts w:ascii="Times New Roman" w:hAnsi="Times New Roman" w:cs="Times New Roman"/>
          <w:sz w:val="24"/>
          <w:szCs w:val="24"/>
        </w:rPr>
        <w:t xml:space="preserve">. </w:t>
      </w:r>
      <w:r w:rsidR="008E4CA3" w:rsidRPr="004F51D2">
        <w:rPr>
          <w:rFonts w:ascii="Times New Roman" w:hAnsi="Times New Roman" w:cs="Times New Roman"/>
          <w:sz w:val="24"/>
          <w:szCs w:val="24"/>
        </w:rPr>
        <w:t xml:space="preserve">The </w:t>
      </w:r>
      <w:r w:rsidRPr="004F51D2">
        <w:rPr>
          <w:rFonts w:ascii="Times New Roman" w:hAnsi="Times New Roman" w:cs="Times New Roman"/>
          <w:sz w:val="24"/>
          <w:szCs w:val="24"/>
        </w:rPr>
        <w:t xml:space="preserve">Cronbach alpha and two-week </w:t>
      </w:r>
      <w:r w:rsidR="00596E5F" w:rsidRPr="004F51D2">
        <w:rPr>
          <w:rFonts w:ascii="Times New Roman" w:hAnsi="Times New Roman" w:cs="Times New Roman"/>
          <w:sz w:val="24"/>
          <w:szCs w:val="24"/>
        </w:rPr>
        <w:t>test-</w:t>
      </w:r>
      <w:r w:rsidRPr="004F51D2">
        <w:rPr>
          <w:rFonts w:ascii="Times New Roman" w:hAnsi="Times New Roman" w:cs="Times New Roman"/>
          <w:sz w:val="24"/>
          <w:szCs w:val="24"/>
        </w:rPr>
        <w:t xml:space="preserve">retest reliability of this questionnaire were 0.85 and 0.81, respectively. </w:t>
      </w:r>
      <w:r w:rsidRPr="004F51D2">
        <w:rPr>
          <w:rFonts w:ascii="Times New Roman" w:eastAsia="Calibri" w:hAnsi="Times New Roman" w:cs="Times New Roman"/>
          <w:sz w:val="24"/>
          <w:szCs w:val="24"/>
          <w:lang w:val="en-GB"/>
        </w:rPr>
        <w:t xml:space="preserve">Because the </w:t>
      </w:r>
      <w:r w:rsidRPr="004F51D2">
        <w:rPr>
          <w:rFonts w:ascii="Times New Roman" w:hAnsi="Times New Roman" w:cs="Times New Roman"/>
          <w:sz w:val="24"/>
          <w:szCs w:val="24"/>
        </w:rPr>
        <w:t>POGQ</w:t>
      </w:r>
      <w:r w:rsidRPr="004F51D2">
        <w:rPr>
          <w:rFonts w:ascii="Times New Roman" w:eastAsia="Calibri" w:hAnsi="Times New Roman" w:cs="Times New Roman"/>
          <w:sz w:val="24"/>
          <w:szCs w:val="24"/>
          <w:lang w:val="en-GB"/>
        </w:rPr>
        <w:t xml:space="preserve"> has not been validated in Iran, for the present study, </w:t>
      </w:r>
      <w:r w:rsidRPr="004F51D2">
        <w:rPr>
          <w:rFonts w:ascii="Times New Roman" w:eastAsia="Calibri" w:hAnsi="Times New Roman" w:cs="Times New Roman"/>
          <w:sz w:val="24"/>
          <w:szCs w:val="24"/>
        </w:rPr>
        <w:t xml:space="preserve">the English version of the </w:t>
      </w:r>
      <w:r w:rsidRPr="004F51D2">
        <w:rPr>
          <w:rFonts w:ascii="Times New Roman" w:hAnsi="Times New Roman" w:cs="Times New Roman"/>
          <w:sz w:val="24"/>
          <w:szCs w:val="24"/>
        </w:rPr>
        <w:t>POGQ</w:t>
      </w:r>
      <w:r w:rsidRPr="004F51D2">
        <w:rPr>
          <w:rFonts w:ascii="Times New Roman" w:eastAsia="Calibri" w:hAnsi="Times New Roman" w:cs="Times New Roman"/>
          <w:sz w:val="24"/>
          <w:szCs w:val="24"/>
        </w:rPr>
        <w:t xml:space="preserve"> was translated into Persian by </w:t>
      </w:r>
      <w:r w:rsidR="008E4CA3" w:rsidRPr="004F51D2">
        <w:rPr>
          <w:rFonts w:ascii="Times New Roman" w:eastAsia="Calibri" w:hAnsi="Times New Roman" w:cs="Times New Roman"/>
          <w:sz w:val="24"/>
          <w:szCs w:val="24"/>
        </w:rPr>
        <w:t xml:space="preserve">the </w:t>
      </w:r>
      <w:r w:rsidRPr="004F51D2">
        <w:rPr>
          <w:rFonts w:ascii="Times New Roman" w:eastAsia="Calibri" w:hAnsi="Times New Roman" w:cs="Times New Roman"/>
          <w:sz w:val="24"/>
          <w:szCs w:val="24"/>
        </w:rPr>
        <w:t xml:space="preserve">Iranian authors and a bilingual psychologist. Following this, the equivalence of the two versions was checked and confirmed. The first version for rating the understandability and fluency of each item was completed by 102 participants from the general population of Tehran (F= 23.52%; mean age = 16.76 ± 1.34 years) in a pilot study. This process did not result in any changes in items, and the final version of the Persian </w:t>
      </w:r>
      <w:r w:rsidRPr="004F51D2">
        <w:rPr>
          <w:rFonts w:ascii="Times New Roman" w:hAnsi="Times New Roman" w:cs="Times New Roman"/>
          <w:sz w:val="24"/>
          <w:szCs w:val="24"/>
        </w:rPr>
        <w:t>POGQ</w:t>
      </w:r>
      <w:r w:rsidRPr="004F51D2">
        <w:rPr>
          <w:rFonts w:ascii="Times New Roman" w:eastAsia="Calibri" w:hAnsi="Times New Roman" w:cs="Times New Roman"/>
          <w:sz w:val="24"/>
          <w:szCs w:val="24"/>
        </w:rPr>
        <w:t xml:space="preserve"> was confirmed.</w:t>
      </w:r>
      <w:r w:rsidRPr="004F51D2">
        <w:rPr>
          <w:rFonts w:ascii="Times New Roman" w:eastAsia="Calibri" w:hAnsi="Times New Roman" w:cs="Times New Roman"/>
          <w:sz w:val="24"/>
          <w:szCs w:val="24"/>
          <w:lang w:val="en-GB"/>
        </w:rPr>
        <w:t xml:space="preserve"> In this </w:t>
      </w:r>
      <w:r w:rsidRPr="004F51D2">
        <w:rPr>
          <w:rFonts w:ascii="Times New Roman" w:eastAsia="Calibri" w:hAnsi="Times New Roman" w:cs="Times New Roman"/>
          <w:sz w:val="24"/>
          <w:szCs w:val="24"/>
        </w:rPr>
        <w:t>pilot study</w:t>
      </w:r>
      <w:r w:rsidRPr="004F51D2">
        <w:rPr>
          <w:rFonts w:ascii="Times New Roman" w:eastAsia="Calibri" w:hAnsi="Times New Roman" w:cs="Times New Roman"/>
          <w:sz w:val="24"/>
          <w:szCs w:val="24"/>
          <w:lang w:val="en-GB"/>
        </w:rPr>
        <w:t xml:space="preserve"> </w:t>
      </w:r>
      <w:r w:rsidR="008E4CA3" w:rsidRPr="004F51D2">
        <w:rPr>
          <w:rFonts w:ascii="Times New Roman" w:eastAsia="Calibri" w:hAnsi="Times New Roman" w:cs="Times New Roman"/>
          <w:sz w:val="24"/>
          <w:szCs w:val="24"/>
          <w:lang w:val="en-GB"/>
        </w:rPr>
        <w:t xml:space="preserve">the </w:t>
      </w:r>
      <w:r w:rsidRPr="004F51D2">
        <w:rPr>
          <w:rFonts w:ascii="Times New Roman" w:eastAsia="Calibri" w:hAnsi="Times New Roman" w:cs="Times New Roman"/>
          <w:sz w:val="24"/>
          <w:szCs w:val="24"/>
        </w:rPr>
        <w:t>Cronbach's alpha</w:t>
      </w:r>
      <w:r w:rsidRPr="004F51D2">
        <w:rPr>
          <w:rFonts w:ascii="Times New Roman" w:eastAsia="Calibri" w:hAnsi="Times New Roman" w:cs="Times New Roman"/>
          <w:sz w:val="24"/>
          <w:szCs w:val="24"/>
          <w:lang w:val="en-GB"/>
        </w:rPr>
        <w:t xml:space="preserve"> was 0.79. </w:t>
      </w:r>
      <w:r w:rsidRPr="004F51D2">
        <w:rPr>
          <w:rFonts w:ascii="Times New Roman" w:eastAsia="Calibri" w:hAnsi="Times New Roman" w:cs="Times New Roman"/>
          <w:sz w:val="24"/>
          <w:szCs w:val="24"/>
        </w:rPr>
        <w:t>The Cronbach's alpha in the current study was 0.93.</w:t>
      </w:r>
    </w:p>
    <w:p w14:paraId="203EBA89" w14:textId="01801E24" w:rsidR="00C24DE0" w:rsidRPr="004F51D2" w:rsidRDefault="00C24DE0" w:rsidP="007675B9">
      <w:pPr>
        <w:bidi w:val="0"/>
        <w:spacing w:after="0" w:line="480" w:lineRule="auto"/>
        <w:jc w:val="both"/>
        <w:rPr>
          <w:rFonts w:ascii="Times New Roman" w:hAnsi="Times New Roman" w:cs="Times New Roman"/>
          <w:sz w:val="24"/>
          <w:szCs w:val="24"/>
        </w:rPr>
      </w:pPr>
      <w:r w:rsidRPr="004F51D2">
        <w:rPr>
          <w:rFonts w:ascii="Times New Roman" w:hAnsi="Times New Roman" w:cs="Times New Roman"/>
          <w:b/>
          <w:bCs/>
          <w:sz w:val="24"/>
          <w:szCs w:val="24"/>
        </w:rPr>
        <w:lastRenderedPageBreak/>
        <w:t>2.2</w:t>
      </w:r>
      <w:r w:rsidR="006E59C2" w:rsidRPr="004F51D2">
        <w:rPr>
          <w:rFonts w:ascii="Times New Roman" w:hAnsi="Times New Roman" w:cs="Times New Roman"/>
          <w:b/>
          <w:bCs/>
          <w:sz w:val="24"/>
          <w:szCs w:val="24"/>
        </w:rPr>
        <w:t>.3. Big Five Inventory-10 item (</w:t>
      </w:r>
      <w:r w:rsidRPr="004F51D2">
        <w:rPr>
          <w:rFonts w:ascii="Times New Roman" w:hAnsi="Times New Roman" w:cs="Times New Roman"/>
          <w:b/>
          <w:bCs/>
          <w:sz w:val="24"/>
          <w:szCs w:val="24"/>
        </w:rPr>
        <w:t>BFI-10):</w:t>
      </w:r>
      <w:r w:rsidRPr="004F51D2">
        <w:rPr>
          <w:rFonts w:ascii="Times New Roman" w:hAnsi="Times New Roman" w:cs="Times New Roman"/>
          <w:sz w:val="24"/>
          <w:szCs w:val="24"/>
        </w:rPr>
        <w:t xml:space="preserve"> The BFI-10</w:t>
      </w:r>
      <w:hyperlink r:id="rId8" w:history="1">
        <w:r w:rsidRPr="004F51D2">
          <w:rPr>
            <w:rFonts w:ascii="Times New Roman" w:hAnsi="Times New Roman" w:cs="Times New Roman"/>
            <w:sz w:val="24"/>
            <w:szCs w:val="24"/>
          </w:rPr>
          <w:t xml:space="preserve"> (Rammstedt</w:t>
        </w:r>
      </w:hyperlink>
      <w:r w:rsidRPr="004F51D2">
        <w:rPr>
          <w:rFonts w:ascii="Times New Roman" w:hAnsi="Times New Roman" w:cs="Times New Roman"/>
          <w:sz w:val="24"/>
          <w:szCs w:val="24"/>
        </w:rPr>
        <w:t xml:space="preserve"> &amp; </w:t>
      </w:r>
      <w:hyperlink r:id="rId9" w:history="1">
        <w:r w:rsidRPr="004F51D2">
          <w:rPr>
            <w:rFonts w:ascii="Times New Roman" w:hAnsi="Times New Roman" w:cs="Times New Roman"/>
            <w:sz w:val="24"/>
            <w:szCs w:val="24"/>
          </w:rPr>
          <w:t xml:space="preserve"> John</w:t>
        </w:r>
      </w:hyperlink>
      <w:r w:rsidRPr="004F51D2">
        <w:rPr>
          <w:rFonts w:ascii="Times New Roman" w:hAnsi="Times New Roman" w:cs="Times New Roman"/>
          <w:sz w:val="24"/>
          <w:szCs w:val="24"/>
        </w:rPr>
        <w:t xml:space="preserve">, 2007) </w:t>
      </w:r>
      <w:r w:rsidR="00B44C8E" w:rsidRPr="004F51D2">
        <w:rPr>
          <w:rFonts w:ascii="Times New Roman" w:hAnsi="Times New Roman" w:cs="Times New Roman"/>
          <w:sz w:val="24"/>
          <w:szCs w:val="24"/>
        </w:rPr>
        <w:t xml:space="preserve">is a self-report measure to assess the Big </w:t>
      </w:r>
      <w:r w:rsidR="00094921" w:rsidRPr="004F51D2">
        <w:rPr>
          <w:rFonts w:ascii="Times New Roman" w:hAnsi="Times New Roman" w:cs="Times New Roman"/>
          <w:sz w:val="24"/>
          <w:szCs w:val="24"/>
        </w:rPr>
        <w:t>F</w:t>
      </w:r>
      <w:r w:rsidR="00B44C8E" w:rsidRPr="004F51D2">
        <w:rPr>
          <w:rFonts w:ascii="Times New Roman" w:hAnsi="Times New Roman" w:cs="Times New Roman"/>
          <w:sz w:val="24"/>
          <w:szCs w:val="24"/>
        </w:rPr>
        <w:t xml:space="preserve">ive personality traits consisting of 10 items. The BFI-10 is the </w:t>
      </w:r>
      <w:r w:rsidRPr="004F51D2">
        <w:rPr>
          <w:rFonts w:ascii="Times New Roman" w:hAnsi="Times New Roman" w:cs="Times New Roman"/>
          <w:sz w:val="24"/>
          <w:szCs w:val="24"/>
        </w:rPr>
        <w:t xml:space="preserve">shortest valid version of the Big Five </w:t>
      </w:r>
      <w:r w:rsidR="00F707AE" w:rsidRPr="004F51D2">
        <w:rPr>
          <w:rFonts w:ascii="Times New Roman" w:hAnsi="Times New Roman" w:cs="Times New Roman"/>
          <w:sz w:val="24"/>
          <w:szCs w:val="24"/>
        </w:rPr>
        <w:t xml:space="preserve">Inventory </w:t>
      </w:r>
      <w:r w:rsidRPr="004F51D2">
        <w:rPr>
          <w:rFonts w:ascii="Times New Roman" w:hAnsi="Times New Roman" w:cs="Times New Roman"/>
          <w:sz w:val="24"/>
          <w:szCs w:val="24"/>
        </w:rPr>
        <w:t>(BFI</w:t>
      </w:r>
      <w:r w:rsidR="00F707AE" w:rsidRPr="004F51D2">
        <w:rPr>
          <w:rFonts w:ascii="Times New Roman" w:hAnsi="Times New Roman" w:cs="Times New Roman"/>
          <w:sz w:val="24"/>
          <w:szCs w:val="24"/>
        </w:rPr>
        <w:t>;</w:t>
      </w:r>
      <w:hyperlink r:id="rId10" w:history="1">
        <w:r w:rsidR="00F707AE" w:rsidRPr="004F51D2">
          <w:rPr>
            <w:rFonts w:ascii="Times New Roman" w:hAnsi="Times New Roman" w:cs="Times New Roman"/>
            <w:sz w:val="24"/>
            <w:szCs w:val="24"/>
          </w:rPr>
          <w:t xml:space="preserve"> </w:t>
        </w:r>
        <w:r w:rsidRPr="004F51D2">
          <w:rPr>
            <w:rFonts w:ascii="Times New Roman" w:hAnsi="Times New Roman" w:cs="Times New Roman"/>
            <w:sz w:val="24"/>
            <w:szCs w:val="24"/>
          </w:rPr>
          <w:t>Rammstedt</w:t>
        </w:r>
      </w:hyperlink>
      <w:r w:rsidRPr="004F51D2">
        <w:rPr>
          <w:rFonts w:ascii="Times New Roman" w:hAnsi="Times New Roman" w:cs="Times New Roman"/>
          <w:sz w:val="24"/>
          <w:szCs w:val="24"/>
        </w:rPr>
        <w:t xml:space="preserve"> &amp;</w:t>
      </w:r>
      <w:hyperlink r:id="rId11" w:history="1">
        <w:r w:rsidRPr="004F51D2">
          <w:rPr>
            <w:rFonts w:ascii="Times New Roman" w:hAnsi="Times New Roman" w:cs="Times New Roman"/>
            <w:sz w:val="24"/>
            <w:szCs w:val="24"/>
          </w:rPr>
          <w:t xml:space="preserve"> John</w:t>
        </w:r>
      </w:hyperlink>
      <w:r w:rsidRPr="004F51D2">
        <w:rPr>
          <w:rFonts w:ascii="Times New Roman" w:hAnsi="Times New Roman" w:cs="Times New Roman"/>
          <w:sz w:val="24"/>
          <w:szCs w:val="24"/>
        </w:rPr>
        <w:t xml:space="preserve">, 2007). The five personality </w:t>
      </w:r>
      <w:r w:rsidR="00F707AE" w:rsidRPr="004F51D2">
        <w:rPr>
          <w:rFonts w:ascii="Times New Roman" w:hAnsi="Times New Roman" w:cs="Times New Roman"/>
          <w:sz w:val="24"/>
          <w:szCs w:val="24"/>
        </w:rPr>
        <w:t xml:space="preserve">traits </w:t>
      </w:r>
      <w:r w:rsidRPr="004F51D2">
        <w:rPr>
          <w:rFonts w:ascii="Times New Roman" w:hAnsi="Times New Roman" w:cs="Times New Roman"/>
          <w:sz w:val="24"/>
          <w:szCs w:val="24"/>
        </w:rPr>
        <w:t>measured are: extroversion, agreeableness, conscientiousness, neuroticism, and openness</w:t>
      </w:r>
      <w:r w:rsidR="008E4CA3" w:rsidRPr="004F51D2">
        <w:rPr>
          <w:rFonts w:ascii="Times New Roman" w:hAnsi="Times New Roman" w:cs="Times New Roman"/>
          <w:sz w:val="24"/>
          <w:szCs w:val="24"/>
        </w:rPr>
        <w:t xml:space="preserve">. Each item is scored on a five-point Likert scale from "completely disagree" to "completely agree". Higher scores indicate greater levels of a given personality trait. </w:t>
      </w:r>
      <w:r w:rsidRPr="004F51D2">
        <w:rPr>
          <w:rFonts w:ascii="Times New Roman" w:hAnsi="Times New Roman" w:cs="Times New Roman"/>
          <w:sz w:val="24"/>
          <w:szCs w:val="24"/>
        </w:rPr>
        <w:t xml:space="preserve">The Persian version of this </w:t>
      </w:r>
      <w:r w:rsidR="008E4CA3" w:rsidRPr="004F51D2">
        <w:rPr>
          <w:rFonts w:ascii="Times New Roman" w:hAnsi="Times New Roman" w:cs="Times New Roman"/>
          <w:sz w:val="24"/>
          <w:szCs w:val="24"/>
        </w:rPr>
        <w:t xml:space="preserve">measure </w:t>
      </w:r>
      <w:r w:rsidRPr="004F51D2">
        <w:rPr>
          <w:rFonts w:ascii="Times New Roman" w:hAnsi="Times New Roman" w:cs="Times New Roman"/>
          <w:sz w:val="24"/>
          <w:szCs w:val="24"/>
        </w:rPr>
        <w:t xml:space="preserve">also has acceptable validity and reliability (Mohammad zadeh and Najafi, 2010). </w:t>
      </w:r>
      <w:r w:rsidR="002A0E2A" w:rsidRPr="004F51D2">
        <w:rPr>
          <w:rFonts w:ascii="Times New Roman" w:hAnsi="Times New Roman" w:cs="Times New Roman"/>
          <w:sz w:val="24"/>
          <w:szCs w:val="24"/>
        </w:rPr>
        <w:t xml:space="preserve">The </w:t>
      </w:r>
      <w:r w:rsidRPr="004F51D2">
        <w:rPr>
          <w:rFonts w:ascii="Times New Roman" w:eastAsia="Calibri" w:hAnsi="Times New Roman" w:cs="Times New Roman"/>
          <w:sz w:val="24"/>
          <w:szCs w:val="24"/>
        </w:rPr>
        <w:t xml:space="preserve">Cronbach's alpha in the current study for </w:t>
      </w:r>
      <w:r w:rsidR="002A0E2A" w:rsidRPr="004F51D2">
        <w:rPr>
          <w:rFonts w:ascii="Times New Roman" w:eastAsia="Calibri" w:hAnsi="Times New Roman" w:cs="Times New Roman"/>
          <w:sz w:val="24"/>
          <w:szCs w:val="24"/>
        </w:rPr>
        <w:t xml:space="preserve">the </w:t>
      </w:r>
      <w:r w:rsidRPr="004F51D2">
        <w:rPr>
          <w:rFonts w:ascii="Times New Roman" w:eastAsia="Calibri" w:hAnsi="Times New Roman" w:cs="Times New Roman"/>
          <w:sz w:val="24"/>
          <w:szCs w:val="24"/>
        </w:rPr>
        <w:t>five factors ranged from 0.60 to 0.75.</w:t>
      </w:r>
    </w:p>
    <w:p w14:paraId="64A6C5D9" w14:textId="2B110141" w:rsidR="002A0E2A" w:rsidRPr="004F51D2" w:rsidRDefault="00C24DE0" w:rsidP="002A0E2A">
      <w:pPr>
        <w:bidi w:val="0"/>
        <w:spacing w:after="0" w:line="480" w:lineRule="auto"/>
        <w:jc w:val="both"/>
        <w:rPr>
          <w:rFonts w:ascii="Times New Roman" w:hAnsi="Times New Roman" w:cs="Times New Roman"/>
          <w:sz w:val="24"/>
          <w:szCs w:val="24"/>
        </w:rPr>
      </w:pPr>
      <w:r w:rsidRPr="004F51D2">
        <w:rPr>
          <w:rFonts w:ascii="Times New Roman" w:hAnsi="Times New Roman" w:cs="Times New Roman"/>
          <w:b/>
          <w:bCs/>
          <w:sz w:val="24"/>
          <w:szCs w:val="24"/>
        </w:rPr>
        <w:t>2.2.4. Depre</w:t>
      </w:r>
      <w:r w:rsidR="006E59C2" w:rsidRPr="004F51D2">
        <w:rPr>
          <w:rFonts w:ascii="Times New Roman" w:hAnsi="Times New Roman" w:cs="Times New Roman"/>
          <w:b/>
          <w:bCs/>
          <w:sz w:val="24"/>
          <w:szCs w:val="24"/>
        </w:rPr>
        <w:t>ssion</w:t>
      </w:r>
      <w:r w:rsidR="00094921" w:rsidRPr="004F51D2">
        <w:rPr>
          <w:rFonts w:ascii="Times New Roman" w:hAnsi="Times New Roman" w:cs="Times New Roman"/>
          <w:b/>
          <w:bCs/>
          <w:sz w:val="24"/>
          <w:szCs w:val="24"/>
        </w:rPr>
        <w:t>,</w:t>
      </w:r>
      <w:r w:rsidR="006E59C2" w:rsidRPr="004F51D2">
        <w:rPr>
          <w:rFonts w:ascii="Times New Roman" w:hAnsi="Times New Roman" w:cs="Times New Roman"/>
          <w:b/>
          <w:bCs/>
          <w:sz w:val="24"/>
          <w:szCs w:val="24"/>
        </w:rPr>
        <w:t xml:space="preserve"> Anxiety </w:t>
      </w:r>
      <w:r w:rsidR="00B44C8E" w:rsidRPr="004F51D2">
        <w:rPr>
          <w:rFonts w:ascii="Times New Roman" w:hAnsi="Times New Roman" w:cs="Times New Roman"/>
          <w:b/>
          <w:bCs/>
          <w:sz w:val="24"/>
          <w:szCs w:val="24"/>
        </w:rPr>
        <w:t xml:space="preserve">and </w:t>
      </w:r>
      <w:r w:rsidR="006E59C2" w:rsidRPr="004F51D2">
        <w:rPr>
          <w:rFonts w:ascii="Times New Roman" w:hAnsi="Times New Roman" w:cs="Times New Roman"/>
          <w:b/>
          <w:bCs/>
          <w:sz w:val="24"/>
          <w:szCs w:val="24"/>
        </w:rPr>
        <w:t>Stress Scale</w:t>
      </w:r>
      <w:r w:rsidR="00B44C8E" w:rsidRPr="004F51D2">
        <w:rPr>
          <w:rFonts w:ascii="Times New Roman" w:hAnsi="Times New Roman" w:cs="Times New Roman"/>
          <w:b/>
          <w:bCs/>
          <w:sz w:val="24"/>
          <w:szCs w:val="24"/>
        </w:rPr>
        <w:t xml:space="preserve"> </w:t>
      </w:r>
      <w:r w:rsidR="006E59C2" w:rsidRPr="004F51D2">
        <w:rPr>
          <w:rFonts w:ascii="Times New Roman" w:hAnsi="Times New Roman" w:cs="Times New Roman"/>
          <w:b/>
          <w:bCs/>
          <w:sz w:val="24"/>
          <w:szCs w:val="24"/>
        </w:rPr>
        <w:t>21 (</w:t>
      </w:r>
      <w:r w:rsidRPr="004F51D2">
        <w:rPr>
          <w:rFonts w:ascii="Times New Roman" w:hAnsi="Times New Roman" w:cs="Times New Roman"/>
          <w:b/>
          <w:bCs/>
          <w:sz w:val="24"/>
          <w:szCs w:val="24"/>
        </w:rPr>
        <w:t>DASS-21):</w:t>
      </w:r>
      <w:r w:rsidRPr="004F51D2">
        <w:rPr>
          <w:rFonts w:ascii="Times New Roman" w:hAnsi="Times New Roman" w:cs="Times New Roman"/>
          <w:sz w:val="24"/>
          <w:szCs w:val="24"/>
        </w:rPr>
        <w:t xml:space="preserve"> The DASS-21 (Lovibond &amp; Lovibond, 1995) is a self-report </w:t>
      </w:r>
      <w:r w:rsidR="00B44C8E" w:rsidRPr="004F51D2">
        <w:rPr>
          <w:rFonts w:ascii="Times New Roman" w:hAnsi="Times New Roman" w:cs="Times New Roman"/>
          <w:sz w:val="24"/>
          <w:szCs w:val="24"/>
        </w:rPr>
        <w:t xml:space="preserve">measure to assess anxiety, depression and stress </w:t>
      </w:r>
      <w:r w:rsidR="002A0E2A" w:rsidRPr="004F51D2">
        <w:rPr>
          <w:rFonts w:ascii="Times New Roman" w:hAnsi="Times New Roman" w:cs="Times New Roman"/>
          <w:sz w:val="24"/>
          <w:szCs w:val="24"/>
        </w:rPr>
        <w:t>consisting of 21 items (7 for each factor)</w:t>
      </w:r>
      <w:r w:rsidRPr="004F51D2">
        <w:rPr>
          <w:rFonts w:ascii="Times New Roman" w:hAnsi="Times New Roman" w:cs="Times New Roman"/>
          <w:sz w:val="24"/>
          <w:szCs w:val="24"/>
        </w:rPr>
        <w:t xml:space="preserve">. </w:t>
      </w:r>
      <w:r w:rsidR="002A0E2A" w:rsidRPr="004F51D2">
        <w:rPr>
          <w:rFonts w:ascii="Times New Roman" w:hAnsi="Times New Roman" w:cs="Times New Roman"/>
          <w:sz w:val="24"/>
          <w:szCs w:val="24"/>
        </w:rPr>
        <w:t xml:space="preserve">Each item is scored on a four-point Likert scale from "not at all" to "very much". Higher scores indicate greater levels of anxiety, depression, and stress. </w:t>
      </w:r>
    </w:p>
    <w:p w14:paraId="2186D26B" w14:textId="58DB74CF" w:rsidR="00C24DE0" w:rsidRPr="004F51D2" w:rsidRDefault="002A0E2A" w:rsidP="00E325E4">
      <w:pPr>
        <w:bidi w:val="0"/>
        <w:spacing w:after="0" w:line="480" w:lineRule="auto"/>
        <w:jc w:val="both"/>
        <w:rPr>
          <w:rFonts w:ascii="Times New Roman" w:hAnsi="Times New Roman" w:cs="Times New Roman"/>
          <w:sz w:val="24"/>
          <w:szCs w:val="24"/>
        </w:rPr>
      </w:pPr>
      <w:r w:rsidRPr="004F51D2">
        <w:rPr>
          <w:rFonts w:ascii="Times New Roman" w:hAnsi="Times New Roman" w:cs="Times New Roman"/>
          <w:sz w:val="24"/>
          <w:szCs w:val="24"/>
        </w:rPr>
        <w:t>The three factors identified by the DASS-21</w:t>
      </w:r>
      <w:r w:rsidR="00C24DE0" w:rsidRPr="004F51D2">
        <w:rPr>
          <w:rFonts w:ascii="Times New Roman" w:hAnsi="Times New Roman" w:cs="Times New Roman"/>
          <w:sz w:val="24"/>
          <w:szCs w:val="24"/>
        </w:rPr>
        <w:t xml:space="preserve"> </w:t>
      </w:r>
      <w:r w:rsidRPr="004F51D2">
        <w:rPr>
          <w:rFonts w:ascii="Times New Roman" w:hAnsi="Times New Roman" w:cs="Times New Roman"/>
          <w:sz w:val="24"/>
          <w:szCs w:val="24"/>
        </w:rPr>
        <w:t xml:space="preserve">are common to </w:t>
      </w:r>
      <w:r w:rsidR="00C24DE0" w:rsidRPr="004F51D2">
        <w:rPr>
          <w:rFonts w:ascii="Times New Roman" w:hAnsi="Times New Roman" w:cs="Times New Roman"/>
          <w:sz w:val="24"/>
          <w:szCs w:val="24"/>
        </w:rPr>
        <w:t xml:space="preserve">general psychological distress (Henry and Crawford, 2005). In the Persian version of this scale, Cronbach's alpha for depression, anxiety, and stress </w:t>
      </w:r>
      <w:r w:rsidRPr="004F51D2">
        <w:rPr>
          <w:rFonts w:ascii="Times New Roman" w:hAnsi="Times New Roman" w:cs="Times New Roman"/>
          <w:sz w:val="24"/>
          <w:szCs w:val="24"/>
        </w:rPr>
        <w:t xml:space="preserve">were </w:t>
      </w:r>
      <w:r w:rsidR="00C24DE0" w:rsidRPr="004F51D2">
        <w:rPr>
          <w:rFonts w:ascii="Times New Roman" w:hAnsi="Times New Roman" w:cs="Times New Roman"/>
          <w:sz w:val="24"/>
          <w:szCs w:val="24"/>
        </w:rPr>
        <w:t xml:space="preserve">reported as 0.80, 0.76, and 0.77, respectively (Samani </w:t>
      </w:r>
      <w:r w:rsidR="00E325E4" w:rsidRPr="004F51D2">
        <w:rPr>
          <w:rFonts w:ascii="Times New Roman" w:hAnsi="Times New Roman" w:cs="Times New Roman"/>
          <w:sz w:val="24"/>
          <w:szCs w:val="24"/>
        </w:rPr>
        <w:t>&amp;</w:t>
      </w:r>
      <w:r w:rsidR="00C24DE0" w:rsidRPr="004F51D2">
        <w:rPr>
          <w:rFonts w:ascii="Times New Roman" w:hAnsi="Times New Roman" w:cs="Times New Roman"/>
          <w:sz w:val="24"/>
          <w:szCs w:val="24"/>
        </w:rPr>
        <w:t xml:space="preserve"> Jokar, 2007). </w:t>
      </w:r>
      <w:r w:rsidR="00C24DE0" w:rsidRPr="004F51D2">
        <w:rPr>
          <w:rFonts w:ascii="Times New Roman" w:eastAsia="Calibri" w:hAnsi="Times New Roman" w:cs="Times New Roman"/>
          <w:sz w:val="24"/>
          <w:szCs w:val="24"/>
        </w:rPr>
        <w:t xml:space="preserve">The Cronbach's alpha in the current study </w:t>
      </w:r>
      <w:r w:rsidR="00C24DE0" w:rsidRPr="004F51D2">
        <w:rPr>
          <w:rFonts w:ascii="Times New Roman" w:hAnsi="Times New Roman" w:cs="Times New Roman"/>
          <w:sz w:val="24"/>
          <w:szCs w:val="24"/>
        </w:rPr>
        <w:t xml:space="preserve">for depression, anxiety, and stress are reported as 0.79, </w:t>
      </w:r>
      <w:r w:rsidRPr="004F51D2">
        <w:rPr>
          <w:rFonts w:ascii="Times New Roman" w:hAnsi="Times New Roman" w:cs="Times New Roman"/>
          <w:sz w:val="24"/>
          <w:szCs w:val="24"/>
        </w:rPr>
        <w:t>0.</w:t>
      </w:r>
      <w:r w:rsidR="00C24DE0" w:rsidRPr="004F51D2">
        <w:rPr>
          <w:rFonts w:ascii="Times New Roman" w:hAnsi="Times New Roman" w:cs="Times New Roman"/>
          <w:sz w:val="24"/>
          <w:szCs w:val="24"/>
        </w:rPr>
        <w:t>87, and 0.82, respectively</w:t>
      </w:r>
      <w:r w:rsidR="00C24DE0" w:rsidRPr="004F51D2">
        <w:rPr>
          <w:rFonts w:ascii="Times New Roman" w:eastAsia="Calibri" w:hAnsi="Times New Roman" w:cs="Times New Roman"/>
          <w:sz w:val="24"/>
          <w:szCs w:val="24"/>
        </w:rPr>
        <w:t>.</w:t>
      </w:r>
    </w:p>
    <w:p w14:paraId="448E3C31" w14:textId="38C7F208" w:rsidR="00443964" w:rsidRPr="004F51D2" w:rsidRDefault="00C24DE0" w:rsidP="00531EFE">
      <w:pPr>
        <w:bidi w:val="0"/>
        <w:spacing w:after="0" w:line="480" w:lineRule="auto"/>
        <w:jc w:val="both"/>
        <w:rPr>
          <w:rFonts w:ascii="Times New Roman" w:hAnsi="Times New Roman" w:cs="Times New Roman"/>
          <w:sz w:val="24"/>
          <w:szCs w:val="24"/>
        </w:rPr>
      </w:pPr>
      <w:r w:rsidRPr="004F51D2">
        <w:rPr>
          <w:rFonts w:ascii="Times New Roman" w:hAnsi="Times New Roman" w:cs="Times New Roman"/>
          <w:b/>
          <w:bCs/>
          <w:sz w:val="24"/>
          <w:szCs w:val="24"/>
        </w:rPr>
        <w:t xml:space="preserve">2.2.5. </w:t>
      </w:r>
      <w:r w:rsidRPr="004F51D2">
        <w:rPr>
          <w:rFonts w:ascii="Times New Roman" w:hAnsi="Times New Roman" w:cs="Times New Roman"/>
          <w:b/>
          <w:bCs/>
          <w:color w:val="000000" w:themeColor="text1"/>
          <w:sz w:val="24"/>
          <w:szCs w:val="24"/>
        </w:rPr>
        <w:t>Video-Game related Cognitions Scale (VGCS)</w:t>
      </w:r>
      <w:r w:rsidR="006D0943" w:rsidRPr="004F51D2">
        <w:rPr>
          <w:rFonts w:ascii="Times New Roman" w:hAnsi="Times New Roman" w:cs="Times New Roman"/>
          <w:b/>
          <w:bCs/>
          <w:color w:val="000000" w:themeColor="text1"/>
          <w:sz w:val="24"/>
          <w:szCs w:val="24"/>
        </w:rPr>
        <w:t>.</w:t>
      </w:r>
      <w:r w:rsidRPr="004F51D2">
        <w:rPr>
          <w:rFonts w:ascii="Times New Roman" w:hAnsi="Times New Roman" w:cs="Times New Roman"/>
          <w:color w:val="000000" w:themeColor="text1"/>
          <w:sz w:val="24"/>
          <w:szCs w:val="24"/>
        </w:rPr>
        <w:t xml:space="preserve"> </w:t>
      </w:r>
      <w:r w:rsidRPr="004F51D2">
        <w:rPr>
          <w:rFonts w:ascii="Times New Roman" w:hAnsi="Times New Roman" w:cs="Times New Roman"/>
          <w:sz w:val="24"/>
          <w:szCs w:val="24"/>
        </w:rPr>
        <w:t>The VGCS</w:t>
      </w:r>
      <w:r w:rsidR="006D0943" w:rsidRPr="004F51D2">
        <w:rPr>
          <w:rFonts w:ascii="Times New Roman" w:hAnsi="Times New Roman" w:cs="Times New Roman"/>
          <w:sz w:val="24"/>
          <w:szCs w:val="24"/>
        </w:rPr>
        <w:t xml:space="preserve"> (</w:t>
      </w:r>
      <w:r w:rsidR="00BA07A3" w:rsidRPr="004F51D2">
        <w:rPr>
          <w:rFonts w:ascii="Times New Roman" w:hAnsi="Times New Roman" w:cs="Times New Roman"/>
          <w:sz w:val="24"/>
          <w:szCs w:val="24"/>
        </w:rPr>
        <w:t>Forrest, King, &amp; Delfabbro</w:t>
      </w:r>
      <w:r w:rsidR="006D0943" w:rsidRPr="004F51D2">
        <w:rPr>
          <w:rFonts w:ascii="Times New Roman" w:hAnsi="Times New Roman" w:cs="Times New Roman"/>
          <w:sz w:val="24"/>
          <w:szCs w:val="24"/>
        </w:rPr>
        <w:t>, 2016)</w:t>
      </w:r>
      <w:r w:rsidRPr="004F51D2">
        <w:rPr>
          <w:rFonts w:ascii="Times New Roman" w:hAnsi="Times New Roman" w:cs="Times New Roman"/>
          <w:sz w:val="24"/>
          <w:szCs w:val="24"/>
        </w:rPr>
        <w:t xml:space="preserve"> is </w:t>
      </w:r>
      <w:r w:rsidR="006D0943" w:rsidRPr="004F51D2">
        <w:rPr>
          <w:rFonts w:ascii="Times New Roman" w:hAnsi="Times New Roman" w:cs="Times New Roman"/>
          <w:sz w:val="24"/>
          <w:szCs w:val="24"/>
        </w:rPr>
        <w:t xml:space="preserve">a self-report measure </w:t>
      </w:r>
      <w:r w:rsidRPr="004F51D2">
        <w:rPr>
          <w:rFonts w:ascii="Times New Roman" w:hAnsi="Times New Roman" w:cs="Times New Roman"/>
          <w:sz w:val="24"/>
          <w:szCs w:val="24"/>
        </w:rPr>
        <w:t xml:space="preserve">to assess maladaptive cognitions related to video games </w:t>
      </w:r>
      <w:r w:rsidR="006D0943" w:rsidRPr="004F51D2">
        <w:rPr>
          <w:rFonts w:ascii="Times New Roman" w:hAnsi="Times New Roman" w:cs="Times New Roman"/>
          <w:sz w:val="24"/>
          <w:szCs w:val="24"/>
        </w:rPr>
        <w:t xml:space="preserve">consisting of 18 items and four factors (i.e., perfectionism, cognitive salience, regret, and behavioral salience). </w:t>
      </w:r>
      <w:r w:rsidRPr="004F51D2">
        <w:rPr>
          <w:rFonts w:ascii="Times New Roman" w:hAnsi="Times New Roman" w:cs="Times New Roman"/>
          <w:sz w:val="24"/>
          <w:szCs w:val="24"/>
        </w:rPr>
        <w:t xml:space="preserve">Each item is scored on a five-point </w:t>
      </w:r>
      <w:r w:rsidR="00443964" w:rsidRPr="004F51D2">
        <w:rPr>
          <w:rFonts w:ascii="Times New Roman" w:hAnsi="Times New Roman" w:cs="Times New Roman"/>
          <w:sz w:val="24"/>
          <w:szCs w:val="24"/>
        </w:rPr>
        <w:t xml:space="preserve">Likert </w:t>
      </w:r>
      <w:r w:rsidRPr="004F51D2">
        <w:rPr>
          <w:rFonts w:ascii="Times New Roman" w:hAnsi="Times New Roman" w:cs="Times New Roman"/>
          <w:sz w:val="24"/>
          <w:szCs w:val="24"/>
        </w:rPr>
        <w:t xml:space="preserve">scale </w:t>
      </w:r>
      <w:r w:rsidR="006D0943" w:rsidRPr="004F51D2">
        <w:rPr>
          <w:rFonts w:ascii="Times New Roman" w:hAnsi="Times New Roman" w:cs="Times New Roman"/>
          <w:sz w:val="24"/>
          <w:szCs w:val="24"/>
        </w:rPr>
        <w:t>from “never” to “always”</w:t>
      </w:r>
      <w:r w:rsidRPr="004F51D2">
        <w:rPr>
          <w:rFonts w:ascii="Times New Roman" w:hAnsi="Times New Roman" w:cs="Times New Roman"/>
          <w:sz w:val="24"/>
          <w:szCs w:val="24"/>
        </w:rPr>
        <w:t xml:space="preserve">. </w:t>
      </w:r>
      <w:r w:rsidR="006D0943" w:rsidRPr="004F51D2">
        <w:rPr>
          <w:rFonts w:ascii="Times New Roman" w:hAnsi="Times New Roman" w:cs="Times New Roman"/>
          <w:sz w:val="24"/>
          <w:szCs w:val="24"/>
        </w:rPr>
        <w:t xml:space="preserve">Higher scores indicate greater levels of maladaption in cognitions. </w:t>
      </w:r>
      <w:r w:rsidR="00443964" w:rsidRPr="004F51D2">
        <w:rPr>
          <w:rFonts w:ascii="Times New Roman" w:eastAsia="Calibri" w:hAnsi="Times New Roman" w:cs="Times New Roman"/>
          <w:sz w:val="24"/>
          <w:szCs w:val="24"/>
          <w:lang w:val="en-GB"/>
        </w:rPr>
        <w:t xml:space="preserve">Because the </w:t>
      </w:r>
      <w:r w:rsidR="00443964" w:rsidRPr="004F51D2">
        <w:rPr>
          <w:rFonts w:ascii="Times New Roman" w:hAnsi="Times New Roman" w:cs="Times New Roman"/>
          <w:sz w:val="24"/>
          <w:szCs w:val="24"/>
        </w:rPr>
        <w:t>VGCS</w:t>
      </w:r>
      <w:r w:rsidR="00443964" w:rsidRPr="004F51D2">
        <w:rPr>
          <w:rFonts w:ascii="Times New Roman" w:eastAsia="Calibri" w:hAnsi="Times New Roman" w:cs="Times New Roman"/>
          <w:sz w:val="24"/>
          <w:szCs w:val="24"/>
          <w:lang w:val="en-GB"/>
        </w:rPr>
        <w:t xml:space="preserve"> has not been validated in Iran, for the present study, </w:t>
      </w:r>
      <w:r w:rsidR="00443964" w:rsidRPr="004F51D2">
        <w:rPr>
          <w:rFonts w:ascii="Times New Roman" w:eastAsia="Calibri" w:hAnsi="Times New Roman" w:cs="Times New Roman"/>
          <w:sz w:val="24"/>
          <w:szCs w:val="24"/>
        </w:rPr>
        <w:t xml:space="preserve">the English version of the </w:t>
      </w:r>
      <w:r w:rsidR="00443964" w:rsidRPr="004F51D2">
        <w:rPr>
          <w:rFonts w:ascii="Times New Roman" w:hAnsi="Times New Roman" w:cs="Times New Roman"/>
          <w:sz w:val="24"/>
          <w:szCs w:val="24"/>
        </w:rPr>
        <w:t>VGCS</w:t>
      </w:r>
      <w:r w:rsidR="00443964" w:rsidRPr="004F51D2">
        <w:rPr>
          <w:rFonts w:ascii="Times New Roman" w:eastAsia="Calibri" w:hAnsi="Times New Roman" w:cs="Times New Roman"/>
          <w:sz w:val="24"/>
          <w:szCs w:val="24"/>
        </w:rPr>
        <w:t xml:space="preserve"> was translated into Persian by the Iranian authors and a bilingual psychologist. Following </w:t>
      </w:r>
      <w:r w:rsidR="00443964" w:rsidRPr="004F51D2">
        <w:rPr>
          <w:rFonts w:ascii="Times New Roman" w:eastAsia="Calibri" w:hAnsi="Times New Roman" w:cs="Times New Roman"/>
          <w:sz w:val="24"/>
          <w:szCs w:val="24"/>
        </w:rPr>
        <w:lastRenderedPageBreak/>
        <w:t>this, the equivalence of the two versions was checked and confirmed. The first version for rating the understandability and fluency of each item was completed by 102 participants from the general population of Tehran (F</w:t>
      </w:r>
      <w:r w:rsidR="00094921" w:rsidRPr="004F51D2">
        <w:rPr>
          <w:rFonts w:ascii="Times New Roman" w:eastAsia="Calibri" w:hAnsi="Times New Roman" w:cs="Times New Roman"/>
          <w:sz w:val="24"/>
          <w:szCs w:val="24"/>
        </w:rPr>
        <w:t xml:space="preserve"> </w:t>
      </w:r>
      <w:r w:rsidR="00443964" w:rsidRPr="004F51D2">
        <w:rPr>
          <w:rFonts w:ascii="Times New Roman" w:eastAsia="Calibri" w:hAnsi="Times New Roman" w:cs="Times New Roman"/>
          <w:sz w:val="24"/>
          <w:szCs w:val="24"/>
        </w:rPr>
        <w:t xml:space="preserve">= 23.52%; mean age = 16.76 ± 1.34 years) in a pilot study. This process did not result in any changes in items, and the final version of the Persian </w:t>
      </w:r>
      <w:r w:rsidR="00443964" w:rsidRPr="004F51D2">
        <w:rPr>
          <w:rFonts w:ascii="Times New Roman" w:hAnsi="Times New Roman" w:cs="Times New Roman"/>
          <w:sz w:val="24"/>
          <w:szCs w:val="24"/>
        </w:rPr>
        <w:t>VGCS</w:t>
      </w:r>
      <w:r w:rsidR="00443964" w:rsidRPr="004F51D2">
        <w:rPr>
          <w:rFonts w:ascii="Times New Roman" w:eastAsia="Calibri" w:hAnsi="Times New Roman" w:cs="Times New Roman"/>
          <w:sz w:val="24"/>
          <w:szCs w:val="24"/>
        </w:rPr>
        <w:t xml:space="preserve"> was confirmed.</w:t>
      </w:r>
      <w:r w:rsidR="00443964" w:rsidRPr="004F51D2">
        <w:rPr>
          <w:rFonts w:ascii="Times New Roman" w:eastAsia="Calibri" w:hAnsi="Times New Roman" w:cs="Times New Roman"/>
          <w:sz w:val="24"/>
          <w:szCs w:val="24"/>
          <w:lang w:val="en-GB"/>
        </w:rPr>
        <w:t xml:space="preserve"> In this </w:t>
      </w:r>
      <w:r w:rsidR="00443964" w:rsidRPr="004F51D2">
        <w:rPr>
          <w:rFonts w:ascii="Times New Roman" w:eastAsia="Calibri" w:hAnsi="Times New Roman" w:cs="Times New Roman"/>
          <w:sz w:val="24"/>
          <w:szCs w:val="24"/>
        </w:rPr>
        <w:t>pilot study</w:t>
      </w:r>
      <w:r w:rsidR="00443964" w:rsidRPr="004F51D2">
        <w:rPr>
          <w:rFonts w:ascii="Times New Roman" w:eastAsia="Calibri" w:hAnsi="Times New Roman" w:cs="Times New Roman"/>
          <w:sz w:val="24"/>
          <w:szCs w:val="24"/>
          <w:lang w:val="en-GB"/>
        </w:rPr>
        <w:t xml:space="preserve"> the </w:t>
      </w:r>
      <w:r w:rsidR="00443964" w:rsidRPr="004F51D2">
        <w:rPr>
          <w:rFonts w:ascii="Times New Roman" w:eastAsia="Calibri" w:hAnsi="Times New Roman" w:cs="Times New Roman"/>
          <w:sz w:val="24"/>
          <w:szCs w:val="24"/>
        </w:rPr>
        <w:t>Cronbach's alpha</w:t>
      </w:r>
      <w:r w:rsidR="00443964" w:rsidRPr="004F51D2">
        <w:rPr>
          <w:rFonts w:ascii="Times New Roman" w:eastAsia="Calibri" w:hAnsi="Times New Roman" w:cs="Times New Roman"/>
          <w:sz w:val="24"/>
          <w:szCs w:val="24"/>
          <w:lang w:val="en-GB"/>
        </w:rPr>
        <w:t xml:space="preserve"> was 0.79. </w:t>
      </w:r>
      <w:r w:rsidR="00443964" w:rsidRPr="004F51D2">
        <w:rPr>
          <w:rFonts w:ascii="Times New Roman" w:eastAsia="Calibri" w:hAnsi="Times New Roman" w:cs="Times New Roman"/>
          <w:sz w:val="24"/>
          <w:szCs w:val="24"/>
        </w:rPr>
        <w:t>The Cronbach's alpha in the current study was 0.89.</w:t>
      </w:r>
    </w:p>
    <w:p w14:paraId="442EC0CB" w14:textId="211794EB" w:rsidR="00C24DE0" w:rsidRPr="004F51D2" w:rsidRDefault="00C24DE0" w:rsidP="007675B9">
      <w:pPr>
        <w:bidi w:val="0"/>
        <w:spacing w:after="0" w:line="480" w:lineRule="auto"/>
        <w:jc w:val="both"/>
        <w:rPr>
          <w:rFonts w:ascii="Times New Roman" w:eastAsia="Calibri" w:hAnsi="Times New Roman" w:cs="Times New Roman"/>
          <w:sz w:val="24"/>
          <w:szCs w:val="24"/>
        </w:rPr>
      </w:pPr>
      <w:r w:rsidRPr="004F51D2">
        <w:rPr>
          <w:rFonts w:ascii="Times New Roman" w:hAnsi="Times New Roman" w:cs="Times New Roman"/>
          <w:b/>
          <w:bCs/>
          <w:sz w:val="24"/>
          <w:szCs w:val="24"/>
        </w:rPr>
        <w:t xml:space="preserve">2.2.6. Motives for Online Gaming Questionnaire (MOGQ): </w:t>
      </w:r>
      <w:r w:rsidRPr="004F51D2">
        <w:rPr>
          <w:rFonts w:ascii="Times New Roman" w:hAnsi="Times New Roman" w:cs="Times New Roman"/>
          <w:sz w:val="24"/>
          <w:szCs w:val="24"/>
        </w:rPr>
        <w:t xml:space="preserve">The MOGQ (Demetrovics et al., 2011) </w:t>
      </w:r>
      <w:r w:rsidR="00443964" w:rsidRPr="004F51D2">
        <w:rPr>
          <w:rFonts w:ascii="Times New Roman" w:hAnsi="Times New Roman" w:cs="Times New Roman"/>
          <w:sz w:val="24"/>
          <w:szCs w:val="24"/>
        </w:rPr>
        <w:t xml:space="preserve">is a self-report measure to assess motives related to online gaming consisting of 27 items and seven factors </w:t>
      </w:r>
      <w:r w:rsidRPr="004F51D2">
        <w:rPr>
          <w:rFonts w:ascii="Times New Roman" w:hAnsi="Times New Roman" w:cs="Times New Roman"/>
          <w:sz w:val="24"/>
          <w:szCs w:val="24"/>
        </w:rPr>
        <w:t>(</w:t>
      </w:r>
      <w:r w:rsidR="00443964" w:rsidRPr="004F51D2">
        <w:rPr>
          <w:rFonts w:ascii="Times New Roman" w:hAnsi="Times New Roman" w:cs="Times New Roman"/>
          <w:sz w:val="24"/>
          <w:szCs w:val="24"/>
        </w:rPr>
        <w:t>i.e.</w:t>
      </w:r>
      <w:r w:rsidRPr="004F51D2">
        <w:rPr>
          <w:rFonts w:ascii="Times New Roman" w:hAnsi="Times New Roman" w:cs="Times New Roman"/>
          <w:sz w:val="24"/>
          <w:szCs w:val="24"/>
        </w:rPr>
        <w:t xml:space="preserve">, escape, coping, fantasy, skill development, recreation, competition, and social). </w:t>
      </w:r>
      <w:r w:rsidR="00443964" w:rsidRPr="004F51D2">
        <w:rPr>
          <w:rFonts w:ascii="Times New Roman" w:hAnsi="Times New Roman" w:cs="Times New Roman"/>
          <w:sz w:val="24"/>
          <w:szCs w:val="24"/>
        </w:rPr>
        <w:t xml:space="preserve">Each item is scored on a four-point Likert scale from “(almost never/never” to “almost always/always”. Higher scores indicate greater levels of motives. </w:t>
      </w:r>
      <w:r w:rsidR="00443964" w:rsidRPr="004F51D2">
        <w:rPr>
          <w:rFonts w:ascii="Times New Roman" w:eastAsia="Calibri" w:hAnsi="Times New Roman" w:cs="Times New Roman"/>
          <w:sz w:val="24"/>
          <w:szCs w:val="24"/>
          <w:lang w:val="en-GB"/>
        </w:rPr>
        <w:t xml:space="preserve">Because the </w:t>
      </w:r>
      <w:r w:rsidR="00443964" w:rsidRPr="004F51D2">
        <w:rPr>
          <w:rFonts w:ascii="Times New Roman" w:hAnsi="Times New Roman" w:cs="Times New Roman"/>
          <w:sz w:val="24"/>
          <w:szCs w:val="24"/>
        </w:rPr>
        <w:t>MOGQ</w:t>
      </w:r>
      <w:r w:rsidR="00443964" w:rsidRPr="004F51D2">
        <w:rPr>
          <w:rFonts w:ascii="Times New Roman" w:eastAsia="Calibri" w:hAnsi="Times New Roman" w:cs="Times New Roman"/>
          <w:sz w:val="24"/>
          <w:szCs w:val="24"/>
          <w:lang w:val="en-GB"/>
        </w:rPr>
        <w:t xml:space="preserve"> has not been validated in Iran, for the present study, </w:t>
      </w:r>
      <w:r w:rsidR="00443964" w:rsidRPr="004F51D2">
        <w:rPr>
          <w:rFonts w:ascii="Times New Roman" w:eastAsia="Calibri" w:hAnsi="Times New Roman" w:cs="Times New Roman"/>
          <w:sz w:val="24"/>
          <w:szCs w:val="24"/>
        </w:rPr>
        <w:t xml:space="preserve">the English version of the </w:t>
      </w:r>
      <w:r w:rsidR="00443964" w:rsidRPr="004F51D2">
        <w:rPr>
          <w:rFonts w:ascii="Times New Roman" w:hAnsi="Times New Roman" w:cs="Times New Roman"/>
          <w:sz w:val="24"/>
          <w:szCs w:val="24"/>
        </w:rPr>
        <w:t>MOGQ</w:t>
      </w:r>
      <w:r w:rsidR="00443964" w:rsidRPr="004F51D2">
        <w:rPr>
          <w:rFonts w:ascii="Times New Roman" w:eastAsia="Calibri" w:hAnsi="Times New Roman" w:cs="Times New Roman"/>
          <w:sz w:val="24"/>
          <w:szCs w:val="24"/>
        </w:rPr>
        <w:t xml:space="preserve"> was translated into Persian by the Iranian authors and a bilingual psychologist. Following this, the equivalence of the two versions was checked and confirmed. The first version for rating the understandability and fluency of each item was completed by 102 participants from the general population of Tehran (F</w:t>
      </w:r>
      <w:r w:rsidR="00094921" w:rsidRPr="004F51D2">
        <w:rPr>
          <w:rFonts w:ascii="Times New Roman" w:eastAsia="Calibri" w:hAnsi="Times New Roman" w:cs="Times New Roman"/>
          <w:sz w:val="24"/>
          <w:szCs w:val="24"/>
        </w:rPr>
        <w:t xml:space="preserve"> </w:t>
      </w:r>
      <w:r w:rsidR="00443964" w:rsidRPr="004F51D2">
        <w:rPr>
          <w:rFonts w:ascii="Times New Roman" w:eastAsia="Calibri" w:hAnsi="Times New Roman" w:cs="Times New Roman"/>
          <w:sz w:val="24"/>
          <w:szCs w:val="24"/>
        </w:rPr>
        <w:t xml:space="preserve">= 23.52%; mean age = 16.76 ± 1.34 years) in a pilot study. This process did not result in any changes in items, and the final version of the Persian </w:t>
      </w:r>
      <w:r w:rsidR="00443964" w:rsidRPr="004F51D2">
        <w:rPr>
          <w:rFonts w:ascii="Times New Roman" w:hAnsi="Times New Roman" w:cs="Times New Roman"/>
          <w:sz w:val="24"/>
          <w:szCs w:val="24"/>
        </w:rPr>
        <w:t>MOGQ</w:t>
      </w:r>
      <w:r w:rsidR="00443964" w:rsidRPr="004F51D2">
        <w:rPr>
          <w:rFonts w:ascii="Times New Roman" w:eastAsia="Calibri" w:hAnsi="Times New Roman" w:cs="Times New Roman"/>
          <w:sz w:val="24"/>
          <w:szCs w:val="24"/>
        </w:rPr>
        <w:t xml:space="preserve"> was confirmed.</w:t>
      </w:r>
      <w:r w:rsidR="00443964" w:rsidRPr="004F51D2">
        <w:rPr>
          <w:rFonts w:ascii="Times New Roman" w:eastAsia="Calibri" w:hAnsi="Times New Roman" w:cs="Times New Roman"/>
          <w:sz w:val="24"/>
          <w:szCs w:val="24"/>
          <w:lang w:val="en-GB"/>
        </w:rPr>
        <w:t xml:space="preserve"> </w:t>
      </w:r>
      <w:r w:rsidR="007675B9" w:rsidRPr="004F51D2">
        <w:rPr>
          <w:rFonts w:ascii="Times New Roman" w:eastAsia="Calibri" w:hAnsi="Times New Roman" w:cs="Times New Roman"/>
          <w:sz w:val="24"/>
          <w:szCs w:val="24"/>
          <w:lang w:val="en-GB"/>
        </w:rPr>
        <w:t xml:space="preserve">In this </w:t>
      </w:r>
      <w:r w:rsidR="007675B9" w:rsidRPr="004F51D2">
        <w:rPr>
          <w:rFonts w:ascii="Times New Roman" w:eastAsia="Calibri" w:hAnsi="Times New Roman" w:cs="Times New Roman"/>
          <w:sz w:val="24"/>
          <w:szCs w:val="24"/>
        </w:rPr>
        <w:t>pilot study,</w:t>
      </w:r>
      <w:r w:rsidR="007675B9" w:rsidRPr="004F51D2">
        <w:rPr>
          <w:rFonts w:ascii="Times New Roman" w:eastAsia="Calibri" w:hAnsi="Times New Roman" w:cs="Times New Roman"/>
          <w:sz w:val="24"/>
          <w:szCs w:val="24"/>
          <w:lang w:val="en-GB"/>
        </w:rPr>
        <w:t xml:space="preserve"> the Cronbach's alpha for its factors ranged from 0.84 to 0.90. The </w:t>
      </w:r>
      <w:r w:rsidR="007675B9" w:rsidRPr="004F51D2">
        <w:rPr>
          <w:rFonts w:ascii="Times New Roman" w:eastAsia="Calibri" w:hAnsi="Times New Roman" w:cs="Times New Roman"/>
          <w:sz w:val="24"/>
          <w:szCs w:val="24"/>
        </w:rPr>
        <w:t xml:space="preserve">Cronbach's alpha of </w:t>
      </w:r>
      <w:r w:rsidR="007675B9" w:rsidRPr="004F51D2">
        <w:rPr>
          <w:rFonts w:ascii="Times New Roman" w:eastAsia="Calibri" w:hAnsi="Times New Roman" w:cs="Times New Roman"/>
          <w:sz w:val="24"/>
          <w:szCs w:val="24"/>
          <w:lang w:val="en-GB"/>
        </w:rPr>
        <w:t>its factors ranged from 0.82 to 0.92</w:t>
      </w:r>
      <w:r w:rsidR="007675B9" w:rsidRPr="004F51D2">
        <w:rPr>
          <w:rFonts w:ascii="Times New Roman" w:eastAsia="Calibri" w:hAnsi="Times New Roman" w:cs="Times New Roman"/>
          <w:sz w:val="24"/>
          <w:szCs w:val="24"/>
        </w:rPr>
        <w:t xml:space="preserve"> in the current study.</w:t>
      </w:r>
    </w:p>
    <w:p w14:paraId="34B04498" w14:textId="77777777" w:rsidR="00C24DE0" w:rsidRPr="004F51D2" w:rsidRDefault="00C24DE0" w:rsidP="001D1C08">
      <w:pPr>
        <w:bidi w:val="0"/>
        <w:spacing w:after="0" w:line="480" w:lineRule="auto"/>
        <w:jc w:val="both"/>
        <w:rPr>
          <w:rFonts w:ascii="Times New Roman" w:hAnsi="Times New Roman" w:cs="Times New Roman"/>
          <w:i/>
          <w:iCs/>
          <w:sz w:val="24"/>
          <w:szCs w:val="24"/>
        </w:rPr>
      </w:pPr>
      <w:r w:rsidRPr="004F51D2">
        <w:rPr>
          <w:rFonts w:ascii="Times New Roman" w:hAnsi="Times New Roman" w:cs="Times New Roman"/>
          <w:i/>
          <w:iCs/>
          <w:sz w:val="24"/>
          <w:szCs w:val="24"/>
        </w:rPr>
        <w:t>2.3. Procedure</w:t>
      </w:r>
    </w:p>
    <w:p w14:paraId="694444DF" w14:textId="4312C2C1" w:rsidR="00C24DE0" w:rsidRPr="004F51D2" w:rsidRDefault="00C24DE0" w:rsidP="001D1C08">
      <w:pPr>
        <w:bidi w:val="0"/>
        <w:spacing w:after="0" w:line="480" w:lineRule="auto"/>
        <w:jc w:val="both"/>
        <w:rPr>
          <w:rFonts w:ascii="Times New Roman" w:hAnsi="Times New Roman" w:cs="Times New Roman"/>
          <w:sz w:val="24"/>
          <w:szCs w:val="24"/>
        </w:rPr>
      </w:pPr>
      <w:r w:rsidRPr="004F51D2">
        <w:rPr>
          <w:rFonts w:ascii="Times New Roman" w:hAnsi="Times New Roman" w:cs="Times New Roman"/>
          <w:sz w:val="24"/>
          <w:szCs w:val="24"/>
        </w:rPr>
        <w:t xml:space="preserve">To prepare a Persian version of the MOGS, two English language experts translated the </w:t>
      </w:r>
      <w:r w:rsidR="00C23081" w:rsidRPr="004F51D2">
        <w:rPr>
          <w:rFonts w:ascii="Times New Roman" w:hAnsi="Times New Roman" w:cs="Times New Roman"/>
          <w:sz w:val="24"/>
          <w:szCs w:val="24"/>
        </w:rPr>
        <w:t>self-report measure</w:t>
      </w:r>
      <w:r w:rsidRPr="004F51D2">
        <w:rPr>
          <w:rFonts w:ascii="Times New Roman" w:hAnsi="Times New Roman" w:cs="Times New Roman"/>
          <w:sz w:val="24"/>
          <w:szCs w:val="24"/>
        </w:rPr>
        <w:t xml:space="preserve"> into Persian, and then the translated text was edited. </w:t>
      </w:r>
      <w:r w:rsidR="00C23081" w:rsidRPr="004F51D2">
        <w:rPr>
          <w:rFonts w:ascii="Times New Roman" w:hAnsi="Times New Roman" w:cs="Times New Roman"/>
          <w:sz w:val="24"/>
          <w:szCs w:val="24"/>
        </w:rPr>
        <w:t>Following this,</w:t>
      </w:r>
      <w:r w:rsidRPr="004F51D2">
        <w:rPr>
          <w:rFonts w:ascii="Times New Roman" w:hAnsi="Times New Roman" w:cs="Times New Roman"/>
          <w:sz w:val="24"/>
          <w:szCs w:val="24"/>
        </w:rPr>
        <w:t xml:space="preserve"> the translated text was translated back into English</w:t>
      </w:r>
      <w:r w:rsidR="00C23081" w:rsidRPr="004F51D2">
        <w:rPr>
          <w:rFonts w:ascii="Times New Roman" w:hAnsi="Times New Roman" w:cs="Times New Roman"/>
          <w:sz w:val="24"/>
          <w:szCs w:val="24"/>
        </w:rPr>
        <w:t>,</w:t>
      </w:r>
      <w:r w:rsidRPr="004F51D2">
        <w:rPr>
          <w:rFonts w:ascii="Times New Roman" w:hAnsi="Times New Roman" w:cs="Times New Roman"/>
          <w:sz w:val="24"/>
          <w:szCs w:val="24"/>
        </w:rPr>
        <w:t xml:space="preserve"> by English language experts, and the two versions were matched. The </w:t>
      </w:r>
      <w:r w:rsidR="00C23081" w:rsidRPr="004F51D2">
        <w:rPr>
          <w:rFonts w:ascii="Times New Roman" w:hAnsi="Times New Roman" w:cs="Times New Roman"/>
          <w:sz w:val="24"/>
          <w:szCs w:val="24"/>
        </w:rPr>
        <w:t>self-report measure</w:t>
      </w:r>
      <w:r w:rsidRPr="004F51D2">
        <w:rPr>
          <w:rFonts w:ascii="Times New Roman" w:hAnsi="Times New Roman" w:cs="Times New Roman"/>
          <w:sz w:val="24"/>
          <w:szCs w:val="24"/>
        </w:rPr>
        <w:t xml:space="preserve"> was then given to two psychologists to </w:t>
      </w:r>
      <w:r w:rsidRPr="004F51D2">
        <w:rPr>
          <w:rFonts w:ascii="Times New Roman" w:hAnsi="Times New Roman" w:cs="Times New Roman"/>
          <w:sz w:val="24"/>
          <w:szCs w:val="24"/>
        </w:rPr>
        <w:lastRenderedPageBreak/>
        <w:t xml:space="preserve">check its face validity. After comparing the two translated versions and the original text and correcting the objections, the </w:t>
      </w:r>
      <w:r w:rsidR="00C23081" w:rsidRPr="004F51D2">
        <w:rPr>
          <w:rFonts w:ascii="Times New Roman" w:hAnsi="Times New Roman" w:cs="Times New Roman"/>
          <w:sz w:val="24"/>
          <w:szCs w:val="24"/>
        </w:rPr>
        <w:t>self-report measure</w:t>
      </w:r>
      <w:r w:rsidRPr="004F51D2">
        <w:rPr>
          <w:rFonts w:ascii="Times New Roman" w:hAnsi="Times New Roman" w:cs="Times New Roman"/>
          <w:sz w:val="24"/>
          <w:szCs w:val="24"/>
        </w:rPr>
        <w:t xml:space="preserve"> was administered to 40 adolescents (F</w:t>
      </w:r>
      <w:r w:rsidR="00094921" w:rsidRPr="004F51D2">
        <w:rPr>
          <w:rFonts w:ascii="Times New Roman" w:hAnsi="Times New Roman" w:cs="Times New Roman"/>
          <w:sz w:val="24"/>
          <w:szCs w:val="24"/>
        </w:rPr>
        <w:t xml:space="preserve"> </w:t>
      </w:r>
      <w:r w:rsidRPr="004F51D2">
        <w:rPr>
          <w:rFonts w:ascii="Times New Roman" w:hAnsi="Times New Roman" w:cs="Times New Roman"/>
          <w:sz w:val="24"/>
          <w:szCs w:val="24"/>
        </w:rPr>
        <w:t xml:space="preserve">= 30%; </w:t>
      </w:r>
      <w:r w:rsidRPr="004F51D2">
        <w:rPr>
          <w:rFonts w:ascii="Times New Roman" w:eastAsia="Calibri" w:hAnsi="Times New Roman" w:cs="Times New Roman"/>
          <w:sz w:val="24"/>
          <w:szCs w:val="24"/>
        </w:rPr>
        <w:t>mean</w:t>
      </w:r>
      <w:r w:rsidRPr="004F51D2">
        <w:rPr>
          <w:rFonts w:ascii="Times New Roman" w:hAnsi="Times New Roman" w:cs="Times New Roman"/>
          <w:sz w:val="24"/>
          <w:szCs w:val="24"/>
        </w:rPr>
        <w:t xml:space="preserve"> age = 16.37 ± 1.27 years) for rating </w:t>
      </w:r>
      <w:r w:rsidRPr="004F51D2">
        <w:rPr>
          <w:rFonts w:ascii="Times New Roman" w:eastAsia="Calibri" w:hAnsi="Times New Roman" w:cs="Times New Roman"/>
          <w:sz w:val="24"/>
          <w:szCs w:val="24"/>
        </w:rPr>
        <w:t xml:space="preserve">the </w:t>
      </w:r>
      <w:r w:rsidRPr="004F51D2">
        <w:rPr>
          <w:rFonts w:ascii="Times New Roman" w:hAnsi="Times New Roman" w:cs="Times New Roman"/>
          <w:sz w:val="24"/>
          <w:szCs w:val="24"/>
        </w:rPr>
        <w:t>understandability and fluency of each item, and</w:t>
      </w:r>
      <w:r w:rsidRPr="004F51D2">
        <w:rPr>
          <w:rFonts w:ascii="Times New Roman" w:hAnsi="Times New Roman" w:cs="Times New Roman"/>
          <w:sz w:val="24"/>
          <w:szCs w:val="24"/>
          <w:rtl/>
        </w:rPr>
        <w:t xml:space="preserve"> </w:t>
      </w:r>
      <w:r w:rsidRPr="004F51D2">
        <w:rPr>
          <w:rFonts w:ascii="Times New Roman" w:hAnsi="Times New Roman" w:cs="Times New Roman"/>
          <w:sz w:val="24"/>
          <w:szCs w:val="24"/>
        </w:rPr>
        <w:t xml:space="preserve">ultimately the final version of the </w:t>
      </w:r>
      <w:r w:rsidR="00C23081" w:rsidRPr="004F51D2">
        <w:rPr>
          <w:rFonts w:ascii="Times New Roman" w:hAnsi="Times New Roman" w:cs="Times New Roman"/>
          <w:sz w:val="24"/>
          <w:szCs w:val="24"/>
        </w:rPr>
        <w:t>self-report measure</w:t>
      </w:r>
      <w:r w:rsidRPr="004F51D2">
        <w:rPr>
          <w:rFonts w:ascii="Times New Roman" w:hAnsi="Times New Roman" w:cs="Times New Roman"/>
          <w:sz w:val="24"/>
          <w:szCs w:val="24"/>
        </w:rPr>
        <w:t xml:space="preserve"> was prepared for use.</w:t>
      </w:r>
      <w:r w:rsidRPr="004F51D2">
        <w:rPr>
          <w:rFonts w:ascii="Times New Roman" w:hAnsi="Times New Roman" w:cs="Times New Roman"/>
          <w:sz w:val="24"/>
          <w:szCs w:val="24"/>
          <w:lang w:bidi="he-IL"/>
        </w:rPr>
        <w:t xml:space="preserve"> </w:t>
      </w:r>
      <w:r w:rsidRPr="004F51D2">
        <w:rPr>
          <w:rFonts w:ascii="Times New Roman" w:hAnsi="Times New Roman" w:cs="Times New Roman"/>
          <w:sz w:val="24"/>
          <w:szCs w:val="24"/>
        </w:rPr>
        <w:t xml:space="preserve">After the </w:t>
      </w:r>
      <w:r w:rsidR="00067455" w:rsidRPr="004F51D2">
        <w:rPr>
          <w:rFonts w:ascii="Times New Roman" w:hAnsi="Times New Roman" w:cs="Times New Roman"/>
          <w:sz w:val="24"/>
          <w:szCs w:val="24"/>
        </w:rPr>
        <w:t>participants voluntarily</w:t>
      </w:r>
      <w:r w:rsidRPr="004F51D2">
        <w:rPr>
          <w:rFonts w:ascii="Times New Roman" w:hAnsi="Times New Roman" w:cs="Times New Roman"/>
          <w:sz w:val="24"/>
          <w:szCs w:val="24"/>
        </w:rPr>
        <w:t xml:space="preserve"> responded to participate in the study, their parents' contact information was requested. As they signed informed consent, </w:t>
      </w:r>
      <w:r w:rsidR="00C23081" w:rsidRPr="004F51D2">
        <w:rPr>
          <w:rFonts w:ascii="Times New Roman" w:hAnsi="Times New Roman" w:cs="Times New Roman"/>
          <w:sz w:val="24"/>
          <w:szCs w:val="24"/>
        </w:rPr>
        <w:t>the study pack</w:t>
      </w:r>
      <w:r w:rsidRPr="004F51D2">
        <w:rPr>
          <w:rFonts w:ascii="Times New Roman" w:hAnsi="Times New Roman" w:cs="Times New Roman"/>
          <w:sz w:val="24"/>
          <w:szCs w:val="24"/>
        </w:rPr>
        <w:t xml:space="preserve"> </w:t>
      </w:r>
      <w:r w:rsidR="00C23081" w:rsidRPr="004F51D2">
        <w:rPr>
          <w:rFonts w:ascii="Times New Roman" w:hAnsi="Times New Roman" w:cs="Times New Roman"/>
          <w:sz w:val="24"/>
          <w:szCs w:val="24"/>
        </w:rPr>
        <w:t>was</w:t>
      </w:r>
      <w:r w:rsidRPr="004F51D2">
        <w:rPr>
          <w:rFonts w:ascii="Times New Roman" w:hAnsi="Times New Roman" w:cs="Times New Roman"/>
          <w:sz w:val="24"/>
          <w:szCs w:val="24"/>
        </w:rPr>
        <w:t xml:space="preserve"> sent to parents to review and sign parent consent so adolescents </w:t>
      </w:r>
      <w:r w:rsidR="00C23081" w:rsidRPr="004F51D2">
        <w:rPr>
          <w:rFonts w:ascii="Times New Roman" w:hAnsi="Times New Roman" w:cs="Times New Roman"/>
          <w:sz w:val="24"/>
          <w:szCs w:val="24"/>
        </w:rPr>
        <w:t>could be</w:t>
      </w:r>
      <w:r w:rsidRPr="004F51D2">
        <w:rPr>
          <w:rFonts w:ascii="Times New Roman" w:hAnsi="Times New Roman" w:cs="Times New Roman"/>
          <w:sz w:val="24"/>
          <w:szCs w:val="24"/>
        </w:rPr>
        <w:t xml:space="preserve"> allowed to participate in the </w:t>
      </w:r>
      <w:r w:rsidR="00C23081" w:rsidRPr="004F51D2">
        <w:rPr>
          <w:rFonts w:ascii="Times New Roman" w:hAnsi="Times New Roman" w:cs="Times New Roman"/>
          <w:sz w:val="24"/>
          <w:szCs w:val="24"/>
        </w:rPr>
        <w:t>study</w:t>
      </w:r>
      <w:r w:rsidRPr="004F51D2">
        <w:rPr>
          <w:rFonts w:ascii="Times New Roman" w:hAnsi="Times New Roman" w:cs="Times New Roman"/>
          <w:sz w:val="24"/>
          <w:szCs w:val="24"/>
        </w:rPr>
        <w:t xml:space="preserve">. Participants were then asked to complete the survey </w:t>
      </w:r>
      <w:r w:rsidR="00C23081" w:rsidRPr="004F51D2">
        <w:rPr>
          <w:rFonts w:ascii="Times New Roman" w:hAnsi="Times New Roman" w:cs="Times New Roman"/>
          <w:sz w:val="24"/>
          <w:szCs w:val="24"/>
        </w:rPr>
        <w:t xml:space="preserve">online </w:t>
      </w:r>
      <w:r w:rsidRPr="004F51D2">
        <w:rPr>
          <w:rFonts w:ascii="Times New Roman" w:hAnsi="Times New Roman" w:cs="Times New Roman"/>
          <w:sz w:val="24"/>
          <w:szCs w:val="24"/>
        </w:rPr>
        <w:t xml:space="preserve">at home without anyone else present. When the </w:t>
      </w:r>
      <w:r w:rsidR="00C23081" w:rsidRPr="004F51D2">
        <w:rPr>
          <w:rFonts w:ascii="Times New Roman" w:hAnsi="Times New Roman" w:cs="Times New Roman"/>
          <w:sz w:val="24"/>
          <w:szCs w:val="24"/>
        </w:rPr>
        <w:t>study link</w:t>
      </w:r>
      <w:r w:rsidRPr="004F51D2">
        <w:rPr>
          <w:rFonts w:ascii="Times New Roman" w:hAnsi="Times New Roman" w:cs="Times New Roman"/>
          <w:sz w:val="24"/>
          <w:szCs w:val="24"/>
        </w:rPr>
        <w:t xml:space="preserve"> was sent, the researchers followed the adolescents with an online briefing session. The average completing time was 9.21 minutes/seconds.</w:t>
      </w:r>
    </w:p>
    <w:p w14:paraId="250F1045" w14:textId="77777777" w:rsidR="00C24DE0" w:rsidRPr="004F51D2" w:rsidRDefault="00C24DE0" w:rsidP="001D1C08">
      <w:pPr>
        <w:bidi w:val="0"/>
        <w:spacing w:after="0" w:line="480" w:lineRule="auto"/>
        <w:jc w:val="both"/>
        <w:rPr>
          <w:rFonts w:ascii="Times New Roman" w:hAnsi="Times New Roman" w:cs="Times New Roman"/>
          <w:i/>
          <w:iCs/>
          <w:sz w:val="24"/>
          <w:szCs w:val="24"/>
        </w:rPr>
      </w:pPr>
      <w:r w:rsidRPr="004F51D2">
        <w:rPr>
          <w:rFonts w:ascii="Times New Roman" w:hAnsi="Times New Roman" w:cs="Times New Roman"/>
          <w:i/>
          <w:iCs/>
          <w:sz w:val="24"/>
          <w:szCs w:val="24"/>
        </w:rPr>
        <w:t>2.3. Statistical analyses</w:t>
      </w:r>
    </w:p>
    <w:p w14:paraId="4DEFF12C" w14:textId="31166241" w:rsidR="00C24DE0" w:rsidRPr="004F51D2" w:rsidRDefault="00C24DE0" w:rsidP="00FD04B8">
      <w:pPr>
        <w:bidi w:val="0"/>
        <w:spacing w:after="0" w:line="480" w:lineRule="auto"/>
        <w:jc w:val="both"/>
        <w:rPr>
          <w:rFonts w:ascii="Times New Roman" w:hAnsi="Times New Roman" w:cs="Times New Roman"/>
          <w:sz w:val="24"/>
          <w:szCs w:val="24"/>
        </w:rPr>
      </w:pPr>
      <w:r w:rsidRPr="004F51D2">
        <w:rPr>
          <w:rFonts w:ascii="Times New Roman" w:hAnsi="Times New Roman" w:cs="Times New Roman"/>
          <w:color w:val="000000" w:themeColor="text1"/>
          <w:sz w:val="24"/>
          <w:szCs w:val="24"/>
        </w:rPr>
        <w:t xml:space="preserve">In this study, data were analyzed using SPSS (version 25; IBM Corp, 2017) and LISREL 8.80 (Jöreskog &amp; Sörbom, 2006). </w:t>
      </w:r>
      <w:r w:rsidRPr="004F51D2">
        <w:rPr>
          <w:rFonts w:ascii="Times New Roman" w:eastAsia="Calibri" w:hAnsi="Times New Roman" w:cs="Times New Roman"/>
          <w:color w:val="000000"/>
          <w:sz w:val="24"/>
          <w:szCs w:val="24"/>
        </w:rPr>
        <w:t>The factor</w:t>
      </w:r>
      <w:r w:rsidRPr="004F51D2">
        <w:rPr>
          <w:rFonts w:ascii="Times New Roman" w:hAnsi="Times New Roman" w:cs="Times New Roman"/>
          <w:color w:val="000000" w:themeColor="text1"/>
          <w:sz w:val="24"/>
          <w:szCs w:val="24"/>
        </w:rPr>
        <w:t xml:space="preserve"> structure of the Persian MOGS was examined through a two-step analytic approach. First, </w:t>
      </w:r>
      <w:r w:rsidRPr="004F51D2">
        <w:rPr>
          <w:rFonts w:ascii="Times New Roman" w:hAnsi="Times New Roman" w:cs="Times New Roman"/>
          <w:sz w:val="24"/>
          <w:szCs w:val="24"/>
        </w:rPr>
        <w:t xml:space="preserve">the main dataset was divided </w:t>
      </w:r>
      <w:r w:rsidRPr="004F51D2">
        <w:rPr>
          <w:rFonts w:ascii="Times New Roman" w:hAnsi="Times New Roman" w:cs="Times New Roman"/>
          <w:color w:val="000000" w:themeColor="text1"/>
          <w:sz w:val="24"/>
          <w:szCs w:val="24"/>
        </w:rPr>
        <w:t>into two random subsamples</w:t>
      </w:r>
      <w:r w:rsidRPr="004F51D2">
        <w:rPr>
          <w:rFonts w:ascii="Times New Roman" w:hAnsi="Times New Roman" w:cs="Times New Roman"/>
          <w:sz w:val="24"/>
          <w:szCs w:val="24"/>
        </w:rPr>
        <w:t xml:space="preserve">: the first subsample had a random allocation of 350 participants (256 male and 94 female) for the </w:t>
      </w:r>
      <w:r w:rsidR="00C23081" w:rsidRPr="004F51D2">
        <w:rPr>
          <w:rFonts w:ascii="Times New Roman" w:hAnsi="Times New Roman" w:cs="Times New Roman"/>
          <w:sz w:val="24"/>
          <w:szCs w:val="24"/>
        </w:rPr>
        <w:t>E</w:t>
      </w:r>
      <w:r w:rsidRPr="004F51D2">
        <w:rPr>
          <w:rFonts w:ascii="Times New Roman" w:hAnsi="Times New Roman" w:cs="Times New Roman"/>
          <w:sz w:val="24"/>
          <w:szCs w:val="24"/>
        </w:rPr>
        <w:t xml:space="preserve">xploratory </w:t>
      </w:r>
      <w:r w:rsidR="00C23081" w:rsidRPr="004F51D2">
        <w:rPr>
          <w:rFonts w:ascii="Times New Roman" w:hAnsi="Times New Roman" w:cs="Times New Roman"/>
          <w:sz w:val="24"/>
          <w:szCs w:val="24"/>
        </w:rPr>
        <w:t>F</w:t>
      </w:r>
      <w:r w:rsidRPr="004F51D2">
        <w:rPr>
          <w:rFonts w:ascii="Times New Roman" w:hAnsi="Times New Roman" w:cs="Times New Roman"/>
          <w:sz w:val="24"/>
          <w:szCs w:val="24"/>
        </w:rPr>
        <w:t xml:space="preserve">actor </w:t>
      </w:r>
      <w:r w:rsidR="00C23081" w:rsidRPr="004F51D2">
        <w:rPr>
          <w:rFonts w:ascii="Times New Roman" w:hAnsi="Times New Roman" w:cs="Times New Roman"/>
          <w:sz w:val="24"/>
          <w:szCs w:val="24"/>
        </w:rPr>
        <w:t>A</w:t>
      </w:r>
      <w:r w:rsidRPr="004F51D2">
        <w:rPr>
          <w:rFonts w:ascii="Times New Roman" w:hAnsi="Times New Roman" w:cs="Times New Roman"/>
          <w:sz w:val="24"/>
          <w:szCs w:val="24"/>
        </w:rPr>
        <w:t>nalysis</w:t>
      </w:r>
      <w:r w:rsidR="00C23081" w:rsidRPr="004F51D2">
        <w:rPr>
          <w:rFonts w:ascii="Times New Roman" w:hAnsi="Times New Roman" w:cs="Times New Roman"/>
          <w:sz w:val="24"/>
          <w:szCs w:val="24"/>
        </w:rPr>
        <w:t xml:space="preserve"> (EFA)</w:t>
      </w:r>
      <w:r w:rsidRPr="004F51D2">
        <w:rPr>
          <w:rFonts w:ascii="Times New Roman" w:hAnsi="Times New Roman" w:cs="Times New Roman"/>
          <w:sz w:val="24"/>
          <w:szCs w:val="24"/>
        </w:rPr>
        <w:t>. The second subsa</w:t>
      </w:r>
      <w:r w:rsidR="006E59C2" w:rsidRPr="004F51D2">
        <w:rPr>
          <w:rFonts w:ascii="Times New Roman" w:hAnsi="Times New Roman" w:cs="Times New Roman"/>
          <w:sz w:val="24"/>
          <w:szCs w:val="24"/>
        </w:rPr>
        <w:t>mple included 419 participants (</w:t>
      </w:r>
      <w:r w:rsidRPr="004F51D2">
        <w:rPr>
          <w:rFonts w:ascii="Times New Roman" w:hAnsi="Times New Roman" w:cs="Times New Roman"/>
          <w:sz w:val="24"/>
          <w:szCs w:val="24"/>
        </w:rPr>
        <w:t xml:space="preserve">321 male and 98 female) for the </w:t>
      </w:r>
      <w:r w:rsidR="00C23081" w:rsidRPr="004F51D2">
        <w:rPr>
          <w:rFonts w:ascii="Times New Roman" w:hAnsi="Times New Roman" w:cs="Times New Roman"/>
          <w:sz w:val="24"/>
          <w:szCs w:val="24"/>
        </w:rPr>
        <w:t>C</w:t>
      </w:r>
      <w:r w:rsidRPr="004F51D2">
        <w:rPr>
          <w:rFonts w:ascii="Times New Roman" w:hAnsi="Times New Roman" w:cs="Times New Roman"/>
          <w:sz w:val="24"/>
          <w:szCs w:val="24"/>
        </w:rPr>
        <w:t xml:space="preserve">onfirmatory </w:t>
      </w:r>
      <w:r w:rsidR="00C23081" w:rsidRPr="004F51D2">
        <w:rPr>
          <w:rFonts w:ascii="Times New Roman" w:hAnsi="Times New Roman" w:cs="Times New Roman"/>
          <w:sz w:val="24"/>
          <w:szCs w:val="24"/>
        </w:rPr>
        <w:t>F</w:t>
      </w:r>
      <w:r w:rsidRPr="004F51D2">
        <w:rPr>
          <w:rFonts w:ascii="Times New Roman" w:hAnsi="Times New Roman" w:cs="Times New Roman"/>
          <w:sz w:val="24"/>
          <w:szCs w:val="24"/>
        </w:rPr>
        <w:t xml:space="preserve">actor </w:t>
      </w:r>
      <w:r w:rsidR="00C23081" w:rsidRPr="004F51D2">
        <w:rPr>
          <w:rFonts w:ascii="Times New Roman" w:hAnsi="Times New Roman" w:cs="Times New Roman"/>
          <w:sz w:val="24"/>
          <w:szCs w:val="24"/>
        </w:rPr>
        <w:t>A</w:t>
      </w:r>
      <w:r w:rsidRPr="004F51D2">
        <w:rPr>
          <w:rFonts w:ascii="Times New Roman" w:hAnsi="Times New Roman" w:cs="Times New Roman"/>
          <w:sz w:val="24"/>
          <w:szCs w:val="24"/>
        </w:rPr>
        <w:t>nalysis</w:t>
      </w:r>
      <w:r w:rsidR="00C23081" w:rsidRPr="004F51D2">
        <w:rPr>
          <w:rFonts w:ascii="Times New Roman" w:hAnsi="Times New Roman" w:cs="Times New Roman"/>
          <w:sz w:val="24"/>
          <w:szCs w:val="24"/>
        </w:rPr>
        <w:t xml:space="preserve"> (CFA)</w:t>
      </w:r>
      <w:r w:rsidRPr="004F51D2">
        <w:rPr>
          <w:rFonts w:ascii="Times New Roman" w:hAnsi="Times New Roman" w:cs="Times New Roman"/>
          <w:sz w:val="24"/>
          <w:szCs w:val="24"/>
        </w:rPr>
        <w:t xml:space="preserve">. There were no significant differences between the two subsamples in terms of </w:t>
      </w:r>
      <w:r w:rsidRPr="004F51D2">
        <w:rPr>
          <w:rFonts w:ascii="Times New Roman" w:hAnsi="Times New Roman" w:cs="Times New Roman"/>
          <w:color w:val="000000" w:themeColor="text1"/>
          <w:sz w:val="24"/>
          <w:szCs w:val="24"/>
        </w:rPr>
        <w:t>age (</w:t>
      </w:r>
      <w:r w:rsidRPr="004F51D2">
        <w:rPr>
          <w:rFonts w:ascii="Times New Roman" w:hAnsi="Times New Roman" w:cs="Times New Roman"/>
          <w:i/>
          <w:iCs/>
          <w:color w:val="000000" w:themeColor="text1"/>
          <w:sz w:val="24"/>
          <w:szCs w:val="24"/>
        </w:rPr>
        <w:t>t</w:t>
      </w:r>
      <w:r w:rsidRPr="004F51D2">
        <w:rPr>
          <w:rFonts w:ascii="Times New Roman" w:hAnsi="Times New Roman" w:cs="Times New Roman"/>
          <w:color w:val="000000" w:themeColor="text1"/>
          <w:sz w:val="24"/>
          <w:szCs w:val="24"/>
          <w:vertAlign w:val="subscript"/>
        </w:rPr>
        <w:t xml:space="preserve"> (765)</w:t>
      </w:r>
      <w:r w:rsidRPr="004F51D2">
        <w:rPr>
          <w:rFonts w:ascii="Times New Roman" w:hAnsi="Times New Roman" w:cs="Times New Roman"/>
          <w:color w:val="000000" w:themeColor="text1"/>
          <w:sz w:val="24"/>
          <w:szCs w:val="24"/>
        </w:rPr>
        <w:t xml:space="preserve"> = 2.69, </w:t>
      </w:r>
      <w:r w:rsidRPr="004F51D2">
        <w:rPr>
          <w:rFonts w:ascii="Times New Roman" w:hAnsi="Times New Roman" w:cs="Times New Roman"/>
          <w:i/>
          <w:iCs/>
          <w:color w:val="000000" w:themeColor="text1"/>
          <w:sz w:val="24"/>
          <w:szCs w:val="24"/>
        </w:rPr>
        <w:t>p</w:t>
      </w:r>
      <w:r w:rsidRPr="004F51D2">
        <w:rPr>
          <w:rFonts w:ascii="Times New Roman" w:hAnsi="Times New Roman" w:cs="Times New Roman"/>
          <w:color w:val="000000" w:themeColor="text1"/>
          <w:sz w:val="24"/>
          <w:szCs w:val="24"/>
        </w:rPr>
        <w:t xml:space="preserve"> = 0.351), gender (χ</w:t>
      </w:r>
      <w:r w:rsidRPr="004F51D2">
        <w:rPr>
          <w:rFonts w:ascii="Times New Roman" w:hAnsi="Times New Roman" w:cs="Times New Roman"/>
          <w:color w:val="000000" w:themeColor="text1"/>
          <w:sz w:val="24"/>
          <w:szCs w:val="24"/>
          <w:vertAlign w:val="superscript"/>
        </w:rPr>
        <w:t>2</w:t>
      </w:r>
      <w:r w:rsidRPr="004F51D2">
        <w:rPr>
          <w:rFonts w:ascii="Times New Roman" w:hAnsi="Times New Roman" w:cs="Times New Roman"/>
          <w:color w:val="000000" w:themeColor="text1"/>
          <w:sz w:val="24"/>
          <w:szCs w:val="24"/>
        </w:rPr>
        <w:t xml:space="preserve">(1) = 1.48, </w:t>
      </w:r>
      <w:r w:rsidRPr="004F51D2">
        <w:rPr>
          <w:rFonts w:ascii="Times New Roman" w:hAnsi="Times New Roman" w:cs="Times New Roman"/>
          <w:i/>
          <w:iCs/>
          <w:color w:val="000000" w:themeColor="text1"/>
          <w:sz w:val="24"/>
          <w:szCs w:val="24"/>
        </w:rPr>
        <w:t>p</w:t>
      </w:r>
      <w:r w:rsidRPr="004F51D2">
        <w:rPr>
          <w:rFonts w:ascii="Times New Roman" w:hAnsi="Times New Roman" w:cs="Times New Roman"/>
          <w:color w:val="000000" w:themeColor="text1"/>
          <w:sz w:val="24"/>
          <w:szCs w:val="24"/>
        </w:rPr>
        <w:t xml:space="preserve"> = 0.305), </w:t>
      </w:r>
      <w:r w:rsidRPr="004F51D2">
        <w:rPr>
          <w:rFonts w:ascii="Times New Roman" w:hAnsi="Times New Roman" w:cs="Times New Roman"/>
          <w:sz w:val="24"/>
          <w:szCs w:val="24"/>
        </w:rPr>
        <w:t xml:space="preserve">average daily </w:t>
      </w:r>
      <w:r w:rsidR="00C23081" w:rsidRPr="004F51D2">
        <w:rPr>
          <w:rFonts w:ascii="Times New Roman" w:hAnsi="Times New Roman" w:cs="Times New Roman"/>
          <w:sz w:val="24"/>
          <w:szCs w:val="24"/>
        </w:rPr>
        <w:t>I</w:t>
      </w:r>
      <w:r w:rsidRPr="004F51D2">
        <w:rPr>
          <w:rFonts w:ascii="Times New Roman" w:hAnsi="Times New Roman" w:cs="Times New Roman"/>
          <w:sz w:val="24"/>
          <w:szCs w:val="24"/>
        </w:rPr>
        <w:t xml:space="preserve">nternet use </w:t>
      </w:r>
      <w:r w:rsidRPr="004F51D2">
        <w:rPr>
          <w:rFonts w:ascii="Times New Roman" w:hAnsi="Times New Roman" w:cs="Times New Roman"/>
          <w:color w:val="000000" w:themeColor="text1"/>
          <w:sz w:val="24"/>
          <w:szCs w:val="24"/>
        </w:rPr>
        <w:t>(</w:t>
      </w:r>
      <w:r w:rsidRPr="004F51D2">
        <w:rPr>
          <w:rFonts w:ascii="Times New Roman" w:hAnsi="Times New Roman" w:cs="Times New Roman"/>
          <w:i/>
          <w:iCs/>
          <w:color w:val="000000" w:themeColor="text1"/>
          <w:sz w:val="24"/>
          <w:szCs w:val="24"/>
        </w:rPr>
        <w:t>t</w:t>
      </w:r>
      <w:r w:rsidRPr="004F51D2">
        <w:rPr>
          <w:rFonts w:ascii="Times New Roman" w:hAnsi="Times New Roman" w:cs="Times New Roman"/>
          <w:color w:val="000000" w:themeColor="text1"/>
          <w:sz w:val="24"/>
          <w:szCs w:val="24"/>
          <w:vertAlign w:val="subscript"/>
        </w:rPr>
        <w:t>(765)</w:t>
      </w:r>
      <w:r w:rsidRPr="004F51D2">
        <w:rPr>
          <w:rFonts w:ascii="Times New Roman" w:hAnsi="Times New Roman" w:cs="Times New Roman"/>
          <w:color w:val="000000" w:themeColor="text1"/>
          <w:sz w:val="24"/>
          <w:szCs w:val="24"/>
        </w:rPr>
        <w:t xml:space="preserve"> = 2.11, </w:t>
      </w:r>
      <w:r w:rsidRPr="004F51D2">
        <w:rPr>
          <w:rFonts w:ascii="Times New Roman" w:hAnsi="Times New Roman" w:cs="Times New Roman"/>
          <w:i/>
          <w:iCs/>
          <w:color w:val="000000" w:themeColor="text1"/>
          <w:sz w:val="24"/>
          <w:szCs w:val="24"/>
        </w:rPr>
        <w:t>p</w:t>
      </w:r>
      <w:r w:rsidRPr="004F51D2">
        <w:rPr>
          <w:rFonts w:ascii="Times New Roman" w:hAnsi="Times New Roman" w:cs="Times New Roman"/>
          <w:color w:val="000000" w:themeColor="text1"/>
          <w:sz w:val="24"/>
          <w:szCs w:val="24"/>
        </w:rPr>
        <w:t xml:space="preserve"> = 0.19)</w:t>
      </w:r>
      <w:r w:rsidRPr="004F51D2">
        <w:rPr>
          <w:rFonts w:ascii="Times New Roman" w:hAnsi="Times New Roman" w:cs="Times New Roman"/>
          <w:sz w:val="24"/>
          <w:szCs w:val="24"/>
        </w:rPr>
        <w:t xml:space="preserve">, tools for gaming </w:t>
      </w:r>
      <w:r w:rsidRPr="004F51D2">
        <w:rPr>
          <w:rFonts w:ascii="Times New Roman" w:hAnsi="Times New Roman" w:cs="Times New Roman"/>
          <w:color w:val="000000" w:themeColor="text1"/>
          <w:sz w:val="24"/>
          <w:szCs w:val="24"/>
        </w:rPr>
        <w:t>(χ</w:t>
      </w:r>
      <w:r w:rsidRPr="004F51D2">
        <w:rPr>
          <w:rFonts w:ascii="Times New Roman" w:hAnsi="Times New Roman" w:cs="Times New Roman"/>
          <w:color w:val="000000" w:themeColor="text1"/>
          <w:sz w:val="24"/>
          <w:szCs w:val="24"/>
          <w:vertAlign w:val="superscript"/>
        </w:rPr>
        <w:t>2</w:t>
      </w:r>
      <w:r w:rsidRPr="004F51D2">
        <w:rPr>
          <w:rFonts w:ascii="Times New Roman" w:hAnsi="Times New Roman" w:cs="Times New Roman"/>
          <w:color w:val="000000" w:themeColor="text1"/>
          <w:sz w:val="24"/>
          <w:szCs w:val="24"/>
        </w:rPr>
        <w:t xml:space="preserve">(1) = 1.86, </w:t>
      </w:r>
      <w:r w:rsidRPr="004F51D2">
        <w:rPr>
          <w:rFonts w:ascii="Times New Roman" w:hAnsi="Times New Roman" w:cs="Times New Roman"/>
          <w:i/>
          <w:iCs/>
          <w:color w:val="000000" w:themeColor="text1"/>
          <w:sz w:val="24"/>
          <w:szCs w:val="24"/>
        </w:rPr>
        <w:t>p</w:t>
      </w:r>
      <w:r w:rsidRPr="004F51D2">
        <w:rPr>
          <w:rFonts w:ascii="Times New Roman" w:hAnsi="Times New Roman" w:cs="Times New Roman"/>
          <w:color w:val="000000" w:themeColor="text1"/>
          <w:sz w:val="24"/>
          <w:szCs w:val="24"/>
        </w:rPr>
        <w:t xml:space="preserve"> = 0.341)</w:t>
      </w:r>
      <w:r w:rsidRPr="004F51D2">
        <w:rPr>
          <w:rFonts w:ascii="Times New Roman" w:hAnsi="Times New Roman" w:cs="Times New Roman"/>
          <w:sz w:val="24"/>
          <w:szCs w:val="24"/>
        </w:rPr>
        <w:t xml:space="preserve">, and type of game </w:t>
      </w:r>
      <w:r w:rsidRPr="004F51D2">
        <w:rPr>
          <w:rFonts w:ascii="Times New Roman" w:hAnsi="Times New Roman" w:cs="Times New Roman"/>
          <w:color w:val="000000" w:themeColor="text1"/>
          <w:sz w:val="24"/>
          <w:szCs w:val="24"/>
        </w:rPr>
        <w:t>(χ</w:t>
      </w:r>
      <w:r w:rsidRPr="004F51D2">
        <w:rPr>
          <w:rFonts w:ascii="Times New Roman" w:hAnsi="Times New Roman" w:cs="Times New Roman"/>
          <w:color w:val="000000" w:themeColor="text1"/>
          <w:sz w:val="24"/>
          <w:szCs w:val="24"/>
          <w:vertAlign w:val="superscript"/>
        </w:rPr>
        <w:t>2</w:t>
      </w:r>
      <w:r w:rsidRPr="004F51D2">
        <w:rPr>
          <w:rFonts w:ascii="Times New Roman" w:hAnsi="Times New Roman" w:cs="Times New Roman"/>
          <w:color w:val="000000" w:themeColor="text1"/>
          <w:sz w:val="24"/>
          <w:szCs w:val="24"/>
        </w:rPr>
        <w:t xml:space="preserve">(1) = 2.12, </w:t>
      </w:r>
      <w:r w:rsidRPr="004F51D2">
        <w:rPr>
          <w:rFonts w:ascii="Times New Roman" w:hAnsi="Times New Roman" w:cs="Times New Roman"/>
          <w:i/>
          <w:iCs/>
          <w:color w:val="000000" w:themeColor="text1"/>
          <w:sz w:val="24"/>
          <w:szCs w:val="24"/>
        </w:rPr>
        <w:t>p</w:t>
      </w:r>
      <w:r w:rsidRPr="004F51D2">
        <w:rPr>
          <w:rFonts w:ascii="Times New Roman" w:hAnsi="Times New Roman" w:cs="Times New Roman"/>
          <w:color w:val="000000" w:themeColor="text1"/>
          <w:sz w:val="24"/>
          <w:szCs w:val="24"/>
        </w:rPr>
        <w:t xml:space="preserve"> = 0.359) </w:t>
      </w:r>
      <w:r w:rsidRPr="004F51D2">
        <w:rPr>
          <w:rFonts w:ascii="Times New Roman" w:eastAsia="Calibri" w:hAnsi="Times New Roman" w:cs="Times New Roman"/>
          <w:color w:val="000000"/>
          <w:sz w:val="24"/>
          <w:szCs w:val="24"/>
        </w:rPr>
        <w:t>or</w:t>
      </w:r>
      <w:r w:rsidRPr="004F51D2">
        <w:rPr>
          <w:rFonts w:ascii="Times New Roman" w:hAnsi="Times New Roman" w:cs="Times New Roman"/>
          <w:color w:val="000000" w:themeColor="text1"/>
          <w:sz w:val="24"/>
          <w:szCs w:val="24"/>
        </w:rPr>
        <w:t xml:space="preserve"> other demographic variables (</w:t>
      </w:r>
      <w:r w:rsidRPr="004F51D2">
        <w:rPr>
          <w:rFonts w:ascii="Times New Roman" w:hAnsi="Times New Roman" w:cs="Times New Roman"/>
          <w:i/>
          <w:iCs/>
          <w:color w:val="000000" w:themeColor="text1"/>
          <w:sz w:val="24"/>
          <w:szCs w:val="24"/>
        </w:rPr>
        <w:t>all ps &gt; 0.27</w:t>
      </w:r>
      <w:r w:rsidRPr="004F51D2">
        <w:rPr>
          <w:rFonts w:ascii="Times New Roman" w:hAnsi="Times New Roman" w:cs="Times New Roman"/>
          <w:color w:val="000000" w:themeColor="text1"/>
          <w:sz w:val="24"/>
          <w:szCs w:val="24"/>
        </w:rPr>
        <w:t xml:space="preserve">). Factor structure was assessed using </w:t>
      </w:r>
      <w:r w:rsidR="00C23081" w:rsidRPr="004F51D2">
        <w:rPr>
          <w:rFonts w:ascii="Times New Roman" w:eastAsia="Calibri" w:hAnsi="Times New Roman" w:cs="Times New Roman"/>
          <w:color w:val="000000"/>
          <w:sz w:val="24"/>
          <w:szCs w:val="24"/>
        </w:rPr>
        <w:t>P</w:t>
      </w:r>
      <w:r w:rsidRPr="004F51D2">
        <w:rPr>
          <w:rFonts w:ascii="Times New Roman" w:eastAsia="Calibri" w:hAnsi="Times New Roman" w:cs="Times New Roman"/>
          <w:color w:val="000000"/>
          <w:sz w:val="24"/>
          <w:szCs w:val="24"/>
        </w:rPr>
        <w:t xml:space="preserve">rincipal </w:t>
      </w:r>
      <w:r w:rsidR="00C23081" w:rsidRPr="004F51D2">
        <w:rPr>
          <w:rFonts w:ascii="Times New Roman" w:eastAsia="Calibri" w:hAnsi="Times New Roman" w:cs="Times New Roman"/>
          <w:color w:val="000000"/>
          <w:sz w:val="24"/>
          <w:szCs w:val="24"/>
        </w:rPr>
        <w:t>C</w:t>
      </w:r>
      <w:r w:rsidRPr="004F51D2">
        <w:rPr>
          <w:rFonts w:ascii="Times New Roman" w:eastAsia="Calibri" w:hAnsi="Times New Roman" w:cs="Times New Roman"/>
          <w:color w:val="000000"/>
          <w:sz w:val="24"/>
          <w:szCs w:val="24"/>
        </w:rPr>
        <w:t xml:space="preserve">omponent </w:t>
      </w:r>
      <w:r w:rsidR="00C23081" w:rsidRPr="004F51D2">
        <w:rPr>
          <w:rFonts w:ascii="Times New Roman" w:eastAsia="Calibri" w:hAnsi="Times New Roman" w:cs="Times New Roman"/>
          <w:color w:val="000000"/>
          <w:sz w:val="24"/>
          <w:szCs w:val="24"/>
        </w:rPr>
        <w:t>A</w:t>
      </w:r>
      <w:r w:rsidRPr="004F51D2">
        <w:rPr>
          <w:rFonts w:ascii="Times New Roman" w:eastAsia="Calibri" w:hAnsi="Times New Roman" w:cs="Times New Roman"/>
          <w:color w:val="000000"/>
          <w:sz w:val="24"/>
          <w:szCs w:val="24"/>
        </w:rPr>
        <w:t>nalysis</w:t>
      </w:r>
      <w:r w:rsidRPr="004F51D2">
        <w:rPr>
          <w:rFonts w:ascii="Times New Roman" w:hAnsi="Times New Roman" w:cs="Times New Roman"/>
          <w:color w:val="000000" w:themeColor="text1"/>
          <w:sz w:val="24"/>
          <w:szCs w:val="24"/>
        </w:rPr>
        <w:t xml:space="preserve"> (PCA) with </w:t>
      </w:r>
      <w:r w:rsidR="00F12B51" w:rsidRPr="004F51D2">
        <w:rPr>
          <w:rFonts w:ascii="Times New Roman" w:hAnsi="Times New Roman" w:cs="Times New Roman"/>
          <w:color w:val="000000" w:themeColor="text1"/>
          <w:sz w:val="24"/>
          <w:szCs w:val="24"/>
        </w:rPr>
        <w:t xml:space="preserve">Varimax </w:t>
      </w:r>
      <w:r w:rsidRPr="004F51D2">
        <w:rPr>
          <w:rFonts w:ascii="Times New Roman" w:hAnsi="Times New Roman" w:cs="Times New Roman"/>
          <w:color w:val="000000" w:themeColor="text1"/>
          <w:sz w:val="24"/>
          <w:szCs w:val="24"/>
        </w:rPr>
        <w:t>rotation in the first subsample (</w:t>
      </w:r>
      <w:r w:rsidR="00E77F3E" w:rsidRPr="004F51D2">
        <w:rPr>
          <w:rFonts w:ascii="Times New Roman" w:hAnsi="Times New Roman" w:cs="Times New Roman"/>
          <w:color w:val="000000" w:themeColor="text1"/>
          <w:sz w:val="24"/>
          <w:szCs w:val="24"/>
        </w:rPr>
        <w:t>n</w:t>
      </w:r>
      <w:r w:rsidR="00094921" w:rsidRPr="004F51D2">
        <w:rPr>
          <w:rFonts w:ascii="Times New Roman" w:hAnsi="Times New Roman" w:cs="Times New Roman"/>
          <w:color w:val="000000" w:themeColor="text1"/>
          <w:sz w:val="24"/>
          <w:szCs w:val="24"/>
        </w:rPr>
        <w:t xml:space="preserve"> </w:t>
      </w:r>
      <w:r w:rsidRPr="004F51D2">
        <w:rPr>
          <w:rFonts w:ascii="Times New Roman" w:hAnsi="Times New Roman" w:cs="Times New Roman"/>
          <w:color w:val="000000" w:themeColor="text1"/>
          <w:sz w:val="24"/>
          <w:szCs w:val="24"/>
        </w:rPr>
        <w:t>=</w:t>
      </w:r>
      <w:r w:rsidR="00094921" w:rsidRPr="004F51D2">
        <w:rPr>
          <w:rFonts w:ascii="Times New Roman" w:hAnsi="Times New Roman" w:cs="Times New Roman"/>
          <w:color w:val="000000" w:themeColor="text1"/>
          <w:sz w:val="24"/>
          <w:szCs w:val="24"/>
        </w:rPr>
        <w:t xml:space="preserve"> </w:t>
      </w:r>
      <w:r w:rsidRPr="004F51D2">
        <w:rPr>
          <w:rFonts w:ascii="Times New Roman" w:hAnsi="Times New Roman" w:cs="Times New Roman"/>
          <w:color w:val="000000" w:themeColor="text1"/>
          <w:sz w:val="24"/>
          <w:szCs w:val="24"/>
        </w:rPr>
        <w:t xml:space="preserve">350). Horn's (1965) parallel analysis was used to determine the number of factors to extract since it allows </w:t>
      </w:r>
      <w:r w:rsidRPr="004F51D2">
        <w:rPr>
          <w:rFonts w:ascii="Times New Roman" w:eastAsia="Calibri" w:hAnsi="Times New Roman" w:cs="Times New Roman"/>
          <w:color w:val="000000"/>
          <w:sz w:val="24"/>
          <w:szCs w:val="24"/>
        </w:rPr>
        <w:t xml:space="preserve">us </w:t>
      </w:r>
      <w:r w:rsidRPr="004F51D2">
        <w:rPr>
          <w:rFonts w:ascii="Times New Roman" w:hAnsi="Times New Roman" w:cs="Times New Roman"/>
          <w:color w:val="000000" w:themeColor="text1"/>
          <w:sz w:val="24"/>
          <w:szCs w:val="24"/>
        </w:rPr>
        <w:t xml:space="preserve">to estimate the number of factors more accurately relative to the eigenvalue &gt; 1 criterion (Brown, 2006; Fabrigar et al., 1999). </w:t>
      </w:r>
      <w:r w:rsidRPr="004F51D2">
        <w:rPr>
          <w:rFonts w:ascii="Times New Roman" w:hAnsi="Times New Roman" w:cs="Times New Roman"/>
          <w:sz w:val="24"/>
          <w:szCs w:val="24"/>
        </w:rPr>
        <w:t>Next, data from the second subsample (</w:t>
      </w:r>
      <w:r w:rsidR="00E77F3E" w:rsidRPr="004F51D2">
        <w:rPr>
          <w:rFonts w:ascii="Times New Roman" w:hAnsi="Times New Roman" w:cs="Times New Roman"/>
          <w:sz w:val="24"/>
          <w:szCs w:val="24"/>
        </w:rPr>
        <w:t>n</w:t>
      </w:r>
      <w:r w:rsidR="00094921" w:rsidRPr="004F51D2">
        <w:rPr>
          <w:rFonts w:ascii="Times New Roman" w:hAnsi="Times New Roman" w:cs="Times New Roman"/>
          <w:sz w:val="24"/>
          <w:szCs w:val="24"/>
        </w:rPr>
        <w:t xml:space="preserve"> </w:t>
      </w:r>
      <w:r w:rsidRPr="004F51D2">
        <w:rPr>
          <w:rFonts w:ascii="Times New Roman" w:hAnsi="Times New Roman" w:cs="Times New Roman"/>
          <w:sz w:val="24"/>
          <w:szCs w:val="24"/>
        </w:rPr>
        <w:t>=</w:t>
      </w:r>
      <w:r w:rsidR="00094921" w:rsidRPr="004F51D2">
        <w:rPr>
          <w:rFonts w:ascii="Times New Roman" w:hAnsi="Times New Roman" w:cs="Times New Roman"/>
          <w:sz w:val="24"/>
          <w:szCs w:val="24"/>
        </w:rPr>
        <w:t xml:space="preserve"> </w:t>
      </w:r>
      <w:r w:rsidRPr="004F51D2">
        <w:rPr>
          <w:rFonts w:ascii="Times New Roman" w:hAnsi="Times New Roman" w:cs="Times New Roman"/>
          <w:sz w:val="24"/>
          <w:szCs w:val="24"/>
        </w:rPr>
        <w:lastRenderedPageBreak/>
        <w:t xml:space="preserve">419) were subjected to </w:t>
      </w:r>
      <w:r w:rsidR="00C23081" w:rsidRPr="004F51D2">
        <w:rPr>
          <w:rFonts w:ascii="Times New Roman" w:hAnsi="Times New Roman" w:cs="Times New Roman"/>
          <w:color w:val="000000" w:themeColor="text1"/>
          <w:sz w:val="24"/>
          <w:szCs w:val="24"/>
        </w:rPr>
        <w:t>CFA</w:t>
      </w:r>
      <w:r w:rsidRPr="004F51D2">
        <w:rPr>
          <w:rFonts w:ascii="Times New Roman" w:hAnsi="Times New Roman" w:cs="Times New Roman"/>
          <w:sz w:val="24"/>
          <w:szCs w:val="24"/>
        </w:rPr>
        <w:t xml:space="preserve"> </w:t>
      </w:r>
      <w:r w:rsidRPr="004F51D2">
        <w:rPr>
          <w:rFonts w:ascii="Times New Roman" w:hAnsi="Times New Roman" w:cs="Times New Roman"/>
          <w:color w:val="000000" w:themeColor="text1"/>
          <w:sz w:val="24"/>
          <w:szCs w:val="24"/>
        </w:rPr>
        <w:t xml:space="preserve">to test the fit of the factor structure previously identified through PCA. </w:t>
      </w:r>
      <w:r w:rsidRPr="004F51D2">
        <w:rPr>
          <w:rFonts w:ascii="Times New Roman" w:hAnsi="Times New Roman" w:cs="Times New Roman"/>
          <w:sz w:val="24"/>
          <w:szCs w:val="24"/>
        </w:rPr>
        <w:t xml:space="preserve">The model fit (Kline, 2015) was evaluated through </w:t>
      </w:r>
      <w:r w:rsidRPr="004F51D2">
        <w:rPr>
          <w:rFonts w:ascii="Times New Roman" w:eastAsia="Calibri" w:hAnsi="Times New Roman" w:cs="Times New Roman"/>
          <w:sz w:val="24"/>
          <w:szCs w:val="24"/>
        </w:rPr>
        <w:t xml:space="preserve">the </w:t>
      </w:r>
      <w:r w:rsidRPr="004F51D2">
        <w:rPr>
          <w:rFonts w:ascii="Times New Roman" w:hAnsi="Times New Roman" w:cs="Times New Roman"/>
          <w:sz w:val="24"/>
          <w:szCs w:val="24"/>
        </w:rPr>
        <w:t xml:space="preserve">Chi-square index (χ2; good fit: &lt; 5), </w:t>
      </w:r>
      <w:r w:rsidR="00C23081" w:rsidRPr="004F51D2">
        <w:rPr>
          <w:rFonts w:ascii="Times New Roman" w:hAnsi="Times New Roman" w:cs="Times New Roman"/>
          <w:sz w:val="24"/>
          <w:szCs w:val="24"/>
        </w:rPr>
        <w:t>N</w:t>
      </w:r>
      <w:r w:rsidRPr="004F51D2">
        <w:rPr>
          <w:rFonts w:ascii="Times New Roman" w:hAnsi="Times New Roman" w:cs="Times New Roman"/>
          <w:sz w:val="24"/>
          <w:szCs w:val="24"/>
        </w:rPr>
        <w:t xml:space="preserve">ormed </w:t>
      </w:r>
      <w:r w:rsidR="00C23081" w:rsidRPr="004F51D2">
        <w:rPr>
          <w:rFonts w:ascii="Times New Roman" w:hAnsi="Times New Roman" w:cs="Times New Roman"/>
          <w:sz w:val="24"/>
          <w:szCs w:val="24"/>
        </w:rPr>
        <w:t>F</w:t>
      </w:r>
      <w:r w:rsidRPr="004F51D2">
        <w:rPr>
          <w:rFonts w:ascii="Times New Roman" w:hAnsi="Times New Roman" w:cs="Times New Roman"/>
          <w:sz w:val="24"/>
          <w:szCs w:val="24"/>
        </w:rPr>
        <w:t xml:space="preserve">it </w:t>
      </w:r>
      <w:r w:rsidR="00C23081" w:rsidRPr="004F51D2">
        <w:rPr>
          <w:rFonts w:ascii="Times New Roman" w:hAnsi="Times New Roman" w:cs="Times New Roman"/>
          <w:sz w:val="24"/>
          <w:szCs w:val="24"/>
        </w:rPr>
        <w:t>I</w:t>
      </w:r>
      <w:r w:rsidRPr="004F51D2">
        <w:rPr>
          <w:rFonts w:ascii="Times New Roman" w:hAnsi="Times New Roman" w:cs="Times New Roman"/>
          <w:sz w:val="24"/>
          <w:szCs w:val="24"/>
        </w:rPr>
        <w:t xml:space="preserve">ndex (NFI; good fit: ≥0.90), </w:t>
      </w:r>
      <w:r w:rsidR="00C23081" w:rsidRPr="004F51D2">
        <w:rPr>
          <w:rFonts w:ascii="Times New Roman" w:hAnsi="Times New Roman" w:cs="Times New Roman"/>
          <w:sz w:val="24"/>
          <w:szCs w:val="24"/>
        </w:rPr>
        <w:t>C</w:t>
      </w:r>
      <w:r w:rsidRPr="004F51D2">
        <w:rPr>
          <w:rFonts w:ascii="Times New Roman" w:hAnsi="Times New Roman" w:cs="Times New Roman"/>
          <w:sz w:val="24"/>
          <w:szCs w:val="24"/>
        </w:rPr>
        <w:t xml:space="preserve">omparative </w:t>
      </w:r>
      <w:r w:rsidR="00C23081" w:rsidRPr="004F51D2">
        <w:rPr>
          <w:rFonts w:ascii="Times New Roman" w:hAnsi="Times New Roman" w:cs="Times New Roman"/>
          <w:sz w:val="24"/>
          <w:szCs w:val="24"/>
        </w:rPr>
        <w:t>F</w:t>
      </w:r>
      <w:r w:rsidRPr="004F51D2">
        <w:rPr>
          <w:rFonts w:ascii="Times New Roman" w:hAnsi="Times New Roman" w:cs="Times New Roman"/>
          <w:sz w:val="24"/>
          <w:szCs w:val="24"/>
        </w:rPr>
        <w:t xml:space="preserve">it </w:t>
      </w:r>
      <w:r w:rsidR="00C23081" w:rsidRPr="004F51D2">
        <w:rPr>
          <w:rFonts w:ascii="Times New Roman" w:hAnsi="Times New Roman" w:cs="Times New Roman"/>
          <w:sz w:val="24"/>
          <w:szCs w:val="24"/>
        </w:rPr>
        <w:t>I</w:t>
      </w:r>
      <w:r w:rsidRPr="004F51D2">
        <w:rPr>
          <w:rFonts w:ascii="Times New Roman" w:hAnsi="Times New Roman" w:cs="Times New Roman"/>
          <w:sz w:val="24"/>
          <w:szCs w:val="24"/>
        </w:rPr>
        <w:t xml:space="preserve">ndex (CFI; good fit: ≥0.90), </w:t>
      </w:r>
      <w:r w:rsidR="00C23081" w:rsidRPr="004F51D2">
        <w:rPr>
          <w:rFonts w:ascii="Times New Roman" w:eastAsia="Calibri" w:hAnsi="Times New Roman" w:cs="Times New Roman"/>
          <w:sz w:val="24"/>
          <w:szCs w:val="24"/>
        </w:rPr>
        <w:t>I</w:t>
      </w:r>
      <w:r w:rsidRPr="004F51D2">
        <w:rPr>
          <w:rFonts w:ascii="Times New Roman" w:eastAsia="Calibri" w:hAnsi="Times New Roman" w:cs="Times New Roman"/>
          <w:sz w:val="24"/>
          <w:szCs w:val="24"/>
        </w:rPr>
        <w:t>ncremental</w:t>
      </w:r>
      <w:r w:rsidRPr="004F51D2">
        <w:rPr>
          <w:rFonts w:ascii="Times New Roman" w:hAnsi="Times New Roman" w:cs="Times New Roman"/>
          <w:sz w:val="24"/>
          <w:szCs w:val="24"/>
        </w:rPr>
        <w:t xml:space="preserve"> </w:t>
      </w:r>
      <w:r w:rsidR="00C23081" w:rsidRPr="004F51D2">
        <w:rPr>
          <w:rFonts w:ascii="Times New Roman" w:hAnsi="Times New Roman" w:cs="Times New Roman"/>
          <w:sz w:val="24"/>
          <w:szCs w:val="24"/>
        </w:rPr>
        <w:t>F</w:t>
      </w:r>
      <w:r w:rsidRPr="004F51D2">
        <w:rPr>
          <w:rFonts w:ascii="Times New Roman" w:hAnsi="Times New Roman" w:cs="Times New Roman"/>
          <w:sz w:val="24"/>
          <w:szCs w:val="24"/>
        </w:rPr>
        <w:t xml:space="preserve">it </w:t>
      </w:r>
      <w:r w:rsidR="00C23081" w:rsidRPr="004F51D2">
        <w:rPr>
          <w:rFonts w:ascii="Times New Roman" w:hAnsi="Times New Roman" w:cs="Times New Roman"/>
          <w:sz w:val="24"/>
          <w:szCs w:val="24"/>
        </w:rPr>
        <w:t>I</w:t>
      </w:r>
      <w:r w:rsidRPr="004F51D2">
        <w:rPr>
          <w:rFonts w:ascii="Times New Roman" w:hAnsi="Times New Roman" w:cs="Times New Roman"/>
          <w:sz w:val="24"/>
          <w:szCs w:val="24"/>
        </w:rPr>
        <w:t xml:space="preserve">ndex (IFI; good fit: ≥0.90), </w:t>
      </w:r>
      <w:r w:rsidR="00C23081" w:rsidRPr="004F51D2">
        <w:rPr>
          <w:rFonts w:ascii="Times New Roman" w:hAnsi="Times New Roman" w:cs="Times New Roman"/>
          <w:sz w:val="24"/>
          <w:szCs w:val="24"/>
        </w:rPr>
        <w:t>S</w:t>
      </w:r>
      <w:r w:rsidRPr="004F51D2">
        <w:rPr>
          <w:rFonts w:ascii="Times New Roman" w:hAnsi="Times New Roman" w:cs="Times New Roman"/>
          <w:sz w:val="24"/>
          <w:szCs w:val="24"/>
        </w:rPr>
        <w:t xml:space="preserve">tandardized </w:t>
      </w:r>
      <w:r w:rsidR="00C23081" w:rsidRPr="004F51D2">
        <w:rPr>
          <w:rFonts w:ascii="Times New Roman" w:hAnsi="Times New Roman" w:cs="Times New Roman"/>
          <w:sz w:val="24"/>
          <w:szCs w:val="24"/>
        </w:rPr>
        <w:t>R</w:t>
      </w:r>
      <w:r w:rsidRPr="004F51D2">
        <w:rPr>
          <w:rFonts w:ascii="Times New Roman" w:hAnsi="Times New Roman" w:cs="Times New Roman"/>
          <w:sz w:val="24"/>
          <w:szCs w:val="24"/>
        </w:rPr>
        <w:t xml:space="preserve">oot </w:t>
      </w:r>
      <w:r w:rsidR="00C23081" w:rsidRPr="004F51D2">
        <w:rPr>
          <w:rFonts w:ascii="Times New Roman" w:hAnsi="Times New Roman" w:cs="Times New Roman"/>
          <w:sz w:val="24"/>
          <w:szCs w:val="24"/>
        </w:rPr>
        <w:t>M</w:t>
      </w:r>
      <w:r w:rsidRPr="004F51D2">
        <w:rPr>
          <w:rFonts w:ascii="Times New Roman" w:hAnsi="Times New Roman" w:cs="Times New Roman"/>
          <w:sz w:val="24"/>
          <w:szCs w:val="24"/>
        </w:rPr>
        <w:t xml:space="preserve">ean </w:t>
      </w:r>
      <w:r w:rsidR="00C23081" w:rsidRPr="004F51D2">
        <w:rPr>
          <w:rFonts w:ascii="Times New Roman" w:hAnsi="Times New Roman" w:cs="Times New Roman"/>
          <w:sz w:val="24"/>
          <w:szCs w:val="24"/>
        </w:rPr>
        <w:t>S</w:t>
      </w:r>
      <w:r w:rsidRPr="004F51D2">
        <w:rPr>
          <w:rFonts w:ascii="Times New Roman" w:hAnsi="Times New Roman" w:cs="Times New Roman"/>
          <w:sz w:val="24"/>
          <w:szCs w:val="24"/>
        </w:rPr>
        <w:t xml:space="preserve">quare </w:t>
      </w:r>
      <w:r w:rsidR="00C23081" w:rsidRPr="004F51D2">
        <w:rPr>
          <w:rFonts w:ascii="Times New Roman" w:hAnsi="Times New Roman" w:cs="Times New Roman"/>
          <w:sz w:val="24"/>
          <w:szCs w:val="24"/>
        </w:rPr>
        <w:t>R</w:t>
      </w:r>
      <w:r w:rsidRPr="004F51D2">
        <w:rPr>
          <w:rFonts w:ascii="Times New Roman" w:hAnsi="Times New Roman" w:cs="Times New Roman"/>
          <w:sz w:val="24"/>
          <w:szCs w:val="24"/>
        </w:rPr>
        <w:t xml:space="preserve">esidual (SRMR; good fit: ≤0.08), and </w:t>
      </w:r>
      <w:r w:rsidR="00C23081" w:rsidRPr="004F51D2">
        <w:rPr>
          <w:rFonts w:ascii="Times New Roman" w:hAnsi="Times New Roman" w:cs="Times New Roman"/>
          <w:sz w:val="24"/>
          <w:szCs w:val="24"/>
        </w:rPr>
        <w:t>R</w:t>
      </w:r>
      <w:r w:rsidRPr="004F51D2">
        <w:rPr>
          <w:rFonts w:ascii="Times New Roman" w:hAnsi="Times New Roman" w:cs="Times New Roman"/>
          <w:sz w:val="24"/>
          <w:szCs w:val="24"/>
        </w:rPr>
        <w:t xml:space="preserve">oot </w:t>
      </w:r>
      <w:r w:rsidR="00C23081" w:rsidRPr="004F51D2">
        <w:rPr>
          <w:rFonts w:ascii="Times New Roman" w:hAnsi="Times New Roman" w:cs="Times New Roman"/>
          <w:sz w:val="24"/>
          <w:szCs w:val="24"/>
        </w:rPr>
        <w:t>M</w:t>
      </w:r>
      <w:r w:rsidRPr="004F51D2">
        <w:rPr>
          <w:rFonts w:ascii="Times New Roman" w:hAnsi="Times New Roman" w:cs="Times New Roman"/>
          <w:sz w:val="24"/>
          <w:szCs w:val="24"/>
        </w:rPr>
        <w:t xml:space="preserve">ean </w:t>
      </w:r>
      <w:r w:rsidR="00C23081" w:rsidRPr="004F51D2">
        <w:rPr>
          <w:rFonts w:ascii="Times New Roman" w:hAnsi="Times New Roman" w:cs="Times New Roman"/>
          <w:sz w:val="24"/>
          <w:szCs w:val="24"/>
        </w:rPr>
        <w:t>S</w:t>
      </w:r>
      <w:r w:rsidRPr="004F51D2">
        <w:rPr>
          <w:rFonts w:ascii="Times New Roman" w:hAnsi="Times New Roman" w:cs="Times New Roman"/>
          <w:sz w:val="24"/>
          <w:szCs w:val="24"/>
        </w:rPr>
        <w:t xml:space="preserve">quare </w:t>
      </w:r>
      <w:r w:rsidR="00C23081" w:rsidRPr="004F51D2">
        <w:rPr>
          <w:rFonts w:ascii="Times New Roman" w:hAnsi="Times New Roman" w:cs="Times New Roman"/>
          <w:sz w:val="24"/>
          <w:szCs w:val="24"/>
        </w:rPr>
        <w:t>E</w:t>
      </w:r>
      <w:r w:rsidRPr="004F51D2">
        <w:rPr>
          <w:rFonts w:ascii="Times New Roman" w:hAnsi="Times New Roman" w:cs="Times New Roman"/>
          <w:sz w:val="24"/>
          <w:szCs w:val="24"/>
        </w:rPr>
        <w:t xml:space="preserve">rror of </w:t>
      </w:r>
      <w:r w:rsidR="00C23081" w:rsidRPr="004F51D2">
        <w:rPr>
          <w:rFonts w:ascii="Times New Roman" w:hAnsi="Times New Roman" w:cs="Times New Roman"/>
          <w:sz w:val="24"/>
          <w:szCs w:val="24"/>
        </w:rPr>
        <w:t>A</w:t>
      </w:r>
      <w:r w:rsidRPr="004F51D2">
        <w:rPr>
          <w:rFonts w:ascii="Times New Roman" w:hAnsi="Times New Roman" w:cs="Times New Roman"/>
          <w:sz w:val="24"/>
          <w:szCs w:val="24"/>
        </w:rPr>
        <w:t>pproximation (RMSEA; good fit: ≤0.06).</w:t>
      </w:r>
      <w:r w:rsidRPr="004F51D2">
        <w:rPr>
          <w:rFonts w:ascii="Times New Roman" w:hAnsi="Times New Roman" w:cs="Times New Roman"/>
          <w:color w:val="000000" w:themeColor="text1"/>
          <w:sz w:val="24"/>
          <w:szCs w:val="24"/>
        </w:rPr>
        <w:t xml:space="preserve"> The Persian MOGS</w:t>
      </w:r>
      <w:r w:rsidR="00C23081" w:rsidRPr="004F51D2">
        <w:rPr>
          <w:rFonts w:ascii="Times New Roman" w:hAnsi="Times New Roman" w:cs="Times New Roman"/>
          <w:color w:val="000000" w:themeColor="text1"/>
          <w:sz w:val="24"/>
          <w:szCs w:val="24"/>
        </w:rPr>
        <w:t>’s</w:t>
      </w:r>
      <w:r w:rsidRPr="004F51D2">
        <w:rPr>
          <w:rFonts w:ascii="Times New Roman" w:hAnsi="Times New Roman" w:cs="Times New Roman"/>
          <w:color w:val="000000" w:themeColor="text1"/>
          <w:sz w:val="24"/>
          <w:szCs w:val="24"/>
        </w:rPr>
        <w:t xml:space="preserve"> reliability was examined by </w:t>
      </w:r>
      <w:r w:rsidRPr="004F51D2">
        <w:rPr>
          <w:rFonts w:ascii="Times New Roman" w:eastAsia="Calibri" w:hAnsi="Times New Roman" w:cs="Times New Roman"/>
          <w:color w:val="000000"/>
          <w:sz w:val="24"/>
          <w:szCs w:val="24"/>
        </w:rPr>
        <w:t xml:space="preserve">the </w:t>
      </w:r>
      <w:r w:rsidRPr="004F51D2">
        <w:rPr>
          <w:rFonts w:ascii="Times New Roman" w:hAnsi="Times New Roman" w:cs="Times New Roman"/>
          <w:color w:val="000000" w:themeColor="text1"/>
          <w:sz w:val="24"/>
          <w:szCs w:val="24"/>
        </w:rPr>
        <w:t>internal consistency coefficient (Cronbach's alpha for total score and factors of MOGS</w:t>
      </w:r>
      <w:r w:rsidR="00501DDF" w:rsidRPr="004F51D2">
        <w:rPr>
          <w:rFonts w:ascii="Times New Roman" w:hAnsi="Times New Roman" w:cs="Times New Roman"/>
          <w:color w:val="000000" w:themeColor="text1"/>
          <w:sz w:val="24"/>
          <w:szCs w:val="24"/>
        </w:rPr>
        <w:t>)</w:t>
      </w:r>
      <w:r w:rsidRPr="004F51D2">
        <w:rPr>
          <w:rFonts w:ascii="Times New Roman" w:hAnsi="Times New Roman" w:cs="Times New Roman"/>
          <w:color w:val="000000" w:themeColor="text1"/>
          <w:sz w:val="24"/>
          <w:szCs w:val="24"/>
        </w:rPr>
        <w:t xml:space="preserve">. </w:t>
      </w:r>
      <w:r w:rsidR="00FD04B8" w:rsidRPr="004F51D2">
        <w:rPr>
          <w:rFonts w:ascii="Times New Roman" w:hAnsi="Times New Roman" w:cs="Times New Roman"/>
          <w:color w:val="000000" w:themeColor="text1"/>
          <w:sz w:val="24"/>
          <w:szCs w:val="24"/>
        </w:rPr>
        <w:t xml:space="preserve">Also, </w:t>
      </w:r>
      <w:r w:rsidR="00A0543A" w:rsidRPr="004F51D2">
        <w:rPr>
          <w:rFonts w:ascii="Times New Roman" w:hAnsi="Times New Roman" w:cs="Times New Roman"/>
          <w:sz w:val="24"/>
          <w:szCs w:val="24"/>
        </w:rPr>
        <w:t xml:space="preserve">to establish the </w:t>
      </w:r>
      <w:r w:rsidRPr="004F51D2">
        <w:rPr>
          <w:rFonts w:ascii="Times New Roman" w:hAnsi="Times New Roman" w:cs="Times New Roman"/>
          <w:sz w:val="24"/>
          <w:szCs w:val="24"/>
        </w:rPr>
        <w:t xml:space="preserve">predictive validity of the Persian MOGS </w:t>
      </w:r>
      <w:r w:rsidR="00A0543A" w:rsidRPr="004F51D2">
        <w:rPr>
          <w:rFonts w:ascii="Times New Roman" w:hAnsi="Times New Roman" w:cs="Times New Roman"/>
          <w:sz w:val="24"/>
          <w:szCs w:val="24"/>
        </w:rPr>
        <w:t xml:space="preserve">we aimed to determine its contribution to levels problematic online gaming </w:t>
      </w:r>
      <w:r w:rsidRPr="004F51D2">
        <w:rPr>
          <w:rFonts w:ascii="Times New Roman" w:hAnsi="Times New Roman" w:cs="Times New Roman"/>
          <w:sz w:val="24"/>
          <w:szCs w:val="24"/>
        </w:rPr>
        <w:t xml:space="preserve">independently of </w:t>
      </w:r>
      <w:r w:rsidR="00094921" w:rsidRPr="004F51D2">
        <w:rPr>
          <w:rFonts w:ascii="Times New Roman" w:hAnsi="Times New Roman" w:cs="Times New Roman"/>
          <w:sz w:val="24"/>
          <w:szCs w:val="24"/>
        </w:rPr>
        <w:t xml:space="preserve">gaming-related </w:t>
      </w:r>
      <w:r w:rsidRPr="004F51D2">
        <w:rPr>
          <w:rFonts w:ascii="Times New Roman" w:hAnsi="Times New Roman" w:cs="Times New Roman"/>
          <w:sz w:val="24"/>
          <w:szCs w:val="24"/>
        </w:rPr>
        <w:t xml:space="preserve">cognitions and </w:t>
      </w:r>
      <w:r w:rsidR="00094921" w:rsidRPr="004F51D2">
        <w:rPr>
          <w:rFonts w:ascii="Times New Roman" w:hAnsi="Times New Roman" w:cs="Times New Roman"/>
          <w:sz w:val="24"/>
          <w:szCs w:val="24"/>
        </w:rPr>
        <w:t xml:space="preserve">gaming </w:t>
      </w:r>
      <w:r w:rsidRPr="004F51D2">
        <w:rPr>
          <w:rFonts w:ascii="Times New Roman" w:hAnsi="Times New Roman" w:cs="Times New Roman"/>
          <w:sz w:val="24"/>
          <w:szCs w:val="24"/>
        </w:rPr>
        <w:t>motives</w:t>
      </w:r>
      <w:r w:rsidR="00094921" w:rsidRPr="004F51D2">
        <w:rPr>
          <w:rFonts w:ascii="Times New Roman" w:hAnsi="Times New Roman" w:cs="Times New Roman"/>
          <w:sz w:val="24"/>
          <w:szCs w:val="24"/>
        </w:rPr>
        <w:t xml:space="preserve">, controlling for personality traits and </w:t>
      </w:r>
      <w:r w:rsidR="00A0543A" w:rsidRPr="004F51D2">
        <w:rPr>
          <w:rFonts w:ascii="Times New Roman" w:hAnsi="Times New Roman" w:cs="Times New Roman"/>
          <w:color w:val="000000" w:themeColor="text1"/>
          <w:sz w:val="24"/>
          <w:szCs w:val="24"/>
        </w:rPr>
        <w:t>negative affect (anxiety, depression and</w:t>
      </w:r>
      <w:r w:rsidR="00094921" w:rsidRPr="004F51D2">
        <w:rPr>
          <w:rFonts w:ascii="Times New Roman" w:hAnsi="Times New Roman" w:cs="Times New Roman"/>
          <w:color w:val="000000" w:themeColor="text1"/>
          <w:sz w:val="24"/>
          <w:szCs w:val="24"/>
        </w:rPr>
        <w:t>,</w:t>
      </w:r>
      <w:r w:rsidR="00A0543A" w:rsidRPr="004F51D2">
        <w:rPr>
          <w:rFonts w:ascii="Times New Roman" w:hAnsi="Times New Roman" w:cs="Times New Roman"/>
          <w:color w:val="000000" w:themeColor="text1"/>
          <w:sz w:val="24"/>
          <w:szCs w:val="24"/>
        </w:rPr>
        <w:t xml:space="preserve"> stress)</w:t>
      </w:r>
      <w:r w:rsidRPr="004F51D2">
        <w:rPr>
          <w:rFonts w:ascii="Times New Roman" w:hAnsi="Times New Roman" w:cs="Times New Roman"/>
          <w:color w:val="000000" w:themeColor="text1"/>
          <w:sz w:val="24"/>
          <w:szCs w:val="24"/>
        </w:rPr>
        <w:t>.</w:t>
      </w:r>
      <w:r w:rsidR="00FD04B8" w:rsidRPr="004F51D2">
        <w:rPr>
          <w:rFonts w:ascii="Times New Roman" w:hAnsi="Times New Roman" w:cs="Times New Roman"/>
          <w:color w:val="000000" w:themeColor="text1"/>
          <w:sz w:val="24"/>
          <w:szCs w:val="24"/>
        </w:rPr>
        <w:t xml:space="preserve"> </w:t>
      </w:r>
      <w:r w:rsidR="00FD04B8" w:rsidRPr="004F51D2">
        <w:rPr>
          <w:rFonts w:ascii="Times New Roman" w:hAnsi="Times New Roman" w:cs="Times New Roman"/>
          <w:sz w:val="24"/>
          <w:szCs w:val="24"/>
        </w:rPr>
        <w:t xml:space="preserve">Finally, </w:t>
      </w:r>
      <w:r w:rsidR="00430587" w:rsidRPr="004F51D2">
        <w:rPr>
          <w:rFonts w:ascii="Times New Roman" w:eastAsia="Calibri" w:hAnsi="Times New Roman" w:cs="Times New Roman"/>
          <w:color w:val="000000"/>
          <w:sz w:val="24"/>
          <w:szCs w:val="24"/>
        </w:rPr>
        <w:t xml:space="preserve">to </w:t>
      </w:r>
      <w:r w:rsidR="00FD04B8" w:rsidRPr="004F51D2">
        <w:rPr>
          <w:rFonts w:ascii="Times New Roman" w:eastAsia="Calibri" w:hAnsi="Times New Roman" w:cs="Times New Roman"/>
          <w:color w:val="000000"/>
          <w:sz w:val="24"/>
          <w:szCs w:val="24"/>
        </w:rPr>
        <w:t xml:space="preserve">explore interaction between the factors of MOGS and types of game and tools of </w:t>
      </w:r>
      <w:r w:rsidR="00430587" w:rsidRPr="004F51D2">
        <w:rPr>
          <w:rFonts w:ascii="Times New Roman" w:eastAsia="Calibri" w:hAnsi="Times New Roman" w:cs="Times New Roman"/>
          <w:color w:val="000000"/>
          <w:sz w:val="24"/>
          <w:szCs w:val="24"/>
        </w:rPr>
        <w:t>gaming</w:t>
      </w:r>
      <w:r w:rsidR="00FD04B8" w:rsidRPr="004F51D2">
        <w:rPr>
          <w:rFonts w:ascii="Times New Roman" w:eastAsia="Calibri" w:hAnsi="Times New Roman" w:cs="Times New Roman"/>
          <w:color w:val="000000"/>
          <w:sz w:val="24"/>
          <w:szCs w:val="24"/>
        </w:rPr>
        <w:t xml:space="preserve">, as well as between the motives for online gaming and types of game, a series of one-way </w:t>
      </w:r>
      <w:r w:rsidR="00430587" w:rsidRPr="004F51D2">
        <w:rPr>
          <w:rFonts w:ascii="Times New Roman" w:eastAsia="Calibri" w:hAnsi="Times New Roman" w:cs="Times New Roman"/>
          <w:color w:val="000000"/>
          <w:sz w:val="24"/>
          <w:szCs w:val="24"/>
        </w:rPr>
        <w:t xml:space="preserve">analyses </w:t>
      </w:r>
      <w:r w:rsidR="00FD04B8" w:rsidRPr="004F51D2">
        <w:rPr>
          <w:rFonts w:ascii="Times New Roman" w:eastAsia="Calibri" w:hAnsi="Times New Roman" w:cs="Times New Roman"/>
          <w:color w:val="000000"/>
          <w:sz w:val="24"/>
          <w:szCs w:val="24"/>
        </w:rPr>
        <w:t xml:space="preserve">of variance with follow-up Bonferroni pairwise comparisons </w:t>
      </w:r>
      <w:r w:rsidR="00430587" w:rsidRPr="004F51D2">
        <w:rPr>
          <w:rFonts w:ascii="Times New Roman" w:eastAsia="Calibri" w:hAnsi="Times New Roman" w:cs="Times New Roman"/>
          <w:color w:val="000000"/>
          <w:sz w:val="24"/>
          <w:szCs w:val="24"/>
        </w:rPr>
        <w:t xml:space="preserve">were </w:t>
      </w:r>
      <w:r w:rsidR="00FD04B8" w:rsidRPr="004F51D2">
        <w:rPr>
          <w:rFonts w:ascii="Times New Roman" w:eastAsia="Calibri" w:hAnsi="Times New Roman" w:cs="Times New Roman"/>
          <w:color w:val="000000"/>
          <w:sz w:val="24"/>
          <w:szCs w:val="24"/>
        </w:rPr>
        <w:t>conducted.</w:t>
      </w:r>
    </w:p>
    <w:p w14:paraId="7745ADFD" w14:textId="203FBC04" w:rsidR="00C24DE0" w:rsidRPr="004F51D2" w:rsidRDefault="00C24DE0" w:rsidP="0054771B">
      <w:pPr>
        <w:bidi w:val="0"/>
        <w:spacing w:after="0" w:line="480" w:lineRule="auto"/>
        <w:jc w:val="both"/>
        <w:rPr>
          <w:rFonts w:ascii="Times New Roman" w:hAnsi="Times New Roman" w:cs="Times New Roman"/>
          <w:b/>
          <w:bCs/>
          <w:sz w:val="24"/>
          <w:szCs w:val="24"/>
          <w:rtl/>
        </w:rPr>
      </w:pPr>
      <w:r w:rsidRPr="004F51D2">
        <w:rPr>
          <w:rFonts w:ascii="Times New Roman" w:hAnsi="Times New Roman" w:cs="Times New Roman"/>
          <w:b/>
          <w:bCs/>
          <w:sz w:val="24"/>
          <w:szCs w:val="24"/>
        </w:rPr>
        <w:t>3. Results</w:t>
      </w:r>
    </w:p>
    <w:p w14:paraId="481CA18C" w14:textId="0EBC2D3A" w:rsidR="00F14FB5" w:rsidRPr="004F51D2" w:rsidRDefault="00F14FB5" w:rsidP="00C323B0">
      <w:pPr>
        <w:bidi w:val="0"/>
        <w:spacing w:after="0" w:line="480" w:lineRule="auto"/>
        <w:jc w:val="both"/>
        <w:rPr>
          <w:rFonts w:asciiTheme="majorBidi" w:hAnsiTheme="majorBidi" w:cstheme="majorBidi"/>
          <w:sz w:val="24"/>
          <w:szCs w:val="24"/>
        </w:rPr>
      </w:pPr>
      <w:r w:rsidRPr="004F51D2">
        <w:rPr>
          <w:rFonts w:ascii="Times New Roman" w:hAnsi="Times New Roman" w:cs="Times New Roman"/>
          <w:sz w:val="24"/>
          <w:szCs w:val="24"/>
        </w:rPr>
        <w:t>In this study, in terms of Internet connection at home, 98.3% (n = 756) of the participants indicated that they had an Internet connection, with 96.4% (n = 741) indicating using the Internet for more than two hours per day and average time spent</w:t>
      </w:r>
      <w:r w:rsidR="00C323B0" w:rsidRPr="004F51D2">
        <w:rPr>
          <w:rFonts w:ascii="Times New Roman" w:hAnsi="Times New Roman" w:cs="Times New Roman"/>
          <w:sz w:val="24"/>
          <w:szCs w:val="24"/>
        </w:rPr>
        <w:t xml:space="preserve"> per day</w:t>
      </w:r>
      <w:r w:rsidRPr="004F51D2">
        <w:rPr>
          <w:rFonts w:ascii="Times New Roman" w:hAnsi="Times New Roman" w:cs="Times New Roman"/>
          <w:sz w:val="24"/>
          <w:szCs w:val="24"/>
        </w:rPr>
        <w:t xml:space="preserve"> with online game was </w:t>
      </w:r>
      <w:r w:rsidR="00C323B0" w:rsidRPr="004F51D2">
        <w:rPr>
          <w:rFonts w:ascii="Times New Roman" w:hAnsi="Times New Roman" w:cs="Times New Roman"/>
          <w:sz w:val="24"/>
          <w:szCs w:val="24"/>
        </w:rPr>
        <w:t>3.06</w:t>
      </w:r>
      <w:r w:rsidRPr="004F51D2">
        <w:rPr>
          <w:rFonts w:ascii="Times New Roman" w:hAnsi="Times New Roman" w:cs="Times New Roman"/>
          <w:sz w:val="24"/>
          <w:szCs w:val="24"/>
        </w:rPr>
        <w:t xml:space="preserve">. The most common gaming tool was the mobile phone (52.3%, n = 402), and the most common type of game played was action (50.1%, n = 385). </w:t>
      </w:r>
      <w:r w:rsidRPr="004F51D2">
        <w:rPr>
          <w:rFonts w:ascii="Times New Roman" w:eastAsia="Calibri" w:hAnsi="Times New Roman" w:cs="Times New Roman"/>
          <w:sz w:val="24"/>
          <w:szCs w:val="24"/>
        </w:rPr>
        <w:t xml:space="preserve">Of </w:t>
      </w:r>
      <w:r w:rsidRPr="004F51D2">
        <w:rPr>
          <w:rFonts w:ascii="Times New Roman" w:hAnsi="Times New Roman" w:cs="Times New Roman"/>
          <w:sz w:val="24"/>
          <w:szCs w:val="24"/>
        </w:rPr>
        <w:t>the sample</w:t>
      </w:r>
      <w:r w:rsidRPr="004F51D2">
        <w:rPr>
          <w:rFonts w:ascii="Times New Roman" w:eastAsia="Calibri" w:hAnsi="Times New Roman" w:cs="Times New Roman"/>
          <w:sz w:val="24"/>
          <w:szCs w:val="24"/>
        </w:rPr>
        <w:t xml:space="preserve">, </w:t>
      </w:r>
      <w:r w:rsidRPr="004F51D2">
        <w:rPr>
          <w:rFonts w:ascii="Times New Roman" w:hAnsi="Times New Roman" w:cs="Times New Roman"/>
          <w:sz w:val="24"/>
          <w:szCs w:val="24"/>
        </w:rPr>
        <w:t>77.9% of participants reported living in the city center.</w:t>
      </w:r>
      <w:r w:rsidR="00DA2B57" w:rsidRPr="004F51D2">
        <w:rPr>
          <w:rFonts w:asciiTheme="majorBidi" w:hAnsiTheme="majorBidi" w:cstheme="majorBidi"/>
          <w:sz w:val="24"/>
          <w:szCs w:val="24"/>
        </w:rPr>
        <w:t xml:space="preserve"> Participants </w:t>
      </w:r>
      <w:r w:rsidR="00430587" w:rsidRPr="004F51D2">
        <w:rPr>
          <w:rFonts w:asciiTheme="majorBidi" w:hAnsiTheme="majorBidi" w:cstheme="majorBidi"/>
          <w:sz w:val="24"/>
          <w:szCs w:val="24"/>
        </w:rPr>
        <w:t xml:space="preserve">spent </w:t>
      </w:r>
      <w:r w:rsidR="00DA2B57" w:rsidRPr="004F51D2">
        <w:rPr>
          <w:rFonts w:asciiTheme="majorBidi" w:hAnsiTheme="majorBidi" w:cstheme="majorBidi"/>
          <w:sz w:val="24"/>
          <w:szCs w:val="24"/>
        </w:rPr>
        <w:t>an average of 21.45 hours gaming online per week.</w:t>
      </w:r>
      <w:r w:rsidRPr="004F51D2">
        <w:rPr>
          <w:rFonts w:ascii="Times New Roman" w:hAnsi="Times New Roman" w:cs="Times New Roman"/>
          <w:sz w:val="24"/>
          <w:szCs w:val="24"/>
        </w:rPr>
        <w:t xml:space="preserve"> Mean scores and standard deviations of the study variables are presented in Table 1.</w:t>
      </w:r>
      <w:r w:rsidR="00F972FB" w:rsidRPr="004F51D2">
        <w:rPr>
          <w:rFonts w:asciiTheme="majorBidi" w:hAnsiTheme="majorBidi" w:cstheme="majorBidi"/>
          <w:sz w:val="24"/>
          <w:szCs w:val="24"/>
        </w:rPr>
        <w:t xml:space="preserve"> </w:t>
      </w:r>
    </w:p>
    <w:p w14:paraId="1546B571" w14:textId="54AB646D" w:rsidR="00430587" w:rsidRPr="004F51D2" w:rsidRDefault="00430587" w:rsidP="00430587">
      <w:pPr>
        <w:bidi w:val="0"/>
        <w:spacing w:after="0" w:line="480" w:lineRule="auto"/>
        <w:jc w:val="both"/>
        <w:rPr>
          <w:rFonts w:asciiTheme="majorBidi" w:hAnsiTheme="majorBidi" w:cstheme="majorBidi"/>
          <w:sz w:val="24"/>
          <w:szCs w:val="24"/>
        </w:rPr>
      </w:pPr>
    </w:p>
    <w:p w14:paraId="4E38822A" w14:textId="77777777" w:rsidR="00430587" w:rsidRPr="004F51D2" w:rsidRDefault="00430587" w:rsidP="00115E1F">
      <w:pPr>
        <w:bidi w:val="0"/>
        <w:spacing w:after="0" w:line="480" w:lineRule="auto"/>
        <w:jc w:val="both"/>
        <w:rPr>
          <w:rFonts w:ascii="Times New Roman" w:hAnsi="Times New Roman" w:cs="Times New Roman"/>
          <w:b/>
          <w:bCs/>
          <w:sz w:val="24"/>
          <w:szCs w:val="24"/>
          <w:rtl/>
        </w:rPr>
      </w:pPr>
    </w:p>
    <w:p w14:paraId="4730B58D" w14:textId="3F13B06D" w:rsidR="00C24DE0" w:rsidRPr="004F51D2" w:rsidRDefault="00C24DE0" w:rsidP="00F33DB0">
      <w:pPr>
        <w:bidi w:val="0"/>
        <w:spacing w:after="0" w:line="480" w:lineRule="auto"/>
        <w:jc w:val="both"/>
        <w:rPr>
          <w:rFonts w:ascii="Times New Roman" w:hAnsi="Times New Roman" w:cs="Times New Roman"/>
          <w:i/>
          <w:iCs/>
          <w:sz w:val="24"/>
          <w:szCs w:val="24"/>
        </w:rPr>
      </w:pPr>
      <w:r w:rsidRPr="004F51D2">
        <w:rPr>
          <w:rFonts w:ascii="Times New Roman" w:hAnsi="Times New Roman" w:cs="Times New Roman"/>
          <w:i/>
          <w:iCs/>
          <w:sz w:val="24"/>
          <w:szCs w:val="24"/>
        </w:rPr>
        <w:lastRenderedPageBreak/>
        <w:t>3.1.</w:t>
      </w:r>
      <w:r w:rsidRPr="004F51D2">
        <w:rPr>
          <w:rFonts w:ascii="Times New Roman" w:hAnsi="Times New Roman" w:cs="Times New Roman"/>
          <w:i/>
          <w:iCs/>
          <w:color w:val="000000" w:themeColor="text1"/>
          <w:sz w:val="24"/>
          <w:szCs w:val="24"/>
        </w:rPr>
        <w:t xml:space="preserve"> </w:t>
      </w:r>
      <w:r w:rsidR="00A0543A" w:rsidRPr="004F51D2">
        <w:rPr>
          <w:rFonts w:ascii="Times New Roman" w:hAnsi="Times New Roman" w:cs="Times New Roman"/>
          <w:i/>
          <w:iCs/>
          <w:sz w:val="24"/>
          <w:szCs w:val="24"/>
        </w:rPr>
        <w:t>EFA</w:t>
      </w:r>
      <w:r w:rsidRPr="004F51D2">
        <w:rPr>
          <w:rFonts w:ascii="Times New Roman" w:hAnsi="Times New Roman" w:cs="Times New Roman"/>
          <w:i/>
          <w:iCs/>
          <w:sz w:val="24"/>
          <w:szCs w:val="24"/>
        </w:rPr>
        <w:t xml:space="preserve"> for the Persian MOGS</w:t>
      </w:r>
    </w:p>
    <w:p w14:paraId="32B1B8C4" w14:textId="154FC626" w:rsidR="00C24DE0" w:rsidRPr="004F51D2" w:rsidRDefault="00C24DE0" w:rsidP="00FA0C05">
      <w:pPr>
        <w:bidi w:val="0"/>
        <w:spacing w:after="0" w:line="480" w:lineRule="auto"/>
        <w:jc w:val="both"/>
        <w:rPr>
          <w:rFonts w:ascii="Times New Roman" w:hAnsi="Times New Roman" w:cs="Times New Roman"/>
          <w:sz w:val="24"/>
          <w:szCs w:val="24"/>
        </w:rPr>
      </w:pPr>
      <w:r w:rsidRPr="004F51D2">
        <w:rPr>
          <w:rFonts w:ascii="Times New Roman" w:hAnsi="Times New Roman" w:cs="Times New Roman"/>
          <w:sz w:val="24"/>
          <w:szCs w:val="24"/>
        </w:rPr>
        <w:t xml:space="preserve">To evaluate the factor structure of the Persian MOGS, </w:t>
      </w:r>
      <w:r w:rsidR="00A0543A" w:rsidRPr="004F51D2">
        <w:rPr>
          <w:rFonts w:ascii="Times New Roman" w:hAnsi="Times New Roman" w:cs="Times New Roman"/>
          <w:sz w:val="24"/>
          <w:szCs w:val="24"/>
        </w:rPr>
        <w:t xml:space="preserve">EFA </w:t>
      </w:r>
      <w:r w:rsidRPr="004F51D2">
        <w:rPr>
          <w:rFonts w:ascii="Times New Roman" w:hAnsi="Times New Roman" w:cs="Times New Roman"/>
          <w:sz w:val="24"/>
          <w:szCs w:val="24"/>
        </w:rPr>
        <w:t xml:space="preserve">was used to identify the underlying factors of this </w:t>
      </w:r>
      <w:r w:rsidR="00EB4F82" w:rsidRPr="004F51D2">
        <w:rPr>
          <w:rFonts w:ascii="Times New Roman" w:hAnsi="Times New Roman" w:cs="Times New Roman"/>
          <w:sz w:val="24"/>
          <w:szCs w:val="24"/>
        </w:rPr>
        <w:t>self-report measure</w:t>
      </w:r>
      <w:r w:rsidRPr="004F51D2">
        <w:rPr>
          <w:rFonts w:ascii="Times New Roman" w:hAnsi="Times New Roman" w:cs="Times New Roman"/>
          <w:sz w:val="24"/>
          <w:szCs w:val="24"/>
        </w:rPr>
        <w:t xml:space="preserve">. In this study, 350 people were selected as the research sample. Kaiser-Mir-Olkin (KMO) and Bartlett's tests were used as the default of </w:t>
      </w:r>
      <w:r w:rsidR="00A0543A" w:rsidRPr="004F51D2">
        <w:rPr>
          <w:rFonts w:ascii="Times New Roman" w:hAnsi="Times New Roman" w:cs="Times New Roman"/>
          <w:sz w:val="24"/>
          <w:szCs w:val="24"/>
        </w:rPr>
        <w:t>EFA</w:t>
      </w:r>
      <w:r w:rsidRPr="004F51D2">
        <w:rPr>
          <w:rFonts w:ascii="Times New Roman" w:hAnsi="Times New Roman" w:cs="Times New Roman"/>
          <w:sz w:val="24"/>
          <w:szCs w:val="24"/>
        </w:rPr>
        <w:t xml:space="preserve"> and to determine sampling adequacy. The results of the KMO (0.895) indicate</w:t>
      </w:r>
      <w:r w:rsidR="00A0543A" w:rsidRPr="004F51D2">
        <w:rPr>
          <w:rFonts w:ascii="Times New Roman" w:hAnsi="Times New Roman" w:cs="Times New Roman"/>
          <w:sz w:val="24"/>
          <w:szCs w:val="24"/>
        </w:rPr>
        <w:t>d</w:t>
      </w:r>
      <w:r w:rsidRPr="004F51D2">
        <w:rPr>
          <w:rFonts w:ascii="Times New Roman" w:hAnsi="Times New Roman" w:cs="Times New Roman"/>
          <w:sz w:val="24"/>
          <w:szCs w:val="24"/>
        </w:rPr>
        <w:t xml:space="preserve"> the adequacy of the sample for the application of factor analysis (n</w:t>
      </w:r>
      <w:r w:rsidR="00EB4F82" w:rsidRPr="004F51D2">
        <w:rPr>
          <w:rFonts w:ascii="Times New Roman" w:hAnsi="Times New Roman" w:cs="Times New Roman"/>
          <w:sz w:val="24"/>
          <w:szCs w:val="24"/>
        </w:rPr>
        <w:t xml:space="preserve"> </w:t>
      </w:r>
      <w:r w:rsidRPr="004F51D2">
        <w:rPr>
          <w:rFonts w:ascii="Times New Roman" w:hAnsi="Times New Roman" w:cs="Times New Roman"/>
          <w:sz w:val="24"/>
          <w:szCs w:val="24"/>
        </w:rPr>
        <w:t>= 350, 73.1% male; mean age</w:t>
      </w:r>
      <w:r w:rsidR="00EB4F82" w:rsidRPr="004F51D2">
        <w:rPr>
          <w:rFonts w:ascii="Times New Roman" w:hAnsi="Times New Roman" w:cs="Times New Roman"/>
          <w:sz w:val="24"/>
          <w:szCs w:val="24"/>
        </w:rPr>
        <w:t xml:space="preserve"> </w:t>
      </w:r>
      <w:r w:rsidRPr="004F51D2">
        <w:rPr>
          <w:rFonts w:ascii="Times New Roman" w:hAnsi="Times New Roman" w:cs="Times New Roman"/>
          <w:sz w:val="24"/>
          <w:szCs w:val="24"/>
        </w:rPr>
        <w:t xml:space="preserve">= 16.42± 1.67 years). To evaluate the power of research data to derive a specific factor structure, the Bartlett sphericity test was used, the results of </w:t>
      </w:r>
      <w:r w:rsidR="00A0543A" w:rsidRPr="004F51D2">
        <w:rPr>
          <w:rFonts w:ascii="Times New Roman" w:hAnsi="Times New Roman" w:cs="Times New Roman"/>
          <w:sz w:val="24"/>
          <w:szCs w:val="24"/>
        </w:rPr>
        <w:t>which</w:t>
      </w:r>
      <w:r w:rsidRPr="004F51D2">
        <w:rPr>
          <w:rFonts w:ascii="Times New Roman" w:hAnsi="Times New Roman" w:cs="Times New Roman"/>
          <w:sz w:val="24"/>
          <w:szCs w:val="24"/>
        </w:rPr>
        <w:t xml:space="preserve"> were significant (χ2</w:t>
      </w:r>
      <w:r w:rsidR="00EB4F82" w:rsidRPr="004F51D2">
        <w:rPr>
          <w:rFonts w:ascii="Times New Roman" w:hAnsi="Times New Roman" w:cs="Times New Roman"/>
          <w:sz w:val="24"/>
          <w:szCs w:val="24"/>
        </w:rPr>
        <w:t xml:space="preserve"> </w:t>
      </w:r>
      <w:r w:rsidRPr="004F51D2">
        <w:rPr>
          <w:rFonts w:ascii="Times New Roman" w:hAnsi="Times New Roman" w:cs="Times New Roman"/>
          <w:sz w:val="24"/>
          <w:szCs w:val="24"/>
        </w:rPr>
        <w:t>=</w:t>
      </w:r>
      <w:r w:rsidR="00EB4F82" w:rsidRPr="004F51D2">
        <w:rPr>
          <w:rFonts w:ascii="Times New Roman" w:hAnsi="Times New Roman" w:cs="Times New Roman"/>
          <w:sz w:val="24"/>
          <w:szCs w:val="24"/>
        </w:rPr>
        <w:t xml:space="preserve"> </w:t>
      </w:r>
      <w:r w:rsidRPr="004F51D2">
        <w:rPr>
          <w:rFonts w:ascii="Times New Roman" w:hAnsi="Times New Roman" w:cs="Times New Roman"/>
          <w:sz w:val="24"/>
          <w:szCs w:val="24"/>
        </w:rPr>
        <w:t xml:space="preserve">3101.988, </w:t>
      </w:r>
      <w:r w:rsidRPr="004F51D2">
        <w:rPr>
          <w:rFonts w:ascii="Times New Roman" w:hAnsi="Times New Roman" w:cs="Times New Roman"/>
          <w:i/>
          <w:iCs/>
          <w:sz w:val="24"/>
          <w:szCs w:val="24"/>
        </w:rPr>
        <w:t>p</w:t>
      </w:r>
      <w:r w:rsidRPr="004F51D2">
        <w:rPr>
          <w:rFonts w:ascii="Times New Roman" w:hAnsi="Times New Roman" w:cs="Times New Roman"/>
          <w:sz w:val="24"/>
          <w:szCs w:val="24"/>
        </w:rPr>
        <w:t xml:space="preserve"> &lt; 0.001).</w:t>
      </w:r>
    </w:p>
    <w:p w14:paraId="070ED240" w14:textId="30715B86" w:rsidR="00C24DE0" w:rsidRPr="004F51D2" w:rsidRDefault="00A0543A" w:rsidP="00A0543A">
      <w:pPr>
        <w:bidi w:val="0"/>
        <w:spacing w:after="0" w:line="480" w:lineRule="auto"/>
        <w:ind w:firstLine="720"/>
        <w:jc w:val="both"/>
        <w:rPr>
          <w:rFonts w:ascii="Times New Roman" w:hAnsi="Times New Roman" w:cs="Times New Roman"/>
          <w:sz w:val="24"/>
          <w:szCs w:val="24"/>
        </w:rPr>
      </w:pPr>
      <w:r w:rsidRPr="004F51D2">
        <w:rPr>
          <w:rFonts w:ascii="Times New Roman" w:hAnsi="Times New Roman" w:cs="Times New Roman"/>
          <w:sz w:val="24"/>
          <w:szCs w:val="24"/>
        </w:rPr>
        <w:t>EFA</w:t>
      </w:r>
      <w:r w:rsidR="00C24DE0" w:rsidRPr="004F51D2">
        <w:rPr>
          <w:rFonts w:ascii="Times New Roman" w:hAnsi="Times New Roman" w:cs="Times New Roman"/>
          <w:sz w:val="24"/>
          <w:szCs w:val="24"/>
        </w:rPr>
        <w:t xml:space="preserve"> was performed on 12 items using the principal component extraction method and varimax rotation,</w:t>
      </w:r>
      <w:r w:rsidRPr="004F51D2">
        <w:rPr>
          <w:rFonts w:ascii="Times New Roman" w:hAnsi="Times New Roman" w:cs="Times New Roman"/>
          <w:sz w:val="24"/>
          <w:szCs w:val="24"/>
        </w:rPr>
        <w:t xml:space="preserve"> </w:t>
      </w:r>
      <w:r w:rsidR="00C24DE0" w:rsidRPr="004F51D2">
        <w:rPr>
          <w:rFonts w:ascii="Times New Roman" w:hAnsi="Times New Roman" w:cs="Times New Roman"/>
          <w:sz w:val="24"/>
          <w:szCs w:val="24"/>
        </w:rPr>
        <w:t>accepting the eigenvalue condition ≥ 1 and the factor loading ≥ 0.40 (Costello &amp; Osborne</w:t>
      </w:r>
      <w:r w:rsidR="00237AA9" w:rsidRPr="004F51D2">
        <w:rPr>
          <w:rFonts w:ascii="Times New Roman" w:hAnsi="Times New Roman" w:cs="Times New Roman"/>
          <w:sz w:val="24"/>
          <w:szCs w:val="24"/>
        </w:rPr>
        <w:t xml:space="preserve">, 2005). </w:t>
      </w:r>
      <w:r w:rsidR="00C24DE0" w:rsidRPr="004F51D2">
        <w:rPr>
          <w:rFonts w:ascii="Times New Roman" w:eastAsia="Calibri" w:hAnsi="Times New Roman" w:cs="Times New Roman"/>
          <w:sz w:val="24"/>
          <w:szCs w:val="24"/>
        </w:rPr>
        <w:t>Additionally</w:t>
      </w:r>
      <w:r w:rsidR="00C24DE0" w:rsidRPr="004F51D2">
        <w:rPr>
          <w:rFonts w:ascii="Times New Roman" w:hAnsi="Times New Roman" w:cs="Times New Roman"/>
          <w:sz w:val="24"/>
          <w:szCs w:val="24"/>
        </w:rPr>
        <w:t>, parallel analysis (Horn, 1965) suggested a three-factor solution</w:t>
      </w:r>
      <w:r w:rsidR="00C24DE0" w:rsidRPr="004F51D2">
        <w:rPr>
          <w:rFonts w:ascii="Times New Roman" w:eastAsia="Calibri" w:hAnsi="Times New Roman" w:cs="Times New Roman"/>
          <w:sz w:val="24"/>
          <w:szCs w:val="24"/>
        </w:rPr>
        <w:t>;</w:t>
      </w:r>
      <w:r w:rsidR="00C24DE0" w:rsidRPr="004F51D2">
        <w:rPr>
          <w:rFonts w:ascii="Times New Roman" w:hAnsi="Times New Roman" w:cs="Times New Roman"/>
          <w:sz w:val="24"/>
          <w:szCs w:val="24"/>
        </w:rPr>
        <w:t xml:space="preserve"> therefore</w:t>
      </w:r>
      <w:r w:rsidR="00C24DE0" w:rsidRPr="004F51D2">
        <w:rPr>
          <w:rFonts w:ascii="Times New Roman" w:eastAsia="Calibri" w:hAnsi="Times New Roman" w:cs="Times New Roman"/>
          <w:sz w:val="24"/>
          <w:szCs w:val="24"/>
        </w:rPr>
        <w:t>,</w:t>
      </w:r>
      <w:r w:rsidR="00C24DE0" w:rsidRPr="004F51D2">
        <w:rPr>
          <w:rFonts w:ascii="Times New Roman" w:hAnsi="Times New Roman" w:cs="Times New Roman"/>
          <w:sz w:val="24"/>
          <w:szCs w:val="24"/>
        </w:rPr>
        <w:t xml:space="preserve"> in </w:t>
      </w:r>
      <w:r w:rsidR="00C24DE0" w:rsidRPr="004F51D2">
        <w:rPr>
          <w:rFonts w:ascii="Times New Roman" w:eastAsia="Calibri" w:hAnsi="Times New Roman" w:cs="Times New Roman"/>
          <w:sz w:val="24"/>
          <w:szCs w:val="24"/>
        </w:rPr>
        <w:t xml:space="preserve">the </w:t>
      </w:r>
      <w:r w:rsidR="00C24DE0" w:rsidRPr="004F51D2">
        <w:rPr>
          <w:rFonts w:ascii="Times New Roman" w:hAnsi="Times New Roman" w:cs="Times New Roman"/>
          <w:sz w:val="24"/>
          <w:szCs w:val="24"/>
        </w:rPr>
        <w:t>next step</w:t>
      </w:r>
      <w:r w:rsidR="00C24DE0" w:rsidRPr="004F51D2">
        <w:rPr>
          <w:rFonts w:ascii="Times New Roman" w:eastAsia="Calibri" w:hAnsi="Times New Roman" w:cs="Times New Roman"/>
          <w:sz w:val="24"/>
          <w:szCs w:val="24"/>
        </w:rPr>
        <w:t>,</w:t>
      </w:r>
      <w:r w:rsidR="00C24DE0" w:rsidRPr="004F51D2">
        <w:rPr>
          <w:rFonts w:ascii="Times New Roman" w:hAnsi="Times New Roman" w:cs="Times New Roman"/>
          <w:sz w:val="24"/>
          <w:szCs w:val="24"/>
        </w:rPr>
        <w:t xml:space="preserve"> a PCA was conducted by setting the number of factors to be extracted at 3. This solution accounted for 77.91% of the total variance of the Persian MOGS. Eigenvalues of 4.71, 2.36, </w:t>
      </w:r>
      <w:r w:rsidR="00C24DE0" w:rsidRPr="004F51D2">
        <w:rPr>
          <w:rFonts w:ascii="Times New Roman" w:eastAsia="Calibri" w:hAnsi="Times New Roman" w:cs="Times New Roman"/>
          <w:sz w:val="24"/>
          <w:szCs w:val="24"/>
        </w:rPr>
        <w:t xml:space="preserve">and </w:t>
      </w:r>
      <w:r w:rsidR="00C24DE0" w:rsidRPr="004F51D2">
        <w:rPr>
          <w:rFonts w:ascii="Times New Roman" w:hAnsi="Times New Roman" w:cs="Times New Roman"/>
          <w:sz w:val="24"/>
          <w:szCs w:val="24"/>
        </w:rPr>
        <w:t xml:space="preserve">2.27 explained </w:t>
      </w:r>
      <w:r w:rsidR="00C24DE0" w:rsidRPr="004F51D2">
        <w:rPr>
          <w:rFonts w:ascii="Times New Roman" w:eastAsia="Calibri" w:hAnsi="Times New Roman" w:cs="Times New Roman"/>
          <w:sz w:val="24"/>
          <w:szCs w:val="24"/>
        </w:rPr>
        <w:t>variances</w:t>
      </w:r>
      <w:r w:rsidR="00C24DE0" w:rsidRPr="004F51D2">
        <w:rPr>
          <w:rFonts w:ascii="Times New Roman" w:hAnsi="Times New Roman" w:cs="Times New Roman"/>
          <w:sz w:val="24"/>
          <w:szCs w:val="24"/>
        </w:rPr>
        <w:t xml:space="preserve"> of 39.25%, 19.67%, and 18.98% were observed for the three factors, respectively. Item-factor loadings for the three-factor model </w:t>
      </w:r>
      <w:r w:rsidR="00C24DE0" w:rsidRPr="004F51D2">
        <w:rPr>
          <w:rFonts w:ascii="Times New Roman" w:eastAsia="Calibri" w:hAnsi="Times New Roman" w:cs="Times New Roman"/>
          <w:sz w:val="24"/>
          <w:szCs w:val="24"/>
        </w:rPr>
        <w:t>are</w:t>
      </w:r>
      <w:r w:rsidR="00C24DE0" w:rsidRPr="004F51D2">
        <w:rPr>
          <w:rFonts w:ascii="Times New Roman" w:hAnsi="Times New Roman" w:cs="Times New Roman"/>
          <w:sz w:val="24"/>
          <w:szCs w:val="24"/>
        </w:rPr>
        <w:t xml:space="preserve"> presented in Table 1. Factors were named according to their content and the original version by Spada and Case</w:t>
      </w:r>
      <w:r w:rsidRPr="004F51D2">
        <w:rPr>
          <w:rFonts w:ascii="Times New Roman" w:hAnsi="Times New Roman" w:cs="Times New Roman"/>
          <w:sz w:val="24"/>
          <w:szCs w:val="24"/>
        </w:rPr>
        <w:t>l</w:t>
      </w:r>
      <w:r w:rsidR="00C24DE0" w:rsidRPr="004F51D2">
        <w:rPr>
          <w:rFonts w:ascii="Times New Roman" w:hAnsi="Times New Roman" w:cs="Times New Roman"/>
          <w:sz w:val="24"/>
          <w:szCs w:val="24"/>
        </w:rPr>
        <w:t xml:space="preserve">li (2017): Factor one </w:t>
      </w:r>
      <w:r w:rsidRPr="004F51D2">
        <w:rPr>
          <w:rFonts w:ascii="Times New Roman" w:hAnsi="Times New Roman" w:cs="Times New Roman"/>
          <w:sz w:val="24"/>
          <w:szCs w:val="24"/>
        </w:rPr>
        <w:t>relates</w:t>
      </w:r>
      <w:r w:rsidR="00C24DE0" w:rsidRPr="004F51D2">
        <w:rPr>
          <w:rFonts w:ascii="Times New Roman" w:hAnsi="Times New Roman" w:cs="Times New Roman"/>
          <w:sz w:val="24"/>
          <w:szCs w:val="24"/>
        </w:rPr>
        <w:t xml:space="preserve"> “</w:t>
      </w:r>
      <w:r w:rsidRPr="004F51D2">
        <w:rPr>
          <w:rFonts w:ascii="Times New Roman" w:hAnsi="Times New Roman" w:cs="Times New Roman"/>
          <w:sz w:val="24"/>
          <w:szCs w:val="24"/>
        </w:rPr>
        <w:t>N</w:t>
      </w:r>
      <w:r w:rsidR="00C24DE0" w:rsidRPr="004F51D2">
        <w:rPr>
          <w:rFonts w:ascii="Times New Roman" w:hAnsi="Times New Roman" w:cs="Times New Roman"/>
          <w:sz w:val="24"/>
          <w:szCs w:val="24"/>
        </w:rPr>
        <w:t xml:space="preserve">egative metacognitions about the uncontrollability of online gaming” (N-MOGU), </w:t>
      </w:r>
      <w:r w:rsidRPr="004F51D2">
        <w:rPr>
          <w:rFonts w:ascii="Times New Roman" w:hAnsi="Times New Roman" w:cs="Times New Roman"/>
          <w:sz w:val="24"/>
          <w:szCs w:val="24"/>
        </w:rPr>
        <w:t>f</w:t>
      </w:r>
      <w:r w:rsidR="00C24DE0" w:rsidRPr="004F51D2">
        <w:rPr>
          <w:rFonts w:ascii="Times New Roman" w:hAnsi="Times New Roman" w:cs="Times New Roman"/>
          <w:sz w:val="24"/>
          <w:szCs w:val="24"/>
        </w:rPr>
        <w:t xml:space="preserve">actor two </w:t>
      </w:r>
      <w:r w:rsidRPr="004F51D2">
        <w:rPr>
          <w:rFonts w:ascii="Times New Roman" w:hAnsi="Times New Roman" w:cs="Times New Roman"/>
          <w:sz w:val="24"/>
          <w:szCs w:val="24"/>
        </w:rPr>
        <w:t>relates to</w:t>
      </w:r>
      <w:r w:rsidR="00C24DE0" w:rsidRPr="004F51D2">
        <w:rPr>
          <w:rFonts w:ascii="Times New Roman" w:hAnsi="Times New Roman" w:cs="Times New Roman"/>
          <w:sz w:val="24"/>
          <w:szCs w:val="24"/>
        </w:rPr>
        <w:t xml:space="preserve"> “</w:t>
      </w:r>
      <w:r w:rsidRPr="004F51D2">
        <w:rPr>
          <w:rFonts w:ascii="Times New Roman" w:hAnsi="Times New Roman" w:cs="Times New Roman"/>
          <w:sz w:val="24"/>
          <w:szCs w:val="24"/>
        </w:rPr>
        <w:t>N</w:t>
      </w:r>
      <w:r w:rsidR="00C24DE0" w:rsidRPr="004F51D2">
        <w:rPr>
          <w:rFonts w:ascii="Times New Roman" w:hAnsi="Times New Roman" w:cs="Times New Roman"/>
          <w:sz w:val="24"/>
          <w:szCs w:val="24"/>
        </w:rPr>
        <w:t xml:space="preserve">egative metacognitions about dangers of online gaming” (N-MOGD), and </w:t>
      </w:r>
      <w:r w:rsidRPr="004F51D2">
        <w:rPr>
          <w:rFonts w:ascii="Times New Roman" w:hAnsi="Times New Roman" w:cs="Times New Roman"/>
          <w:sz w:val="24"/>
          <w:szCs w:val="24"/>
        </w:rPr>
        <w:t>f</w:t>
      </w:r>
      <w:r w:rsidR="00C24DE0" w:rsidRPr="004F51D2">
        <w:rPr>
          <w:rFonts w:ascii="Times New Roman" w:hAnsi="Times New Roman" w:cs="Times New Roman"/>
          <w:sz w:val="24"/>
          <w:szCs w:val="24"/>
        </w:rPr>
        <w:t xml:space="preserve">actor three </w:t>
      </w:r>
      <w:r w:rsidRPr="004F51D2">
        <w:rPr>
          <w:rFonts w:ascii="Times New Roman" w:hAnsi="Times New Roman" w:cs="Times New Roman"/>
          <w:sz w:val="24"/>
          <w:szCs w:val="24"/>
        </w:rPr>
        <w:t>relates to</w:t>
      </w:r>
      <w:r w:rsidR="00C24DE0" w:rsidRPr="004F51D2">
        <w:rPr>
          <w:rFonts w:ascii="Times New Roman" w:hAnsi="Times New Roman" w:cs="Times New Roman"/>
          <w:sz w:val="24"/>
          <w:szCs w:val="24"/>
        </w:rPr>
        <w:t xml:space="preserve"> “</w:t>
      </w:r>
      <w:r w:rsidRPr="004F51D2">
        <w:rPr>
          <w:rFonts w:ascii="Times New Roman" w:hAnsi="Times New Roman" w:cs="Times New Roman"/>
          <w:sz w:val="24"/>
          <w:szCs w:val="24"/>
        </w:rPr>
        <w:t>P</w:t>
      </w:r>
      <w:r w:rsidR="00C24DE0" w:rsidRPr="004F51D2">
        <w:rPr>
          <w:rFonts w:ascii="Times New Roman" w:hAnsi="Times New Roman" w:cs="Times New Roman"/>
          <w:sz w:val="24"/>
          <w:szCs w:val="24"/>
        </w:rPr>
        <w:t>ositive metacognitions about online gaming” (P-MOG).</w:t>
      </w:r>
    </w:p>
    <w:p w14:paraId="6C744386" w14:textId="07D0F49B" w:rsidR="00C24DE0" w:rsidRPr="004F51D2" w:rsidRDefault="00C24DE0" w:rsidP="00FA0C05">
      <w:pPr>
        <w:bidi w:val="0"/>
        <w:spacing w:after="0" w:line="480" w:lineRule="auto"/>
        <w:jc w:val="both"/>
        <w:rPr>
          <w:rFonts w:ascii="Times New Roman" w:hAnsi="Times New Roman" w:cs="Times New Roman"/>
          <w:i/>
          <w:iCs/>
          <w:sz w:val="24"/>
          <w:szCs w:val="24"/>
        </w:rPr>
      </w:pPr>
      <w:r w:rsidRPr="004F51D2">
        <w:rPr>
          <w:rFonts w:ascii="Times New Roman" w:hAnsi="Times New Roman" w:cs="Times New Roman"/>
          <w:i/>
          <w:iCs/>
          <w:sz w:val="24"/>
          <w:szCs w:val="24"/>
        </w:rPr>
        <w:t>3.2.</w:t>
      </w:r>
      <w:r w:rsidRPr="004F51D2">
        <w:rPr>
          <w:rFonts w:ascii="Times New Roman" w:hAnsi="Times New Roman" w:cs="Times New Roman"/>
          <w:i/>
          <w:iCs/>
          <w:color w:val="000000" w:themeColor="text1"/>
          <w:sz w:val="24"/>
          <w:szCs w:val="24"/>
        </w:rPr>
        <w:t xml:space="preserve"> </w:t>
      </w:r>
      <w:r w:rsidR="00A0543A" w:rsidRPr="004F51D2">
        <w:rPr>
          <w:rFonts w:ascii="Times New Roman" w:hAnsi="Times New Roman" w:cs="Times New Roman"/>
          <w:i/>
          <w:iCs/>
          <w:sz w:val="24"/>
          <w:szCs w:val="24"/>
        </w:rPr>
        <w:t>CFA</w:t>
      </w:r>
      <w:r w:rsidRPr="004F51D2">
        <w:rPr>
          <w:rFonts w:ascii="Times New Roman" w:hAnsi="Times New Roman" w:cs="Times New Roman"/>
          <w:i/>
          <w:iCs/>
          <w:sz w:val="24"/>
          <w:szCs w:val="24"/>
        </w:rPr>
        <w:t xml:space="preserve"> for the Persian MOGS</w:t>
      </w:r>
    </w:p>
    <w:p w14:paraId="54BA5F29" w14:textId="5AD8A16F" w:rsidR="00C24DE0" w:rsidRPr="004F51D2" w:rsidRDefault="00C24DE0" w:rsidP="00FA0C05">
      <w:pPr>
        <w:bidi w:val="0"/>
        <w:spacing w:after="0" w:line="480" w:lineRule="auto"/>
        <w:jc w:val="both"/>
        <w:rPr>
          <w:rFonts w:ascii="Times New Roman" w:hAnsi="Times New Roman" w:cs="Times New Roman"/>
          <w:color w:val="231F20"/>
          <w:sz w:val="24"/>
          <w:szCs w:val="24"/>
        </w:rPr>
      </w:pPr>
      <w:r w:rsidRPr="004F51D2">
        <w:rPr>
          <w:rFonts w:ascii="Times New Roman" w:hAnsi="Times New Roman" w:cs="Times New Roman"/>
          <w:sz w:val="24"/>
          <w:szCs w:val="24"/>
        </w:rPr>
        <w:t xml:space="preserve">Firstly, a </w:t>
      </w:r>
      <w:r w:rsidR="00A0543A" w:rsidRPr="004F51D2">
        <w:rPr>
          <w:rFonts w:ascii="Times New Roman" w:hAnsi="Times New Roman" w:cs="Times New Roman"/>
          <w:sz w:val="24"/>
          <w:szCs w:val="24"/>
        </w:rPr>
        <w:t>CFA</w:t>
      </w:r>
      <w:r w:rsidRPr="004F51D2">
        <w:rPr>
          <w:rFonts w:ascii="Times New Roman" w:hAnsi="Times New Roman" w:cs="Times New Roman"/>
          <w:sz w:val="24"/>
          <w:szCs w:val="24"/>
        </w:rPr>
        <w:t xml:space="preserve"> was conducted on the data obtained from the factor-validation sample using LISREL 8.8 (Jöreskog &amp; Sörbom, 1996). We compared three models on the second subsample (n</w:t>
      </w:r>
      <w:r w:rsidR="009A10D4" w:rsidRPr="004F51D2">
        <w:rPr>
          <w:rFonts w:ascii="Times New Roman" w:hAnsi="Times New Roman" w:cs="Times New Roman"/>
          <w:sz w:val="24"/>
          <w:szCs w:val="24"/>
        </w:rPr>
        <w:t xml:space="preserve"> </w:t>
      </w:r>
      <w:r w:rsidRPr="004F51D2">
        <w:rPr>
          <w:rFonts w:ascii="Times New Roman" w:hAnsi="Times New Roman" w:cs="Times New Roman"/>
          <w:sz w:val="24"/>
          <w:szCs w:val="24"/>
        </w:rPr>
        <w:t>= 419, 76.6% male, mean age=16.27± 1.68 years) to further evaluate the three-</w:t>
      </w:r>
      <w:r w:rsidRPr="004F51D2">
        <w:rPr>
          <w:rFonts w:ascii="Times New Roman" w:hAnsi="Times New Roman" w:cs="Times New Roman"/>
          <w:sz w:val="24"/>
          <w:szCs w:val="24"/>
        </w:rPr>
        <w:lastRenderedPageBreak/>
        <w:t>factor structure explored and following the parent study (Spada &amp; Case</w:t>
      </w:r>
      <w:r w:rsidR="00A0543A" w:rsidRPr="004F51D2">
        <w:rPr>
          <w:rFonts w:ascii="Times New Roman" w:hAnsi="Times New Roman" w:cs="Times New Roman"/>
          <w:sz w:val="24"/>
          <w:szCs w:val="24"/>
        </w:rPr>
        <w:t>l</w:t>
      </w:r>
      <w:r w:rsidRPr="004F51D2">
        <w:rPr>
          <w:rFonts w:ascii="Times New Roman" w:hAnsi="Times New Roman" w:cs="Times New Roman"/>
          <w:sz w:val="24"/>
          <w:szCs w:val="24"/>
        </w:rPr>
        <w:t>li, 2017).</w:t>
      </w:r>
      <w:r w:rsidRPr="004F51D2">
        <w:rPr>
          <w:rFonts w:ascii="Times New Roman" w:eastAsia="Calibri" w:hAnsi="Times New Roman" w:cs="Times New Roman"/>
          <w:sz w:val="24"/>
          <w:szCs w:val="24"/>
        </w:rPr>
        <w:t xml:space="preserve"> </w:t>
      </w:r>
      <w:r w:rsidRPr="004F51D2">
        <w:rPr>
          <w:rFonts w:ascii="Times New Roman" w:hAnsi="Times New Roman" w:cs="Times New Roman"/>
          <w:sz w:val="24"/>
          <w:szCs w:val="24"/>
        </w:rPr>
        <w:t xml:space="preserve">In the first model, we defined a single latent variable with all 12 items as indicators. In the second model, we defined a two-factor model, </w:t>
      </w:r>
      <w:r w:rsidRPr="004F51D2">
        <w:rPr>
          <w:rFonts w:ascii="Times New Roman" w:eastAsia="Calibri" w:hAnsi="Times New Roman" w:cs="Times New Roman"/>
          <w:sz w:val="24"/>
          <w:szCs w:val="24"/>
        </w:rPr>
        <w:t xml:space="preserve">in </w:t>
      </w:r>
      <w:r w:rsidRPr="004F51D2">
        <w:rPr>
          <w:rFonts w:ascii="Times New Roman" w:hAnsi="Times New Roman" w:cs="Times New Roman"/>
          <w:sz w:val="24"/>
          <w:szCs w:val="24"/>
        </w:rPr>
        <w:t>which latent variables were positive and negative metacognitions. Finally, we tested a three-factor model identified through the previously described PCA and the original version study (Spada &amp; Case</w:t>
      </w:r>
      <w:r w:rsidR="00A0543A" w:rsidRPr="004F51D2">
        <w:rPr>
          <w:rFonts w:ascii="Times New Roman" w:hAnsi="Times New Roman" w:cs="Times New Roman"/>
          <w:sz w:val="24"/>
          <w:szCs w:val="24"/>
        </w:rPr>
        <w:t>l</w:t>
      </w:r>
      <w:r w:rsidRPr="004F51D2">
        <w:rPr>
          <w:rFonts w:ascii="Times New Roman" w:hAnsi="Times New Roman" w:cs="Times New Roman"/>
          <w:sz w:val="24"/>
          <w:szCs w:val="24"/>
        </w:rPr>
        <w:t>li, 2017).</w:t>
      </w:r>
      <w:r w:rsidR="00237AA9" w:rsidRPr="004F51D2">
        <w:rPr>
          <w:rFonts w:ascii="Times New Roman" w:hAnsi="Times New Roman" w:cs="Times New Roman"/>
          <w:color w:val="231F20"/>
          <w:sz w:val="24"/>
          <w:szCs w:val="24"/>
        </w:rPr>
        <w:t xml:space="preserve"> </w:t>
      </w:r>
      <w:r w:rsidRPr="004F51D2">
        <w:rPr>
          <w:rFonts w:ascii="Times New Roman" w:hAnsi="Times New Roman" w:cs="Times New Roman"/>
          <w:sz w:val="24"/>
          <w:szCs w:val="24"/>
        </w:rPr>
        <w:t xml:space="preserve">As </w:t>
      </w:r>
      <w:r w:rsidRPr="004F51D2">
        <w:rPr>
          <w:rFonts w:ascii="Times New Roman" w:eastAsia="Calibri" w:hAnsi="Times New Roman" w:cs="Times New Roman"/>
          <w:sz w:val="24"/>
          <w:szCs w:val="24"/>
        </w:rPr>
        <w:t>shown</w:t>
      </w:r>
      <w:r w:rsidRPr="004F51D2">
        <w:rPr>
          <w:rFonts w:ascii="Times New Roman" w:hAnsi="Times New Roman" w:cs="Times New Roman"/>
          <w:sz w:val="24"/>
          <w:szCs w:val="24"/>
        </w:rPr>
        <w:t xml:space="preserve"> in Table 2</w:t>
      </w:r>
      <w:r w:rsidRPr="004F51D2">
        <w:rPr>
          <w:rFonts w:ascii="Times New Roman" w:eastAsia="Calibri" w:hAnsi="Times New Roman" w:cs="Times New Roman"/>
          <w:sz w:val="24"/>
          <w:szCs w:val="24"/>
        </w:rPr>
        <w:t>,</w:t>
      </w:r>
      <w:r w:rsidRPr="004F51D2">
        <w:rPr>
          <w:rFonts w:ascii="Times New Roman" w:hAnsi="Times New Roman" w:cs="Times New Roman"/>
          <w:sz w:val="24"/>
          <w:szCs w:val="24"/>
        </w:rPr>
        <w:t xml:space="preserve"> the three-factor solution had the best model fit indices (χ2</w:t>
      </w:r>
      <w:r w:rsidR="00E77F3E" w:rsidRPr="004F51D2">
        <w:rPr>
          <w:rFonts w:ascii="Times New Roman" w:hAnsi="Times New Roman" w:cs="Times New Roman"/>
          <w:sz w:val="24"/>
          <w:szCs w:val="24"/>
        </w:rPr>
        <w:t xml:space="preserve"> </w:t>
      </w:r>
      <w:r w:rsidRPr="004F51D2">
        <w:rPr>
          <w:rFonts w:ascii="Times New Roman" w:hAnsi="Times New Roman" w:cs="Times New Roman"/>
          <w:sz w:val="24"/>
          <w:szCs w:val="24"/>
        </w:rPr>
        <w:t>= 261.11, df</w:t>
      </w:r>
      <w:r w:rsidR="00E77F3E" w:rsidRPr="004F51D2">
        <w:rPr>
          <w:rFonts w:ascii="Times New Roman" w:hAnsi="Times New Roman" w:cs="Times New Roman"/>
          <w:sz w:val="24"/>
          <w:szCs w:val="24"/>
        </w:rPr>
        <w:t xml:space="preserve"> </w:t>
      </w:r>
      <w:r w:rsidRPr="004F51D2">
        <w:rPr>
          <w:rFonts w:ascii="Times New Roman" w:hAnsi="Times New Roman" w:cs="Times New Roman"/>
          <w:sz w:val="24"/>
          <w:szCs w:val="24"/>
        </w:rPr>
        <w:t>= 51, CFI</w:t>
      </w:r>
      <w:r w:rsidR="00E77F3E" w:rsidRPr="004F51D2">
        <w:rPr>
          <w:rFonts w:ascii="Times New Roman" w:hAnsi="Times New Roman" w:cs="Times New Roman"/>
          <w:sz w:val="24"/>
          <w:szCs w:val="24"/>
        </w:rPr>
        <w:t xml:space="preserve"> </w:t>
      </w:r>
      <w:r w:rsidRPr="004F51D2">
        <w:rPr>
          <w:rFonts w:ascii="Times New Roman" w:hAnsi="Times New Roman" w:cs="Times New Roman"/>
          <w:sz w:val="24"/>
          <w:szCs w:val="24"/>
        </w:rPr>
        <w:t>= 0.96, IFI</w:t>
      </w:r>
      <w:r w:rsidR="00E77F3E" w:rsidRPr="004F51D2">
        <w:rPr>
          <w:rFonts w:ascii="Times New Roman" w:hAnsi="Times New Roman" w:cs="Times New Roman"/>
          <w:sz w:val="24"/>
          <w:szCs w:val="24"/>
        </w:rPr>
        <w:t xml:space="preserve"> </w:t>
      </w:r>
      <w:r w:rsidRPr="004F51D2">
        <w:rPr>
          <w:rFonts w:ascii="Times New Roman" w:hAnsi="Times New Roman" w:cs="Times New Roman"/>
          <w:sz w:val="24"/>
          <w:szCs w:val="24"/>
        </w:rPr>
        <w:t>= 0.96, NFI</w:t>
      </w:r>
      <w:r w:rsidR="00E77F3E" w:rsidRPr="004F51D2">
        <w:rPr>
          <w:rFonts w:ascii="Times New Roman" w:hAnsi="Times New Roman" w:cs="Times New Roman"/>
          <w:sz w:val="24"/>
          <w:szCs w:val="24"/>
        </w:rPr>
        <w:t xml:space="preserve"> </w:t>
      </w:r>
      <w:r w:rsidRPr="004F51D2">
        <w:rPr>
          <w:rFonts w:ascii="Times New Roman" w:hAnsi="Times New Roman" w:cs="Times New Roman"/>
          <w:sz w:val="24"/>
          <w:szCs w:val="24"/>
        </w:rPr>
        <w:t>= 0.96, SRMR</w:t>
      </w:r>
      <w:r w:rsidR="00E77F3E" w:rsidRPr="004F51D2">
        <w:rPr>
          <w:rFonts w:ascii="Times New Roman" w:hAnsi="Times New Roman" w:cs="Times New Roman"/>
          <w:sz w:val="24"/>
          <w:szCs w:val="24"/>
        </w:rPr>
        <w:t xml:space="preserve"> </w:t>
      </w:r>
      <w:r w:rsidRPr="004F51D2">
        <w:rPr>
          <w:rFonts w:ascii="Times New Roman" w:hAnsi="Times New Roman" w:cs="Times New Roman"/>
          <w:sz w:val="24"/>
          <w:szCs w:val="24"/>
        </w:rPr>
        <w:t>= 0.048, RMSEA</w:t>
      </w:r>
      <w:r w:rsidR="00E77F3E" w:rsidRPr="004F51D2">
        <w:rPr>
          <w:rFonts w:ascii="Times New Roman" w:hAnsi="Times New Roman" w:cs="Times New Roman"/>
          <w:sz w:val="24"/>
          <w:szCs w:val="24"/>
        </w:rPr>
        <w:t xml:space="preserve"> </w:t>
      </w:r>
      <w:r w:rsidRPr="004F51D2">
        <w:rPr>
          <w:rFonts w:ascii="Times New Roman" w:hAnsi="Times New Roman" w:cs="Times New Roman"/>
          <w:sz w:val="24"/>
          <w:szCs w:val="24"/>
        </w:rPr>
        <w:t>= 0.076).</w:t>
      </w:r>
    </w:p>
    <w:p w14:paraId="0CE191D9" w14:textId="43D96A4A" w:rsidR="00C24DE0" w:rsidRPr="004F51D2" w:rsidRDefault="00C24DE0" w:rsidP="00A0543A">
      <w:pPr>
        <w:bidi w:val="0"/>
        <w:spacing w:after="0" w:line="480" w:lineRule="auto"/>
        <w:ind w:firstLine="720"/>
        <w:jc w:val="both"/>
        <w:rPr>
          <w:rFonts w:ascii="Times New Roman" w:eastAsia="Calibri" w:hAnsi="Times New Roman" w:cs="Times New Roman"/>
          <w:color w:val="000000" w:themeColor="text1"/>
          <w:sz w:val="24"/>
          <w:szCs w:val="24"/>
        </w:rPr>
      </w:pPr>
      <w:r w:rsidRPr="004F51D2">
        <w:rPr>
          <w:rFonts w:ascii="Times New Roman" w:eastAsia="Calibri" w:hAnsi="Times New Roman" w:cs="Times New Roman"/>
          <w:color w:val="000000" w:themeColor="text1"/>
          <w:sz w:val="24"/>
          <w:szCs w:val="24"/>
        </w:rPr>
        <w:t xml:space="preserve">The </w:t>
      </w:r>
      <w:r w:rsidRPr="004F51D2">
        <w:rPr>
          <w:rFonts w:ascii="Times New Roman" w:eastAsia="Calibri" w:hAnsi="Times New Roman" w:cs="Times New Roman"/>
          <w:color w:val="000000"/>
          <w:sz w:val="24"/>
          <w:szCs w:val="24"/>
        </w:rPr>
        <w:t>inter-correlations</w:t>
      </w:r>
      <w:r w:rsidRPr="004F51D2">
        <w:rPr>
          <w:rFonts w:ascii="Times New Roman" w:eastAsia="Calibri" w:hAnsi="Times New Roman" w:cs="Times New Roman"/>
          <w:color w:val="000000" w:themeColor="text1"/>
          <w:sz w:val="24"/>
          <w:szCs w:val="24"/>
        </w:rPr>
        <w:t xml:space="preserve"> between the three factors were all positive and moderate. The strongest correlation (</w:t>
      </w:r>
      <w:r w:rsidRPr="004F51D2">
        <w:rPr>
          <w:rFonts w:ascii="Times New Roman" w:eastAsia="Calibri" w:hAnsi="Times New Roman" w:cs="Times New Roman"/>
          <w:i/>
          <w:iCs/>
          <w:color w:val="000000" w:themeColor="text1"/>
          <w:sz w:val="24"/>
          <w:szCs w:val="24"/>
        </w:rPr>
        <w:t>r</w:t>
      </w:r>
      <w:r w:rsidR="00E77F3E" w:rsidRPr="004F51D2">
        <w:rPr>
          <w:rFonts w:ascii="Times New Roman" w:eastAsia="Calibri" w:hAnsi="Times New Roman" w:cs="Times New Roman"/>
          <w:i/>
          <w:iCs/>
          <w:color w:val="000000" w:themeColor="text1"/>
          <w:sz w:val="24"/>
          <w:szCs w:val="24"/>
        </w:rPr>
        <w:t xml:space="preserve"> </w:t>
      </w:r>
      <w:r w:rsidRPr="004F51D2">
        <w:rPr>
          <w:rFonts w:ascii="Times New Roman" w:eastAsia="Calibri" w:hAnsi="Times New Roman" w:cs="Times New Roman"/>
          <w:color w:val="000000" w:themeColor="text1"/>
          <w:sz w:val="24"/>
          <w:szCs w:val="24"/>
        </w:rPr>
        <w:t>=</w:t>
      </w:r>
      <w:r w:rsidR="00A0543A" w:rsidRPr="004F51D2">
        <w:rPr>
          <w:rFonts w:ascii="Times New Roman" w:eastAsia="Calibri" w:hAnsi="Times New Roman" w:cs="Times New Roman"/>
          <w:color w:val="000000" w:themeColor="text1"/>
          <w:sz w:val="24"/>
          <w:szCs w:val="24"/>
        </w:rPr>
        <w:t xml:space="preserve"> </w:t>
      </w:r>
      <w:r w:rsidRPr="004F51D2">
        <w:rPr>
          <w:rFonts w:ascii="Times New Roman" w:eastAsia="Calibri" w:hAnsi="Times New Roman" w:cs="Times New Roman"/>
          <w:color w:val="000000" w:themeColor="text1"/>
          <w:sz w:val="24"/>
          <w:szCs w:val="24"/>
        </w:rPr>
        <w:t xml:space="preserve">0.635) was found between </w:t>
      </w:r>
      <w:r w:rsidRPr="004F51D2">
        <w:rPr>
          <w:rFonts w:ascii="Times New Roman" w:hAnsi="Times New Roman" w:cs="Times New Roman"/>
          <w:sz w:val="24"/>
          <w:szCs w:val="24"/>
        </w:rPr>
        <w:t>N-MOGU and N-MOGD.</w:t>
      </w:r>
      <w:r w:rsidRPr="004F51D2">
        <w:rPr>
          <w:rFonts w:ascii="Times New Roman" w:eastAsia="Calibri" w:hAnsi="Times New Roman" w:cs="Times New Roman"/>
          <w:color w:val="000000" w:themeColor="text1"/>
          <w:sz w:val="24"/>
          <w:szCs w:val="24"/>
        </w:rPr>
        <w:t xml:space="preserve"> </w:t>
      </w:r>
      <w:r w:rsidR="00A0543A" w:rsidRPr="004F51D2">
        <w:rPr>
          <w:rFonts w:ascii="Times New Roman" w:eastAsia="Calibri" w:hAnsi="Times New Roman" w:cs="Times New Roman"/>
          <w:color w:val="000000" w:themeColor="text1"/>
          <w:sz w:val="24"/>
          <w:szCs w:val="24"/>
        </w:rPr>
        <w:t>In addition</w:t>
      </w:r>
      <w:r w:rsidRPr="004F51D2">
        <w:rPr>
          <w:rFonts w:ascii="Times New Roman" w:eastAsia="Calibri" w:hAnsi="Times New Roman" w:cs="Times New Roman"/>
          <w:color w:val="000000" w:themeColor="text1"/>
          <w:sz w:val="24"/>
          <w:szCs w:val="24"/>
        </w:rPr>
        <w:t xml:space="preserve">, the weakest correlation was found between </w:t>
      </w:r>
      <w:r w:rsidRPr="004F51D2">
        <w:rPr>
          <w:rFonts w:ascii="Times New Roman" w:hAnsi="Times New Roman" w:cs="Times New Roman"/>
          <w:sz w:val="24"/>
          <w:szCs w:val="24"/>
        </w:rPr>
        <w:t>N-MOGD</w:t>
      </w:r>
      <w:r w:rsidRPr="004F51D2">
        <w:rPr>
          <w:rFonts w:ascii="Times New Roman" w:eastAsia="Calibri" w:hAnsi="Times New Roman" w:cs="Times New Roman"/>
          <w:color w:val="000000" w:themeColor="text1"/>
          <w:sz w:val="24"/>
          <w:szCs w:val="24"/>
        </w:rPr>
        <w:t xml:space="preserve"> and</w:t>
      </w:r>
      <w:r w:rsidRPr="004F51D2">
        <w:rPr>
          <w:rFonts w:ascii="Times New Roman" w:hAnsi="Times New Roman" w:cs="Times New Roman"/>
          <w:sz w:val="24"/>
          <w:szCs w:val="24"/>
        </w:rPr>
        <w:t xml:space="preserve"> P-MOG </w:t>
      </w:r>
      <w:r w:rsidRPr="004F51D2">
        <w:rPr>
          <w:rFonts w:ascii="Times New Roman" w:eastAsia="Calibri" w:hAnsi="Times New Roman" w:cs="Times New Roman"/>
          <w:color w:val="000000" w:themeColor="text1"/>
          <w:sz w:val="24"/>
          <w:szCs w:val="24"/>
        </w:rPr>
        <w:t>(</w:t>
      </w:r>
      <w:r w:rsidRPr="004F51D2">
        <w:rPr>
          <w:rFonts w:ascii="Times New Roman" w:eastAsia="Calibri" w:hAnsi="Times New Roman" w:cs="Times New Roman"/>
          <w:i/>
          <w:iCs/>
          <w:color w:val="000000" w:themeColor="text1"/>
          <w:sz w:val="24"/>
          <w:szCs w:val="24"/>
        </w:rPr>
        <w:t>r</w:t>
      </w:r>
      <w:r w:rsidR="00E77F3E" w:rsidRPr="004F51D2">
        <w:rPr>
          <w:rFonts w:ascii="Times New Roman" w:eastAsia="Calibri" w:hAnsi="Times New Roman" w:cs="Times New Roman"/>
          <w:i/>
          <w:iCs/>
          <w:color w:val="000000" w:themeColor="text1"/>
          <w:sz w:val="24"/>
          <w:szCs w:val="24"/>
        </w:rPr>
        <w:t xml:space="preserve"> </w:t>
      </w:r>
      <w:r w:rsidRPr="004F51D2">
        <w:rPr>
          <w:rFonts w:ascii="Times New Roman" w:eastAsia="Calibri" w:hAnsi="Times New Roman" w:cs="Times New Roman"/>
          <w:color w:val="000000" w:themeColor="text1"/>
          <w:sz w:val="24"/>
          <w:szCs w:val="24"/>
        </w:rPr>
        <w:t>=</w:t>
      </w:r>
      <w:r w:rsidR="00A0543A" w:rsidRPr="004F51D2">
        <w:rPr>
          <w:rFonts w:ascii="Times New Roman" w:eastAsia="Calibri" w:hAnsi="Times New Roman" w:cs="Times New Roman"/>
          <w:color w:val="000000" w:themeColor="text1"/>
          <w:sz w:val="24"/>
          <w:szCs w:val="24"/>
        </w:rPr>
        <w:t xml:space="preserve"> </w:t>
      </w:r>
      <w:r w:rsidRPr="004F51D2">
        <w:rPr>
          <w:rFonts w:ascii="Times New Roman" w:eastAsia="Calibri" w:hAnsi="Times New Roman" w:cs="Times New Roman"/>
          <w:color w:val="000000" w:themeColor="text1"/>
          <w:sz w:val="24"/>
          <w:szCs w:val="24"/>
        </w:rPr>
        <w:t xml:space="preserve">0.268). The correlation coefficient between </w:t>
      </w:r>
      <w:r w:rsidRPr="004F51D2">
        <w:rPr>
          <w:rFonts w:ascii="Times New Roman" w:hAnsi="Times New Roman" w:cs="Times New Roman"/>
          <w:sz w:val="24"/>
          <w:szCs w:val="24"/>
        </w:rPr>
        <w:t>N-MOGU</w:t>
      </w:r>
      <w:r w:rsidRPr="004F51D2">
        <w:rPr>
          <w:rFonts w:ascii="Times New Roman" w:eastAsia="Calibri" w:hAnsi="Times New Roman" w:cs="Times New Roman"/>
          <w:color w:val="000000" w:themeColor="text1"/>
          <w:sz w:val="24"/>
          <w:szCs w:val="24"/>
        </w:rPr>
        <w:t xml:space="preserve"> and </w:t>
      </w:r>
      <w:r w:rsidRPr="004F51D2">
        <w:rPr>
          <w:rFonts w:ascii="Times New Roman" w:hAnsi="Times New Roman" w:cs="Times New Roman"/>
          <w:sz w:val="24"/>
          <w:szCs w:val="24"/>
        </w:rPr>
        <w:t>P-MOG</w:t>
      </w:r>
      <w:r w:rsidRPr="004F51D2">
        <w:rPr>
          <w:rFonts w:ascii="Times New Roman" w:eastAsia="Calibri" w:hAnsi="Times New Roman" w:cs="Times New Roman"/>
          <w:color w:val="000000" w:themeColor="text1"/>
          <w:sz w:val="24"/>
          <w:szCs w:val="24"/>
        </w:rPr>
        <w:t xml:space="preserve"> was 0.341.</w:t>
      </w:r>
    </w:p>
    <w:p w14:paraId="041223FB" w14:textId="06CF5FEB" w:rsidR="00C24DE0" w:rsidRPr="004F51D2" w:rsidRDefault="00C24DE0" w:rsidP="00FA0C05">
      <w:pPr>
        <w:bidi w:val="0"/>
        <w:spacing w:after="0" w:line="480" w:lineRule="auto"/>
        <w:rPr>
          <w:rFonts w:ascii="Times New Roman" w:hAnsi="Times New Roman" w:cs="Times New Roman"/>
          <w:i/>
          <w:iCs/>
          <w:sz w:val="24"/>
          <w:szCs w:val="24"/>
        </w:rPr>
      </w:pPr>
      <w:r w:rsidRPr="004F51D2">
        <w:rPr>
          <w:rFonts w:ascii="Times New Roman" w:hAnsi="Times New Roman" w:cs="Times New Roman"/>
          <w:i/>
          <w:iCs/>
          <w:color w:val="000000" w:themeColor="text1"/>
          <w:sz w:val="24"/>
          <w:szCs w:val="24"/>
        </w:rPr>
        <w:t xml:space="preserve">3.3. Internal consistency of the </w:t>
      </w:r>
      <w:r w:rsidRPr="004F51D2">
        <w:rPr>
          <w:rFonts w:ascii="Times New Roman" w:hAnsi="Times New Roman" w:cs="Times New Roman"/>
          <w:i/>
          <w:iCs/>
          <w:sz w:val="24"/>
          <w:szCs w:val="24"/>
        </w:rPr>
        <w:t>Persian MOGS</w:t>
      </w:r>
    </w:p>
    <w:p w14:paraId="46FAFFDE" w14:textId="68E6538E" w:rsidR="00C24DE0" w:rsidRPr="004F51D2" w:rsidRDefault="00C24DE0" w:rsidP="00FA0C05">
      <w:pPr>
        <w:bidi w:val="0"/>
        <w:spacing w:after="0" w:line="480" w:lineRule="auto"/>
        <w:jc w:val="both"/>
        <w:rPr>
          <w:rFonts w:ascii="Times New Roman" w:hAnsi="Times New Roman" w:cs="Times New Roman"/>
          <w:color w:val="000000" w:themeColor="text1"/>
          <w:sz w:val="24"/>
          <w:szCs w:val="24"/>
        </w:rPr>
      </w:pPr>
      <w:r w:rsidRPr="004F51D2">
        <w:rPr>
          <w:rFonts w:ascii="Times New Roman" w:hAnsi="Times New Roman" w:cs="Times New Roman"/>
          <w:color w:val="000000" w:themeColor="text1"/>
          <w:sz w:val="24"/>
          <w:szCs w:val="24"/>
        </w:rPr>
        <w:t>Internal consistencies of the Persian MOGS were comput</w:t>
      </w:r>
      <w:r w:rsidR="00E77F3E" w:rsidRPr="004F51D2">
        <w:rPr>
          <w:rFonts w:ascii="Times New Roman" w:hAnsi="Times New Roman" w:cs="Times New Roman"/>
          <w:color w:val="000000" w:themeColor="text1"/>
          <w:sz w:val="24"/>
          <w:szCs w:val="24"/>
        </w:rPr>
        <w:t>ed</w:t>
      </w:r>
      <w:r w:rsidRPr="004F51D2">
        <w:rPr>
          <w:rFonts w:ascii="Times New Roman" w:hAnsi="Times New Roman" w:cs="Times New Roman"/>
          <w:color w:val="000000" w:themeColor="text1"/>
          <w:sz w:val="24"/>
          <w:szCs w:val="24"/>
        </w:rPr>
        <w:t xml:space="preserve"> by Cronbach's alphas.</w:t>
      </w:r>
      <w:r w:rsidRPr="004F51D2">
        <w:rPr>
          <w:rFonts w:ascii="Times New Roman" w:eastAsia="Calibri" w:hAnsi="Times New Roman" w:cs="Times New Roman"/>
          <w:color w:val="000000"/>
          <w:sz w:val="24"/>
          <w:szCs w:val="24"/>
        </w:rPr>
        <w:t xml:space="preserve"> The results</w:t>
      </w:r>
      <w:r w:rsidRPr="004F51D2">
        <w:rPr>
          <w:rFonts w:ascii="Times New Roman" w:hAnsi="Times New Roman" w:cs="Times New Roman"/>
          <w:color w:val="000000" w:themeColor="text1"/>
          <w:sz w:val="24"/>
          <w:szCs w:val="24"/>
        </w:rPr>
        <w:t xml:space="preserve"> showed that Cronbach's alpha for the total score in the first sample (</w:t>
      </w:r>
      <w:r w:rsidRPr="004F51D2">
        <w:rPr>
          <w:rFonts w:ascii="Times New Roman" w:eastAsia="Calibri" w:hAnsi="Times New Roman" w:cs="Times New Roman"/>
          <w:color w:val="000000" w:themeColor="text1"/>
          <w:sz w:val="24"/>
          <w:szCs w:val="24"/>
        </w:rPr>
        <w:t>exploratory sample</w:t>
      </w:r>
      <w:r w:rsidRPr="004F51D2">
        <w:rPr>
          <w:rFonts w:ascii="Times New Roman" w:hAnsi="Times New Roman" w:cs="Times New Roman"/>
          <w:color w:val="000000" w:themeColor="text1"/>
          <w:sz w:val="24"/>
          <w:szCs w:val="24"/>
        </w:rPr>
        <w:t>; n</w:t>
      </w:r>
      <w:r w:rsidR="00E77F3E" w:rsidRPr="004F51D2">
        <w:rPr>
          <w:rFonts w:ascii="Times New Roman" w:hAnsi="Times New Roman" w:cs="Times New Roman"/>
          <w:color w:val="000000" w:themeColor="text1"/>
          <w:sz w:val="24"/>
          <w:szCs w:val="24"/>
        </w:rPr>
        <w:t xml:space="preserve"> </w:t>
      </w:r>
      <w:r w:rsidRPr="004F51D2">
        <w:rPr>
          <w:rFonts w:ascii="Times New Roman" w:hAnsi="Times New Roman" w:cs="Times New Roman"/>
          <w:color w:val="000000" w:themeColor="text1"/>
          <w:sz w:val="24"/>
          <w:szCs w:val="24"/>
        </w:rPr>
        <w:t>=</w:t>
      </w:r>
      <w:r w:rsidR="00A0543A" w:rsidRPr="004F51D2">
        <w:rPr>
          <w:rFonts w:ascii="Times New Roman" w:hAnsi="Times New Roman" w:cs="Times New Roman"/>
          <w:color w:val="000000" w:themeColor="text1"/>
          <w:sz w:val="24"/>
          <w:szCs w:val="24"/>
        </w:rPr>
        <w:t xml:space="preserve"> </w:t>
      </w:r>
      <w:r w:rsidRPr="004F51D2">
        <w:rPr>
          <w:rFonts w:ascii="Times New Roman" w:hAnsi="Times New Roman" w:cs="Times New Roman"/>
          <w:color w:val="000000" w:themeColor="text1"/>
          <w:sz w:val="24"/>
          <w:szCs w:val="24"/>
        </w:rPr>
        <w:t xml:space="preserve">350) was 0.894. Cronbach's alphas for </w:t>
      </w:r>
      <w:r w:rsidR="00E77F3E" w:rsidRPr="004F51D2">
        <w:rPr>
          <w:rFonts w:ascii="Times New Roman" w:hAnsi="Times New Roman" w:cs="Times New Roman"/>
          <w:color w:val="000000" w:themeColor="text1"/>
          <w:sz w:val="24"/>
          <w:szCs w:val="24"/>
        </w:rPr>
        <w:t>Persian MOGS</w:t>
      </w:r>
      <w:r w:rsidRPr="004F51D2">
        <w:rPr>
          <w:rFonts w:ascii="Times New Roman" w:hAnsi="Times New Roman" w:cs="Times New Roman"/>
          <w:color w:val="000000" w:themeColor="text1"/>
          <w:sz w:val="24"/>
          <w:szCs w:val="24"/>
        </w:rPr>
        <w:t xml:space="preserve"> factors in this sample were </w:t>
      </w:r>
      <w:r w:rsidRPr="004F51D2">
        <w:rPr>
          <w:rFonts w:ascii="Times New Roman" w:hAnsi="Times New Roman" w:cs="Times New Roman"/>
          <w:sz w:val="24"/>
          <w:szCs w:val="24"/>
        </w:rPr>
        <w:t>N-MOGU</w:t>
      </w:r>
      <w:r w:rsidR="00E77F3E" w:rsidRPr="004F51D2">
        <w:rPr>
          <w:rFonts w:ascii="Times New Roman" w:hAnsi="Times New Roman" w:cs="Times New Roman"/>
          <w:sz w:val="24"/>
          <w:szCs w:val="24"/>
        </w:rPr>
        <w:t xml:space="preserve"> </w:t>
      </w:r>
      <w:r w:rsidRPr="004F51D2">
        <w:rPr>
          <w:rFonts w:ascii="Times New Roman" w:hAnsi="Times New Roman" w:cs="Times New Roman"/>
          <w:sz w:val="24"/>
          <w:szCs w:val="24"/>
        </w:rPr>
        <w:t>= 0.823, N-MOGD</w:t>
      </w:r>
      <w:r w:rsidR="00E77F3E" w:rsidRPr="004F51D2">
        <w:rPr>
          <w:rFonts w:ascii="Times New Roman" w:hAnsi="Times New Roman" w:cs="Times New Roman"/>
          <w:sz w:val="24"/>
          <w:szCs w:val="24"/>
        </w:rPr>
        <w:t xml:space="preserve"> </w:t>
      </w:r>
      <w:r w:rsidRPr="004F51D2">
        <w:rPr>
          <w:rFonts w:ascii="Times New Roman" w:hAnsi="Times New Roman" w:cs="Times New Roman"/>
          <w:sz w:val="24"/>
          <w:szCs w:val="24"/>
        </w:rPr>
        <w:t>= 0.809, and</w:t>
      </w:r>
      <w:r w:rsidRPr="004F51D2">
        <w:rPr>
          <w:rFonts w:ascii="Times New Roman" w:hAnsi="Times New Roman" w:cs="Times New Roman"/>
          <w:color w:val="000000" w:themeColor="text1"/>
          <w:sz w:val="24"/>
          <w:szCs w:val="24"/>
        </w:rPr>
        <w:t xml:space="preserve"> </w:t>
      </w:r>
      <w:r w:rsidRPr="004F51D2">
        <w:rPr>
          <w:rFonts w:ascii="Times New Roman" w:hAnsi="Times New Roman" w:cs="Times New Roman"/>
          <w:sz w:val="24"/>
          <w:szCs w:val="24"/>
        </w:rPr>
        <w:t>P-MOG</w:t>
      </w:r>
      <w:r w:rsidR="00E77F3E" w:rsidRPr="004F51D2">
        <w:rPr>
          <w:rFonts w:ascii="Times New Roman" w:hAnsi="Times New Roman" w:cs="Times New Roman"/>
          <w:sz w:val="24"/>
          <w:szCs w:val="24"/>
        </w:rPr>
        <w:t xml:space="preserve"> </w:t>
      </w:r>
      <w:r w:rsidRPr="004F51D2">
        <w:rPr>
          <w:rFonts w:ascii="Times New Roman" w:hAnsi="Times New Roman" w:cs="Times New Roman"/>
          <w:color w:val="000000" w:themeColor="text1"/>
          <w:sz w:val="24"/>
          <w:szCs w:val="24"/>
        </w:rPr>
        <w:t>= 0.939. Cronbach's alpha for the second sample’s total score (</w:t>
      </w:r>
      <w:r w:rsidRPr="004F51D2">
        <w:rPr>
          <w:rFonts w:ascii="Times New Roman" w:eastAsia="Calibri" w:hAnsi="Times New Roman" w:cs="Times New Roman"/>
          <w:color w:val="000000" w:themeColor="text1"/>
          <w:sz w:val="24"/>
          <w:szCs w:val="24"/>
        </w:rPr>
        <w:t xml:space="preserve">confirmation sample; </w:t>
      </w:r>
      <w:r w:rsidRPr="004F51D2">
        <w:rPr>
          <w:rFonts w:ascii="Times New Roman" w:hAnsi="Times New Roman" w:cs="Times New Roman"/>
          <w:color w:val="000000" w:themeColor="text1"/>
          <w:sz w:val="24"/>
          <w:szCs w:val="24"/>
        </w:rPr>
        <w:t>n</w:t>
      </w:r>
      <w:r w:rsidR="00E77F3E" w:rsidRPr="004F51D2">
        <w:rPr>
          <w:rFonts w:ascii="Times New Roman" w:hAnsi="Times New Roman" w:cs="Times New Roman"/>
          <w:color w:val="000000" w:themeColor="text1"/>
          <w:sz w:val="24"/>
          <w:szCs w:val="24"/>
        </w:rPr>
        <w:t xml:space="preserve"> </w:t>
      </w:r>
      <w:r w:rsidRPr="004F51D2">
        <w:rPr>
          <w:rFonts w:ascii="Times New Roman" w:hAnsi="Times New Roman" w:cs="Times New Roman"/>
          <w:color w:val="000000" w:themeColor="text1"/>
          <w:sz w:val="24"/>
          <w:szCs w:val="24"/>
        </w:rPr>
        <w:t>=</w:t>
      </w:r>
      <w:r w:rsidR="00E77F3E" w:rsidRPr="004F51D2">
        <w:rPr>
          <w:rFonts w:ascii="Times New Roman" w:hAnsi="Times New Roman" w:cs="Times New Roman"/>
          <w:color w:val="000000" w:themeColor="text1"/>
          <w:sz w:val="24"/>
          <w:szCs w:val="24"/>
        </w:rPr>
        <w:t xml:space="preserve"> </w:t>
      </w:r>
      <w:r w:rsidRPr="004F51D2">
        <w:rPr>
          <w:rFonts w:ascii="Times New Roman" w:hAnsi="Times New Roman" w:cs="Times New Roman"/>
          <w:color w:val="000000" w:themeColor="text1"/>
          <w:sz w:val="24"/>
          <w:szCs w:val="24"/>
        </w:rPr>
        <w:t xml:space="preserve">419) was 0.892. Cronbach's alphas for </w:t>
      </w:r>
      <w:r w:rsidR="00E77F3E" w:rsidRPr="004F51D2">
        <w:rPr>
          <w:rFonts w:ascii="Times New Roman" w:hAnsi="Times New Roman" w:cs="Times New Roman"/>
          <w:color w:val="000000" w:themeColor="text1"/>
          <w:sz w:val="24"/>
          <w:szCs w:val="24"/>
        </w:rPr>
        <w:t>Persian MOGS</w:t>
      </w:r>
      <w:r w:rsidRPr="004F51D2">
        <w:rPr>
          <w:rFonts w:ascii="Times New Roman" w:hAnsi="Times New Roman" w:cs="Times New Roman"/>
          <w:color w:val="000000" w:themeColor="text1"/>
          <w:sz w:val="24"/>
          <w:szCs w:val="24"/>
        </w:rPr>
        <w:t xml:space="preserve"> factors in this sample were </w:t>
      </w:r>
      <w:r w:rsidRPr="004F51D2">
        <w:rPr>
          <w:rFonts w:ascii="Times New Roman" w:hAnsi="Times New Roman" w:cs="Times New Roman"/>
          <w:sz w:val="24"/>
          <w:szCs w:val="24"/>
        </w:rPr>
        <w:t>N-MOGU</w:t>
      </w:r>
      <w:r w:rsidR="00E77F3E" w:rsidRPr="004F51D2">
        <w:rPr>
          <w:rFonts w:ascii="Times New Roman" w:hAnsi="Times New Roman" w:cs="Times New Roman"/>
          <w:sz w:val="24"/>
          <w:szCs w:val="24"/>
        </w:rPr>
        <w:t xml:space="preserve"> </w:t>
      </w:r>
      <w:r w:rsidRPr="004F51D2">
        <w:rPr>
          <w:rFonts w:ascii="Times New Roman" w:hAnsi="Times New Roman" w:cs="Times New Roman"/>
          <w:sz w:val="24"/>
          <w:szCs w:val="24"/>
        </w:rPr>
        <w:t>=</w:t>
      </w:r>
      <w:r w:rsidR="00E77F3E" w:rsidRPr="004F51D2">
        <w:rPr>
          <w:rFonts w:ascii="Times New Roman" w:hAnsi="Times New Roman" w:cs="Times New Roman"/>
          <w:sz w:val="24"/>
          <w:szCs w:val="24"/>
        </w:rPr>
        <w:t xml:space="preserve"> </w:t>
      </w:r>
      <w:r w:rsidRPr="004F51D2">
        <w:rPr>
          <w:rFonts w:ascii="Times New Roman" w:hAnsi="Times New Roman" w:cs="Times New Roman"/>
          <w:sz w:val="24"/>
          <w:szCs w:val="24"/>
        </w:rPr>
        <w:t>0.814, N-MOGD</w:t>
      </w:r>
      <w:r w:rsidR="00E77F3E" w:rsidRPr="004F51D2">
        <w:rPr>
          <w:rFonts w:ascii="Times New Roman" w:hAnsi="Times New Roman" w:cs="Times New Roman"/>
          <w:sz w:val="24"/>
          <w:szCs w:val="24"/>
        </w:rPr>
        <w:t xml:space="preserve"> </w:t>
      </w:r>
      <w:r w:rsidRPr="004F51D2">
        <w:rPr>
          <w:rFonts w:ascii="Times New Roman" w:hAnsi="Times New Roman" w:cs="Times New Roman"/>
          <w:sz w:val="24"/>
          <w:szCs w:val="24"/>
        </w:rPr>
        <w:t>=</w:t>
      </w:r>
      <w:r w:rsidR="00A0543A" w:rsidRPr="004F51D2">
        <w:rPr>
          <w:rFonts w:ascii="Times New Roman" w:hAnsi="Times New Roman" w:cs="Times New Roman"/>
          <w:sz w:val="24"/>
          <w:szCs w:val="24"/>
        </w:rPr>
        <w:t xml:space="preserve"> </w:t>
      </w:r>
      <w:r w:rsidRPr="004F51D2">
        <w:rPr>
          <w:rFonts w:ascii="Times New Roman" w:hAnsi="Times New Roman" w:cs="Times New Roman"/>
          <w:sz w:val="24"/>
          <w:szCs w:val="24"/>
        </w:rPr>
        <w:t>0.791, and</w:t>
      </w:r>
      <w:r w:rsidRPr="004F51D2">
        <w:rPr>
          <w:rFonts w:ascii="Times New Roman" w:hAnsi="Times New Roman" w:cs="Times New Roman"/>
          <w:color w:val="000000" w:themeColor="text1"/>
          <w:sz w:val="24"/>
          <w:szCs w:val="24"/>
        </w:rPr>
        <w:t xml:space="preserve"> </w:t>
      </w:r>
      <w:r w:rsidRPr="004F51D2">
        <w:rPr>
          <w:rFonts w:ascii="Times New Roman" w:hAnsi="Times New Roman" w:cs="Times New Roman"/>
          <w:sz w:val="24"/>
          <w:szCs w:val="24"/>
        </w:rPr>
        <w:t>P-MOG</w:t>
      </w:r>
      <w:r w:rsidR="00E77F3E" w:rsidRPr="004F51D2">
        <w:rPr>
          <w:rFonts w:ascii="Times New Roman" w:hAnsi="Times New Roman" w:cs="Times New Roman"/>
          <w:sz w:val="24"/>
          <w:szCs w:val="24"/>
        </w:rPr>
        <w:t xml:space="preserve"> </w:t>
      </w:r>
      <w:r w:rsidRPr="004F51D2">
        <w:rPr>
          <w:rFonts w:ascii="Times New Roman" w:hAnsi="Times New Roman" w:cs="Times New Roman"/>
          <w:color w:val="000000" w:themeColor="text1"/>
          <w:sz w:val="24"/>
          <w:szCs w:val="24"/>
        </w:rPr>
        <w:t>=</w:t>
      </w:r>
      <w:r w:rsidR="00A0543A" w:rsidRPr="004F51D2">
        <w:rPr>
          <w:rFonts w:ascii="Times New Roman" w:hAnsi="Times New Roman" w:cs="Times New Roman"/>
          <w:color w:val="000000" w:themeColor="text1"/>
          <w:sz w:val="24"/>
          <w:szCs w:val="24"/>
        </w:rPr>
        <w:t xml:space="preserve"> </w:t>
      </w:r>
      <w:r w:rsidRPr="004F51D2">
        <w:rPr>
          <w:rFonts w:ascii="Times New Roman" w:hAnsi="Times New Roman" w:cs="Times New Roman"/>
          <w:color w:val="000000" w:themeColor="text1"/>
          <w:sz w:val="24"/>
          <w:szCs w:val="24"/>
        </w:rPr>
        <w:t xml:space="preserve">0.933. Following the European Federation of Psychologists' Association (EFPA; Muniz, 2009) proposed cut-offs, the internal consistency value was </w:t>
      </w:r>
      <w:r w:rsidR="00A0543A" w:rsidRPr="004F51D2">
        <w:rPr>
          <w:rFonts w:ascii="Times New Roman" w:hAnsi="Times New Roman" w:cs="Times New Roman"/>
          <w:color w:val="000000" w:themeColor="text1"/>
          <w:sz w:val="24"/>
          <w:szCs w:val="24"/>
        </w:rPr>
        <w:t xml:space="preserve">deemed to be </w:t>
      </w:r>
      <w:r w:rsidRPr="004F51D2">
        <w:rPr>
          <w:rFonts w:ascii="Times New Roman" w:hAnsi="Times New Roman" w:cs="Times New Roman"/>
          <w:color w:val="000000" w:themeColor="text1"/>
          <w:sz w:val="24"/>
          <w:szCs w:val="24"/>
        </w:rPr>
        <w:t xml:space="preserve">adequate for the total scale and the </w:t>
      </w:r>
      <w:r w:rsidR="00A0543A" w:rsidRPr="004F51D2">
        <w:rPr>
          <w:rFonts w:ascii="Times New Roman" w:hAnsi="Times New Roman" w:cs="Times New Roman"/>
          <w:color w:val="000000" w:themeColor="text1"/>
          <w:sz w:val="24"/>
          <w:szCs w:val="24"/>
        </w:rPr>
        <w:t>factors</w:t>
      </w:r>
      <w:r w:rsidRPr="004F51D2">
        <w:rPr>
          <w:rFonts w:ascii="Times New Roman" w:hAnsi="Times New Roman" w:cs="Times New Roman"/>
          <w:color w:val="000000" w:themeColor="text1"/>
          <w:sz w:val="24"/>
          <w:szCs w:val="24"/>
        </w:rPr>
        <w:t xml:space="preserve"> of the Persian MOGS. All item-corrected total correlations were above 0.70</w:t>
      </w:r>
      <w:r w:rsidR="00A0543A" w:rsidRPr="004F51D2">
        <w:rPr>
          <w:rFonts w:ascii="Times New Roman" w:hAnsi="Times New Roman" w:cs="Times New Roman"/>
          <w:color w:val="000000" w:themeColor="text1"/>
          <w:sz w:val="24"/>
          <w:szCs w:val="24"/>
        </w:rPr>
        <w:t>.</w:t>
      </w:r>
      <w:r w:rsidRPr="004F51D2">
        <w:rPr>
          <w:rFonts w:ascii="Times New Roman" w:hAnsi="Times New Roman" w:cs="Times New Roman"/>
          <w:color w:val="000000" w:themeColor="text1"/>
          <w:sz w:val="24"/>
          <w:szCs w:val="24"/>
        </w:rPr>
        <w:t xml:space="preserve"> Cronbach's alphas were then calculated for all the items if any single item was removed from the three factors, but this did not improve in internal consistency.</w:t>
      </w:r>
    </w:p>
    <w:p w14:paraId="672067AB" w14:textId="6135F957" w:rsidR="00430587" w:rsidRPr="004F51D2" w:rsidRDefault="00430587" w:rsidP="00430587">
      <w:pPr>
        <w:bidi w:val="0"/>
        <w:spacing w:after="0" w:line="480" w:lineRule="auto"/>
        <w:jc w:val="both"/>
        <w:rPr>
          <w:rFonts w:ascii="Times New Roman" w:hAnsi="Times New Roman" w:cs="Times New Roman"/>
          <w:color w:val="000000" w:themeColor="text1"/>
          <w:sz w:val="24"/>
          <w:szCs w:val="24"/>
        </w:rPr>
      </w:pPr>
    </w:p>
    <w:p w14:paraId="6EAB5FDC" w14:textId="77777777" w:rsidR="00430587" w:rsidRPr="004F51D2" w:rsidRDefault="00430587" w:rsidP="00115E1F">
      <w:pPr>
        <w:bidi w:val="0"/>
        <w:spacing w:after="0" w:line="480" w:lineRule="auto"/>
        <w:jc w:val="both"/>
        <w:rPr>
          <w:rFonts w:ascii="Times New Roman" w:hAnsi="Times New Roman" w:cs="Times New Roman"/>
          <w:color w:val="000000" w:themeColor="text1"/>
          <w:sz w:val="24"/>
          <w:szCs w:val="24"/>
        </w:rPr>
      </w:pPr>
    </w:p>
    <w:p w14:paraId="1D1150F0" w14:textId="769BBC48" w:rsidR="00C24DE0" w:rsidRPr="004F51D2" w:rsidRDefault="00C24DE0" w:rsidP="00FA0C05">
      <w:pPr>
        <w:bidi w:val="0"/>
        <w:spacing w:after="0" w:line="480" w:lineRule="auto"/>
        <w:jc w:val="both"/>
        <w:rPr>
          <w:rFonts w:ascii="Times New Roman" w:hAnsi="Times New Roman" w:cs="Times New Roman"/>
          <w:i/>
          <w:iCs/>
          <w:color w:val="000000" w:themeColor="text1"/>
          <w:sz w:val="24"/>
          <w:szCs w:val="24"/>
        </w:rPr>
      </w:pPr>
      <w:r w:rsidRPr="004F51D2">
        <w:rPr>
          <w:rFonts w:ascii="Times New Roman" w:hAnsi="Times New Roman" w:cs="Times New Roman"/>
          <w:i/>
          <w:iCs/>
          <w:color w:val="000000" w:themeColor="text1"/>
          <w:sz w:val="24"/>
          <w:szCs w:val="24"/>
        </w:rPr>
        <w:lastRenderedPageBreak/>
        <w:t>3.4. Predictive validity</w:t>
      </w:r>
      <w:r w:rsidR="00237AA9" w:rsidRPr="004F51D2">
        <w:rPr>
          <w:rFonts w:ascii="Times New Roman" w:hAnsi="Times New Roman" w:cs="Times New Roman"/>
          <w:i/>
          <w:iCs/>
          <w:color w:val="000000" w:themeColor="text1"/>
          <w:sz w:val="24"/>
          <w:szCs w:val="24"/>
        </w:rPr>
        <w:t xml:space="preserve"> of the </w:t>
      </w:r>
      <w:r w:rsidR="00237AA9" w:rsidRPr="004F51D2">
        <w:rPr>
          <w:rFonts w:ascii="Times New Roman" w:hAnsi="Times New Roman" w:cs="Times New Roman"/>
          <w:i/>
          <w:iCs/>
          <w:sz w:val="24"/>
          <w:szCs w:val="24"/>
        </w:rPr>
        <w:t>Persian MOGS</w:t>
      </w:r>
    </w:p>
    <w:p w14:paraId="3C5AD4D0" w14:textId="0102B4D2" w:rsidR="00C24DE0" w:rsidRPr="004F51D2" w:rsidRDefault="007B27C0" w:rsidP="00857230">
      <w:pPr>
        <w:bidi w:val="0"/>
        <w:spacing w:after="0" w:line="480" w:lineRule="auto"/>
        <w:jc w:val="both"/>
        <w:rPr>
          <w:rFonts w:ascii="Times New Roman" w:hAnsi="Times New Roman" w:cs="Times New Roman"/>
          <w:color w:val="000000" w:themeColor="text1"/>
          <w:sz w:val="24"/>
          <w:szCs w:val="24"/>
        </w:rPr>
      </w:pPr>
      <w:r w:rsidRPr="004F51D2">
        <w:rPr>
          <w:rFonts w:ascii="Times New Roman" w:hAnsi="Times New Roman" w:cs="Times New Roman"/>
          <w:color w:val="000000" w:themeColor="text1"/>
          <w:sz w:val="24"/>
          <w:szCs w:val="24"/>
        </w:rPr>
        <w:t xml:space="preserve">Descriptive statistics and inter-correlations for all the self-report scales are shown in Table 4. An inspection of histograms, skewness, and kurtosis showed that all scores were normally distributed. </w:t>
      </w:r>
      <w:r w:rsidR="00311C43" w:rsidRPr="004F51D2">
        <w:rPr>
          <w:rFonts w:ascii="Times New Roman" w:hAnsi="Times New Roman" w:cs="Times New Roman"/>
          <w:sz w:val="24"/>
          <w:szCs w:val="24"/>
          <w:lang w:val="en-GB"/>
        </w:rPr>
        <w:t xml:space="preserve">Therefore, a Pearson Product Moment </w:t>
      </w:r>
      <w:r w:rsidR="00DE293F" w:rsidRPr="004F51D2">
        <w:rPr>
          <w:rFonts w:ascii="Times New Roman" w:hAnsi="Times New Roman" w:cs="Times New Roman"/>
          <w:sz w:val="24"/>
          <w:szCs w:val="24"/>
          <w:lang w:val="en-GB"/>
        </w:rPr>
        <w:t>c</w:t>
      </w:r>
      <w:r w:rsidR="00311C43" w:rsidRPr="004F51D2">
        <w:rPr>
          <w:rFonts w:ascii="Times New Roman" w:hAnsi="Times New Roman" w:cs="Times New Roman"/>
          <w:sz w:val="24"/>
          <w:szCs w:val="24"/>
          <w:lang w:val="en-GB"/>
        </w:rPr>
        <w:t xml:space="preserve">orrelation was undertaken. </w:t>
      </w:r>
      <w:r w:rsidR="00C24DE0" w:rsidRPr="004F51D2">
        <w:rPr>
          <w:rFonts w:ascii="Times New Roman" w:hAnsi="Times New Roman" w:cs="Times New Roman"/>
          <w:color w:val="000000" w:themeColor="text1"/>
          <w:sz w:val="24"/>
          <w:szCs w:val="24"/>
        </w:rPr>
        <w:t xml:space="preserve">The results indicated </w:t>
      </w:r>
      <w:r w:rsidR="00C24DE0" w:rsidRPr="004F51D2">
        <w:rPr>
          <w:rFonts w:ascii="Times New Roman" w:eastAsia="Calibri" w:hAnsi="Times New Roman" w:cs="Times New Roman"/>
          <w:color w:val="000000"/>
          <w:sz w:val="24"/>
          <w:szCs w:val="24"/>
        </w:rPr>
        <w:t xml:space="preserve">a </w:t>
      </w:r>
      <w:r w:rsidR="00C24DE0" w:rsidRPr="004F51D2">
        <w:rPr>
          <w:rFonts w:ascii="Times New Roman" w:hAnsi="Times New Roman" w:cs="Times New Roman"/>
          <w:color w:val="000000" w:themeColor="text1"/>
          <w:sz w:val="24"/>
          <w:szCs w:val="24"/>
        </w:rPr>
        <w:t xml:space="preserve">positive and significant correlation </w:t>
      </w:r>
      <w:r w:rsidR="00DE293F" w:rsidRPr="004F51D2">
        <w:rPr>
          <w:rFonts w:ascii="Times New Roman" w:hAnsi="Times New Roman" w:cs="Times New Roman"/>
          <w:color w:val="000000" w:themeColor="text1"/>
          <w:sz w:val="24"/>
          <w:szCs w:val="24"/>
        </w:rPr>
        <w:t>between</w:t>
      </w:r>
      <w:r w:rsidR="00C24DE0" w:rsidRPr="004F51D2">
        <w:rPr>
          <w:rFonts w:ascii="Times New Roman" w:hAnsi="Times New Roman" w:cs="Times New Roman"/>
          <w:color w:val="000000" w:themeColor="text1"/>
          <w:sz w:val="24"/>
          <w:szCs w:val="24"/>
        </w:rPr>
        <w:t xml:space="preserve"> </w:t>
      </w:r>
      <w:r w:rsidR="00DE293F" w:rsidRPr="004F51D2">
        <w:rPr>
          <w:rFonts w:ascii="Times New Roman" w:hAnsi="Times New Roman" w:cs="Times New Roman"/>
          <w:color w:val="000000" w:themeColor="text1"/>
          <w:sz w:val="24"/>
          <w:szCs w:val="24"/>
        </w:rPr>
        <w:t>both N-</w:t>
      </w:r>
      <w:r w:rsidR="00C24DE0" w:rsidRPr="004F51D2">
        <w:rPr>
          <w:rFonts w:ascii="Times New Roman" w:hAnsi="Times New Roman" w:cs="Times New Roman"/>
          <w:sz w:val="24"/>
          <w:szCs w:val="24"/>
        </w:rPr>
        <w:t>MOGU and N-MOGD</w:t>
      </w:r>
      <w:r w:rsidR="00DE293F" w:rsidRPr="004F51D2">
        <w:rPr>
          <w:rFonts w:ascii="Times New Roman" w:eastAsia="Calibri" w:hAnsi="Times New Roman" w:cs="Times New Roman"/>
          <w:color w:val="000000" w:themeColor="text1"/>
          <w:sz w:val="24"/>
          <w:szCs w:val="24"/>
        </w:rPr>
        <w:t xml:space="preserve"> factors of the Persian MOGS and</w:t>
      </w:r>
      <w:r w:rsidR="00C24DE0" w:rsidRPr="004F51D2">
        <w:rPr>
          <w:rFonts w:ascii="Times New Roman" w:eastAsia="Calibri" w:hAnsi="Times New Roman" w:cs="Times New Roman"/>
          <w:color w:val="000000" w:themeColor="text1"/>
          <w:sz w:val="24"/>
          <w:szCs w:val="24"/>
        </w:rPr>
        <w:t xml:space="preserve"> all the other variables except for two factors of the BFI-10 (</w:t>
      </w:r>
      <w:r w:rsidR="00A0543A" w:rsidRPr="004F51D2">
        <w:rPr>
          <w:rFonts w:ascii="Times New Roman" w:eastAsia="Calibri" w:hAnsi="Times New Roman" w:cs="Times New Roman"/>
          <w:color w:val="000000" w:themeColor="text1"/>
          <w:sz w:val="24"/>
          <w:szCs w:val="24"/>
        </w:rPr>
        <w:t>i.e.,</w:t>
      </w:r>
      <w:r w:rsidR="00C24DE0" w:rsidRPr="004F51D2">
        <w:rPr>
          <w:rFonts w:ascii="Times New Roman" w:eastAsia="Calibri" w:hAnsi="Times New Roman" w:cs="Times New Roman"/>
          <w:color w:val="000000" w:themeColor="text1"/>
          <w:sz w:val="24"/>
          <w:szCs w:val="24"/>
        </w:rPr>
        <w:t xml:space="preserve"> </w:t>
      </w:r>
      <w:r w:rsidR="00C24DE0" w:rsidRPr="004F51D2">
        <w:rPr>
          <w:rFonts w:ascii="Times New Roman" w:hAnsi="Times New Roman" w:cs="Times New Roman"/>
          <w:sz w:val="24"/>
          <w:szCs w:val="24"/>
        </w:rPr>
        <w:t>conscientiousness and neuroticism)</w:t>
      </w:r>
      <w:r w:rsidR="00C24DE0" w:rsidRPr="004F51D2">
        <w:rPr>
          <w:rFonts w:ascii="Times New Roman" w:eastAsia="Calibri" w:hAnsi="Times New Roman" w:cs="Times New Roman"/>
          <w:color w:val="000000" w:themeColor="text1"/>
          <w:sz w:val="24"/>
          <w:szCs w:val="24"/>
        </w:rPr>
        <w:t>. T</w:t>
      </w:r>
      <w:r w:rsidR="00C24DE0" w:rsidRPr="004F51D2">
        <w:rPr>
          <w:rFonts w:ascii="Times New Roman" w:eastAsia="Calibri" w:hAnsi="Times New Roman" w:cs="Times New Roman"/>
          <w:color w:val="000000"/>
          <w:sz w:val="24"/>
          <w:szCs w:val="24"/>
        </w:rPr>
        <w:t>he results also</w:t>
      </w:r>
      <w:r w:rsidR="00C24DE0" w:rsidRPr="004F51D2">
        <w:rPr>
          <w:rFonts w:ascii="Times New Roman" w:eastAsia="Calibri" w:hAnsi="Times New Roman" w:cs="Times New Roman"/>
          <w:color w:val="000000" w:themeColor="text1"/>
          <w:sz w:val="24"/>
          <w:szCs w:val="24"/>
        </w:rPr>
        <w:t xml:space="preserve"> showed </w:t>
      </w:r>
      <w:r w:rsidR="00C24DE0" w:rsidRPr="004F51D2">
        <w:rPr>
          <w:rFonts w:ascii="Times New Roman" w:eastAsia="Calibri" w:hAnsi="Times New Roman" w:cs="Times New Roman"/>
          <w:color w:val="000000"/>
          <w:sz w:val="24"/>
          <w:szCs w:val="24"/>
        </w:rPr>
        <w:t xml:space="preserve">a </w:t>
      </w:r>
      <w:r w:rsidR="00C24DE0" w:rsidRPr="004F51D2">
        <w:rPr>
          <w:rFonts w:ascii="Times New Roman" w:hAnsi="Times New Roman" w:cs="Times New Roman"/>
          <w:color w:val="000000" w:themeColor="text1"/>
          <w:sz w:val="24"/>
          <w:szCs w:val="24"/>
        </w:rPr>
        <w:t xml:space="preserve">positive and significant correlation </w:t>
      </w:r>
      <w:r w:rsidR="00DE293F" w:rsidRPr="004F51D2">
        <w:rPr>
          <w:rFonts w:ascii="Times New Roman" w:hAnsi="Times New Roman" w:cs="Times New Roman"/>
          <w:color w:val="000000" w:themeColor="text1"/>
          <w:sz w:val="24"/>
          <w:szCs w:val="24"/>
        </w:rPr>
        <w:t>between</w:t>
      </w:r>
      <w:r w:rsidR="00C24DE0" w:rsidRPr="004F51D2">
        <w:rPr>
          <w:rFonts w:ascii="Times New Roman" w:hAnsi="Times New Roman" w:cs="Times New Roman"/>
          <w:color w:val="000000" w:themeColor="text1"/>
          <w:sz w:val="24"/>
          <w:szCs w:val="24"/>
        </w:rPr>
        <w:t xml:space="preserve"> </w:t>
      </w:r>
      <w:r w:rsidR="00DE293F" w:rsidRPr="004F51D2">
        <w:rPr>
          <w:rFonts w:ascii="Times New Roman" w:hAnsi="Times New Roman" w:cs="Times New Roman"/>
          <w:color w:val="000000" w:themeColor="text1"/>
          <w:sz w:val="24"/>
          <w:szCs w:val="24"/>
        </w:rPr>
        <w:t xml:space="preserve">the </w:t>
      </w:r>
      <w:r w:rsidR="00C24DE0" w:rsidRPr="004F51D2">
        <w:rPr>
          <w:rFonts w:ascii="Times New Roman" w:hAnsi="Times New Roman" w:cs="Times New Roman"/>
          <w:sz w:val="24"/>
          <w:szCs w:val="24"/>
        </w:rPr>
        <w:t>P-</w:t>
      </w:r>
      <w:r w:rsidR="00C24DE0" w:rsidRPr="004F51D2">
        <w:rPr>
          <w:rFonts w:ascii="Times New Roman" w:hAnsi="Times New Roman" w:cs="Times New Roman"/>
          <w:color w:val="000000" w:themeColor="text1"/>
          <w:sz w:val="24"/>
          <w:szCs w:val="24"/>
        </w:rPr>
        <w:t>MOG</w:t>
      </w:r>
      <w:r w:rsidR="00C24DE0" w:rsidRPr="004F51D2">
        <w:rPr>
          <w:rFonts w:ascii="Times New Roman" w:eastAsia="Calibri" w:hAnsi="Times New Roman" w:cs="Times New Roman"/>
          <w:color w:val="000000" w:themeColor="text1"/>
          <w:sz w:val="24"/>
          <w:szCs w:val="24"/>
        </w:rPr>
        <w:t xml:space="preserve"> </w:t>
      </w:r>
      <w:r w:rsidR="00DE293F" w:rsidRPr="004F51D2">
        <w:rPr>
          <w:rFonts w:ascii="Times New Roman" w:eastAsia="Calibri" w:hAnsi="Times New Roman" w:cs="Times New Roman"/>
          <w:color w:val="000000" w:themeColor="text1"/>
          <w:sz w:val="24"/>
          <w:szCs w:val="24"/>
        </w:rPr>
        <w:t>of the Persian MOGS and</w:t>
      </w:r>
      <w:r w:rsidR="00C24DE0" w:rsidRPr="004F51D2">
        <w:rPr>
          <w:rFonts w:ascii="Times New Roman" w:eastAsia="Calibri" w:hAnsi="Times New Roman" w:cs="Times New Roman"/>
          <w:color w:val="000000" w:themeColor="text1"/>
          <w:sz w:val="24"/>
          <w:szCs w:val="24"/>
        </w:rPr>
        <w:t xml:space="preserve"> all the other variables except </w:t>
      </w:r>
      <w:r w:rsidR="00DE293F" w:rsidRPr="004F51D2">
        <w:rPr>
          <w:rFonts w:ascii="Times New Roman" w:eastAsia="Calibri" w:hAnsi="Times New Roman" w:cs="Times New Roman"/>
          <w:color w:val="000000" w:themeColor="text1"/>
          <w:sz w:val="24"/>
          <w:szCs w:val="24"/>
        </w:rPr>
        <w:t xml:space="preserve">for </w:t>
      </w:r>
      <w:r w:rsidR="00C24DE0" w:rsidRPr="004F51D2">
        <w:rPr>
          <w:rFonts w:ascii="Times New Roman" w:eastAsia="Calibri" w:hAnsi="Times New Roman" w:cs="Times New Roman"/>
          <w:color w:val="000000" w:themeColor="text1"/>
          <w:sz w:val="24"/>
          <w:szCs w:val="24"/>
        </w:rPr>
        <w:t xml:space="preserve">all factors of the BFI-10. Furthermore, </w:t>
      </w:r>
      <w:r w:rsidR="00C24DE0" w:rsidRPr="004F51D2">
        <w:rPr>
          <w:rFonts w:ascii="Times New Roman" w:eastAsia="Calibri" w:hAnsi="Times New Roman" w:cs="Times New Roman"/>
          <w:color w:val="000000"/>
          <w:sz w:val="24"/>
          <w:szCs w:val="24"/>
        </w:rPr>
        <w:t>the correlation matrix results</w:t>
      </w:r>
      <w:r w:rsidR="00C24DE0" w:rsidRPr="004F51D2">
        <w:rPr>
          <w:rFonts w:ascii="Times New Roman" w:eastAsia="Calibri" w:hAnsi="Times New Roman" w:cs="Times New Roman"/>
          <w:color w:val="000000" w:themeColor="text1"/>
          <w:sz w:val="24"/>
          <w:szCs w:val="24"/>
        </w:rPr>
        <w:t xml:space="preserve"> showed </w:t>
      </w:r>
      <w:r w:rsidR="00C24DE0" w:rsidRPr="004F51D2">
        <w:rPr>
          <w:rFonts w:ascii="Times New Roman" w:hAnsi="Times New Roman" w:cs="Times New Roman"/>
          <w:color w:val="000000" w:themeColor="text1"/>
          <w:sz w:val="24"/>
          <w:szCs w:val="24"/>
        </w:rPr>
        <w:t xml:space="preserve">positive and significant correlations between </w:t>
      </w:r>
      <w:r w:rsidR="00C24DE0" w:rsidRPr="004F51D2">
        <w:rPr>
          <w:rFonts w:ascii="Times New Roman" w:eastAsia="Calibri" w:hAnsi="Times New Roman" w:cs="Times New Roman"/>
          <w:color w:val="000000"/>
          <w:sz w:val="24"/>
          <w:szCs w:val="24"/>
        </w:rPr>
        <w:t xml:space="preserve">the </w:t>
      </w:r>
      <w:r w:rsidR="00C24DE0" w:rsidRPr="004F51D2">
        <w:rPr>
          <w:rFonts w:ascii="Times New Roman" w:hAnsi="Times New Roman" w:cs="Times New Roman"/>
          <w:color w:val="000000" w:themeColor="text1"/>
          <w:sz w:val="24"/>
          <w:szCs w:val="24"/>
        </w:rPr>
        <w:t xml:space="preserve">POGQ (as </w:t>
      </w:r>
      <w:r w:rsidR="00857230" w:rsidRPr="004F51D2">
        <w:rPr>
          <w:rFonts w:ascii="Times New Roman" w:hAnsi="Times New Roman" w:cs="Times New Roman"/>
          <w:color w:val="000000" w:themeColor="text1"/>
          <w:sz w:val="24"/>
          <w:szCs w:val="24"/>
        </w:rPr>
        <w:t>the outcome variable</w:t>
      </w:r>
      <w:r w:rsidR="00C24DE0" w:rsidRPr="004F51D2">
        <w:rPr>
          <w:rFonts w:ascii="Times New Roman" w:hAnsi="Times New Roman" w:cs="Times New Roman"/>
          <w:color w:val="000000" w:themeColor="text1"/>
          <w:sz w:val="24"/>
          <w:szCs w:val="24"/>
        </w:rPr>
        <w:t xml:space="preserve"> </w:t>
      </w:r>
      <w:r w:rsidR="00DE293F" w:rsidRPr="004F51D2">
        <w:rPr>
          <w:rFonts w:ascii="Times New Roman" w:hAnsi="Times New Roman" w:cs="Times New Roman"/>
          <w:color w:val="000000" w:themeColor="text1"/>
          <w:sz w:val="24"/>
          <w:szCs w:val="24"/>
        </w:rPr>
        <w:t>in the current</w:t>
      </w:r>
      <w:r w:rsidR="00C24DE0" w:rsidRPr="004F51D2">
        <w:rPr>
          <w:rFonts w:ascii="Times New Roman" w:hAnsi="Times New Roman" w:cs="Times New Roman"/>
          <w:color w:val="000000" w:themeColor="text1"/>
          <w:sz w:val="24"/>
          <w:szCs w:val="24"/>
        </w:rPr>
        <w:t xml:space="preserve"> study)</w:t>
      </w:r>
      <w:r w:rsidR="00DE293F" w:rsidRPr="004F51D2">
        <w:rPr>
          <w:rFonts w:ascii="Times New Roman" w:hAnsi="Times New Roman" w:cs="Times New Roman"/>
          <w:color w:val="000000" w:themeColor="text1"/>
          <w:sz w:val="24"/>
          <w:szCs w:val="24"/>
        </w:rPr>
        <w:t>,</w:t>
      </w:r>
      <w:r w:rsidR="00C24DE0" w:rsidRPr="004F51D2">
        <w:rPr>
          <w:rFonts w:ascii="Times New Roman" w:hAnsi="Times New Roman" w:cs="Times New Roman"/>
          <w:color w:val="000000" w:themeColor="text1"/>
          <w:sz w:val="24"/>
          <w:szCs w:val="24"/>
        </w:rPr>
        <w:t xml:space="preserve"> all three factors of </w:t>
      </w:r>
      <w:r w:rsidR="00C24DE0" w:rsidRPr="004F51D2">
        <w:rPr>
          <w:rFonts w:ascii="Times New Roman" w:eastAsia="Calibri" w:hAnsi="Times New Roman" w:cs="Times New Roman"/>
          <w:color w:val="000000"/>
          <w:sz w:val="24"/>
          <w:szCs w:val="24"/>
        </w:rPr>
        <w:t xml:space="preserve">the </w:t>
      </w:r>
      <w:r w:rsidR="00DE293F" w:rsidRPr="004F51D2">
        <w:rPr>
          <w:rFonts w:ascii="Times New Roman" w:eastAsia="Calibri" w:hAnsi="Times New Roman" w:cs="Times New Roman"/>
          <w:color w:val="000000"/>
          <w:sz w:val="24"/>
          <w:szCs w:val="24"/>
        </w:rPr>
        <w:t xml:space="preserve">Persian </w:t>
      </w:r>
      <w:r w:rsidR="00C24DE0" w:rsidRPr="004F51D2">
        <w:rPr>
          <w:rFonts w:ascii="Times New Roman" w:hAnsi="Times New Roman" w:cs="Times New Roman"/>
          <w:color w:val="000000" w:themeColor="text1"/>
          <w:sz w:val="24"/>
          <w:szCs w:val="24"/>
        </w:rPr>
        <w:t xml:space="preserve">MOGS and </w:t>
      </w:r>
      <w:r w:rsidR="00DE293F" w:rsidRPr="004F51D2">
        <w:rPr>
          <w:rFonts w:ascii="Times New Roman" w:eastAsia="Calibri" w:hAnsi="Times New Roman" w:cs="Times New Roman"/>
          <w:color w:val="000000" w:themeColor="text1"/>
          <w:sz w:val="24"/>
          <w:szCs w:val="24"/>
        </w:rPr>
        <w:t>all</w:t>
      </w:r>
      <w:r w:rsidR="00C24DE0" w:rsidRPr="004F51D2">
        <w:rPr>
          <w:rFonts w:ascii="Times New Roman" w:eastAsia="Calibri" w:hAnsi="Times New Roman" w:cs="Times New Roman"/>
          <w:color w:val="000000" w:themeColor="text1"/>
          <w:sz w:val="24"/>
          <w:szCs w:val="24"/>
        </w:rPr>
        <w:t xml:space="preserve"> other variables</w:t>
      </w:r>
      <w:r w:rsidR="00DE293F" w:rsidRPr="004F51D2">
        <w:rPr>
          <w:rFonts w:ascii="Times New Roman" w:eastAsia="Calibri" w:hAnsi="Times New Roman" w:cs="Times New Roman"/>
          <w:color w:val="000000" w:themeColor="text1"/>
          <w:sz w:val="24"/>
          <w:szCs w:val="24"/>
        </w:rPr>
        <w:t xml:space="preserve"> (with the </w:t>
      </w:r>
      <w:r w:rsidR="00C24DE0" w:rsidRPr="004F51D2">
        <w:rPr>
          <w:rFonts w:ascii="Times New Roman" w:eastAsia="Calibri" w:hAnsi="Times New Roman" w:cs="Times New Roman"/>
          <w:color w:val="000000" w:themeColor="text1"/>
          <w:sz w:val="24"/>
          <w:szCs w:val="24"/>
        </w:rPr>
        <w:t>except</w:t>
      </w:r>
      <w:r w:rsidR="00DE293F" w:rsidRPr="004F51D2">
        <w:rPr>
          <w:rFonts w:ascii="Times New Roman" w:eastAsia="Calibri" w:hAnsi="Times New Roman" w:cs="Times New Roman"/>
          <w:color w:val="000000" w:themeColor="text1"/>
          <w:sz w:val="24"/>
          <w:szCs w:val="24"/>
        </w:rPr>
        <w:t>ion</w:t>
      </w:r>
      <w:r w:rsidR="00C24DE0" w:rsidRPr="004F51D2">
        <w:rPr>
          <w:rFonts w:ascii="Times New Roman" w:eastAsia="Calibri" w:hAnsi="Times New Roman" w:cs="Times New Roman"/>
          <w:color w:val="000000" w:themeColor="text1"/>
          <w:sz w:val="24"/>
          <w:szCs w:val="24"/>
        </w:rPr>
        <w:t xml:space="preserve"> </w:t>
      </w:r>
      <w:r w:rsidR="00DE293F" w:rsidRPr="004F51D2">
        <w:rPr>
          <w:rFonts w:ascii="Times New Roman" w:eastAsia="Calibri" w:hAnsi="Times New Roman" w:cs="Times New Roman"/>
          <w:color w:val="000000" w:themeColor="text1"/>
          <w:sz w:val="24"/>
          <w:szCs w:val="24"/>
        </w:rPr>
        <w:t>of</w:t>
      </w:r>
      <w:r w:rsidR="00C24DE0" w:rsidRPr="004F51D2">
        <w:rPr>
          <w:rFonts w:ascii="Times New Roman" w:eastAsia="Calibri" w:hAnsi="Times New Roman" w:cs="Times New Roman"/>
          <w:color w:val="000000" w:themeColor="text1"/>
          <w:sz w:val="24"/>
          <w:szCs w:val="24"/>
        </w:rPr>
        <w:t xml:space="preserve"> two factors of the BFI-10</w:t>
      </w:r>
      <w:r w:rsidR="00DE293F" w:rsidRPr="004F51D2">
        <w:rPr>
          <w:rFonts w:ascii="Times New Roman" w:eastAsia="Calibri" w:hAnsi="Times New Roman" w:cs="Times New Roman"/>
          <w:color w:val="000000" w:themeColor="text1"/>
          <w:sz w:val="24"/>
          <w:szCs w:val="24"/>
        </w:rPr>
        <w:t xml:space="preserve">: </w:t>
      </w:r>
      <w:r w:rsidR="00C24DE0" w:rsidRPr="004F51D2">
        <w:rPr>
          <w:rFonts w:ascii="Times New Roman" w:hAnsi="Times New Roman" w:cs="Times New Roman"/>
          <w:sz w:val="24"/>
          <w:szCs w:val="24"/>
        </w:rPr>
        <w:t>conscientiousness and agreeableness)</w:t>
      </w:r>
      <w:r w:rsidR="00C24DE0" w:rsidRPr="004F51D2">
        <w:rPr>
          <w:rFonts w:ascii="Times New Roman" w:eastAsia="Calibri" w:hAnsi="Times New Roman" w:cs="Times New Roman"/>
          <w:color w:val="000000" w:themeColor="text1"/>
          <w:sz w:val="24"/>
          <w:szCs w:val="24"/>
        </w:rPr>
        <w:t>.</w:t>
      </w:r>
    </w:p>
    <w:p w14:paraId="21C5E034" w14:textId="5CD726B8" w:rsidR="00A66283" w:rsidRPr="004F51D2" w:rsidRDefault="00C24DE0" w:rsidP="00855760">
      <w:pPr>
        <w:bidi w:val="0"/>
        <w:spacing w:after="0" w:line="480" w:lineRule="auto"/>
        <w:ind w:firstLine="624"/>
        <w:jc w:val="both"/>
        <w:rPr>
          <w:rFonts w:ascii="Times New Roman" w:eastAsia="Calibri" w:hAnsi="Times New Roman" w:cs="Times New Roman"/>
          <w:color w:val="000000"/>
          <w:sz w:val="24"/>
          <w:szCs w:val="24"/>
        </w:rPr>
      </w:pPr>
      <w:r w:rsidRPr="004F51D2">
        <w:rPr>
          <w:rFonts w:ascii="Times New Roman" w:hAnsi="Times New Roman" w:cs="Times New Roman"/>
          <w:color w:val="000000" w:themeColor="text1"/>
          <w:sz w:val="24"/>
          <w:szCs w:val="24"/>
        </w:rPr>
        <w:t xml:space="preserve">To verify the specific predictive value of the Persian MOGS factors to the validation constructs, </w:t>
      </w:r>
      <w:r w:rsidR="00DE293F" w:rsidRPr="004F51D2">
        <w:rPr>
          <w:rFonts w:ascii="Times New Roman" w:hAnsi="Times New Roman" w:cs="Times New Roman"/>
          <w:color w:val="000000" w:themeColor="text1"/>
          <w:sz w:val="24"/>
          <w:szCs w:val="24"/>
        </w:rPr>
        <w:t xml:space="preserve">a </w:t>
      </w:r>
      <w:r w:rsidRPr="004F51D2">
        <w:rPr>
          <w:rFonts w:ascii="Times New Roman" w:hAnsi="Times New Roman" w:cs="Times New Roman"/>
          <w:color w:val="000000" w:themeColor="text1"/>
          <w:sz w:val="24"/>
          <w:szCs w:val="24"/>
        </w:rPr>
        <w:t>multiple hierarchical regression analysis</w:t>
      </w:r>
      <w:r w:rsidR="009D50B9" w:rsidRPr="004F51D2">
        <w:rPr>
          <w:rFonts w:ascii="Times New Roman" w:hAnsi="Times New Roman" w:cs="Times New Roman"/>
          <w:color w:val="000000" w:themeColor="text1"/>
          <w:sz w:val="24"/>
          <w:szCs w:val="24"/>
        </w:rPr>
        <w:t xml:space="preserve"> was run</w:t>
      </w:r>
      <w:r w:rsidR="007753A0" w:rsidRPr="004F51D2">
        <w:rPr>
          <w:rFonts w:ascii="Times New Roman" w:hAnsi="Times New Roman" w:cs="Times New Roman"/>
          <w:color w:val="000000" w:themeColor="text1"/>
          <w:sz w:val="24"/>
          <w:szCs w:val="24"/>
        </w:rPr>
        <w:t xml:space="preserve"> with</w:t>
      </w:r>
      <w:r w:rsidR="009D50B9" w:rsidRPr="004F51D2">
        <w:rPr>
          <w:rFonts w:ascii="Times New Roman" w:hAnsi="Times New Roman" w:cs="Times New Roman"/>
          <w:color w:val="000000" w:themeColor="text1"/>
          <w:sz w:val="24"/>
          <w:szCs w:val="24"/>
        </w:rPr>
        <w:t xml:space="preserve"> only for variables that had a significant correlation coefficient with the </w:t>
      </w:r>
      <w:r w:rsidR="00857230" w:rsidRPr="004F51D2">
        <w:rPr>
          <w:rFonts w:ascii="Times New Roman" w:hAnsi="Times New Roman" w:cs="Times New Roman"/>
          <w:color w:val="000000" w:themeColor="text1"/>
          <w:sz w:val="24"/>
          <w:szCs w:val="24"/>
        </w:rPr>
        <w:t xml:space="preserve">outcome </w:t>
      </w:r>
      <w:r w:rsidR="009D50B9" w:rsidRPr="004F51D2">
        <w:rPr>
          <w:rFonts w:ascii="Times New Roman" w:hAnsi="Times New Roman" w:cs="Times New Roman"/>
          <w:color w:val="000000" w:themeColor="text1"/>
          <w:sz w:val="24"/>
          <w:szCs w:val="24"/>
        </w:rPr>
        <w:t xml:space="preserve">variable (POGQ). That is, all variables except the two variables of </w:t>
      </w:r>
      <w:r w:rsidR="009D50B9" w:rsidRPr="004F51D2">
        <w:rPr>
          <w:rFonts w:ascii="Times New Roman" w:hAnsi="Times New Roman" w:cs="Times New Roman"/>
          <w:sz w:val="24"/>
          <w:szCs w:val="24"/>
        </w:rPr>
        <w:t>conscientiousness and agreeableness</w:t>
      </w:r>
      <w:r w:rsidR="009D50B9" w:rsidRPr="004F51D2">
        <w:rPr>
          <w:rFonts w:ascii="Times New Roman" w:hAnsi="Times New Roman" w:cs="Times New Roman"/>
          <w:color w:val="000000" w:themeColor="text1"/>
          <w:sz w:val="24"/>
          <w:szCs w:val="24"/>
        </w:rPr>
        <w:t xml:space="preserve"> </w:t>
      </w:r>
      <w:r w:rsidR="007753A0" w:rsidRPr="004F51D2">
        <w:rPr>
          <w:rFonts w:ascii="Times New Roman" w:hAnsi="Times New Roman" w:cs="Times New Roman"/>
          <w:color w:val="000000" w:themeColor="text1"/>
          <w:sz w:val="24"/>
          <w:szCs w:val="24"/>
        </w:rPr>
        <w:t xml:space="preserve">were </w:t>
      </w:r>
      <w:r w:rsidR="009D50B9" w:rsidRPr="004F51D2">
        <w:rPr>
          <w:rFonts w:ascii="Times New Roman" w:hAnsi="Times New Roman" w:cs="Times New Roman"/>
          <w:color w:val="000000" w:themeColor="text1"/>
          <w:sz w:val="24"/>
          <w:szCs w:val="24"/>
        </w:rPr>
        <w:t xml:space="preserve">entered </w:t>
      </w:r>
      <w:r w:rsidR="007753A0" w:rsidRPr="004F51D2">
        <w:rPr>
          <w:rFonts w:ascii="Times New Roman" w:hAnsi="Times New Roman" w:cs="Times New Roman"/>
          <w:color w:val="000000" w:themeColor="text1"/>
          <w:sz w:val="24"/>
          <w:szCs w:val="24"/>
        </w:rPr>
        <w:t xml:space="preserve">in </w:t>
      </w:r>
      <w:r w:rsidR="009D50B9" w:rsidRPr="004F51D2">
        <w:rPr>
          <w:rFonts w:ascii="Times New Roman" w:hAnsi="Times New Roman" w:cs="Times New Roman"/>
          <w:color w:val="000000" w:themeColor="text1"/>
          <w:sz w:val="24"/>
          <w:szCs w:val="24"/>
        </w:rPr>
        <w:t>the regression equation</w:t>
      </w:r>
      <w:r w:rsidR="00DE293F" w:rsidRPr="004F51D2">
        <w:rPr>
          <w:rFonts w:ascii="Times New Roman" w:hAnsi="Times New Roman" w:cs="Times New Roman"/>
          <w:color w:val="000000" w:themeColor="text1"/>
          <w:sz w:val="24"/>
          <w:szCs w:val="24"/>
        </w:rPr>
        <w:t>. In this analysis the</w:t>
      </w:r>
      <w:r w:rsidRPr="004F51D2">
        <w:rPr>
          <w:rFonts w:ascii="Times New Roman" w:hAnsi="Times New Roman" w:cs="Times New Roman"/>
          <w:color w:val="000000" w:themeColor="text1"/>
          <w:sz w:val="24"/>
          <w:szCs w:val="24"/>
        </w:rPr>
        <w:t xml:space="preserve"> POGQ </w:t>
      </w:r>
      <w:r w:rsidR="00DE293F" w:rsidRPr="004F51D2">
        <w:rPr>
          <w:rFonts w:ascii="Times New Roman" w:hAnsi="Times New Roman" w:cs="Times New Roman"/>
          <w:color w:val="000000" w:themeColor="text1"/>
          <w:sz w:val="24"/>
          <w:szCs w:val="24"/>
        </w:rPr>
        <w:t>was</w:t>
      </w:r>
      <w:r w:rsidRPr="004F51D2">
        <w:rPr>
          <w:rFonts w:ascii="Times New Roman" w:hAnsi="Times New Roman" w:cs="Times New Roman"/>
          <w:color w:val="000000" w:themeColor="text1"/>
          <w:sz w:val="24"/>
          <w:szCs w:val="24"/>
        </w:rPr>
        <w:t xml:space="preserve"> the </w:t>
      </w:r>
      <w:r w:rsidR="00857230" w:rsidRPr="004F51D2">
        <w:rPr>
          <w:rFonts w:ascii="Times New Roman" w:hAnsi="Times New Roman" w:cs="Times New Roman"/>
          <w:color w:val="000000" w:themeColor="text1"/>
          <w:sz w:val="24"/>
          <w:szCs w:val="24"/>
        </w:rPr>
        <w:t xml:space="preserve">outcome </w:t>
      </w:r>
      <w:r w:rsidRPr="004F51D2">
        <w:rPr>
          <w:rFonts w:ascii="Times New Roman" w:hAnsi="Times New Roman" w:cs="Times New Roman"/>
          <w:color w:val="000000" w:themeColor="text1"/>
          <w:sz w:val="24"/>
          <w:szCs w:val="24"/>
        </w:rPr>
        <w:t xml:space="preserve">variable and the </w:t>
      </w:r>
      <w:r w:rsidR="00DE293F" w:rsidRPr="004F51D2">
        <w:rPr>
          <w:rFonts w:ascii="Times New Roman" w:hAnsi="Times New Roman" w:cs="Times New Roman"/>
          <w:color w:val="000000" w:themeColor="text1"/>
          <w:sz w:val="24"/>
          <w:szCs w:val="24"/>
        </w:rPr>
        <w:t xml:space="preserve">Persian </w:t>
      </w:r>
      <w:r w:rsidRPr="004F51D2">
        <w:rPr>
          <w:rFonts w:ascii="Times New Roman" w:hAnsi="Times New Roman" w:cs="Times New Roman"/>
          <w:color w:val="000000" w:themeColor="text1"/>
          <w:sz w:val="24"/>
          <w:szCs w:val="24"/>
        </w:rPr>
        <w:t>MOGS factor</w:t>
      </w:r>
      <w:r w:rsidR="00DE293F" w:rsidRPr="004F51D2">
        <w:rPr>
          <w:rFonts w:ascii="Times New Roman" w:hAnsi="Times New Roman" w:cs="Times New Roman"/>
          <w:color w:val="000000" w:themeColor="text1"/>
          <w:sz w:val="24"/>
          <w:szCs w:val="24"/>
        </w:rPr>
        <w:t>s</w:t>
      </w:r>
      <w:r w:rsidRPr="004F51D2">
        <w:rPr>
          <w:rFonts w:ascii="Times New Roman" w:hAnsi="Times New Roman" w:cs="Times New Roman"/>
          <w:color w:val="000000" w:themeColor="text1"/>
          <w:sz w:val="24"/>
          <w:szCs w:val="24"/>
        </w:rPr>
        <w:t xml:space="preserve"> </w:t>
      </w:r>
      <w:r w:rsidR="00DE293F" w:rsidRPr="004F51D2">
        <w:rPr>
          <w:rFonts w:ascii="Times New Roman" w:hAnsi="Times New Roman" w:cs="Times New Roman"/>
          <w:color w:val="000000" w:themeColor="text1"/>
          <w:sz w:val="24"/>
          <w:szCs w:val="24"/>
        </w:rPr>
        <w:t xml:space="preserve">were the predictor </w:t>
      </w:r>
      <w:r w:rsidR="00A0543A" w:rsidRPr="004F51D2">
        <w:rPr>
          <w:rFonts w:ascii="Times New Roman" w:hAnsi="Times New Roman" w:cs="Times New Roman"/>
          <w:color w:val="000000" w:themeColor="text1"/>
          <w:sz w:val="24"/>
          <w:szCs w:val="24"/>
        </w:rPr>
        <w:t>variables</w:t>
      </w:r>
      <w:r w:rsidR="00DE293F" w:rsidRPr="004F51D2">
        <w:rPr>
          <w:rFonts w:ascii="Times New Roman" w:hAnsi="Times New Roman" w:cs="Times New Roman"/>
          <w:color w:val="000000" w:themeColor="text1"/>
          <w:sz w:val="24"/>
          <w:szCs w:val="24"/>
        </w:rPr>
        <w:t>, together with the total scores of the VGCS (gaming-related cognitions) and the MOGQ</w:t>
      </w:r>
      <w:r w:rsidR="00A0543A" w:rsidRPr="004F51D2">
        <w:rPr>
          <w:rFonts w:ascii="Times New Roman" w:hAnsi="Times New Roman" w:cs="Times New Roman"/>
          <w:color w:val="000000" w:themeColor="text1"/>
          <w:sz w:val="24"/>
          <w:szCs w:val="24"/>
        </w:rPr>
        <w:t xml:space="preserve"> </w:t>
      </w:r>
      <w:r w:rsidR="00DE293F" w:rsidRPr="004F51D2">
        <w:rPr>
          <w:rFonts w:ascii="Times New Roman" w:hAnsi="Times New Roman" w:cs="Times New Roman"/>
          <w:color w:val="000000" w:themeColor="text1"/>
          <w:sz w:val="24"/>
          <w:szCs w:val="24"/>
        </w:rPr>
        <w:t>(gaming motives), three</w:t>
      </w:r>
      <w:r w:rsidRPr="004F51D2">
        <w:rPr>
          <w:rFonts w:ascii="Times New Roman" w:hAnsi="Times New Roman" w:cs="Times New Roman"/>
          <w:color w:val="000000" w:themeColor="text1"/>
          <w:sz w:val="24"/>
          <w:szCs w:val="24"/>
        </w:rPr>
        <w:t xml:space="preserve"> factors of BFI-10, </w:t>
      </w:r>
      <w:r w:rsidR="00DE293F" w:rsidRPr="004F51D2">
        <w:rPr>
          <w:rFonts w:ascii="Times New Roman" w:hAnsi="Times New Roman" w:cs="Times New Roman"/>
          <w:color w:val="000000" w:themeColor="text1"/>
          <w:sz w:val="24"/>
          <w:szCs w:val="24"/>
        </w:rPr>
        <w:t xml:space="preserve">and the </w:t>
      </w:r>
      <w:r w:rsidRPr="004F51D2">
        <w:rPr>
          <w:rFonts w:ascii="Times New Roman" w:hAnsi="Times New Roman" w:cs="Times New Roman"/>
          <w:color w:val="000000" w:themeColor="text1"/>
          <w:sz w:val="24"/>
          <w:szCs w:val="24"/>
        </w:rPr>
        <w:t xml:space="preserve">factors of </w:t>
      </w:r>
      <w:r w:rsidR="00DE293F" w:rsidRPr="004F51D2">
        <w:rPr>
          <w:rFonts w:ascii="Times New Roman" w:hAnsi="Times New Roman" w:cs="Times New Roman"/>
          <w:color w:val="000000" w:themeColor="text1"/>
          <w:sz w:val="24"/>
          <w:szCs w:val="24"/>
        </w:rPr>
        <w:t xml:space="preserve">the </w:t>
      </w:r>
      <w:r w:rsidRPr="004F51D2">
        <w:rPr>
          <w:rFonts w:ascii="Times New Roman" w:hAnsi="Times New Roman" w:cs="Times New Roman"/>
          <w:color w:val="000000" w:themeColor="text1"/>
          <w:sz w:val="24"/>
          <w:szCs w:val="24"/>
        </w:rPr>
        <w:t>DASS-21.</w:t>
      </w:r>
      <w:r w:rsidR="00A0543A" w:rsidRPr="004F51D2">
        <w:rPr>
          <w:rFonts w:ascii="Times New Roman" w:hAnsi="Times New Roman" w:cs="Times New Roman"/>
          <w:color w:val="000000" w:themeColor="text1"/>
          <w:sz w:val="24"/>
          <w:szCs w:val="24"/>
        </w:rPr>
        <w:t xml:space="preserve"> In</w:t>
      </w:r>
      <w:r w:rsidRPr="004F51D2">
        <w:rPr>
          <w:rFonts w:ascii="Times New Roman" w:hAnsi="Times New Roman" w:cs="Times New Roman"/>
          <w:color w:val="000000" w:themeColor="text1"/>
          <w:sz w:val="24"/>
          <w:szCs w:val="24"/>
        </w:rPr>
        <w:t xml:space="preserve"> step 1, </w:t>
      </w:r>
      <w:r w:rsidR="007C6232" w:rsidRPr="004F51D2">
        <w:rPr>
          <w:rFonts w:ascii="Times New Roman" w:hAnsi="Times New Roman" w:cs="Times New Roman"/>
          <w:color w:val="000000" w:themeColor="text1"/>
          <w:sz w:val="24"/>
          <w:szCs w:val="24"/>
        </w:rPr>
        <w:t>three</w:t>
      </w:r>
      <w:r w:rsidRPr="004F51D2">
        <w:rPr>
          <w:rFonts w:ascii="Times New Roman" w:hAnsi="Times New Roman" w:cs="Times New Roman"/>
          <w:color w:val="000000" w:themeColor="text1"/>
          <w:sz w:val="24"/>
          <w:szCs w:val="24"/>
        </w:rPr>
        <w:t xml:space="preserve"> factors of BFI-10 were entered</w:t>
      </w:r>
      <w:r w:rsidR="00A0543A" w:rsidRPr="004F51D2">
        <w:rPr>
          <w:rFonts w:ascii="Times New Roman" w:hAnsi="Times New Roman" w:cs="Times New Roman"/>
          <w:color w:val="000000" w:themeColor="text1"/>
          <w:sz w:val="24"/>
          <w:szCs w:val="24"/>
        </w:rPr>
        <w:t>.</w:t>
      </w:r>
      <w:r w:rsidRPr="004F51D2">
        <w:rPr>
          <w:rFonts w:ascii="Times New Roman" w:hAnsi="Times New Roman" w:cs="Times New Roman"/>
          <w:color w:val="000000" w:themeColor="text1"/>
          <w:sz w:val="24"/>
          <w:szCs w:val="24"/>
        </w:rPr>
        <w:t xml:space="preserve"> </w:t>
      </w:r>
      <w:r w:rsidR="00A0543A" w:rsidRPr="004F51D2">
        <w:rPr>
          <w:rFonts w:ascii="Times New Roman" w:hAnsi="Times New Roman" w:cs="Times New Roman"/>
          <w:color w:val="000000" w:themeColor="text1"/>
          <w:sz w:val="24"/>
          <w:szCs w:val="24"/>
        </w:rPr>
        <w:t>A</w:t>
      </w:r>
      <w:r w:rsidRPr="004F51D2">
        <w:rPr>
          <w:rFonts w:ascii="Times New Roman" w:hAnsi="Times New Roman" w:cs="Times New Roman"/>
          <w:color w:val="000000" w:themeColor="text1"/>
          <w:sz w:val="24"/>
          <w:szCs w:val="24"/>
        </w:rPr>
        <w:t xml:space="preserve">nxiety, depression, and stress </w:t>
      </w:r>
      <w:r w:rsidR="00A0543A" w:rsidRPr="004F51D2">
        <w:rPr>
          <w:rFonts w:ascii="Times New Roman" w:hAnsi="Times New Roman" w:cs="Times New Roman"/>
          <w:color w:val="000000" w:themeColor="text1"/>
          <w:sz w:val="24"/>
          <w:szCs w:val="24"/>
        </w:rPr>
        <w:t>(</w:t>
      </w:r>
      <w:r w:rsidR="007C6232" w:rsidRPr="004F51D2">
        <w:rPr>
          <w:rFonts w:ascii="Times New Roman" w:hAnsi="Times New Roman" w:cs="Times New Roman"/>
          <w:color w:val="000000" w:themeColor="text1"/>
          <w:sz w:val="24"/>
          <w:szCs w:val="24"/>
        </w:rPr>
        <w:t xml:space="preserve">the </w:t>
      </w:r>
      <w:r w:rsidRPr="004F51D2">
        <w:rPr>
          <w:rFonts w:ascii="Times New Roman" w:hAnsi="Times New Roman" w:cs="Times New Roman"/>
          <w:color w:val="000000" w:themeColor="text1"/>
          <w:sz w:val="24"/>
          <w:szCs w:val="24"/>
        </w:rPr>
        <w:t>factors of the DASS-21</w:t>
      </w:r>
      <w:r w:rsidR="00A0543A" w:rsidRPr="004F51D2">
        <w:rPr>
          <w:rFonts w:ascii="Times New Roman" w:hAnsi="Times New Roman" w:cs="Times New Roman"/>
          <w:color w:val="000000" w:themeColor="text1"/>
          <w:sz w:val="24"/>
          <w:szCs w:val="24"/>
        </w:rPr>
        <w:t xml:space="preserve">) </w:t>
      </w:r>
      <w:r w:rsidRPr="004F51D2">
        <w:rPr>
          <w:rFonts w:ascii="Times New Roman" w:hAnsi="Times New Roman" w:cs="Times New Roman"/>
          <w:color w:val="000000" w:themeColor="text1"/>
          <w:sz w:val="24"/>
          <w:szCs w:val="24"/>
        </w:rPr>
        <w:t xml:space="preserve">were then entered </w:t>
      </w:r>
      <w:r w:rsidR="00A0543A" w:rsidRPr="004F51D2">
        <w:rPr>
          <w:rFonts w:ascii="Times New Roman" w:hAnsi="Times New Roman" w:cs="Times New Roman"/>
          <w:color w:val="000000" w:themeColor="text1"/>
          <w:sz w:val="24"/>
          <w:szCs w:val="24"/>
        </w:rPr>
        <w:t>on</w:t>
      </w:r>
      <w:r w:rsidRPr="004F51D2">
        <w:rPr>
          <w:rFonts w:ascii="Times New Roman" w:hAnsi="Times New Roman" w:cs="Times New Roman"/>
          <w:color w:val="000000" w:themeColor="text1"/>
          <w:sz w:val="24"/>
          <w:szCs w:val="24"/>
        </w:rPr>
        <w:t xml:space="preserve"> Step 2.</w:t>
      </w:r>
      <w:r w:rsidR="00501DDF" w:rsidRPr="004F51D2">
        <w:rPr>
          <w:rFonts w:ascii="Times New Roman" w:hAnsi="Times New Roman" w:cs="Times New Roman"/>
          <w:color w:val="000000" w:themeColor="text1"/>
          <w:sz w:val="24"/>
          <w:szCs w:val="24"/>
        </w:rPr>
        <w:t xml:space="preserve"> </w:t>
      </w:r>
      <w:r w:rsidRPr="004F51D2">
        <w:rPr>
          <w:rFonts w:ascii="Times New Roman" w:hAnsi="Times New Roman" w:cs="Times New Roman"/>
          <w:color w:val="000000" w:themeColor="text1"/>
          <w:sz w:val="24"/>
          <w:szCs w:val="24"/>
        </w:rPr>
        <w:t xml:space="preserve">In steps 3 and 4, the total scores of </w:t>
      </w:r>
      <w:r w:rsidR="007C6232" w:rsidRPr="004F51D2">
        <w:rPr>
          <w:rFonts w:ascii="Times New Roman" w:hAnsi="Times New Roman" w:cs="Times New Roman"/>
          <w:color w:val="000000" w:themeColor="text1"/>
          <w:sz w:val="24"/>
          <w:szCs w:val="24"/>
        </w:rPr>
        <w:t xml:space="preserve">the </w:t>
      </w:r>
      <w:r w:rsidRPr="004F51D2">
        <w:rPr>
          <w:rFonts w:ascii="Times New Roman" w:hAnsi="Times New Roman" w:cs="Times New Roman"/>
          <w:color w:val="000000" w:themeColor="text1"/>
          <w:sz w:val="24"/>
          <w:szCs w:val="24"/>
        </w:rPr>
        <w:t xml:space="preserve">VGCS and MOGQ were entered, respectively. Finally, in step 5, all three factors of </w:t>
      </w:r>
      <w:r w:rsidR="007C6232" w:rsidRPr="004F51D2">
        <w:rPr>
          <w:rFonts w:ascii="Times New Roman" w:hAnsi="Times New Roman" w:cs="Times New Roman"/>
          <w:color w:val="000000" w:themeColor="text1"/>
          <w:sz w:val="24"/>
          <w:szCs w:val="24"/>
        </w:rPr>
        <w:t xml:space="preserve">the Persian </w:t>
      </w:r>
      <w:r w:rsidRPr="004F51D2">
        <w:rPr>
          <w:rFonts w:ascii="Times New Roman" w:hAnsi="Times New Roman" w:cs="Times New Roman"/>
          <w:color w:val="000000" w:themeColor="text1"/>
          <w:sz w:val="24"/>
          <w:szCs w:val="24"/>
        </w:rPr>
        <w:t xml:space="preserve">MOGS were entered. The results of this analysis indicated that the </w:t>
      </w:r>
      <w:r w:rsidR="00DE293F" w:rsidRPr="004F51D2">
        <w:rPr>
          <w:rFonts w:ascii="Times New Roman" w:hAnsi="Times New Roman" w:cs="Times New Roman"/>
          <w:color w:val="000000" w:themeColor="text1"/>
          <w:sz w:val="24"/>
          <w:szCs w:val="24"/>
        </w:rPr>
        <w:t>Persian MOGS</w:t>
      </w:r>
      <w:r w:rsidR="006E59C2" w:rsidRPr="004F51D2">
        <w:rPr>
          <w:rFonts w:ascii="Times New Roman" w:hAnsi="Times New Roman" w:cs="Times New Roman"/>
          <w:color w:val="000000" w:themeColor="text1"/>
          <w:sz w:val="24"/>
          <w:szCs w:val="24"/>
        </w:rPr>
        <w:t xml:space="preserve"> factors accounted for 33.</w:t>
      </w:r>
      <w:r w:rsidR="00855760" w:rsidRPr="004F51D2">
        <w:rPr>
          <w:rFonts w:ascii="Times New Roman" w:hAnsi="Times New Roman" w:cs="Times New Roman"/>
          <w:color w:val="000000" w:themeColor="text1"/>
          <w:sz w:val="24"/>
          <w:szCs w:val="24"/>
        </w:rPr>
        <w:t>9</w:t>
      </w:r>
      <w:r w:rsidR="006E59C2" w:rsidRPr="004F51D2">
        <w:rPr>
          <w:rFonts w:ascii="Times New Roman" w:hAnsi="Times New Roman" w:cs="Times New Roman"/>
          <w:color w:val="000000" w:themeColor="text1"/>
          <w:sz w:val="24"/>
          <w:szCs w:val="24"/>
        </w:rPr>
        <w:t>% (</w:t>
      </w:r>
      <w:r w:rsidRPr="004F51D2">
        <w:rPr>
          <w:rFonts w:ascii="Times New Roman" w:hAnsi="Times New Roman" w:cs="Times New Roman"/>
          <w:i/>
          <w:iCs/>
          <w:color w:val="000000" w:themeColor="text1"/>
          <w:sz w:val="24"/>
          <w:szCs w:val="24"/>
        </w:rPr>
        <w:t>p</w:t>
      </w:r>
      <w:r w:rsidRPr="004F51D2">
        <w:rPr>
          <w:rFonts w:ascii="Times New Roman" w:hAnsi="Times New Roman" w:cs="Times New Roman"/>
          <w:color w:val="000000" w:themeColor="text1"/>
          <w:sz w:val="24"/>
          <w:szCs w:val="24"/>
        </w:rPr>
        <w:t xml:space="preserve"> &lt; 0.001) of the variance in POGQ scores above the variance accounted </w:t>
      </w:r>
      <w:r w:rsidRPr="004F51D2">
        <w:rPr>
          <w:rFonts w:ascii="Times New Roman" w:eastAsia="Calibri" w:hAnsi="Times New Roman" w:cs="Times New Roman"/>
          <w:color w:val="000000"/>
          <w:sz w:val="24"/>
          <w:szCs w:val="24"/>
        </w:rPr>
        <w:t xml:space="preserve">for </w:t>
      </w:r>
      <w:r w:rsidRPr="004F51D2">
        <w:rPr>
          <w:rFonts w:ascii="Times New Roman" w:hAnsi="Times New Roman" w:cs="Times New Roman"/>
          <w:color w:val="000000" w:themeColor="text1"/>
          <w:sz w:val="24"/>
          <w:szCs w:val="24"/>
        </w:rPr>
        <w:t xml:space="preserve">by </w:t>
      </w:r>
      <w:r w:rsidR="0058761D" w:rsidRPr="004F51D2">
        <w:rPr>
          <w:rFonts w:ascii="Times New Roman" w:hAnsi="Times New Roman" w:cs="Times New Roman"/>
          <w:color w:val="000000" w:themeColor="text1"/>
          <w:sz w:val="24"/>
          <w:szCs w:val="24"/>
        </w:rPr>
        <w:t xml:space="preserve">the </w:t>
      </w:r>
      <w:r w:rsidR="007C6232" w:rsidRPr="004F51D2">
        <w:rPr>
          <w:rFonts w:ascii="Times New Roman" w:hAnsi="Times New Roman" w:cs="Times New Roman"/>
          <w:color w:val="000000" w:themeColor="text1"/>
          <w:sz w:val="24"/>
          <w:szCs w:val="24"/>
        </w:rPr>
        <w:t>three</w:t>
      </w:r>
      <w:r w:rsidR="0058761D" w:rsidRPr="004F51D2">
        <w:rPr>
          <w:rFonts w:ascii="Times New Roman" w:hAnsi="Times New Roman" w:cs="Times New Roman"/>
          <w:color w:val="000000" w:themeColor="text1"/>
          <w:sz w:val="24"/>
          <w:szCs w:val="24"/>
        </w:rPr>
        <w:t xml:space="preserve"> factors of the </w:t>
      </w:r>
      <w:r w:rsidRPr="004F51D2">
        <w:rPr>
          <w:rFonts w:ascii="Times New Roman" w:hAnsi="Times New Roman" w:cs="Times New Roman"/>
          <w:color w:val="000000" w:themeColor="text1"/>
          <w:sz w:val="24"/>
          <w:szCs w:val="24"/>
        </w:rPr>
        <w:t>BFI-10 in step 1 (</w:t>
      </w:r>
      <w:r w:rsidR="00855760" w:rsidRPr="004F51D2">
        <w:rPr>
          <w:rFonts w:ascii="Times New Roman" w:hAnsi="Times New Roman" w:cs="Times New Roman"/>
          <w:color w:val="000000" w:themeColor="text1"/>
          <w:sz w:val="24"/>
          <w:szCs w:val="24"/>
        </w:rPr>
        <w:t>10</w:t>
      </w:r>
      <w:r w:rsidRPr="004F51D2">
        <w:rPr>
          <w:rFonts w:ascii="Times New Roman" w:hAnsi="Times New Roman" w:cs="Times New Roman"/>
          <w:color w:val="000000" w:themeColor="text1"/>
          <w:sz w:val="24"/>
          <w:szCs w:val="24"/>
        </w:rPr>
        <w:t>.</w:t>
      </w:r>
      <w:r w:rsidR="00855760" w:rsidRPr="004F51D2">
        <w:rPr>
          <w:rFonts w:ascii="Times New Roman" w:hAnsi="Times New Roman" w:cs="Times New Roman"/>
          <w:color w:val="000000" w:themeColor="text1"/>
          <w:sz w:val="24"/>
          <w:szCs w:val="24"/>
        </w:rPr>
        <w:t>1</w:t>
      </w:r>
      <w:r w:rsidRPr="004F51D2">
        <w:rPr>
          <w:rFonts w:ascii="Times New Roman" w:hAnsi="Times New Roman" w:cs="Times New Roman"/>
          <w:color w:val="000000" w:themeColor="text1"/>
          <w:sz w:val="24"/>
          <w:szCs w:val="24"/>
        </w:rPr>
        <w:t xml:space="preserve">%, </w:t>
      </w:r>
      <w:r w:rsidRPr="004F51D2">
        <w:rPr>
          <w:rFonts w:ascii="Times New Roman" w:hAnsi="Times New Roman" w:cs="Times New Roman"/>
          <w:i/>
          <w:iCs/>
          <w:color w:val="000000" w:themeColor="text1"/>
          <w:sz w:val="24"/>
          <w:szCs w:val="24"/>
        </w:rPr>
        <w:lastRenderedPageBreak/>
        <w:t>p</w:t>
      </w:r>
      <w:r w:rsidRPr="004F51D2">
        <w:rPr>
          <w:rFonts w:ascii="Times New Roman" w:hAnsi="Times New Roman" w:cs="Times New Roman"/>
          <w:color w:val="000000" w:themeColor="text1"/>
          <w:sz w:val="24"/>
          <w:szCs w:val="24"/>
        </w:rPr>
        <w:t xml:space="preserve"> &lt; 0.001), </w:t>
      </w:r>
      <w:r w:rsidR="007C6232" w:rsidRPr="004F51D2">
        <w:rPr>
          <w:rFonts w:ascii="Times New Roman" w:hAnsi="Times New Roman" w:cs="Times New Roman"/>
          <w:color w:val="000000" w:themeColor="text1"/>
          <w:sz w:val="24"/>
          <w:szCs w:val="24"/>
        </w:rPr>
        <w:t xml:space="preserve">the </w:t>
      </w:r>
      <w:r w:rsidR="007753A0" w:rsidRPr="004F51D2">
        <w:rPr>
          <w:rFonts w:ascii="Times New Roman" w:hAnsi="Times New Roman" w:cs="Times New Roman"/>
          <w:color w:val="000000" w:themeColor="text1"/>
          <w:sz w:val="24"/>
          <w:szCs w:val="24"/>
        </w:rPr>
        <w:t xml:space="preserve">three </w:t>
      </w:r>
      <w:r w:rsidRPr="004F51D2">
        <w:rPr>
          <w:rFonts w:ascii="Times New Roman" w:hAnsi="Times New Roman" w:cs="Times New Roman"/>
          <w:color w:val="000000" w:themeColor="text1"/>
          <w:sz w:val="24"/>
          <w:szCs w:val="24"/>
        </w:rPr>
        <w:t>factors of the DASS-21 in step 2 (1</w:t>
      </w:r>
      <w:r w:rsidR="00855760" w:rsidRPr="004F51D2">
        <w:rPr>
          <w:rFonts w:ascii="Times New Roman" w:hAnsi="Times New Roman" w:cs="Times New Roman"/>
          <w:color w:val="000000" w:themeColor="text1"/>
          <w:sz w:val="24"/>
          <w:szCs w:val="24"/>
        </w:rPr>
        <w:t>4</w:t>
      </w:r>
      <w:r w:rsidRPr="004F51D2">
        <w:rPr>
          <w:rFonts w:ascii="Times New Roman" w:hAnsi="Times New Roman" w:cs="Times New Roman"/>
          <w:color w:val="000000" w:themeColor="text1"/>
          <w:sz w:val="24"/>
          <w:szCs w:val="24"/>
        </w:rPr>
        <w:t>.</w:t>
      </w:r>
      <w:r w:rsidR="00855760" w:rsidRPr="004F51D2">
        <w:rPr>
          <w:rFonts w:ascii="Times New Roman" w:hAnsi="Times New Roman" w:cs="Times New Roman"/>
          <w:color w:val="000000" w:themeColor="text1"/>
          <w:sz w:val="24"/>
          <w:szCs w:val="24"/>
        </w:rPr>
        <w:t>1</w:t>
      </w:r>
      <w:r w:rsidRPr="004F51D2">
        <w:rPr>
          <w:rFonts w:ascii="Times New Roman" w:hAnsi="Times New Roman" w:cs="Times New Roman"/>
          <w:color w:val="000000" w:themeColor="text1"/>
          <w:sz w:val="24"/>
          <w:szCs w:val="24"/>
        </w:rPr>
        <w:t xml:space="preserve">%, </w:t>
      </w:r>
      <w:r w:rsidRPr="004F51D2">
        <w:rPr>
          <w:rFonts w:ascii="Times New Roman" w:hAnsi="Times New Roman" w:cs="Times New Roman"/>
          <w:i/>
          <w:iCs/>
          <w:color w:val="000000" w:themeColor="text1"/>
          <w:sz w:val="24"/>
          <w:szCs w:val="24"/>
        </w:rPr>
        <w:t>p</w:t>
      </w:r>
      <w:r w:rsidRPr="004F51D2">
        <w:rPr>
          <w:rFonts w:ascii="Times New Roman" w:hAnsi="Times New Roman" w:cs="Times New Roman"/>
          <w:color w:val="000000" w:themeColor="text1"/>
          <w:sz w:val="24"/>
          <w:szCs w:val="24"/>
        </w:rPr>
        <w:t xml:space="preserve"> &lt; 0.001), </w:t>
      </w:r>
      <w:r w:rsidR="007C6232" w:rsidRPr="004F51D2">
        <w:rPr>
          <w:rFonts w:ascii="Times New Roman" w:hAnsi="Times New Roman" w:cs="Times New Roman"/>
          <w:color w:val="000000" w:themeColor="text1"/>
          <w:sz w:val="24"/>
          <w:szCs w:val="24"/>
        </w:rPr>
        <w:t xml:space="preserve">the </w:t>
      </w:r>
      <w:r w:rsidRPr="004F51D2">
        <w:rPr>
          <w:rFonts w:ascii="Times New Roman" w:hAnsi="Times New Roman" w:cs="Times New Roman"/>
          <w:color w:val="000000" w:themeColor="text1"/>
          <w:sz w:val="24"/>
          <w:szCs w:val="24"/>
        </w:rPr>
        <w:t xml:space="preserve">total scores of </w:t>
      </w:r>
      <w:r w:rsidR="007C6232" w:rsidRPr="004F51D2">
        <w:rPr>
          <w:rFonts w:ascii="Times New Roman" w:hAnsi="Times New Roman" w:cs="Times New Roman"/>
          <w:color w:val="000000" w:themeColor="text1"/>
          <w:sz w:val="24"/>
          <w:szCs w:val="24"/>
        </w:rPr>
        <w:t xml:space="preserve">the </w:t>
      </w:r>
      <w:r w:rsidRPr="004F51D2">
        <w:rPr>
          <w:rFonts w:ascii="Times New Roman" w:hAnsi="Times New Roman" w:cs="Times New Roman"/>
          <w:color w:val="000000" w:themeColor="text1"/>
          <w:sz w:val="24"/>
          <w:szCs w:val="24"/>
        </w:rPr>
        <w:t>VGCS in step 3 (10.</w:t>
      </w:r>
      <w:r w:rsidR="00855760" w:rsidRPr="004F51D2">
        <w:rPr>
          <w:rFonts w:ascii="Times New Roman" w:hAnsi="Times New Roman" w:cs="Times New Roman"/>
          <w:color w:val="000000" w:themeColor="text1"/>
          <w:sz w:val="24"/>
          <w:szCs w:val="24"/>
        </w:rPr>
        <w:t>4</w:t>
      </w:r>
      <w:r w:rsidRPr="004F51D2">
        <w:rPr>
          <w:rFonts w:ascii="Times New Roman" w:hAnsi="Times New Roman" w:cs="Times New Roman"/>
          <w:color w:val="000000" w:themeColor="text1"/>
          <w:sz w:val="24"/>
          <w:szCs w:val="24"/>
        </w:rPr>
        <w:t xml:space="preserve">%, </w:t>
      </w:r>
      <w:r w:rsidRPr="004F51D2">
        <w:rPr>
          <w:rFonts w:ascii="Times New Roman" w:hAnsi="Times New Roman" w:cs="Times New Roman"/>
          <w:i/>
          <w:iCs/>
          <w:color w:val="000000" w:themeColor="text1"/>
          <w:sz w:val="24"/>
          <w:szCs w:val="24"/>
        </w:rPr>
        <w:t>p</w:t>
      </w:r>
      <w:r w:rsidRPr="004F51D2">
        <w:rPr>
          <w:rFonts w:ascii="Times New Roman" w:hAnsi="Times New Roman" w:cs="Times New Roman"/>
          <w:color w:val="000000" w:themeColor="text1"/>
          <w:sz w:val="24"/>
          <w:szCs w:val="24"/>
        </w:rPr>
        <w:t xml:space="preserve"> &lt; 0.001), </w:t>
      </w:r>
      <w:r w:rsidR="007C6232" w:rsidRPr="004F51D2">
        <w:rPr>
          <w:rFonts w:ascii="Times New Roman" w:hAnsi="Times New Roman" w:cs="Times New Roman"/>
          <w:color w:val="000000" w:themeColor="text1"/>
          <w:sz w:val="24"/>
          <w:szCs w:val="24"/>
        </w:rPr>
        <w:t>and the</w:t>
      </w:r>
      <w:r w:rsidR="0058761D" w:rsidRPr="004F51D2">
        <w:rPr>
          <w:rFonts w:ascii="Times New Roman" w:hAnsi="Times New Roman" w:cs="Times New Roman"/>
          <w:color w:val="000000" w:themeColor="text1"/>
          <w:sz w:val="24"/>
          <w:szCs w:val="24"/>
        </w:rPr>
        <w:t xml:space="preserve"> </w:t>
      </w:r>
      <w:r w:rsidRPr="004F51D2">
        <w:rPr>
          <w:rFonts w:ascii="Times New Roman" w:hAnsi="Times New Roman" w:cs="Times New Roman"/>
          <w:color w:val="000000" w:themeColor="text1"/>
          <w:sz w:val="24"/>
          <w:szCs w:val="24"/>
        </w:rPr>
        <w:t xml:space="preserve">total scores of </w:t>
      </w:r>
      <w:r w:rsidR="007C6232" w:rsidRPr="004F51D2">
        <w:rPr>
          <w:rFonts w:ascii="Times New Roman" w:hAnsi="Times New Roman" w:cs="Times New Roman"/>
          <w:color w:val="000000" w:themeColor="text1"/>
          <w:sz w:val="24"/>
          <w:szCs w:val="24"/>
        </w:rPr>
        <w:t xml:space="preserve">the </w:t>
      </w:r>
      <w:r w:rsidRPr="004F51D2">
        <w:rPr>
          <w:rFonts w:ascii="Times New Roman" w:hAnsi="Times New Roman" w:cs="Times New Roman"/>
          <w:color w:val="000000" w:themeColor="text1"/>
          <w:sz w:val="24"/>
          <w:szCs w:val="24"/>
        </w:rPr>
        <w:t xml:space="preserve">MOGQ in step 4 (0.05%, </w:t>
      </w:r>
      <w:r w:rsidRPr="004F51D2">
        <w:rPr>
          <w:rFonts w:ascii="Times New Roman" w:hAnsi="Times New Roman" w:cs="Times New Roman"/>
          <w:i/>
          <w:iCs/>
          <w:color w:val="000000" w:themeColor="text1"/>
          <w:sz w:val="24"/>
          <w:szCs w:val="24"/>
        </w:rPr>
        <w:t>p</w:t>
      </w:r>
      <w:r w:rsidRPr="004F51D2">
        <w:rPr>
          <w:rFonts w:ascii="Times New Roman" w:hAnsi="Times New Roman" w:cs="Times New Roman"/>
          <w:color w:val="000000" w:themeColor="text1"/>
          <w:sz w:val="24"/>
          <w:szCs w:val="24"/>
        </w:rPr>
        <w:t xml:space="preserve"> &lt; 0.028). </w:t>
      </w:r>
      <w:r w:rsidR="0058761D" w:rsidRPr="004F51D2">
        <w:rPr>
          <w:rFonts w:ascii="Times New Roman" w:hAnsi="Times New Roman" w:cs="Times New Roman"/>
          <w:color w:val="000000" w:themeColor="text1"/>
          <w:sz w:val="24"/>
          <w:szCs w:val="24"/>
        </w:rPr>
        <w:t>On</w:t>
      </w:r>
      <w:r w:rsidRPr="004F51D2">
        <w:rPr>
          <w:rFonts w:ascii="Times New Roman" w:hAnsi="Times New Roman" w:cs="Times New Roman"/>
          <w:color w:val="000000" w:themeColor="text1"/>
          <w:sz w:val="24"/>
          <w:szCs w:val="24"/>
        </w:rPr>
        <w:t xml:space="preserve"> step 5</w:t>
      </w:r>
      <w:r w:rsidRPr="004F51D2">
        <w:rPr>
          <w:rFonts w:ascii="Times New Roman" w:eastAsia="Calibri" w:hAnsi="Times New Roman" w:cs="Times New Roman"/>
          <w:color w:val="000000"/>
          <w:sz w:val="24"/>
          <w:szCs w:val="24"/>
        </w:rPr>
        <w:t>, Beta coefficients of</w:t>
      </w:r>
      <w:r w:rsidRPr="004F51D2">
        <w:rPr>
          <w:rFonts w:ascii="Times New Roman" w:hAnsi="Times New Roman" w:cs="Times New Roman"/>
          <w:sz w:val="24"/>
          <w:szCs w:val="24"/>
        </w:rPr>
        <w:t xml:space="preserve"> stress</w:t>
      </w:r>
      <w:r w:rsidRPr="004F51D2">
        <w:rPr>
          <w:rFonts w:ascii="Times New Roman" w:eastAsia="Calibri" w:hAnsi="Times New Roman" w:cs="Times New Roman"/>
          <w:color w:val="000000"/>
          <w:sz w:val="24"/>
          <w:szCs w:val="24"/>
        </w:rPr>
        <w:t xml:space="preserve">, </w:t>
      </w:r>
      <w:r w:rsidR="007C6232" w:rsidRPr="004F51D2">
        <w:rPr>
          <w:rFonts w:ascii="Times New Roman" w:eastAsia="Calibri" w:hAnsi="Times New Roman" w:cs="Times New Roman"/>
          <w:color w:val="000000"/>
          <w:sz w:val="24"/>
          <w:szCs w:val="24"/>
        </w:rPr>
        <w:t xml:space="preserve">gaming-related </w:t>
      </w:r>
      <w:r w:rsidRPr="004F51D2">
        <w:rPr>
          <w:rFonts w:ascii="Times New Roman" w:eastAsia="Calibri" w:hAnsi="Times New Roman" w:cs="Times New Roman"/>
          <w:color w:val="000000"/>
          <w:sz w:val="24"/>
          <w:szCs w:val="24"/>
        </w:rPr>
        <w:t xml:space="preserve">cognitions, and all three factors of the </w:t>
      </w:r>
      <w:r w:rsidR="007C6232" w:rsidRPr="004F51D2">
        <w:rPr>
          <w:rFonts w:ascii="Times New Roman" w:eastAsia="Calibri" w:hAnsi="Times New Roman" w:cs="Times New Roman"/>
          <w:color w:val="000000"/>
          <w:sz w:val="24"/>
          <w:szCs w:val="24"/>
        </w:rPr>
        <w:t xml:space="preserve">Persian </w:t>
      </w:r>
      <w:r w:rsidRPr="004F51D2">
        <w:rPr>
          <w:rFonts w:ascii="Times New Roman" w:eastAsia="Calibri" w:hAnsi="Times New Roman" w:cs="Times New Roman"/>
          <w:color w:val="000000"/>
          <w:sz w:val="24"/>
          <w:szCs w:val="24"/>
        </w:rPr>
        <w:t>MOGS significantly predicted POGQ score</w:t>
      </w:r>
      <w:r w:rsidR="007C6232" w:rsidRPr="004F51D2">
        <w:rPr>
          <w:rFonts w:ascii="Times New Roman" w:eastAsia="Calibri" w:hAnsi="Times New Roman" w:cs="Times New Roman"/>
          <w:color w:val="000000"/>
          <w:sz w:val="24"/>
          <w:szCs w:val="24"/>
        </w:rPr>
        <w:t>s</w:t>
      </w:r>
      <w:r w:rsidRPr="004F51D2">
        <w:rPr>
          <w:rFonts w:ascii="Times New Roman" w:eastAsia="Calibri" w:hAnsi="Times New Roman" w:cs="Times New Roman"/>
          <w:color w:val="000000"/>
          <w:sz w:val="24"/>
          <w:szCs w:val="24"/>
        </w:rPr>
        <w:t xml:space="preserve"> (see Table 5).</w:t>
      </w:r>
    </w:p>
    <w:p w14:paraId="6F15AFD6" w14:textId="5DD76889" w:rsidR="00BF1B4D" w:rsidRPr="004F51D2" w:rsidRDefault="001F5F0B" w:rsidP="00F56BB1">
      <w:pPr>
        <w:bidi w:val="0"/>
        <w:spacing w:after="0" w:line="480" w:lineRule="auto"/>
        <w:ind w:firstLine="720"/>
        <w:jc w:val="both"/>
        <w:rPr>
          <w:rFonts w:ascii="Times New Roman" w:eastAsia="Calibri" w:hAnsi="Times New Roman" w:cs="Times New Roman"/>
          <w:color w:val="000000"/>
          <w:sz w:val="24"/>
          <w:szCs w:val="24"/>
        </w:rPr>
      </w:pPr>
      <w:r w:rsidRPr="004F51D2">
        <w:rPr>
          <w:rFonts w:ascii="Times New Roman" w:eastAsia="Calibri" w:hAnsi="Times New Roman" w:cs="Times New Roman"/>
          <w:color w:val="000000"/>
          <w:sz w:val="24"/>
          <w:szCs w:val="24"/>
        </w:rPr>
        <w:t>In addition to the above analysis,</w:t>
      </w:r>
      <w:r w:rsidR="00C731BC" w:rsidRPr="004F51D2">
        <w:rPr>
          <w:rFonts w:ascii="Times New Roman" w:eastAsia="Calibri" w:hAnsi="Times New Roman" w:cs="Times New Roman"/>
          <w:color w:val="000000"/>
          <w:sz w:val="24"/>
          <w:szCs w:val="24"/>
        </w:rPr>
        <w:t xml:space="preserve"> in order to establish group differences in terms of types of game and tools of </w:t>
      </w:r>
      <w:r w:rsidR="00430587" w:rsidRPr="004F51D2">
        <w:rPr>
          <w:rFonts w:ascii="Times New Roman" w:eastAsia="Calibri" w:hAnsi="Times New Roman" w:cs="Times New Roman"/>
          <w:color w:val="000000"/>
          <w:sz w:val="24"/>
          <w:szCs w:val="24"/>
        </w:rPr>
        <w:t xml:space="preserve">gaming </w:t>
      </w:r>
      <w:r w:rsidR="00C731BC" w:rsidRPr="004F51D2">
        <w:rPr>
          <w:rFonts w:ascii="Times New Roman" w:eastAsia="Calibri" w:hAnsi="Times New Roman" w:cs="Times New Roman"/>
          <w:color w:val="000000"/>
          <w:sz w:val="24"/>
          <w:szCs w:val="24"/>
        </w:rPr>
        <w:t xml:space="preserve">on MOGS </w:t>
      </w:r>
      <w:r w:rsidR="00430587" w:rsidRPr="004F51D2">
        <w:rPr>
          <w:rFonts w:ascii="Times New Roman" w:eastAsia="Calibri" w:hAnsi="Times New Roman" w:cs="Times New Roman"/>
          <w:color w:val="000000"/>
          <w:sz w:val="24"/>
          <w:szCs w:val="24"/>
        </w:rPr>
        <w:t>factors</w:t>
      </w:r>
      <w:r w:rsidR="00C731BC" w:rsidRPr="004F51D2">
        <w:rPr>
          <w:rFonts w:ascii="Times New Roman" w:eastAsia="Calibri" w:hAnsi="Times New Roman" w:cs="Times New Roman"/>
          <w:color w:val="000000"/>
          <w:sz w:val="24"/>
          <w:szCs w:val="24"/>
        </w:rPr>
        <w:t>,</w:t>
      </w:r>
      <w:r w:rsidRPr="004F51D2">
        <w:rPr>
          <w:rFonts w:ascii="Times New Roman" w:eastAsia="Calibri" w:hAnsi="Times New Roman" w:cs="Times New Roman"/>
          <w:color w:val="000000"/>
          <w:sz w:val="24"/>
          <w:szCs w:val="24"/>
        </w:rPr>
        <w:t xml:space="preserve"> </w:t>
      </w:r>
      <w:r w:rsidR="00DB7554" w:rsidRPr="004F51D2">
        <w:rPr>
          <w:rFonts w:ascii="Times New Roman" w:eastAsia="Calibri" w:hAnsi="Times New Roman" w:cs="Times New Roman"/>
          <w:color w:val="000000"/>
          <w:sz w:val="24"/>
          <w:szCs w:val="24"/>
        </w:rPr>
        <w:t xml:space="preserve">a series of one-way </w:t>
      </w:r>
      <w:r w:rsidR="00430587" w:rsidRPr="004F51D2">
        <w:rPr>
          <w:rFonts w:ascii="Times New Roman" w:eastAsia="Calibri" w:hAnsi="Times New Roman" w:cs="Times New Roman"/>
          <w:color w:val="000000"/>
          <w:sz w:val="24"/>
          <w:szCs w:val="24"/>
        </w:rPr>
        <w:t xml:space="preserve">analyses </w:t>
      </w:r>
      <w:r w:rsidRPr="004F51D2">
        <w:rPr>
          <w:rFonts w:ascii="Times New Roman" w:eastAsia="Calibri" w:hAnsi="Times New Roman" w:cs="Times New Roman"/>
          <w:color w:val="000000"/>
          <w:sz w:val="24"/>
          <w:szCs w:val="24"/>
        </w:rPr>
        <w:t xml:space="preserve">of variance with </w:t>
      </w:r>
      <w:r w:rsidR="00DB7554" w:rsidRPr="004F51D2">
        <w:rPr>
          <w:rFonts w:ascii="Times New Roman" w:eastAsia="Calibri" w:hAnsi="Times New Roman" w:cs="Times New Roman"/>
          <w:color w:val="000000"/>
          <w:sz w:val="24"/>
          <w:szCs w:val="24"/>
        </w:rPr>
        <w:t xml:space="preserve">follow-up </w:t>
      </w:r>
      <w:r w:rsidRPr="004F51D2">
        <w:rPr>
          <w:rFonts w:ascii="Times New Roman" w:eastAsia="Calibri" w:hAnsi="Times New Roman" w:cs="Times New Roman"/>
          <w:color w:val="000000"/>
          <w:sz w:val="24"/>
          <w:szCs w:val="24"/>
        </w:rPr>
        <w:t xml:space="preserve">Bonferroni pairwise comparisons </w:t>
      </w:r>
      <w:r w:rsidR="00430587" w:rsidRPr="004F51D2">
        <w:rPr>
          <w:rFonts w:ascii="Times New Roman" w:eastAsia="Calibri" w:hAnsi="Times New Roman" w:cs="Times New Roman"/>
          <w:color w:val="000000"/>
          <w:sz w:val="24"/>
          <w:szCs w:val="24"/>
        </w:rPr>
        <w:t xml:space="preserve">were </w:t>
      </w:r>
      <w:r w:rsidRPr="004F51D2">
        <w:rPr>
          <w:rFonts w:ascii="Times New Roman" w:eastAsia="Calibri" w:hAnsi="Times New Roman" w:cs="Times New Roman"/>
          <w:color w:val="000000"/>
          <w:sz w:val="24"/>
          <w:szCs w:val="24"/>
        </w:rPr>
        <w:t>conducted with the participant group (</w:t>
      </w:r>
      <w:r w:rsidRPr="004F51D2">
        <w:rPr>
          <w:rFonts w:asciiTheme="majorBidi" w:hAnsiTheme="majorBidi" w:cstheme="majorBidi"/>
          <w:color w:val="222222"/>
          <w:shd w:val="clear" w:color="auto" w:fill="FFFFFF"/>
        </w:rPr>
        <w:t>type</w:t>
      </w:r>
      <w:r w:rsidR="00430587" w:rsidRPr="004F51D2">
        <w:rPr>
          <w:rFonts w:asciiTheme="majorBidi" w:hAnsiTheme="majorBidi" w:cstheme="majorBidi"/>
          <w:color w:val="222222"/>
          <w:shd w:val="clear" w:color="auto" w:fill="FFFFFF"/>
        </w:rPr>
        <w:t>s</w:t>
      </w:r>
      <w:r w:rsidRPr="004F51D2">
        <w:rPr>
          <w:rFonts w:asciiTheme="majorBidi" w:hAnsiTheme="majorBidi" w:cstheme="majorBidi"/>
          <w:color w:val="222222"/>
          <w:shd w:val="clear" w:color="auto" w:fill="FFFFFF"/>
        </w:rPr>
        <w:t xml:space="preserve"> of game and tools of gaming)</w:t>
      </w:r>
      <w:r w:rsidRPr="004F51D2">
        <w:rPr>
          <w:rFonts w:ascii="Times New Roman" w:eastAsia="Calibri" w:hAnsi="Times New Roman" w:cs="Times New Roman"/>
          <w:color w:val="000000"/>
          <w:sz w:val="24"/>
          <w:szCs w:val="24"/>
        </w:rPr>
        <w:t xml:space="preserve"> as a fixed factor and all the MOGS </w:t>
      </w:r>
      <w:r w:rsidR="00430587" w:rsidRPr="004F51D2">
        <w:rPr>
          <w:rFonts w:ascii="Times New Roman" w:eastAsia="Calibri" w:hAnsi="Times New Roman" w:cs="Times New Roman"/>
          <w:color w:val="000000"/>
          <w:sz w:val="24"/>
          <w:szCs w:val="24"/>
        </w:rPr>
        <w:t xml:space="preserve">factors </w:t>
      </w:r>
      <w:r w:rsidRPr="004F51D2">
        <w:rPr>
          <w:rFonts w:ascii="Times New Roman" w:eastAsia="Calibri" w:hAnsi="Times New Roman" w:cs="Times New Roman"/>
          <w:color w:val="000000"/>
          <w:sz w:val="24"/>
          <w:szCs w:val="24"/>
        </w:rPr>
        <w:t xml:space="preserve">as the dependent </w:t>
      </w:r>
      <w:r w:rsidRPr="004F51D2">
        <w:rPr>
          <w:rFonts w:asciiTheme="majorBidi" w:hAnsiTheme="majorBidi" w:cstheme="majorBidi"/>
          <w:color w:val="222222"/>
          <w:shd w:val="clear" w:color="auto" w:fill="FFFFFF"/>
        </w:rPr>
        <w:t xml:space="preserve">variables. These analyses revealed that </w:t>
      </w:r>
      <w:r w:rsidR="00F56BB1" w:rsidRPr="004F51D2">
        <w:rPr>
          <w:rFonts w:asciiTheme="majorBidi" w:hAnsiTheme="majorBidi" w:cstheme="majorBidi"/>
          <w:color w:val="222222"/>
          <w:shd w:val="clear" w:color="auto" w:fill="FFFFFF"/>
        </w:rPr>
        <w:t>the interaction between</w:t>
      </w:r>
      <w:r w:rsidR="00F56BB1" w:rsidRPr="004F51D2">
        <w:rPr>
          <w:rFonts w:ascii="Times New Roman" w:eastAsia="Calibri" w:hAnsi="Times New Roman" w:cs="Times New Roman"/>
          <w:color w:val="000000"/>
          <w:sz w:val="24"/>
          <w:szCs w:val="24"/>
        </w:rPr>
        <w:t xml:space="preserve"> </w:t>
      </w:r>
      <w:r w:rsidR="00F56BB1" w:rsidRPr="004F51D2">
        <w:rPr>
          <w:rFonts w:ascii="Times New Roman" w:hAnsi="Times New Roman" w:cs="Times New Roman"/>
          <w:sz w:val="24"/>
          <w:szCs w:val="24"/>
        </w:rPr>
        <w:t>types of game</w:t>
      </w:r>
      <w:r w:rsidR="00F56BB1" w:rsidRPr="004F51D2">
        <w:rPr>
          <w:rFonts w:ascii="Times New Roman" w:hAnsi="Times New Roman" w:cs="Times New Roman"/>
          <w:color w:val="000000" w:themeColor="text1"/>
          <w:sz w:val="24"/>
          <w:szCs w:val="24"/>
        </w:rPr>
        <w:t xml:space="preserve"> with P-MOG </w:t>
      </w:r>
      <w:r w:rsidR="00F56BB1" w:rsidRPr="004F51D2">
        <w:rPr>
          <w:rFonts w:ascii="Times New Roman" w:hAnsi="Times New Roman" w:cs="Times New Roman"/>
          <w:sz w:val="24"/>
          <w:szCs w:val="24"/>
        </w:rPr>
        <w:t xml:space="preserve">was significant </w:t>
      </w:r>
      <w:r w:rsidR="00F56BB1" w:rsidRPr="004F51D2">
        <w:rPr>
          <w:rFonts w:asciiTheme="majorBidi" w:hAnsiTheme="majorBidi" w:cstheme="majorBidi"/>
          <w:color w:val="222222"/>
          <w:shd w:val="clear" w:color="auto" w:fill="FFFFFF"/>
        </w:rPr>
        <w:t>[</w:t>
      </w:r>
      <w:r w:rsidR="00F56BB1" w:rsidRPr="004F51D2">
        <w:rPr>
          <w:rFonts w:asciiTheme="majorBidi" w:hAnsiTheme="majorBidi" w:cstheme="majorBidi"/>
          <w:i/>
          <w:iCs/>
          <w:color w:val="222222"/>
          <w:shd w:val="clear" w:color="auto" w:fill="FFFFFF"/>
        </w:rPr>
        <w:t>F</w:t>
      </w:r>
      <w:r w:rsidR="00F56BB1" w:rsidRPr="004F51D2">
        <w:rPr>
          <w:rFonts w:asciiTheme="majorBidi" w:hAnsiTheme="majorBidi" w:cstheme="majorBidi"/>
          <w:color w:val="222222"/>
          <w:shd w:val="clear" w:color="auto" w:fill="FFFFFF"/>
        </w:rPr>
        <w:t xml:space="preserve">(3,415)=8.25, </w:t>
      </w:r>
      <w:r w:rsidR="00F56BB1" w:rsidRPr="004F51D2">
        <w:rPr>
          <w:rFonts w:asciiTheme="majorBidi" w:hAnsiTheme="majorBidi" w:cstheme="majorBidi"/>
          <w:i/>
          <w:iCs/>
          <w:color w:val="222222"/>
          <w:shd w:val="clear" w:color="auto" w:fill="FFFFFF"/>
        </w:rPr>
        <w:t>p</w:t>
      </w:r>
      <w:r w:rsidR="00F56BB1" w:rsidRPr="004F51D2">
        <w:rPr>
          <w:rFonts w:asciiTheme="majorBidi" w:hAnsiTheme="majorBidi" w:cstheme="majorBidi"/>
          <w:color w:val="222222"/>
          <w:shd w:val="clear" w:color="auto" w:fill="FFFFFF"/>
        </w:rPr>
        <w:t>&lt;</w:t>
      </w:r>
      <w:r w:rsidR="00AE563F" w:rsidRPr="004F51D2">
        <w:rPr>
          <w:rFonts w:asciiTheme="majorBidi" w:hAnsiTheme="majorBidi" w:cstheme="majorBidi"/>
          <w:color w:val="222222"/>
          <w:shd w:val="clear" w:color="auto" w:fill="FFFFFF"/>
        </w:rPr>
        <w:t>0</w:t>
      </w:r>
      <w:r w:rsidR="00F56BB1" w:rsidRPr="004F51D2">
        <w:rPr>
          <w:rFonts w:asciiTheme="majorBidi" w:hAnsiTheme="majorBidi" w:cstheme="majorBidi"/>
          <w:color w:val="222222"/>
          <w:shd w:val="clear" w:color="auto" w:fill="FFFFFF"/>
        </w:rPr>
        <w:t>.001]</w:t>
      </w:r>
      <w:r w:rsidR="00F56BB1" w:rsidRPr="004F51D2">
        <w:rPr>
          <w:rFonts w:ascii="Times New Roman" w:hAnsi="Times New Roman" w:cs="Times New Roman"/>
          <w:sz w:val="24"/>
          <w:szCs w:val="24"/>
        </w:rPr>
        <w:t>. So that</w:t>
      </w:r>
      <w:r w:rsidR="00F56BB1" w:rsidRPr="004F51D2">
        <w:rPr>
          <w:rFonts w:ascii="Times New Roman" w:hAnsi="Times New Roman" w:cs="Times New Roman" w:hint="cs"/>
          <w:sz w:val="24"/>
          <w:szCs w:val="24"/>
          <w:rtl/>
        </w:rPr>
        <w:t xml:space="preserve"> </w:t>
      </w:r>
      <w:r w:rsidR="00D15CCE" w:rsidRPr="004F51D2">
        <w:rPr>
          <w:rFonts w:asciiTheme="majorBidi" w:hAnsiTheme="majorBidi" w:cstheme="majorBidi"/>
          <w:color w:val="222222"/>
          <w:shd w:val="clear" w:color="auto" w:fill="FFFFFF"/>
        </w:rPr>
        <w:t>action and strategy games</w:t>
      </w:r>
      <w:r w:rsidRPr="004F51D2">
        <w:rPr>
          <w:rFonts w:asciiTheme="majorBidi" w:hAnsiTheme="majorBidi" w:cstheme="majorBidi"/>
          <w:color w:val="222222"/>
          <w:shd w:val="clear" w:color="auto" w:fill="FFFFFF"/>
        </w:rPr>
        <w:t xml:space="preserve"> scored significantly higher than </w:t>
      </w:r>
      <w:r w:rsidR="00D15CCE" w:rsidRPr="004F51D2">
        <w:rPr>
          <w:rFonts w:asciiTheme="majorBidi" w:hAnsiTheme="majorBidi" w:cstheme="majorBidi"/>
          <w:color w:val="222222"/>
          <w:shd w:val="clear" w:color="auto" w:fill="FFFFFF"/>
        </w:rPr>
        <w:t>other games (racing and sport)</w:t>
      </w:r>
      <w:r w:rsidRPr="004F51D2">
        <w:rPr>
          <w:rFonts w:asciiTheme="majorBidi" w:hAnsiTheme="majorBidi" w:cstheme="majorBidi"/>
          <w:color w:val="222222"/>
          <w:shd w:val="clear" w:color="auto" w:fill="FFFFFF"/>
        </w:rPr>
        <w:t xml:space="preserve"> on </w:t>
      </w:r>
      <w:r w:rsidR="00D15CCE" w:rsidRPr="004F51D2">
        <w:rPr>
          <w:rFonts w:asciiTheme="majorBidi" w:hAnsiTheme="majorBidi" w:cstheme="majorBidi"/>
          <w:color w:val="222222"/>
          <w:shd w:val="clear" w:color="auto" w:fill="FFFFFF"/>
        </w:rPr>
        <w:t>P-MOG, respectively</w:t>
      </w:r>
      <w:r w:rsidRPr="004F51D2">
        <w:rPr>
          <w:rFonts w:asciiTheme="majorBidi" w:hAnsiTheme="majorBidi" w:cstheme="majorBidi"/>
          <w:color w:val="222222"/>
          <w:shd w:val="clear" w:color="auto" w:fill="FFFFFF"/>
        </w:rPr>
        <w:t>.</w:t>
      </w:r>
      <w:r w:rsidR="00D15CCE" w:rsidRPr="004F51D2">
        <w:rPr>
          <w:rFonts w:asciiTheme="majorBidi" w:hAnsiTheme="majorBidi" w:cstheme="majorBidi"/>
          <w:color w:val="222222"/>
          <w:shd w:val="clear" w:color="auto" w:fill="FFFFFF"/>
        </w:rPr>
        <w:t xml:space="preserve"> It should also be noted that there were no significant differences in </w:t>
      </w:r>
      <w:r w:rsidR="00777982" w:rsidRPr="004F51D2">
        <w:rPr>
          <w:rFonts w:asciiTheme="majorBidi" w:hAnsiTheme="majorBidi" w:cstheme="majorBidi"/>
          <w:color w:val="222222"/>
          <w:shd w:val="clear" w:color="auto" w:fill="FFFFFF"/>
        </w:rPr>
        <w:t xml:space="preserve">N-MOGU </w:t>
      </w:r>
      <w:r w:rsidR="00811F8A" w:rsidRPr="004F51D2">
        <w:rPr>
          <w:rFonts w:asciiTheme="majorBidi" w:hAnsiTheme="majorBidi" w:cstheme="majorBidi"/>
          <w:color w:val="222222"/>
          <w:shd w:val="clear" w:color="auto" w:fill="FFFFFF"/>
        </w:rPr>
        <w:t>[</w:t>
      </w:r>
      <w:r w:rsidR="00811F8A" w:rsidRPr="004F51D2">
        <w:rPr>
          <w:rFonts w:asciiTheme="majorBidi" w:hAnsiTheme="majorBidi" w:cstheme="majorBidi"/>
          <w:i/>
          <w:iCs/>
          <w:color w:val="222222"/>
          <w:shd w:val="clear" w:color="auto" w:fill="FFFFFF"/>
        </w:rPr>
        <w:t>F</w:t>
      </w:r>
      <w:r w:rsidR="00811F8A" w:rsidRPr="004F51D2">
        <w:rPr>
          <w:rFonts w:asciiTheme="majorBidi" w:hAnsiTheme="majorBidi" w:cstheme="majorBidi"/>
          <w:color w:val="222222"/>
          <w:shd w:val="clear" w:color="auto" w:fill="FFFFFF"/>
        </w:rPr>
        <w:t>(</w:t>
      </w:r>
      <w:r w:rsidR="00F56BB1" w:rsidRPr="004F51D2">
        <w:rPr>
          <w:rFonts w:asciiTheme="majorBidi" w:hAnsiTheme="majorBidi" w:cstheme="majorBidi"/>
          <w:color w:val="222222"/>
          <w:shd w:val="clear" w:color="auto" w:fill="FFFFFF"/>
        </w:rPr>
        <w:t>3</w:t>
      </w:r>
      <w:r w:rsidR="00811F8A" w:rsidRPr="004F51D2">
        <w:rPr>
          <w:rFonts w:asciiTheme="majorBidi" w:hAnsiTheme="majorBidi" w:cstheme="majorBidi"/>
          <w:color w:val="222222"/>
          <w:shd w:val="clear" w:color="auto" w:fill="FFFFFF"/>
        </w:rPr>
        <w:t>,</w:t>
      </w:r>
      <w:r w:rsidR="00F56BB1" w:rsidRPr="004F51D2">
        <w:rPr>
          <w:rFonts w:asciiTheme="majorBidi" w:hAnsiTheme="majorBidi" w:cstheme="majorBidi"/>
          <w:color w:val="222222"/>
          <w:shd w:val="clear" w:color="auto" w:fill="FFFFFF"/>
        </w:rPr>
        <w:t>415</w:t>
      </w:r>
      <w:r w:rsidR="00811F8A" w:rsidRPr="004F51D2">
        <w:rPr>
          <w:rFonts w:asciiTheme="majorBidi" w:hAnsiTheme="majorBidi" w:cstheme="majorBidi"/>
          <w:color w:val="222222"/>
          <w:shd w:val="clear" w:color="auto" w:fill="FFFFFF"/>
        </w:rPr>
        <w:t xml:space="preserve">)=2.01, </w:t>
      </w:r>
      <w:r w:rsidR="00811F8A" w:rsidRPr="004F51D2">
        <w:rPr>
          <w:rFonts w:asciiTheme="majorBidi" w:hAnsiTheme="majorBidi" w:cstheme="majorBidi"/>
          <w:i/>
          <w:iCs/>
          <w:color w:val="222222"/>
          <w:shd w:val="clear" w:color="auto" w:fill="FFFFFF"/>
        </w:rPr>
        <w:t>p</w:t>
      </w:r>
      <w:r w:rsidR="00BF1B4D" w:rsidRPr="004F51D2">
        <w:rPr>
          <w:rFonts w:asciiTheme="majorBidi" w:hAnsiTheme="majorBidi" w:cstheme="majorBidi"/>
          <w:color w:val="222222"/>
          <w:shd w:val="clear" w:color="auto" w:fill="FFFFFF"/>
        </w:rPr>
        <w:t>=</w:t>
      </w:r>
      <w:r w:rsidR="00AE563F" w:rsidRPr="004F51D2">
        <w:rPr>
          <w:rFonts w:asciiTheme="majorBidi" w:hAnsiTheme="majorBidi" w:cstheme="majorBidi"/>
          <w:color w:val="222222"/>
          <w:shd w:val="clear" w:color="auto" w:fill="FFFFFF"/>
        </w:rPr>
        <w:t>0</w:t>
      </w:r>
      <w:r w:rsidR="00811F8A" w:rsidRPr="004F51D2">
        <w:rPr>
          <w:rFonts w:asciiTheme="majorBidi" w:hAnsiTheme="majorBidi" w:cstheme="majorBidi"/>
          <w:color w:val="222222"/>
          <w:shd w:val="clear" w:color="auto" w:fill="FFFFFF"/>
        </w:rPr>
        <w:t>.</w:t>
      </w:r>
      <w:r w:rsidR="00BF1B4D" w:rsidRPr="004F51D2">
        <w:rPr>
          <w:rFonts w:asciiTheme="majorBidi" w:hAnsiTheme="majorBidi" w:cstheme="majorBidi"/>
          <w:color w:val="222222"/>
          <w:shd w:val="clear" w:color="auto" w:fill="FFFFFF"/>
        </w:rPr>
        <w:t>1</w:t>
      </w:r>
      <w:r w:rsidR="00811F8A" w:rsidRPr="004F51D2">
        <w:rPr>
          <w:rFonts w:asciiTheme="majorBidi" w:hAnsiTheme="majorBidi" w:cstheme="majorBidi"/>
          <w:color w:val="222222"/>
          <w:shd w:val="clear" w:color="auto" w:fill="FFFFFF"/>
        </w:rPr>
        <w:t xml:space="preserve">1] </w:t>
      </w:r>
      <w:r w:rsidR="00777982" w:rsidRPr="004F51D2">
        <w:rPr>
          <w:rFonts w:asciiTheme="majorBidi" w:hAnsiTheme="majorBidi" w:cstheme="majorBidi"/>
          <w:color w:val="222222"/>
          <w:shd w:val="clear" w:color="auto" w:fill="FFFFFF"/>
        </w:rPr>
        <w:t>and N-MOGD</w:t>
      </w:r>
      <w:r w:rsidR="00811F8A" w:rsidRPr="004F51D2">
        <w:rPr>
          <w:rFonts w:asciiTheme="majorBidi" w:hAnsiTheme="majorBidi" w:cstheme="majorBidi"/>
          <w:color w:val="222222"/>
          <w:shd w:val="clear" w:color="auto" w:fill="FFFFFF"/>
        </w:rPr>
        <w:t xml:space="preserve"> [</w:t>
      </w:r>
      <w:r w:rsidR="00811F8A" w:rsidRPr="004F51D2">
        <w:rPr>
          <w:rFonts w:asciiTheme="majorBidi" w:hAnsiTheme="majorBidi" w:cstheme="majorBidi"/>
          <w:i/>
          <w:iCs/>
          <w:color w:val="222222"/>
          <w:shd w:val="clear" w:color="auto" w:fill="FFFFFF"/>
        </w:rPr>
        <w:t>F</w:t>
      </w:r>
      <w:r w:rsidR="00811F8A" w:rsidRPr="004F51D2">
        <w:rPr>
          <w:rFonts w:asciiTheme="majorBidi" w:hAnsiTheme="majorBidi" w:cstheme="majorBidi"/>
          <w:color w:val="222222"/>
          <w:shd w:val="clear" w:color="auto" w:fill="FFFFFF"/>
        </w:rPr>
        <w:t>(</w:t>
      </w:r>
      <w:r w:rsidR="00F56BB1" w:rsidRPr="004F51D2">
        <w:rPr>
          <w:rFonts w:asciiTheme="majorBidi" w:hAnsiTheme="majorBidi" w:cstheme="majorBidi"/>
          <w:color w:val="222222"/>
          <w:shd w:val="clear" w:color="auto" w:fill="FFFFFF"/>
        </w:rPr>
        <w:t>3</w:t>
      </w:r>
      <w:r w:rsidR="00811F8A" w:rsidRPr="004F51D2">
        <w:rPr>
          <w:rFonts w:asciiTheme="majorBidi" w:hAnsiTheme="majorBidi" w:cstheme="majorBidi"/>
          <w:color w:val="222222"/>
          <w:shd w:val="clear" w:color="auto" w:fill="FFFFFF"/>
        </w:rPr>
        <w:t>,</w:t>
      </w:r>
      <w:r w:rsidR="00F56BB1" w:rsidRPr="004F51D2">
        <w:rPr>
          <w:rFonts w:asciiTheme="majorBidi" w:hAnsiTheme="majorBidi" w:cstheme="majorBidi"/>
          <w:color w:val="222222"/>
          <w:shd w:val="clear" w:color="auto" w:fill="FFFFFF"/>
        </w:rPr>
        <w:t>415</w:t>
      </w:r>
      <w:r w:rsidR="00811F8A" w:rsidRPr="004F51D2">
        <w:rPr>
          <w:rFonts w:asciiTheme="majorBidi" w:hAnsiTheme="majorBidi" w:cstheme="majorBidi"/>
          <w:color w:val="222222"/>
          <w:shd w:val="clear" w:color="auto" w:fill="FFFFFF"/>
        </w:rPr>
        <w:t xml:space="preserve">)=1.24, </w:t>
      </w:r>
      <w:r w:rsidR="00811F8A" w:rsidRPr="004F51D2">
        <w:rPr>
          <w:rFonts w:asciiTheme="majorBidi" w:hAnsiTheme="majorBidi" w:cstheme="majorBidi"/>
          <w:i/>
          <w:iCs/>
          <w:color w:val="222222"/>
          <w:shd w:val="clear" w:color="auto" w:fill="FFFFFF"/>
        </w:rPr>
        <w:t>p</w:t>
      </w:r>
      <w:r w:rsidR="00BF1B4D" w:rsidRPr="004F51D2">
        <w:rPr>
          <w:rFonts w:asciiTheme="majorBidi" w:hAnsiTheme="majorBidi" w:cstheme="majorBidi"/>
          <w:color w:val="222222"/>
          <w:shd w:val="clear" w:color="auto" w:fill="FFFFFF"/>
        </w:rPr>
        <w:t>=</w:t>
      </w:r>
      <w:r w:rsidR="00AE563F" w:rsidRPr="004F51D2">
        <w:rPr>
          <w:rFonts w:asciiTheme="majorBidi" w:hAnsiTheme="majorBidi" w:cstheme="majorBidi"/>
          <w:color w:val="222222"/>
          <w:shd w:val="clear" w:color="auto" w:fill="FFFFFF"/>
        </w:rPr>
        <w:t>0</w:t>
      </w:r>
      <w:r w:rsidR="00811F8A" w:rsidRPr="004F51D2">
        <w:rPr>
          <w:rFonts w:asciiTheme="majorBidi" w:hAnsiTheme="majorBidi" w:cstheme="majorBidi"/>
          <w:color w:val="222222"/>
          <w:shd w:val="clear" w:color="auto" w:fill="FFFFFF"/>
        </w:rPr>
        <w:t>.</w:t>
      </w:r>
      <w:r w:rsidR="00BF1B4D" w:rsidRPr="004F51D2">
        <w:rPr>
          <w:rFonts w:asciiTheme="majorBidi" w:hAnsiTheme="majorBidi" w:cstheme="majorBidi"/>
          <w:color w:val="222222"/>
          <w:shd w:val="clear" w:color="auto" w:fill="FFFFFF"/>
        </w:rPr>
        <w:t>29</w:t>
      </w:r>
      <w:r w:rsidR="00811F8A" w:rsidRPr="004F51D2">
        <w:rPr>
          <w:rFonts w:asciiTheme="majorBidi" w:hAnsiTheme="majorBidi" w:cstheme="majorBidi"/>
          <w:color w:val="222222"/>
          <w:shd w:val="clear" w:color="auto" w:fill="FFFFFF"/>
        </w:rPr>
        <w:t>]</w:t>
      </w:r>
      <w:r w:rsidR="00D15CCE" w:rsidRPr="004F51D2">
        <w:rPr>
          <w:rFonts w:asciiTheme="majorBidi" w:hAnsiTheme="majorBidi" w:cstheme="majorBidi"/>
          <w:color w:val="222222"/>
          <w:shd w:val="clear" w:color="auto" w:fill="FFFFFF"/>
        </w:rPr>
        <w:t xml:space="preserve"> stratifying the sample for </w:t>
      </w:r>
      <w:r w:rsidR="00777982" w:rsidRPr="004F51D2">
        <w:rPr>
          <w:rFonts w:asciiTheme="majorBidi" w:hAnsiTheme="majorBidi" w:cstheme="majorBidi"/>
          <w:color w:val="222222"/>
          <w:shd w:val="clear" w:color="auto" w:fill="FFFFFF"/>
        </w:rPr>
        <w:t>t</w:t>
      </w:r>
      <w:r w:rsidR="00D15CCE" w:rsidRPr="004F51D2">
        <w:rPr>
          <w:rFonts w:asciiTheme="majorBidi" w:hAnsiTheme="majorBidi" w:cstheme="majorBidi"/>
          <w:color w:val="222222"/>
          <w:shd w:val="clear" w:color="auto" w:fill="FFFFFF"/>
        </w:rPr>
        <w:t>ype of game.</w:t>
      </w:r>
      <w:r w:rsidRPr="004F51D2">
        <w:rPr>
          <w:rFonts w:asciiTheme="majorBidi" w:hAnsiTheme="majorBidi" w:cstheme="majorBidi"/>
          <w:color w:val="222222"/>
          <w:shd w:val="clear" w:color="auto" w:fill="FFFFFF"/>
        </w:rPr>
        <w:t xml:space="preserve"> Furthermore</w:t>
      </w:r>
      <w:r w:rsidR="00BE6103" w:rsidRPr="004F51D2">
        <w:rPr>
          <w:rFonts w:asciiTheme="majorBidi" w:hAnsiTheme="majorBidi" w:cstheme="majorBidi"/>
          <w:color w:val="222222"/>
          <w:shd w:val="clear" w:color="auto" w:fill="FFFFFF"/>
        </w:rPr>
        <w:t xml:space="preserve"> </w:t>
      </w:r>
      <w:r w:rsidR="00886D2B" w:rsidRPr="004F51D2">
        <w:rPr>
          <w:rFonts w:asciiTheme="majorBidi" w:hAnsiTheme="majorBidi" w:cstheme="majorBidi"/>
          <w:color w:val="222222"/>
          <w:shd w:val="clear" w:color="auto" w:fill="FFFFFF"/>
        </w:rPr>
        <w:t xml:space="preserve">the results </w:t>
      </w:r>
      <w:r w:rsidR="00BE6103" w:rsidRPr="004F51D2">
        <w:rPr>
          <w:rFonts w:asciiTheme="majorBidi" w:hAnsiTheme="majorBidi" w:cstheme="majorBidi"/>
          <w:color w:val="222222"/>
          <w:shd w:val="clear" w:color="auto" w:fill="FFFFFF"/>
        </w:rPr>
        <w:t>showed that</w:t>
      </w:r>
      <w:r w:rsidR="005849B9" w:rsidRPr="004F51D2">
        <w:rPr>
          <w:rFonts w:asciiTheme="majorBidi" w:hAnsiTheme="majorBidi" w:cstheme="majorBidi"/>
          <w:color w:val="222222"/>
          <w:shd w:val="clear" w:color="auto" w:fill="FFFFFF"/>
        </w:rPr>
        <w:t xml:space="preserve"> the interaction between</w:t>
      </w:r>
      <w:r w:rsidR="005849B9" w:rsidRPr="004F51D2">
        <w:rPr>
          <w:rFonts w:ascii="Times New Roman" w:eastAsia="Calibri" w:hAnsi="Times New Roman" w:cs="Times New Roman"/>
          <w:color w:val="000000"/>
          <w:sz w:val="24"/>
          <w:szCs w:val="24"/>
        </w:rPr>
        <w:t xml:space="preserve"> tools of </w:t>
      </w:r>
      <w:r w:rsidR="00886D2B" w:rsidRPr="004F51D2">
        <w:rPr>
          <w:rFonts w:ascii="Times New Roman" w:eastAsia="Calibri" w:hAnsi="Times New Roman" w:cs="Times New Roman"/>
          <w:color w:val="000000"/>
          <w:sz w:val="24"/>
          <w:szCs w:val="24"/>
        </w:rPr>
        <w:t xml:space="preserve">gaming </w:t>
      </w:r>
      <w:r w:rsidR="005849B9" w:rsidRPr="004F51D2">
        <w:rPr>
          <w:rFonts w:ascii="Times New Roman" w:eastAsia="Calibri" w:hAnsi="Times New Roman" w:cs="Times New Roman"/>
          <w:color w:val="000000"/>
          <w:sz w:val="24"/>
          <w:szCs w:val="24"/>
        </w:rPr>
        <w:t xml:space="preserve">with </w:t>
      </w:r>
      <w:r w:rsidR="005849B9" w:rsidRPr="004F51D2">
        <w:rPr>
          <w:rFonts w:ascii="Times New Roman" w:hAnsi="Times New Roman" w:cs="Times New Roman"/>
          <w:sz w:val="24"/>
          <w:szCs w:val="24"/>
        </w:rPr>
        <w:t>P-</w:t>
      </w:r>
      <w:r w:rsidR="005849B9" w:rsidRPr="004F51D2">
        <w:rPr>
          <w:rFonts w:ascii="Times New Roman" w:hAnsi="Times New Roman" w:cs="Times New Roman"/>
          <w:color w:val="000000" w:themeColor="text1"/>
          <w:sz w:val="24"/>
          <w:szCs w:val="24"/>
        </w:rPr>
        <w:t xml:space="preserve">MOG </w:t>
      </w:r>
      <w:r w:rsidR="00BF1B4D" w:rsidRPr="004F51D2">
        <w:rPr>
          <w:rFonts w:ascii="Times New Roman" w:eastAsia="Calibri" w:hAnsi="Times New Roman" w:cs="Times New Roman"/>
          <w:color w:val="000000"/>
          <w:sz w:val="24"/>
          <w:szCs w:val="24"/>
        </w:rPr>
        <w:t>[</w:t>
      </w:r>
      <w:r w:rsidR="00BF1B4D" w:rsidRPr="004F51D2">
        <w:rPr>
          <w:rFonts w:ascii="Times New Roman" w:eastAsia="Calibri" w:hAnsi="Times New Roman" w:cs="Times New Roman"/>
          <w:i/>
          <w:iCs/>
          <w:color w:val="000000"/>
          <w:sz w:val="24"/>
          <w:szCs w:val="24"/>
        </w:rPr>
        <w:t>F</w:t>
      </w:r>
      <w:r w:rsidR="00BF1B4D" w:rsidRPr="004F51D2">
        <w:rPr>
          <w:rFonts w:ascii="Times New Roman" w:eastAsia="Calibri" w:hAnsi="Times New Roman" w:cs="Times New Roman"/>
          <w:color w:val="000000"/>
          <w:sz w:val="24"/>
          <w:szCs w:val="24"/>
        </w:rPr>
        <w:t>(</w:t>
      </w:r>
      <w:r w:rsidR="00F56BB1" w:rsidRPr="004F51D2">
        <w:rPr>
          <w:rFonts w:ascii="Times New Roman" w:eastAsia="Calibri" w:hAnsi="Times New Roman" w:cs="Times New Roman"/>
          <w:color w:val="000000"/>
          <w:sz w:val="24"/>
          <w:szCs w:val="24"/>
        </w:rPr>
        <w:t>3</w:t>
      </w:r>
      <w:r w:rsidR="00BF1B4D" w:rsidRPr="004F51D2">
        <w:rPr>
          <w:rFonts w:ascii="Times New Roman" w:eastAsia="Calibri" w:hAnsi="Times New Roman" w:cs="Times New Roman"/>
          <w:color w:val="000000"/>
          <w:sz w:val="24"/>
          <w:szCs w:val="24"/>
        </w:rPr>
        <w:t>,</w:t>
      </w:r>
      <w:r w:rsidR="00F56BB1" w:rsidRPr="004F51D2">
        <w:rPr>
          <w:rFonts w:ascii="Times New Roman" w:eastAsia="Calibri" w:hAnsi="Times New Roman" w:cs="Times New Roman"/>
          <w:color w:val="000000"/>
          <w:sz w:val="24"/>
          <w:szCs w:val="24"/>
        </w:rPr>
        <w:t>415</w:t>
      </w:r>
      <w:r w:rsidR="00BF1B4D" w:rsidRPr="004F51D2">
        <w:rPr>
          <w:rFonts w:ascii="Times New Roman" w:eastAsia="Calibri" w:hAnsi="Times New Roman" w:cs="Times New Roman"/>
          <w:color w:val="000000"/>
          <w:sz w:val="24"/>
          <w:szCs w:val="24"/>
        </w:rPr>
        <w:t xml:space="preserve">)=9.05, </w:t>
      </w:r>
      <w:r w:rsidR="00BF1B4D" w:rsidRPr="004F51D2">
        <w:rPr>
          <w:rFonts w:ascii="Times New Roman" w:eastAsia="Calibri" w:hAnsi="Times New Roman" w:cs="Times New Roman"/>
          <w:i/>
          <w:iCs/>
          <w:color w:val="000000"/>
          <w:sz w:val="24"/>
          <w:szCs w:val="24"/>
        </w:rPr>
        <w:t>p</w:t>
      </w:r>
      <w:r w:rsidR="00BF1B4D" w:rsidRPr="004F51D2">
        <w:rPr>
          <w:rFonts w:ascii="Times New Roman" w:eastAsia="Calibri" w:hAnsi="Times New Roman" w:cs="Times New Roman"/>
          <w:color w:val="000000"/>
          <w:sz w:val="24"/>
          <w:szCs w:val="24"/>
        </w:rPr>
        <w:t>&lt;</w:t>
      </w:r>
      <w:r w:rsidR="00AE563F" w:rsidRPr="004F51D2">
        <w:rPr>
          <w:rFonts w:ascii="Times New Roman" w:eastAsia="Calibri" w:hAnsi="Times New Roman" w:cs="Times New Roman"/>
          <w:color w:val="000000"/>
          <w:sz w:val="24"/>
          <w:szCs w:val="24"/>
        </w:rPr>
        <w:t>0</w:t>
      </w:r>
      <w:r w:rsidR="00BF1B4D" w:rsidRPr="004F51D2">
        <w:rPr>
          <w:rFonts w:ascii="Times New Roman" w:eastAsia="Calibri" w:hAnsi="Times New Roman" w:cs="Times New Roman"/>
          <w:color w:val="000000"/>
          <w:sz w:val="24"/>
          <w:szCs w:val="24"/>
        </w:rPr>
        <w:t xml:space="preserve">.001] </w:t>
      </w:r>
      <w:r w:rsidR="005849B9" w:rsidRPr="004F51D2">
        <w:rPr>
          <w:rFonts w:ascii="Times New Roman" w:hAnsi="Times New Roman" w:cs="Times New Roman"/>
          <w:color w:val="000000" w:themeColor="text1"/>
          <w:sz w:val="24"/>
          <w:szCs w:val="24"/>
        </w:rPr>
        <w:t>and N-</w:t>
      </w:r>
      <w:r w:rsidR="005849B9" w:rsidRPr="004F51D2">
        <w:rPr>
          <w:rFonts w:ascii="Times New Roman" w:hAnsi="Times New Roman" w:cs="Times New Roman"/>
          <w:sz w:val="24"/>
          <w:szCs w:val="24"/>
        </w:rPr>
        <w:t xml:space="preserve">MOGU </w:t>
      </w:r>
      <w:r w:rsidR="00BF1B4D" w:rsidRPr="004F51D2">
        <w:rPr>
          <w:rFonts w:ascii="Times New Roman" w:eastAsia="Calibri" w:hAnsi="Times New Roman" w:cs="Times New Roman"/>
          <w:color w:val="000000"/>
          <w:sz w:val="24"/>
          <w:szCs w:val="24"/>
        </w:rPr>
        <w:t>[</w:t>
      </w:r>
      <w:r w:rsidR="00BF1B4D" w:rsidRPr="004F51D2">
        <w:rPr>
          <w:rFonts w:ascii="Times New Roman" w:eastAsia="Calibri" w:hAnsi="Times New Roman" w:cs="Times New Roman"/>
          <w:i/>
          <w:iCs/>
          <w:color w:val="000000"/>
          <w:sz w:val="24"/>
          <w:szCs w:val="24"/>
        </w:rPr>
        <w:t>F</w:t>
      </w:r>
      <w:r w:rsidR="00BF1B4D" w:rsidRPr="004F51D2">
        <w:rPr>
          <w:rFonts w:ascii="Times New Roman" w:eastAsia="Calibri" w:hAnsi="Times New Roman" w:cs="Times New Roman"/>
          <w:color w:val="000000"/>
          <w:sz w:val="24"/>
          <w:szCs w:val="24"/>
        </w:rPr>
        <w:t>(</w:t>
      </w:r>
      <w:r w:rsidR="00F56BB1" w:rsidRPr="004F51D2">
        <w:rPr>
          <w:rFonts w:ascii="Times New Roman" w:eastAsia="Calibri" w:hAnsi="Times New Roman" w:cs="Times New Roman"/>
          <w:color w:val="000000"/>
          <w:sz w:val="24"/>
          <w:szCs w:val="24"/>
        </w:rPr>
        <w:t>3</w:t>
      </w:r>
      <w:r w:rsidR="00BF1B4D" w:rsidRPr="004F51D2">
        <w:rPr>
          <w:rFonts w:ascii="Times New Roman" w:eastAsia="Calibri" w:hAnsi="Times New Roman" w:cs="Times New Roman"/>
          <w:color w:val="000000"/>
          <w:sz w:val="24"/>
          <w:szCs w:val="24"/>
        </w:rPr>
        <w:t>,</w:t>
      </w:r>
      <w:r w:rsidR="00F56BB1" w:rsidRPr="004F51D2">
        <w:rPr>
          <w:rFonts w:ascii="Times New Roman" w:eastAsia="Calibri" w:hAnsi="Times New Roman" w:cs="Times New Roman"/>
          <w:color w:val="000000"/>
          <w:sz w:val="24"/>
          <w:szCs w:val="24"/>
        </w:rPr>
        <w:t>415</w:t>
      </w:r>
      <w:r w:rsidR="00BF1B4D" w:rsidRPr="004F51D2">
        <w:rPr>
          <w:rFonts w:ascii="Times New Roman" w:eastAsia="Calibri" w:hAnsi="Times New Roman" w:cs="Times New Roman"/>
          <w:color w:val="000000"/>
          <w:sz w:val="24"/>
          <w:szCs w:val="24"/>
        </w:rPr>
        <w:t xml:space="preserve">)=4.38, </w:t>
      </w:r>
      <w:r w:rsidR="00BF1B4D" w:rsidRPr="004F51D2">
        <w:rPr>
          <w:rFonts w:ascii="Times New Roman" w:eastAsia="Calibri" w:hAnsi="Times New Roman" w:cs="Times New Roman"/>
          <w:i/>
          <w:iCs/>
          <w:color w:val="000000"/>
          <w:sz w:val="24"/>
          <w:szCs w:val="24"/>
        </w:rPr>
        <w:t>p</w:t>
      </w:r>
      <w:r w:rsidR="00BF1B4D" w:rsidRPr="004F51D2">
        <w:rPr>
          <w:rFonts w:ascii="Times New Roman" w:eastAsia="Calibri" w:hAnsi="Times New Roman" w:cs="Times New Roman"/>
          <w:color w:val="000000"/>
          <w:sz w:val="24"/>
          <w:szCs w:val="24"/>
        </w:rPr>
        <w:t>&lt;</w:t>
      </w:r>
      <w:r w:rsidR="00AE563F" w:rsidRPr="004F51D2">
        <w:rPr>
          <w:rFonts w:ascii="Times New Roman" w:eastAsia="Calibri" w:hAnsi="Times New Roman" w:cs="Times New Roman"/>
          <w:color w:val="000000"/>
          <w:sz w:val="24"/>
          <w:szCs w:val="24"/>
        </w:rPr>
        <w:t>0</w:t>
      </w:r>
      <w:r w:rsidR="00BF1B4D" w:rsidRPr="004F51D2">
        <w:rPr>
          <w:rFonts w:ascii="Times New Roman" w:eastAsia="Calibri" w:hAnsi="Times New Roman" w:cs="Times New Roman"/>
          <w:color w:val="000000"/>
          <w:sz w:val="24"/>
          <w:szCs w:val="24"/>
        </w:rPr>
        <w:t xml:space="preserve">.001] </w:t>
      </w:r>
      <w:r w:rsidR="005849B9" w:rsidRPr="004F51D2">
        <w:rPr>
          <w:rFonts w:ascii="Times New Roman" w:hAnsi="Times New Roman" w:cs="Times New Roman"/>
          <w:sz w:val="24"/>
          <w:szCs w:val="24"/>
        </w:rPr>
        <w:t>was significant.</w:t>
      </w:r>
      <w:r w:rsidR="005849B9" w:rsidRPr="004F51D2">
        <w:rPr>
          <w:rFonts w:ascii="Times New Roman" w:hAnsi="Times New Roman" w:cs="Times New Roman"/>
          <w:color w:val="000000" w:themeColor="text1"/>
          <w:sz w:val="24"/>
          <w:szCs w:val="24"/>
        </w:rPr>
        <w:t xml:space="preserve"> </w:t>
      </w:r>
      <w:r w:rsidR="005849B9" w:rsidRPr="004F51D2">
        <w:rPr>
          <w:rFonts w:ascii="Times New Roman" w:eastAsia="Calibri" w:hAnsi="Times New Roman" w:cs="Times New Roman"/>
          <w:color w:val="000000"/>
          <w:sz w:val="24"/>
          <w:szCs w:val="24"/>
        </w:rPr>
        <w:t>Among the gaming tools, computer</w:t>
      </w:r>
      <w:r w:rsidR="00F56BB1" w:rsidRPr="004F51D2">
        <w:rPr>
          <w:rFonts w:ascii="Times New Roman" w:eastAsia="Calibri" w:hAnsi="Times New Roman" w:cs="Times New Roman"/>
          <w:color w:val="000000"/>
          <w:sz w:val="24"/>
          <w:szCs w:val="24"/>
        </w:rPr>
        <w:t xml:space="preserve"> </w:t>
      </w:r>
      <w:r w:rsidR="00886D2B" w:rsidRPr="004F51D2">
        <w:rPr>
          <w:rFonts w:ascii="Times New Roman" w:eastAsia="Calibri" w:hAnsi="Times New Roman" w:cs="Times New Roman"/>
          <w:color w:val="000000"/>
          <w:sz w:val="24"/>
          <w:szCs w:val="24"/>
        </w:rPr>
        <w:t xml:space="preserve">games </w:t>
      </w:r>
      <w:r w:rsidR="00F56BB1" w:rsidRPr="004F51D2">
        <w:rPr>
          <w:rFonts w:ascii="Times New Roman" w:eastAsia="Calibri" w:hAnsi="Times New Roman" w:cs="Times New Roman"/>
          <w:color w:val="000000"/>
          <w:sz w:val="24"/>
          <w:szCs w:val="24"/>
        </w:rPr>
        <w:t>on</w:t>
      </w:r>
      <w:r w:rsidR="005849B9" w:rsidRPr="004F51D2">
        <w:rPr>
          <w:rFonts w:ascii="Times New Roman" w:eastAsia="Calibri" w:hAnsi="Times New Roman" w:cs="Times New Roman"/>
          <w:color w:val="000000"/>
          <w:sz w:val="24"/>
          <w:szCs w:val="24"/>
        </w:rPr>
        <w:t xml:space="preserve"> </w:t>
      </w:r>
      <w:r w:rsidR="005849B9" w:rsidRPr="004F51D2">
        <w:rPr>
          <w:rFonts w:ascii="Times New Roman" w:hAnsi="Times New Roman" w:cs="Times New Roman"/>
          <w:color w:val="000000" w:themeColor="text1"/>
          <w:sz w:val="24"/>
          <w:szCs w:val="24"/>
        </w:rPr>
        <w:t>N-</w:t>
      </w:r>
      <w:r w:rsidR="005849B9" w:rsidRPr="004F51D2">
        <w:rPr>
          <w:rFonts w:ascii="Times New Roman" w:hAnsi="Times New Roman" w:cs="Times New Roman"/>
          <w:sz w:val="24"/>
          <w:szCs w:val="24"/>
        </w:rPr>
        <w:t>MOGU</w:t>
      </w:r>
      <w:r w:rsidR="005849B9" w:rsidRPr="004F51D2">
        <w:rPr>
          <w:rFonts w:ascii="Times New Roman" w:eastAsia="Calibri" w:hAnsi="Times New Roman" w:cs="Times New Roman"/>
          <w:color w:val="000000"/>
          <w:sz w:val="24"/>
          <w:szCs w:val="24"/>
        </w:rPr>
        <w:t xml:space="preserve"> and computer and console</w:t>
      </w:r>
      <w:r w:rsidR="00F56BB1" w:rsidRPr="004F51D2">
        <w:rPr>
          <w:rFonts w:ascii="Times New Roman" w:eastAsia="Calibri" w:hAnsi="Times New Roman" w:cs="Times New Roman"/>
          <w:color w:val="000000"/>
          <w:sz w:val="24"/>
          <w:szCs w:val="24"/>
        </w:rPr>
        <w:t xml:space="preserve"> games</w:t>
      </w:r>
      <w:r w:rsidR="005849B9" w:rsidRPr="004F51D2">
        <w:rPr>
          <w:rFonts w:ascii="Times New Roman" w:eastAsia="Calibri" w:hAnsi="Times New Roman" w:cs="Times New Roman"/>
          <w:color w:val="000000"/>
          <w:sz w:val="24"/>
          <w:szCs w:val="24"/>
        </w:rPr>
        <w:t xml:space="preserve"> </w:t>
      </w:r>
      <w:r w:rsidR="00F56BB1" w:rsidRPr="004F51D2">
        <w:rPr>
          <w:rFonts w:ascii="Times New Roman" w:eastAsia="Calibri" w:hAnsi="Times New Roman" w:cs="Times New Roman"/>
          <w:color w:val="000000"/>
          <w:sz w:val="24"/>
          <w:szCs w:val="24"/>
        </w:rPr>
        <w:t>on</w:t>
      </w:r>
      <w:r w:rsidR="005849B9" w:rsidRPr="004F51D2">
        <w:rPr>
          <w:rFonts w:ascii="Times New Roman" w:eastAsia="Calibri" w:hAnsi="Times New Roman" w:cs="Times New Roman"/>
          <w:color w:val="000000"/>
          <w:sz w:val="24"/>
          <w:szCs w:val="24"/>
        </w:rPr>
        <w:t xml:space="preserve"> </w:t>
      </w:r>
      <w:r w:rsidR="005849B9" w:rsidRPr="004F51D2">
        <w:rPr>
          <w:rFonts w:ascii="Times New Roman" w:hAnsi="Times New Roman" w:cs="Times New Roman"/>
          <w:sz w:val="24"/>
          <w:szCs w:val="24"/>
        </w:rPr>
        <w:t>P-</w:t>
      </w:r>
      <w:r w:rsidR="005849B9" w:rsidRPr="004F51D2">
        <w:rPr>
          <w:rFonts w:ascii="Times New Roman" w:hAnsi="Times New Roman" w:cs="Times New Roman"/>
          <w:color w:val="000000" w:themeColor="text1"/>
          <w:sz w:val="24"/>
          <w:szCs w:val="24"/>
        </w:rPr>
        <w:t>MOG</w:t>
      </w:r>
      <w:r w:rsidR="005849B9" w:rsidRPr="004F51D2">
        <w:rPr>
          <w:rFonts w:ascii="Times New Roman" w:eastAsia="Calibri" w:hAnsi="Times New Roman" w:cs="Times New Roman"/>
          <w:color w:val="000000"/>
          <w:sz w:val="24"/>
          <w:szCs w:val="24"/>
        </w:rPr>
        <w:t xml:space="preserve"> </w:t>
      </w:r>
      <w:r w:rsidR="00F56BB1" w:rsidRPr="004F51D2">
        <w:rPr>
          <w:rFonts w:ascii="Times New Roman" w:eastAsia="Calibri" w:hAnsi="Times New Roman" w:cs="Times New Roman"/>
          <w:color w:val="000000"/>
          <w:sz w:val="24"/>
          <w:szCs w:val="24"/>
        </w:rPr>
        <w:t xml:space="preserve">were </w:t>
      </w:r>
      <w:r w:rsidR="00F56BB1" w:rsidRPr="004F51D2">
        <w:rPr>
          <w:rFonts w:asciiTheme="majorBidi" w:hAnsiTheme="majorBidi" w:cstheme="majorBidi"/>
          <w:color w:val="222222"/>
          <w:shd w:val="clear" w:color="auto" w:fill="FFFFFF"/>
        </w:rPr>
        <w:t xml:space="preserve">significantly higher than tools of </w:t>
      </w:r>
      <w:r w:rsidR="00886D2B" w:rsidRPr="004F51D2">
        <w:rPr>
          <w:rFonts w:asciiTheme="majorBidi" w:hAnsiTheme="majorBidi" w:cstheme="majorBidi"/>
          <w:color w:val="222222"/>
          <w:shd w:val="clear" w:color="auto" w:fill="FFFFFF"/>
        </w:rPr>
        <w:t xml:space="preserve">gaming </w:t>
      </w:r>
      <w:r w:rsidR="00F56BB1" w:rsidRPr="004F51D2">
        <w:rPr>
          <w:rFonts w:asciiTheme="majorBidi" w:hAnsiTheme="majorBidi" w:cstheme="majorBidi"/>
          <w:color w:val="222222"/>
          <w:shd w:val="clear" w:color="auto" w:fill="FFFFFF"/>
        </w:rPr>
        <w:t xml:space="preserve">on </w:t>
      </w:r>
      <w:r w:rsidR="00886D2B" w:rsidRPr="004F51D2">
        <w:rPr>
          <w:rFonts w:asciiTheme="majorBidi" w:hAnsiTheme="majorBidi" w:cstheme="majorBidi"/>
          <w:color w:val="222222"/>
          <w:shd w:val="clear" w:color="auto" w:fill="FFFFFF"/>
        </w:rPr>
        <w:t xml:space="preserve">these </w:t>
      </w:r>
      <w:r w:rsidR="00F56BB1" w:rsidRPr="004F51D2">
        <w:rPr>
          <w:rFonts w:asciiTheme="majorBidi" w:hAnsiTheme="majorBidi" w:cstheme="majorBidi"/>
          <w:color w:val="222222"/>
          <w:shd w:val="clear" w:color="auto" w:fill="FFFFFF"/>
        </w:rPr>
        <w:t xml:space="preserve">two factors of </w:t>
      </w:r>
      <w:r w:rsidR="00886D2B" w:rsidRPr="004F51D2">
        <w:rPr>
          <w:rFonts w:asciiTheme="majorBidi" w:hAnsiTheme="majorBidi" w:cstheme="majorBidi"/>
          <w:color w:val="222222"/>
          <w:shd w:val="clear" w:color="auto" w:fill="FFFFFF"/>
        </w:rPr>
        <w:t xml:space="preserve">the </w:t>
      </w:r>
      <w:r w:rsidR="00F56BB1" w:rsidRPr="004F51D2">
        <w:rPr>
          <w:rFonts w:asciiTheme="majorBidi" w:hAnsiTheme="majorBidi" w:cstheme="majorBidi"/>
          <w:color w:val="222222"/>
          <w:shd w:val="clear" w:color="auto" w:fill="FFFFFF"/>
        </w:rPr>
        <w:t>MOGS.</w:t>
      </w:r>
    </w:p>
    <w:p w14:paraId="7406321F" w14:textId="56DF605D" w:rsidR="00C91D3D" w:rsidRPr="004F51D2" w:rsidRDefault="00886D2B" w:rsidP="00C91D3D">
      <w:pPr>
        <w:bidi w:val="0"/>
        <w:spacing w:after="0" w:line="480" w:lineRule="auto"/>
        <w:ind w:firstLine="720"/>
        <w:jc w:val="both"/>
        <w:rPr>
          <w:rFonts w:ascii="Times New Roman" w:eastAsia="Calibri" w:hAnsi="Times New Roman" w:cs="Times New Roman"/>
          <w:color w:val="000000"/>
          <w:sz w:val="24"/>
          <w:szCs w:val="24"/>
        </w:rPr>
      </w:pPr>
      <w:r w:rsidRPr="004F51D2">
        <w:rPr>
          <w:rFonts w:ascii="Times New Roman" w:eastAsia="Calibri" w:hAnsi="Times New Roman" w:cs="Times New Roman"/>
          <w:color w:val="000000"/>
          <w:sz w:val="24"/>
          <w:szCs w:val="24"/>
        </w:rPr>
        <w:t>Moreover</w:t>
      </w:r>
      <w:r w:rsidR="00BF1B4D" w:rsidRPr="004F51D2">
        <w:rPr>
          <w:rFonts w:ascii="Times New Roman" w:eastAsia="Calibri" w:hAnsi="Times New Roman" w:cs="Times New Roman"/>
          <w:color w:val="000000"/>
          <w:sz w:val="24"/>
          <w:szCs w:val="24"/>
        </w:rPr>
        <w:t>, the results of analysis of variance for</w:t>
      </w:r>
      <w:r w:rsidR="00956B07" w:rsidRPr="004F51D2">
        <w:rPr>
          <w:rFonts w:ascii="Times New Roman" w:eastAsia="Calibri" w:hAnsi="Times New Roman" w:cs="Times New Roman"/>
          <w:color w:val="000000"/>
          <w:sz w:val="24"/>
          <w:szCs w:val="24"/>
        </w:rPr>
        <w:t xml:space="preserve"> </w:t>
      </w:r>
      <w:r w:rsidR="00BF1B4D" w:rsidRPr="004F51D2">
        <w:rPr>
          <w:rFonts w:ascii="Times New Roman" w:eastAsia="Calibri" w:hAnsi="Times New Roman" w:cs="Times New Roman"/>
          <w:color w:val="000000"/>
          <w:sz w:val="24"/>
          <w:szCs w:val="24"/>
        </w:rPr>
        <w:t>explor</w:t>
      </w:r>
      <w:r w:rsidR="0041665F" w:rsidRPr="004F51D2">
        <w:rPr>
          <w:rFonts w:ascii="Times New Roman" w:eastAsia="Calibri" w:hAnsi="Times New Roman" w:cs="Times New Roman"/>
          <w:color w:val="000000"/>
          <w:sz w:val="24"/>
          <w:szCs w:val="24"/>
        </w:rPr>
        <w:t>ing</w:t>
      </w:r>
      <w:r w:rsidR="00BF1B4D" w:rsidRPr="004F51D2">
        <w:rPr>
          <w:rFonts w:ascii="Times New Roman" w:eastAsia="Calibri" w:hAnsi="Times New Roman" w:cs="Times New Roman"/>
          <w:color w:val="000000"/>
          <w:sz w:val="24"/>
          <w:szCs w:val="24"/>
        </w:rPr>
        <w:t xml:space="preserve"> group differences in motives for online gaming on </w:t>
      </w:r>
      <w:r w:rsidR="00AD35D5" w:rsidRPr="004F51D2">
        <w:rPr>
          <w:rFonts w:ascii="Times New Roman" w:eastAsia="Calibri" w:hAnsi="Times New Roman" w:cs="Times New Roman"/>
          <w:color w:val="000000"/>
          <w:sz w:val="24"/>
          <w:szCs w:val="24"/>
        </w:rPr>
        <w:t xml:space="preserve">types of </w:t>
      </w:r>
      <w:r w:rsidRPr="004F51D2">
        <w:rPr>
          <w:rFonts w:ascii="Times New Roman" w:eastAsia="Calibri" w:hAnsi="Times New Roman" w:cs="Times New Roman"/>
          <w:color w:val="000000"/>
          <w:sz w:val="24"/>
          <w:szCs w:val="24"/>
        </w:rPr>
        <w:t xml:space="preserve">game </w:t>
      </w:r>
      <w:r w:rsidR="00BF1B4D" w:rsidRPr="004F51D2">
        <w:rPr>
          <w:rFonts w:ascii="Times New Roman" w:eastAsia="Calibri" w:hAnsi="Times New Roman" w:cs="Times New Roman"/>
          <w:color w:val="000000"/>
          <w:sz w:val="24"/>
          <w:szCs w:val="24"/>
        </w:rPr>
        <w:t>revealed that</w:t>
      </w:r>
      <w:r w:rsidR="00AD35D5" w:rsidRPr="004F51D2">
        <w:rPr>
          <w:rFonts w:ascii="Times New Roman" w:eastAsia="Calibri" w:hAnsi="Times New Roman" w:cs="Times New Roman"/>
          <w:color w:val="000000"/>
          <w:sz w:val="24"/>
          <w:szCs w:val="24"/>
        </w:rPr>
        <w:t xml:space="preserve"> </w:t>
      </w:r>
      <w:r w:rsidRPr="004F51D2">
        <w:rPr>
          <w:rFonts w:asciiTheme="majorBidi" w:hAnsiTheme="majorBidi" w:cstheme="majorBidi"/>
          <w:color w:val="222222"/>
          <w:shd w:val="clear" w:color="auto" w:fill="FFFFFF"/>
        </w:rPr>
        <w:t xml:space="preserve">an </w:t>
      </w:r>
      <w:r w:rsidR="00AD35D5" w:rsidRPr="004F51D2">
        <w:rPr>
          <w:rFonts w:asciiTheme="majorBidi" w:hAnsiTheme="majorBidi" w:cstheme="majorBidi"/>
          <w:color w:val="222222"/>
          <w:shd w:val="clear" w:color="auto" w:fill="FFFFFF"/>
        </w:rPr>
        <w:t>interaction between</w:t>
      </w:r>
      <w:r w:rsidR="00AD35D5" w:rsidRPr="004F51D2">
        <w:rPr>
          <w:rFonts w:ascii="Times New Roman" w:eastAsia="Calibri" w:hAnsi="Times New Roman" w:cs="Times New Roman"/>
          <w:color w:val="000000"/>
          <w:sz w:val="24"/>
          <w:szCs w:val="24"/>
        </w:rPr>
        <w:t xml:space="preserve"> </w:t>
      </w:r>
      <w:r w:rsidR="0041665F" w:rsidRPr="004F51D2">
        <w:rPr>
          <w:rFonts w:ascii="Times New Roman" w:hAnsi="Times New Roman" w:cs="Times New Roman"/>
          <w:sz w:val="24"/>
          <w:szCs w:val="24"/>
        </w:rPr>
        <w:t>types of game</w:t>
      </w:r>
      <w:r w:rsidR="0041665F" w:rsidRPr="004F51D2">
        <w:rPr>
          <w:rFonts w:ascii="Times New Roman" w:hAnsi="Times New Roman" w:cs="Times New Roman"/>
          <w:color w:val="000000" w:themeColor="text1"/>
          <w:sz w:val="24"/>
          <w:szCs w:val="24"/>
        </w:rPr>
        <w:t xml:space="preserve"> with </w:t>
      </w:r>
      <w:r w:rsidR="00F56BB1" w:rsidRPr="004F51D2">
        <w:rPr>
          <w:rFonts w:ascii="Times New Roman" w:hAnsi="Times New Roman" w:cs="Times New Roman"/>
          <w:color w:val="000000" w:themeColor="text1"/>
          <w:sz w:val="24"/>
          <w:szCs w:val="24"/>
        </w:rPr>
        <w:t>some motives</w:t>
      </w:r>
      <w:r w:rsidR="0033727E" w:rsidRPr="004F51D2">
        <w:rPr>
          <w:rFonts w:ascii="Times New Roman" w:hAnsi="Times New Roman" w:cs="Times New Roman"/>
          <w:color w:val="000000" w:themeColor="text1"/>
          <w:sz w:val="24"/>
          <w:szCs w:val="24"/>
        </w:rPr>
        <w:t>,</w:t>
      </w:r>
      <w:r w:rsidR="00F56BB1" w:rsidRPr="004F51D2">
        <w:rPr>
          <w:rFonts w:ascii="Times New Roman" w:hAnsi="Times New Roman" w:cs="Times New Roman"/>
          <w:color w:val="000000" w:themeColor="text1"/>
          <w:sz w:val="24"/>
          <w:szCs w:val="24"/>
        </w:rPr>
        <w:t xml:space="preserve"> </w:t>
      </w:r>
      <w:r w:rsidR="0033727E" w:rsidRPr="004F51D2">
        <w:rPr>
          <w:rFonts w:ascii="Times New Roman" w:hAnsi="Times New Roman" w:cs="Times New Roman"/>
          <w:color w:val="000000" w:themeColor="text1"/>
          <w:sz w:val="24"/>
          <w:szCs w:val="24"/>
        </w:rPr>
        <w:t xml:space="preserve">such as </w:t>
      </w:r>
      <w:r w:rsidR="0041665F" w:rsidRPr="004F51D2">
        <w:rPr>
          <w:rFonts w:ascii="Times New Roman" w:hAnsi="Times New Roman" w:cs="Times New Roman"/>
          <w:sz w:val="24"/>
          <w:szCs w:val="24"/>
        </w:rPr>
        <w:t xml:space="preserve">competition </w:t>
      </w:r>
      <w:r w:rsidR="0041665F" w:rsidRPr="004F51D2">
        <w:rPr>
          <w:rFonts w:ascii="Times New Roman" w:eastAsia="Calibri" w:hAnsi="Times New Roman" w:cs="Times New Roman"/>
          <w:color w:val="000000"/>
          <w:sz w:val="24"/>
          <w:szCs w:val="24"/>
        </w:rPr>
        <w:t>[</w:t>
      </w:r>
      <w:r w:rsidR="0041665F" w:rsidRPr="004F51D2">
        <w:rPr>
          <w:rFonts w:ascii="Times New Roman" w:eastAsia="Calibri" w:hAnsi="Times New Roman" w:cs="Times New Roman"/>
          <w:i/>
          <w:iCs/>
          <w:color w:val="000000"/>
          <w:sz w:val="24"/>
          <w:szCs w:val="24"/>
        </w:rPr>
        <w:t>F</w:t>
      </w:r>
      <w:r w:rsidR="0041665F" w:rsidRPr="004F51D2">
        <w:rPr>
          <w:rFonts w:ascii="Times New Roman" w:eastAsia="Calibri" w:hAnsi="Times New Roman" w:cs="Times New Roman"/>
          <w:color w:val="000000"/>
          <w:sz w:val="24"/>
          <w:szCs w:val="24"/>
        </w:rPr>
        <w:t>(</w:t>
      </w:r>
      <w:r w:rsidR="00F56BB1" w:rsidRPr="004F51D2">
        <w:rPr>
          <w:rFonts w:ascii="Times New Roman" w:eastAsia="Calibri" w:hAnsi="Times New Roman" w:cs="Times New Roman"/>
          <w:color w:val="000000"/>
          <w:sz w:val="24"/>
          <w:szCs w:val="24"/>
        </w:rPr>
        <w:t>6</w:t>
      </w:r>
      <w:r w:rsidR="0041665F" w:rsidRPr="004F51D2">
        <w:rPr>
          <w:rFonts w:ascii="Times New Roman" w:eastAsia="Calibri" w:hAnsi="Times New Roman" w:cs="Times New Roman"/>
          <w:color w:val="000000"/>
          <w:sz w:val="24"/>
          <w:szCs w:val="24"/>
        </w:rPr>
        <w:t>,</w:t>
      </w:r>
      <w:r w:rsidR="00F56BB1" w:rsidRPr="004F51D2">
        <w:rPr>
          <w:rFonts w:ascii="Times New Roman" w:eastAsia="Calibri" w:hAnsi="Times New Roman" w:cs="Times New Roman"/>
          <w:color w:val="000000"/>
          <w:sz w:val="24"/>
          <w:szCs w:val="24"/>
        </w:rPr>
        <w:t>412</w:t>
      </w:r>
      <w:r w:rsidR="0041665F" w:rsidRPr="004F51D2">
        <w:rPr>
          <w:rFonts w:ascii="Times New Roman" w:eastAsia="Calibri" w:hAnsi="Times New Roman" w:cs="Times New Roman"/>
          <w:color w:val="000000"/>
          <w:sz w:val="24"/>
          <w:szCs w:val="24"/>
        </w:rPr>
        <w:t>)=</w:t>
      </w:r>
      <w:r w:rsidR="00E92D8B" w:rsidRPr="004F51D2">
        <w:rPr>
          <w:rFonts w:ascii="Times New Roman" w:eastAsia="Calibri" w:hAnsi="Times New Roman" w:cs="Times New Roman"/>
          <w:color w:val="000000"/>
          <w:sz w:val="24"/>
          <w:szCs w:val="24"/>
        </w:rPr>
        <w:t>3</w:t>
      </w:r>
      <w:r w:rsidR="0041665F" w:rsidRPr="004F51D2">
        <w:rPr>
          <w:rFonts w:ascii="Times New Roman" w:eastAsia="Calibri" w:hAnsi="Times New Roman" w:cs="Times New Roman"/>
          <w:color w:val="000000"/>
          <w:sz w:val="24"/>
          <w:szCs w:val="24"/>
        </w:rPr>
        <w:t>.</w:t>
      </w:r>
      <w:r w:rsidR="00E92D8B" w:rsidRPr="004F51D2">
        <w:rPr>
          <w:rFonts w:ascii="Times New Roman" w:eastAsia="Calibri" w:hAnsi="Times New Roman" w:cs="Times New Roman"/>
          <w:color w:val="000000"/>
          <w:sz w:val="24"/>
          <w:szCs w:val="24"/>
        </w:rPr>
        <w:t>37</w:t>
      </w:r>
      <w:r w:rsidR="0041665F" w:rsidRPr="004F51D2">
        <w:rPr>
          <w:rFonts w:ascii="Times New Roman" w:eastAsia="Calibri" w:hAnsi="Times New Roman" w:cs="Times New Roman"/>
          <w:color w:val="000000"/>
          <w:sz w:val="24"/>
          <w:szCs w:val="24"/>
        </w:rPr>
        <w:t xml:space="preserve">, </w:t>
      </w:r>
      <w:r w:rsidR="00E92D8B" w:rsidRPr="004F51D2">
        <w:rPr>
          <w:rFonts w:ascii="Times New Roman" w:eastAsia="Calibri" w:hAnsi="Times New Roman" w:cs="Times New Roman"/>
          <w:i/>
          <w:iCs/>
          <w:color w:val="000000"/>
          <w:sz w:val="24"/>
          <w:szCs w:val="24"/>
        </w:rPr>
        <w:t>p</w:t>
      </w:r>
      <w:r w:rsidR="0033727E" w:rsidRPr="004F51D2">
        <w:rPr>
          <w:rFonts w:ascii="Times New Roman" w:eastAsia="Calibri" w:hAnsi="Times New Roman" w:cs="Times New Roman"/>
          <w:color w:val="000000"/>
          <w:sz w:val="24"/>
          <w:szCs w:val="24"/>
        </w:rPr>
        <w:t>&lt;</w:t>
      </w:r>
      <w:r w:rsidR="00AE563F" w:rsidRPr="004F51D2">
        <w:rPr>
          <w:rFonts w:ascii="Times New Roman" w:eastAsia="Calibri" w:hAnsi="Times New Roman" w:cs="Times New Roman"/>
          <w:color w:val="000000"/>
          <w:sz w:val="24"/>
          <w:szCs w:val="24"/>
        </w:rPr>
        <w:t>0</w:t>
      </w:r>
      <w:r w:rsidR="00E92D8B" w:rsidRPr="004F51D2">
        <w:rPr>
          <w:rFonts w:ascii="Times New Roman" w:eastAsia="Calibri" w:hAnsi="Times New Roman" w:cs="Times New Roman"/>
          <w:color w:val="000000"/>
          <w:sz w:val="24"/>
          <w:szCs w:val="24"/>
        </w:rPr>
        <w:t>.01</w:t>
      </w:r>
      <w:r w:rsidR="0041665F" w:rsidRPr="004F51D2">
        <w:rPr>
          <w:rFonts w:ascii="Times New Roman" w:eastAsia="Calibri" w:hAnsi="Times New Roman" w:cs="Times New Roman"/>
          <w:color w:val="000000"/>
          <w:sz w:val="24"/>
          <w:szCs w:val="24"/>
        </w:rPr>
        <w:t>], coping [</w:t>
      </w:r>
      <w:r w:rsidR="0041665F" w:rsidRPr="004F51D2">
        <w:rPr>
          <w:rFonts w:ascii="Times New Roman" w:eastAsia="Calibri" w:hAnsi="Times New Roman" w:cs="Times New Roman"/>
          <w:i/>
          <w:iCs/>
          <w:color w:val="000000"/>
          <w:sz w:val="24"/>
          <w:szCs w:val="24"/>
        </w:rPr>
        <w:t>F</w:t>
      </w:r>
      <w:r w:rsidR="0041665F" w:rsidRPr="004F51D2">
        <w:rPr>
          <w:rFonts w:ascii="Times New Roman" w:eastAsia="Calibri" w:hAnsi="Times New Roman" w:cs="Times New Roman"/>
          <w:color w:val="000000"/>
          <w:sz w:val="24"/>
          <w:szCs w:val="24"/>
        </w:rPr>
        <w:t>(</w:t>
      </w:r>
      <w:r w:rsidR="00F56BB1" w:rsidRPr="004F51D2">
        <w:rPr>
          <w:rFonts w:ascii="Times New Roman" w:eastAsia="Calibri" w:hAnsi="Times New Roman" w:cs="Times New Roman"/>
          <w:color w:val="000000"/>
          <w:sz w:val="24"/>
          <w:szCs w:val="24"/>
        </w:rPr>
        <w:t>6,412</w:t>
      </w:r>
      <w:r w:rsidR="0041665F" w:rsidRPr="004F51D2">
        <w:rPr>
          <w:rFonts w:ascii="Times New Roman" w:eastAsia="Calibri" w:hAnsi="Times New Roman" w:cs="Times New Roman"/>
          <w:color w:val="000000"/>
          <w:sz w:val="24"/>
          <w:szCs w:val="24"/>
        </w:rPr>
        <w:t>)=</w:t>
      </w:r>
      <w:r w:rsidR="00E92D8B" w:rsidRPr="004F51D2">
        <w:rPr>
          <w:rFonts w:ascii="Times New Roman" w:eastAsia="Calibri" w:hAnsi="Times New Roman" w:cs="Times New Roman"/>
          <w:color w:val="000000"/>
          <w:sz w:val="24"/>
          <w:szCs w:val="24"/>
        </w:rPr>
        <w:t>4</w:t>
      </w:r>
      <w:r w:rsidR="0041665F" w:rsidRPr="004F51D2">
        <w:rPr>
          <w:rFonts w:ascii="Times New Roman" w:eastAsia="Calibri" w:hAnsi="Times New Roman" w:cs="Times New Roman"/>
          <w:color w:val="000000"/>
          <w:sz w:val="24"/>
          <w:szCs w:val="24"/>
        </w:rPr>
        <w:t>.</w:t>
      </w:r>
      <w:r w:rsidR="00E92D8B" w:rsidRPr="004F51D2">
        <w:rPr>
          <w:rFonts w:ascii="Times New Roman" w:eastAsia="Calibri" w:hAnsi="Times New Roman" w:cs="Times New Roman"/>
          <w:color w:val="000000"/>
          <w:sz w:val="24"/>
          <w:szCs w:val="24"/>
        </w:rPr>
        <w:t>16</w:t>
      </w:r>
      <w:r w:rsidR="0041665F" w:rsidRPr="004F51D2">
        <w:rPr>
          <w:rFonts w:ascii="Times New Roman" w:eastAsia="Calibri" w:hAnsi="Times New Roman" w:cs="Times New Roman"/>
          <w:color w:val="000000"/>
          <w:sz w:val="24"/>
          <w:szCs w:val="24"/>
        </w:rPr>
        <w:t xml:space="preserve">, </w:t>
      </w:r>
      <w:r w:rsidR="0041665F" w:rsidRPr="004F51D2">
        <w:rPr>
          <w:rFonts w:ascii="Times New Roman" w:eastAsia="Calibri" w:hAnsi="Times New Roman" w:cs="Times New Roman"/>
          <w:i/>
          <w:iCs/>
          <w:color w:val="000000"/>
          <w:sz w:val="24"/>
          <w:szCs w:val="24"/>
        </w:rPr>
        <w:t>p</w:t>
      </w:r>
      <w:r w:rsidR="0041665F" w:rsidRPr="004F51D2">
        <w:rPr>
          <w:rFonts w:ascii="Times New Roman" w:eastAsia="Calibri" w:hAnsi="Times New Roman" w:cs="Times New Roman"/>
          <w:color w:val="000000"/>
          <w:sz w:val="24"/>
          <w:szCs w:val="24"/>
        </w:rPr>
        <w:t>&lt;</w:t>
      </w:r>
      <w:r w:rsidR="00AE563F" w:rsidRPr="004F51D2">
        <w:rPr>
          <w:rFonts w:ascii="Times New Roman" w:eastAsia="Calibri" w:hAnsi="Times New Roman" w:cs="Times New Roman"/>
          <w:color w:val="000000"/>
          <w:sz w:val="24"/>
          <w:szCs w:val="24"/>
        </w:rPr>
        <w:t>0</w:t>
      </w:r>
      <w:r w:rsidR="0041665F" w:rsidRPr="004F51D2">
        <w:rPr>
          <w:rFonts w:ascii="Times New Roman" w:eastAsia="Calibri" w:hAnsi="Times New Roman" w:cs="Times New Roman"/>
          <w:color w:val="000000"/>
          <w:sz w:val="24"/>
          <w:szCs w:val="24"/>
        </w:rPr>
        <w:t>.001], skill development [</w:t>
      </w:r>
      <w:r w:rsidR="0041665F" w:rsidRPr="004F51D2">
        <w:rPr>
          <w:rFonts w:ascii="Times New Roman" w:eastAsia="Calibri" w:hAnsi="Times New Roman" w:cs="Times New Roman"/>
          <w:i/>
          <w:iCs/>
          <w:color w:val="000000"/>
          <w:sz w:val="24"/>
          <w:szCs w:val="24"/>
        </w:rPr>
        <w:t>F</w:t>
      </w:r>
      <w:r w:rsidR="0041665F" w:rsidRPr="004F51D2">
        <w:rPr>
          <w:rFonts w:ascii="Times New Roman" w:eastAsia="Calibri" w:hAnsi="Times New Roman" w:cs="Times New Roman"/>
          <w:color w:val="000000"/>
          <w:sz w:val="24"/>
          <w:szCs w:val="24"/>
        </w:rPr>
        <w:t>(</w:t>
      </w:r>
      <w:r w:rsidR="00F56BB1" w:rsidRPr="004F51D2">
        <w:rPr>
          <w:rFonts w:ascii="Times New Roman" w:eastAsia="Calibri" w:hAnsi="Times New Roman" w:cs="Times New Roman"/>
          <w:color w:val="000000"/>
          <w:sz w:val="24"/>
          <w:szCs w:val="24"/>
        </w:rPr>
        <w:t>6,412</w:t>
      </w:r>
      <w:r w:rsidR="0041665F" w:rsidRPr="004F51D2">
        <w:rPr>
          <w:rFonts w:ascii="Times New Roman" w:eastAsia="Calibri" w:hAnsi="Times New Roman" w:cs="Times New Roman"/>
          <w:color w:val="000000"/>
          <w:sz w:val="24"/>
          <w:szCs w:val="24"/>
        </w:rPr>
        <w:t>)=</w:t>
      </w:r>
      <w:r w:rsidR="00E92D8B" w:rsidRPr="004F51D2">
        <w:rPr>
          <w:rFonts w:ascii="Times New Roman" w:eastAsia="Calibri" w:hAnsi="Times New Roman" w:cs="Times New Roman"/>
          <w:color w:val="000000"/>
          <w:sz w:val="24"/>
          <w:szCs w:val="24"/>
        </w:rPr>
        <w:t>3</w:t>
      </w:r>
      <w:r w:rsidR="0041665F" w:rsidRPr="004F51D2">
        <w:rPr>
          <w:rFonts w:ascii="Times New Roman" w:eastAsia="Calibri" w:hAnsi="Times New Roman" w:cs="Times New Roman"/>
          <w:color w:val="000000"/>
          <w:sz w:val="24"/>
          <w:szCs w:val="24"/>
        </w:rPr>
        <w:t>.</w:t>
      </w:r>
      <w:r w:rsidR="00E92D8B" w:rsidRPr="004F51D2">
        <w:rPr>
          <w:rFonts w:ascii="Times New Roman" w:eastAsia="Calibri" w:hAnsi="Times New Roman" w:cs="Times New Roman"/>
          <w:color w:val="000000"/>
          <w:sz w:val="24"/>
          <w:szCs w:val="24"/>
        </w:rPr>
        <w:t>63</w:t>
      </w:r>
      <w:r w:rsidR="0041665F" w:rsidRPr="004F51D2">
        <w:rPr>
          <w:rFonts w:ascii="Times New Roman" w:eastAsia="Calibri" w:hAnsi="Times New Roman" w:cs="Times New Roman"/>
          <w:color w:val="000000"/>
          <w:sz w:val="24"/>
          <w:szCs w:val="24"/>
        </w:rPr>
        <w:t xml:space="preserve">, </w:t>
      </w:r>
      <w:r w:rsidR="0041665F" w:rsidRPr="004F51D2">
        <w:rPr>
          <w:rFonts w:ascii="Times New Roman" w:eastAsia="Calibri" w:hAnsi="Times New Roman" w:cs="Times New Roman"/>
          <w:i/>
          <w:iCs/>
          <w:color w:val="000000"/>
          <w:sz w:val="24"/>
          <w:szCs w:val="24"/>
        </w:rPr>
        <w:t>p</w:t>
      </w:r>
      <w:r w:rsidR="0033727E" w:rsidRPr="004F51D2">
        <w:rPr>
          <w:rFonts w:ascii="Times New Roman" w:eastAsia="Calibri" w:hAnsi="Times New Roman" w:cs="Times New Roman"/>
          <w:color w:val="000000"/>
          <w:sz w:val="24"/>
          <w:szCs w:val="24"/>
        </w:rPr>
        <w:t>&lt;</w:t>
      </w:r>
      <w:r w:rsidR="00AE563F" w:rsidRPr="004F51D2">
        <w:rPr>
          <w:rFonts w:ascii="Times New Roman" w:eastAsia="Calibri" w:hAnsi="Times New Roman" w:cs="Times New Roman"/>
          <w:color w:val="000000"/>
          <w:sz w:val="24"/>
          <w:szCs w:val="24"/>
        </w:rPr>
        <w:t>0</w:t>
      </w:r>
      <w:r w:rsidR="00E92D8B" w:rsidRPr="004F51D2">
        <w:rPr>
          <w:rFonts w:ascii="Times New Roman" w:eastAsia="Calibri" w:hAnsi="Times New Roman" w:cs="Times New Roman"/>
          <w:color w:val="000000"/>
          <w:sz w:val="24"/>
          <w:szCs w:val="24"/>
        </w:rPr>
        <w:t>.01</w:t>
      </w:r>
      <w:r w:rsidR="0041665F" w:rsidRPr="004F51D2">
        <w:rPr>
          <w:rFonts w:ascii="Times New Roman" w:eastAsia="Calibri" w:hAnsi="Times New Roman" w:cs="Times New Roman"/>
          <w:color w:val="000000"/>
          <w:sz w:val="24"/>
          <w:szCs w:val="24"/>
        </w:rPr>
        <w:t xml:space="preserve">], and recreation </w:t>
      </w:r>
      <w:r w:rsidR="00AD35D5" w:rsidRPr="004F51D2">
        <w:rPr>
          <w:rFonts w:ascii="Times New Roman" w:eastAsia="Calibri" w:hAnsi="Times New Roman" w:cs="Times New Roman"/>
          <w:color w:val="000000"/>
          <w:sz w:val="24"/>
          <w:szCs w:val="24"/>
        </w:rPr>
        <w:t>[</w:t>
      </w:r>
      <w:r w:rsidR="00AD35D5" w:rsidRPr="004F51D2">
        <w:rPr>
          <w:rFonts w:ascii="Times New Roman" w:eastAsia="Calibri" w:hAnsi="Times New Roman" w:cs="Times New Roman"/>
          <w:i/>
          <w:iCs/>
          <w:color w:val="000000"/>
          <w:sz w:val="24"/>
          <w:szCs w:val="24"/>
        </w:rPr>
        <w:t>F</w:t>
      </w:r>
      <w:r w:rsidR="00AD35D5" w:rsidRPr="004F51D2">
        <w:rPr>
          <w:rFonts w:ascii="Times New Roman" w:eastAsia="Calibri" w:hAnsi="Times New Roman" w:cs="Times New Roman"/>
          <w:color w:val="000000"/>
          <w:sz w:val="24"/>
          <w:szCs w:val="24"/>
        </w:rPr>
        <w:t>(</w:t>
      </w:r>
      <w:r w:rsidR="00F56BB1" w:rsidRPr="004F51D2">
        <w:rPr>
          <w:rFonts w:ascii="Times New Roman" w:eastAsia="Calibri" w:hAnsi="Times New Roman" w:cs="Times New Roman"/>
          <w:color w:val="000000"/>
          <w:sz w:val="24"/>
          <w:szCs w:val="24"/>
        </w:rPr>
        <w:t>6,412</w:t>
      </w:r>
      <w:r w:rsidR="00AD35D5" w:rsidRPr="004F51D2">
        <w:rPr>
          <w:rFonts w:ascii="Times New Roman" w:eastAsia="Calibri" w:hAnsi="Times New Roman" w:cs="Times New Roman"/>
          <w:color w:val="000000"/>
          <w:sz w:val="24"/>
          <w:szCs w:val="24"/>
        </w:rPr>
        <w:t>)=</w:t>
      </w:r>
      <w:r w:rsidR="00E92D8B" w:rsidRPr="004F51D2">
        <w:rPr>
          <w:rFonts w:ascii="Times New Roman" w:eastAsia="Calibri" w:hAnsi="Times New Roman" w:cs="Times New Roman"/>
          <w:color w:val="000000"/>
          <w:sz w:val="24"/>
          <w:szCs w:val="24"/>
        </w:rPr>
        <w:t>12</w:t>
      </w:r>
      <w:r w:rsidR="00AD35D5" w:rsidRPr="004F51D2">
        <w:rPr>
          <w:rFonts w:ascii="Times New Roman" w:eastAsia="Calibri" w:hAnsi="Times New Roman" w:cs="Times New Roman"/>
          <w:color w:val="000000"/>
          <w:sz w:val="24"/>
          <w:szCs w:val="24"/>
        </w:rPr>
        <w:t>.</w:t>
      </w:r>
      <w:r w:rsidR="00E92D8B" w:rsidRPr="004F51D2">
        <w:rPr>
          <w:rFonts w:ascii="Times New Roman" w:eastAsia="Calibri" w:hAnsi="Times New Roman" w:cs="Times New Roman"/>
          <w:color w:val="000000"/>
          <w:sz w:val="24"/>
          <w:szCs w:val="24"/>
        </w:rPr>
        <w:t>29</w:t>
      </w:r>
      <w:r w:rsidR="00AD35D5" w:rsidRPr="004F51D2">
        <w:rPr>
          <w:rFonts w:ascii="Times New Roman" w:eastAsia="Calibri" w:hAnsi="Times New Roman" w:cs="Times New Roman"/>
          <w:color w:val="000000"/>
          <w:sz w:val="24"/>
          <w:szCs w:val="24"/>
        </w:rPr>
        <w:t xml:space="preserve">, </w:t>
      </w:r>
      <w:r w:rsidR="00AD35D5" w:rsidRPr="004F51D2">
        <w:rPr>
          <w:rFonts w:ascii="Times New Roman" w:eastAsia="Calibri" w:hAnsi="Times New Roman" w:cs="Times New Roman"/>
          <w:i/>
          <w:iCs/>
          <w:color w:val="000000"/>
          <w:sz w:val="24"/>
          <w:szCs w:val="24"/>
        </w:rPr>
        <w:t>p</w:t>
      </w:r>
      <w:r w:rsidR="00AD35D5" w:rsidRPr="004F51D2">
        <w:rPr>
          <w:rFonts w:ascii="Times New Roman" w:eastAsia="Calibri" w:hAnsi="Times New Roman" w:cs="Times New Roman"/>
          <w:color w:val="000000"/>
          <w:sz w:val="24"/>
          <w:szCs w:val="24"/>
        </w:rPr>
        <w:t>&lt;</w:t>
      </w:r>
      <w:r w:rsidR="00AE563F" w:rsidRPr="004F51D2">
        <w:rPr>
          <w:rFonts w:ascii="Times New Roman" w:eastAsia="Calibri" w:hAnsi="Times New Roman" w:cs="Times New Roman"/>
          <w:color w:val="000000"/>
          <w:sz w:val="24"/>
          <w:szCs w:val="24"/>
        </w:rPr>
        <w:t>0</w:t>
      </w:r>
      <w:r w:rsidR="00AD35D5" w:rsidRPr="004F51D2">
        <w:rPr>
          <w:rFonts w:ascii="Times New Roman" w:eastAsia="Calibri" w:hAnsi="Times New Roman" w:cs="Times New Roman"/>
          <w:color w:val="000000"/>
          <w:sz w:val="24"/>
          <w:szCs w:val="24"/>
        </w:rPr>
        <w:t>.001]</w:t>
      </w:r>
      <w:r w:rsidR="00AD35D5" w:rsidRPr="004F51D2">
        <w:rPr>
          <w:rFonts w:ascii="Times New Roman" w:hAnsi="Times New Roman" w:cs="Times New Roman"/>
          <w:sz w:val="24"/>
          <w:szCs w:val="24"/>
        </w:rPr>
        <w:t>.</w:t>
      </w:r>
      <w:r w:rsidR="00AD35D5" w:rsidRPr="004F51D2">
        <w:rPr>
          <w:rFonts w:ascii="Times New Roman" w:hAnsi="Times New Roman" w:cs="Times New Roman"/>
          <w:color w:val="000000" w:themeColor="text1"/>
          <w:sz w:val="24"/>
          <w:szCs w:val="24"/>
        </w:rPr>
        <w:t xml:space="preserve"> </w:t>
      </w:r>
      <w:r w:rsidR="00E92D8B" w:rsidRPr="004F51D2">
        <w:rPr>
          <w:rFonts w:ascii="Times New Roman" w:eastAsia="Calibri" w:hAnsi="Times New Roman" w:cs="Times New Roman"/>
          <w:color w:val="000000"/>
          <w:sz w:val="24"/>
          <w:szCs w:val="24"/>
        </w:rPr>
        <w:t>The results of Bonferroni pairwise comparisons showed that p</w:t>
      </w:r>
      <w:r w:rsidR="0041665F" w:rsidRPr="004F51D2">
        <w:rPr>
          <w:rFonts w:ascii="Times New Roman" w:eastAsia="Calibri" w:hAnsi="Times New Roman" w:cs="Times New Roman"/>
          <w:color w:val="000000"/>
          <w:sz w:val="24"/>
          <w:szCs w:val="24"/>
        </w:rPr>
        <w:t>articipants’ s</w:t>
      </w:r>
      <w:r w:rsidR="005849B9" w:rsidRPr="004F51D2">
        <w:rPr>
          <w:rFonts w:ascii="Times New Roman" w:eastAsia="Calibri" w:hAnsi="Times New Roman" w:cs="Times New Roman"/>
          <w:color w:val="000000"/>
          <w:sz w:val="24"/>
          <w:szCs w:val="24"/>
        </w:rPr>
        <w:t>core</w:t>
      </w:r>
      <w:r w:rsidR="007C4780" w:rsidRPr="004F51D2">
        <w:rPr>
          <w:rFonts w:ascii="Times New Roman" w:eastAsia="Calibri" w:hAnsi="Times New Roman" w:cs="Times New Roman"/>
          <w:color w:val="000000"/>
          <w:sz w:val="24"/>
          <w:szCs w:val="24"/>
        </w:rPr>
        <w:t xml:space="preserve">s </w:t>
      </w:r>
      <w:r w:rsidR="00E92D8B" w:rsidRPr="004F51D2">
        <w:rPr>
          <w:rFonts w:ascii="Times New Roman" w:eastAsia="Calibri" w:hAnsi="Times New Roman" w:cs="Times New Roman"/>
          <w:color w:val="000000"/>
          <w:sz w:val="24"/>
          <w:szCs w:val="24"/>
        </w:rPr>
        <w:t>in</w:t>
      </w:r>
      <w:r w:rsidR="007C4780" w:rsidRPr="004F51D2">
        <w:rPr>
          <w:rFonts w:ascii="Times New Roman" w:eastAsia="Calibri" w:hAnsi="Times New Roman" w:cs="Times New Roman"/>
          <w:color w:val="000000"/>
          <w:sz w:val="24"/>
          <w:szCs w:val="24"/>
        </w:rPr>
        <w:t xml:space="preserve"> </w:t>
      </w:r>
      <w:r w:rsidR="00AD35D5" w:rsidRPr="004F51D2">
        <w:rPr>
          <w:rFonts w:ascii="Times New Roman" w:eastAsia="Calibri" w:hAnsi="Times New Roman" w:cs="Times New Roman"/>
          <w:color w:val="000000"/>
          <w:sz w:val="24"/>
          <w:szCs w:val="24"/>
        </w:rPr>
        <w:t>race</w:t>
      </w:r>
      <w:r w:rsidR="007C4780" w:rsidRPr="004F51D2">
        <w:rPr>
          <w:rFonts w:ascii="Times New Roman" w:eastAsia="Calibri" w:hAnsi="Times New Roman" w:cs="Times New Roman"/>
          <w:color w:val="000000"/>
          <w:sz w:val="24"/>
          <w:szCs w:val="24"/>
        </w:rPr>
        <w:t>,</w:t>
      </w:r>
      <w:r w:rsidR="00AD35D5" w:rsidRPr="004F51D2">
        <w:rPr>
          <w:rFonts w:ascii="Times New Roman" w:eastAsia="Calibri" w:hAnsi="Times New Roman" w:cs="Times New Roman"/>
          <w:color w:val="000000"/>
          <w:sz w:val="24"/>
          <w:szCs w:val="24"/>
        </w:rPr>
        <w:t xml:space="preserve"> action, strategy,</w:t>
      </w:r>
      <w:r w:rsidR="007C4780" w:rsidRPr="004F51D2">
        <w:rPr>
          <w:rFonts w:ascii="Times New Roman" w:eastAsia="Calibri" w:hAnsi="Times New Roman" w:cs="Times New Roman"/>
          <w:color w:val="000000"/>
          <w:sz w:val="24"/>
          <w:szCs w:val="24"/>
        </w:rPr>
        <w:t xml:space="preserve"> </w:t>
      </w:r>
      <w:r w:rsidR="0041665F" w:rsidRPr="004F51D2">
        <w:rPr>
          <w:rFonts w:ascii="Times New Roman" w:eastAsia="Calibri" w:hAnsi="Times New Roman" w:cs="Times New Roman"/>
          <w:color w:val="000000"/>
          <w:sz w:val="24"/>
          <w:szCs w:val="24"/>
        </w:rPr>
        <w:t xml:space="preserve">and </w:t>
      </w:r>
      <w:r w:rsidR="00AD35D5" w:rsidRPr="004F51D2">
        <w:rPr>
          <w:rFonts w:ascii="Times New Roman" w:eastAsia="Calibri" w:hAnsi="Times New Roman" w:cs="Times New Roman"/>
          <w:color w:val="000000"/>
          <w:sz w:val="24"/>
          <w:szCs w:val="24"/>
        </w:rPr>
        <w:t>sport</w:t>
      </w:r>
      <w:r w:rsidR="0041665F" w:rsidRPr="004F51D2">
        <w:rPr>
          <w:rFonts w:ascii="Times New Roman" w:eastAsia="Calibri" w:hAnsi="Times New Roman" w:cs="Times New Roman"/>
          <w:color w:val="000000"/>
          <w:sz w:val="24"/>
          <w:szCs w:val="24"/>
        </w:rPr>
        <w:t xml:space="preserve"> games</w:t>
      </w:r>
      <w:r w:rsidR="00AD35D5" w:rsidRPr="004F51D2">
        <w:rPr>
          <w:rFonts w:ascii="Times New Roman" w:eastAsia="Calibri" w:hAnsi="Times New Roman" w:cs="Times New Roman"/>
          <w:color w:val="000000"/>
          <w:sz w:val="24"/>
          <w:szCs w:val="24"/>
        </w:rPr>
        <w:t xml:space="preserve"> </w:t>
      </w:r>
      <w:r w:rsidRPr="004F51D2">
        <w:rPr>
          <w:rFonts w:ascii="Times New Roman" w:eastAsia="Calibri" w:hAnsi="Times New Roman" w:cs="Times New Roman"/>
          <w:color w:val="000000"/>
          <w:sz w:val="24"/>
          <w:szCs w:val="24"/>
        </w:rPr>
        <w:t xml:space="preserve">were </w:t>
      </w:r>
      <w:r w:rsidR="005849B9" w:rsidRPr="004F51D2">
        <w:rPr>
          <w:rFonts w:ascii="Times New Roman" w:eastAsia="Calibri" w:hAnsi="Times New Roman" w:cs="Times New Roman"/>
          <w:color w:val="000000"/>
          <w:sz w:val="24"/>
          <w:szCs w:val="24"/>
        </w:rPr>
        <w:t>significantly higher than other games</w:t>
      </w:r>
      <w:r w:rsidR="007C4780" w:rsidRPr="004F51D2">
        <w:rPr>
          <w:rFonts w:ascii="Times New Roman" w:eastAsia="Calibri" w:hAnsi="Times New Roman" w:cs="Times New Roman"/>
          <w:color w:val="000000"/>
          <w:sz w:val="24"/>
          <w:szCs w:val="24"/>
        </w:rPr>
        <w:t xml:space="preserve"> </w:t>
      </w:r>
      <w:r w:rsidR="005849B9" w:rsidRPr="004F51D2">
        <w:rPr>
          <w:rFonts w:ascii="Times New Roman" w:eastAsia="Calibri" w:hAnsi="Times New Roman" w:cs="Times New Roman"/>
          <w:color w:val="000000"/>
          <w:sz w:val="24"/>
          <w:szCs w:val="24"/>
        </w:rPr>
        <w:t xml:space="preserve">on </w:t>
      </w:r>
      <w:r w:rsidR="007C4780" w:rsidRPr="004F51D2">
        <w:rPr>
          <w:rFonts w:ascii="Times New Roman" w:hAnsi="Times New Roman" w:cs="Times New Roman"/>
          <w:sz w:val="24"/>
          <w:szCs w:val="24"/>
        </w:rPr>
        <w:t>competition</w:t>
      </w:r>
      <w:r w:rsidR="005849B9" w:rsidRPr="004F51D2">
        <w:rPr>
          <w:rFonts w:ascii="Times New Roman" w:eastAsia="Calibri" w:hAnsi="Times New Roman" w:cs="Times New Roman"/>
          <w:color w:val="000000"/>
          <w:sz w:val="24"/>
          <w:szCs w:val="24"/>
        </w:rPr>
        <w:t>,</w:t>
      </w:r>
      <w:r w:rsidR="00AD35D5" w:rsidRPr="004F51D2">
        <w:rPr>
          <w:rFonts w:ascii="Times New Roman" w:eastAsia="Calibri" w:hAnsi="Times New Roman" w:cs="Times New Roman"/>
          <w:color w:val="000000"/>
          <w:sz w:val="24"/>
          <w:szCs w:val="24"/>
        </w:rPr>
        <w:t xml:space="preserve"> coping, skill development, </w:t>
      </w:r>
      <w:r w:rsidR="0041665F" w:rsidRPr="004F51D2">
        <w:rPr>
          <w:rFonts w:ascii="Times New Roman" w:eastAsia="Calibri" w:hAnsi="Times New Roman" w:cs="Times New Roman"/>
          <w:color w:val="000000"/>
          <w:sz w:val="24"/>
          <w:szCs w:val="24"/>
        </w:rPr>
        <w:t xml:space="preserve">and </w:t>
      </w:r>
      <w:r w:rsidR="00AD35D5" w:rsidRPr="004F51D2">
        <w:rPr>
          <w:rFonts w:ascii="Times New Roman" w:eastAsia="Calibri" w:hAnsi="Times New Roman" w:cs="Times New Roman"/>
          <w:color w:val="000000"/>
          <w:sz w:val="24"/>
          <w:szCs w:val="24"/>
        </w:rPr>
        <w:t>recreation,</w:t>
      </w:r>
      <w:r w:rsidR="005849B9" w:rsidRPr="004F51D2">
        <w:rPr>
          <w:rFonts w:ascii="Times New Roman" w:eastAsia="Calibri" w:hAnsi="Times New Roman" w:cs="Times New Roman"/>
          <w:color w:val="000000"/>
          <w:sz w:val="24"/>
          <w:szCs w:val="24"/>
        </w:rPr>
        <w:t xml:space="preserve"> respectively</w:t>
      </w:r>
      <w:r w:rsidR="00AD35D5" w:rsidRPr="004F51D2">
        <w:rPr>
          <w:rFonts w:ascii="Times New Roman" w:eastAsia="Calibri" w:hAnsi="Times New Roman" w:cs="Times New Roman"/>
          <w:color w:val="000000"/>
          <w:sz w:val="24"/>
          <w:szCs w:val="24"/>
        </w:rPr>
        <w:t>.</w:t>
      </w:r>
      <w:r w:rsidR="005849B9" w:rsidRPr="004F51D2">
        <w:rPr>
          <w:rFonts w:ascii="Times New Roman" w:eastAsia="Calibri" w:hAnsi="Times New Roman" w:cs="Times New Roman"/>
          <w:color w:val="000000"/>
          <w:sz w:val="24"/>
          <w:szCs w:val="24"/>
        </w:rPr>
        <w:t xml:space="preserve"> </w:t>
      </w:r>
    </w:p>
    <w:p w14:paraId="6AD9549E" w14:textId="77777777" w:rsidR="001F5F0B" w:rsidRPr="004F51D2" w:rsidRDefault="001F5F0B" w:rsidP="001F5F0B">
      <w:pPr>
        <w:bidi w:val="0"/>
        <w:spacing w:after="0" w:line="480" w:lineRule="auto"/>
        <w:ind w:firstLine="624"/>
        <w:jc w:val="both"/>
        <w:rPr>
          <w:rFonts w:ascii="Times New Roman" w:eastAsia="Calibri" w:hAnsi="Times New Roman" w:cs="Times New Roman"/>
          <w:color w:val="000000"/>
          <w:sz w:val="24"/>
          <w:szCs w:val="24"/>
        </w:rPr>
      </w:pPr>
    </w:p>
    <w:p w14:paraId="3536A3AF" w14:textId="2CFF1536" w:rsidR="00532347" w:rsidRPr="004F51D2" w:rsidRDefault="0034674D" w:rsidP="00FA0C05">
      <w:pPr>
        <w:bidi w:val="0"/>
        <w:spacing w:after="0" w:line="480" w:lineRule="auto"/>
        <w:jc w:val="both"/>
        <w:rPr>
          <w:rFonts w:ascii="Times New Roman" w:eastAsia="Calibri" w:hAnsi="Times New Roman" w:cs="Times New Roman"/>
          <w:b/>
          <w:bCs/>
          <w:color w:val="000000"/>
          <w:sz w:val="24"/>
          <w:szCs w:val="24"/>
        </w:rPr>
      </w:pPr>
      <w:r w:rsidRPr="004F51D2">
        <w:rPr>
          <w:rFonts w:ascii="Times New Roman" w:eastAsia="Calibri" w:hAnsi="Times New Roman" w:cs="Times New Roman"/>
          <w:b/>
          <w:bCs/>
          <w:color w:val="000000"/>
          <w:sz w:val="24"/>
          <w:szCs w:val="24"/>
        </w:rPr>
        <w:t xml:space="preserve">4. </w:t>
      </w:r>
      <w:r w:rsidR="00532347" w:rsidRPr="004F51D2">
        <w:rPr>
          <w:rFonts w:ascii="Times New Roman" w:eastAsia="Calibri" w:hAnsi="Times New Roman" w:cs="Times New Roman"/>
          <w:b/>
          <w:bCs/>
          <w:color w:val="000000"/>
          <w:sz w:val="24"/>
          <w:szCs w:val="24"/>
        </w:rPr>
        <w:t>Discussion</w:t>
      </w:r>
    </w:p>
    <w:p w14:paraId="2F5784BF" w14:textId="1378F518" w:rsidR="00F53BD4" w:rsidRPr="004F51D2" w:rsidRDefault="00FC1285" w:rsidP="0014494F">
      <w:pPr>
        <w:bidi w:val="0"/>
        <w:spacing w:after="0" w:line="480" w:lineRule="auto"/>
        <w:jc w:val="both"/>
        <w:rPr>
          <w:rFonts w:ascii="Times New Roman" w:eastAsia="Calibri" w:hAnsi="Times New Roman" w:cs="Times New Roman"/>
          <w:color w:val="000000"/>
          <w:sz w:val="24"/>
          <w:szCs w:val="24"/>
        </w:rPr>
      </w:pPr>
      <w:r w:rsidRPr="004F51D2">
        <w:rPr>
          <w:rFonts w:ascii="Times New Roman" w:eastAsia="Calibri" w:hAnsi="Times New Roman" w:cs="Times New Roman"/>
          <w:color w:val="000000"/>
          <w:sz w:val="24"/>
          <w:szCs w:val="24"/>
        </w:rPr>
        <w:t xml:space="preserve">The present study aimed to examine psychometric properties of the Persian MOGS among adolescents. </w:t>
      </w:r>
      <w:r w:rsidR="00BE461C" w:rsidRPr="004F51D2">
        <w:rPr>
          <w:rFonts w:ascii="Times New Roman" w:eastAsia="Calibri" w:hAnsi="Times New Roman" w:cs="Times New Roman"/>
          <w:color w:val="000000"/>
          <w:sz w:val="24"/>
          <w:szCs w:val="24"/>
        </w:rPr>
        <w:t>Overall, the results from the EFA and CFA corroborated the original study o</w:t>
      </w:r>
      <w:r w:rsidR="00383ADA" w:rsidRPr="004F51D2">
        <w:rPr>
          <w:rFonts w:ascii="Times New Roman" w:eastAsia="Calibri" w:hAnsi="Times New Roman" w:cs="Times New Roman"/>
          <w:color w:val="000000"/>
          <w:sz w:val="24"/>
          <w:szCs w:val="24"/>
        </w:rPr>
        <w:t>n the development of the</w:t>
      </w:r>
      <w:r w:rsidR="00BE461C" w:rsidRPr="004F51D2">
        <w:rPr>
          <w:rFonts w:ascii="Times New Roman" w:eastAsia="Calibri" w:hAnsi="Times New Roman" w:cs="Times New Roman"/>
          <w:color w:val="000000"/>
          <w:sz w:val="24"/>
          <w:szCs w:val="24"/>
        </w:rPr>
        <w:t xml:space="preserve"> MOGS suggesting that metacognitions about online gaming can be optimally measured by the Persian MOGS within a three-factor latent construct (“</w:t>
      </w:r>
      <w:r w:rsidR="0058761D" w:rsidRPr="004F51D2">
        <w:rPr>
          <w:rFonts w:ascii="Times New Roman" w:eastAsia="Calibri" w:hAnsi="Times New Roman" w:cs="Times New Roman"/>
          <w:color w:val="000000"/>
          <w:sz w:val="24"/>
          <w:szCs w:val="24"/>
        </w:rPr>
        <w:t>N</w:t>
      </w:r>
      <w:r w:rsidR="00BE461C" w:rsidRPr="004F51D2">
        <w:rPr>
          <w:rFonts w:ascii="Times New Roman" w:eastAsia="Calibri" w:hAnsi="Times New Roman" w:cs="Times New Roman"/>
          <w:color w:val="000000"/>
          <w:sz w:val="24"/>
          <w:szCs w:val="24"/>
        </w:rPr>
        <w:t xml:space="preserve">egative metacognitions about the uncontrollability of online </w:t>
      </w:r>
      <w:r w:rsidR="006E59C2" w:rsidRPr="004F51D2">
        <w:rPr>
          <w:rFonts w:ascii="Times New Roman" w:eastAsia="Calibri" w:hAnsi="Times New Roman" w:cs="Times New Roman"/>
          <w:color w:val="000000"/>
          <w:sz w:val="24"/>
          <w:szCs w:val="24"/>
        </w:rPr>
        <w:t>gaming” (N-MOGU)</w:t>
      </w:r>
      <w:r w:rsidR="00BE461C" w:rsidRPr="004F51D2">
        <w:rPr>
          <w:rFonts w:ascii="Times New Roman" w:eastAsia="Calibri" w:hAnsi="Times New Roman" w:cs="Times New Roman"/>
          <w:color w:val="000000"/>
          <w:sz w:val="24"/>
          <w:szCs w:val="24"/>
        </w:rPr>
        <w:t>, “</w:t>
      </w:r>
      <w:r w:rsidR="0058761D" w:rsidRPr="004F51D2">
        <w:rPr>
          <w:rFonts w:ascii="Times New Roman" w:eastAsia="Calibri" w:hAnsi="Times New Roman" w:cs="Times New Roman"/>
          <w:color w:val="000000"/>
          <w:sz w:val="24"/>
          <w:szCs w:val="24"/>
        </w:rPr>
        <w:t>N</w:t>
      </w:r>
      <w:r w:rsidR="00BE461C" w:rsidRPr="004F51D2">
        <w:rPr>
          <w:rFonts w:ascii="Times New Roman" w:eastAsia="Calibri" w:hAnsi="Times New Roman" w:cs="Times New Roman"/>
          <w:color w:val="000000"/>
          <w:sz w:val="24"/>
          <w:szCs w:val="24"/>
        </w:rPr>
        <w:t>egative metacognitions a</w:t>
      </w:r>
      <w:r w:rsidR="006E59C2" w:rsidRPr="004F51D2">
        <w:rPr>
          <w:rFonts w:ascii="Times New Roman" w:eastAsia="Calibri" w:hAnsi="Times New Roman" w:cs="Times New Roman"/>
          <w:color w:val="000000"/>
          <w:sz w:val="24"/>
          <w:szCs w:val="24"/>
        </w:rPr>
        <w:t>bout dangers of online gaming” (N-MOGD)</w:t>
      </w:r>
      <w:r w:rsidR="00BE461C" w:rsidRPr="004F51D2">
        <w:rPr>
          <w:rFonts w:ascii="Times New Roman" w:eastAsia="Calibri" w:hAnsi="Times New Roman" w:cs="Times New Roman"/>
          <w:color w:val="000000"/>
          <w:sz w:val="24"/>
          <w:szCs w:val="24"/>
        </w:rPr>
        <w:t>, and “</w:t>
      </w:r>
      <w:r w:rsidR="0058761D" w:rsidRPr="004F51D2">
        <w:rPr>
          <w:rFonts w:ascii="Times New Roman" w:eastAsia="Calibri" w:hAnsi="Times New Roman" w:cs="Times New Roman"/>
          <w:color w:val="000000"/>
          <w:sz w:val="24"/>
          <w:szCs w:val="24"/>
        </w:rPr>
        <w:t>P</w:t>
      </w:r>
      <w:r w:rsidR="00BE461C" w:rsidRPr="004F51D2">
        <w:rPr>
          <w:rFonts w:ascii="Times New Roman" w:eastAsia="Calibri" w:hAnsi="Times New Roman" w:cs="Times New Roman"/>
          <w:color w:val="000000"/>
          <w:sz w:val="24"/>
          <w:szCs w:val="24"/>
        </w:rPr>
        <w:t>ositive metacogniti</w:t>
      </w:r>
      <w:r w:rsidR="006E59C2" w:rsidRPr="004F51D2">
        <w:rPr>
          <w:rFonts w:ascii="Times New Roman" w:eastAsia="Calibri" w:hAnsi="Times New Roman" w:cs="Times New Roman"/>
          <w:color w:val="000000"/>
          <w:sz w:val="24"/>
          <w:szCs w:val="24"/>
        </w:rPr>
        <w:t>ons about online gaming” (P-MOG)</w:t>
      </w:r>
      <w:r w:rsidR="00BE461C" w:rsidRPr="004F51D2">
        <w:rPr>
          <w:rFonts w:ascii="Times New Roman" w:eastAsia="Calibri" w:hAnsi="Times New Roman" w:cs="Times New Roman"/>
          <w:color w:val="000000"/>
          <w:sz w:val="24"/>
          <w:szCs w:val="24"/>
        </w:rPr>
        <w:t>.</w:t>
      </w:r>
      <w:r w:rsidR="00682E71" w:rsidRPr="004F51D2">
        <w:rPr>
          <w:rFonts w:ascii="Times New Roman" w:eastAsia="Calibri" w:hAnsi="Times New Roman" w:cs="Times New Roman"/>
          <w:color w:val="000000"/>
          <w:sz w:val="24"/>
          <w:szCs w:val="24"/>
        </w:rPr>
        <w:t xml:space="preserve"> </w:t>
      </w:r>
      <w:r w:rsidR="00BE461C" w:rsidRPr="004F51D2">
        <w:rPr>
          <w:rFonts w:ascii="Times New Roman" w:eastAsia="Calibri" w:hAnsi="Times New Roman" w:cs="Times New Roman"/>
          <w:color w:val="000000"/>
          <w:sz w:val="24"/>
          <w:szCs w:val="24"/>
        </w:rPr>
        <w:t>In this study, three models including one factor, two factors (N-MOGU and P-MOG), and three factors</w:t>
      </w:r>
      <w:r w:rsidR="006E59C2" w:rsidRPr="004F51D2">
        <w:rPr>
          <w:rFonts w:ascii="Times New Roman" w:eastAsia="Calibri" w:hAnsi="Times New Roman" w:cs="Times New Roman"/>
          <w:color w:val="000000"/>
          <w:sz w:val="24"/>
          <w:szCs w:val="24"/>
        </w:rPr>
        <w:t xml:space="preserve"> (</w:t>
      </w:r>
      <w:r w:rsidR="00BE461C" w:rsidRPr="004F51D2">
        <w:rPr>
          <w:rFonts w:ascii="Times New Roman" w:eastAsia="Calibri" w:hAnsi="Times New Roman" w:cs="Times New Roman"/>
          <w:color w:val="000000"/>
          <w:sz w:val="24"/>
          <w:szCs w:val="24"/>
        </w:rPr>
        <w:t>N-MOGU,</w:t>
      </w:r>
      <w:r w:rsidR="00BE461C" w:rsidRPr="004F51D2">
        <w:rPr>
          <w:rFonts w:ascii="Times New Roman" w:hAnsi="Times New Roman" w:cs="Times New Roman"/>
          <w:sz w:val="24"/>
          <w:szCs w:val="24"/>
        </w:rPr>
        <w:t xml:space="preserve"> </w:t>
      </w:r>
      <w:r w:rsidR="00BE461C" w:rsidRPr="004F51D2">
        <w:rPr>
          <w:rFonts w:ascii="Times New Roman" w:eastAsia="Calibri" w:hAnsi="Times New Roman" w:cs="Times New Roman"/>
          <w:color w:val="000000"/>
          <w:sz w:val="24"/>
          <w:szCs w:val="24"/>
        </w:rPr>
        <w:t>N-MOGD, and P-MOG</w:t>
      </w:r>
      <w:r w:rsidR="006E59C2" w:rsidRPr="004F51D2">
        <w:rPr>
          <w:rFonts w:ascii="Times New Roman" w:eastAsia="Calibri" w:hAnsi="Times New Roman" w:cs="Times New Roman"/>
          <w:color w:val="000000"/>
          <w:sz w:val="24"/>
          <w:szCs w:val="24"/>
        </w:rPr>
        <w:t>)</w:t>
      </w:r>
      <w:r w:rsidR="00BE461C" w:rsidRPr="004F51D2">
        <w:rPr>
          <w:rFonts w:ascii="Times New Roman" w:eastAsia="Calibri" w:hAnsi="Times New Roman" w:cs="Times New Roman"/>
          <w:color w:val="000000"/>
          <w:sz w:val="24"/>
          <w:szCs w:val="24"/>
        </w:rPr>
        <w:t xml:space="preserve"> were compared. The CFA revealed three-factor model had the best fit against others. These results are in line with the second study </w:t>
      </w:r>
      <w:r w:rsidR="00383ADA" w:rsidRPr="004F51D2">
        <w:rPr>
          <w:rFonts w:ascii="Times New Roman" w:eastAsia="Calibri" w:hAnsi="Times New Roman" w:cs="Times New Roman"/>
          <w:color w:val="000000"/>
          <w:sz w:val="24"/>
          <w:szCs w:val="24"/>
        </w:rPr>
        <w:t>in</w:t>
      </w:r>
      <w:r w:rsidR="00BE461C" w:rsidRPr="004F51D2">
        <w:rPr>
          <w:rFonts w:ascii="Times New Roman" w:eastAsia="Calibri" w:hAnsi="Times New Roman" w:cs="Times New Roman"/>
          <w:color w:val="000000"/>
          <w:sz w:val="24"/>
          <w:szCs w:val="24"/>
        </w:rPr>
        <w:t xml:space="preserve"> Spada </w:t>
      </w:r>
      <w:r w:rsidR="00383ADA" w:rsidRPr="004F51D2">
        <w:rPr>
          <w:rFonts w:ascii="Times New Roman" w:eastAsia="Calibri" w:hAnsi="Times New Roman" w:cs="Times New Roman"/>
          <w:color w:val="000000"/>
          <w:sz w:val="24"/>
          <w:szCs w:val="24"/>
        </w:rPr>
        <w:t>and</w:t>
      </w:r>
      <w:r w:rsidR="00BE461C" w:rsidRPr="004F51D2">
        <w:rPr>
          <w:rFonts w:ascii="Times New Roman" w:eastAsia="Calibri" w:hAnsi="Times New Roman" w:cs="Times New Roman"/>
          <w:color w:val="000000"/>
          <w:sz w:val="24"/>
          <w:szCs w:val="24"/>
        </w:rPr>
        <w:t xml:space="preserve"> Case</w:t>
      </w:r>
      <w:r w:rsidR="0058761D" w:rsidRPr="004F51D2">
        <w:rPr>
          <w:rFonts w:ascii="Times New Roman" w:eastAsia="Calibri" w:hAnsi="Times New Roman" w:cs="Times New Roman"/>
          <w:color w:val="000000"/>
          <w:sz w:val="24"/>
          <w:szCs w:val="24"/>
        </w:rPr>
        <w:t>l</w:t>
      </w:r>
      <w:r w:rsidR="00BE461C" w:rsidRPr="004F51D2">
        <w:rPr>
          <w:rFonts w:ascii="Times New Roman" w:eastAsia="Calibri" w:hAnsi="Times New Roman" w:cs="Times New Roman"/>
          <w:color w:val="000000"/>
          <w:sz w:val="24"/>
          <w:szCs w:val="24"/>
        </w:rPr>
        <w:t>li</w:t>
      </w:r>
      <w:r w:rsidR="00383ADA" w:rsidRPr="004F51D2">
        <w:rPr>
          <w:rFonts w:ascii="Times New Roman" w:eastAsia="Calibri" w:hAnsi="Times New Roman" w:cs="Times New Roman"/>
          <w:color w:val="000000"/>
          <w:sz w:val="24"/>
          <w:szCs w:val="24"/>
        </w:rPr>
        <w:t>’s</w:t>
      </w:r>
      <w:r w:rsidR="00BE461C" w:rsidRPr="004F51D2">
        <w:rPr>
          <w:rFonts w:ascii="Times New Roman" w:eastAsia="Calibri" w:hAnsi="Times New Roman" w:cs="Times New Roman"/>
          <w:color w:val="000000"/>
          <w:sz w:val="24"/>
          <w:szCs w:val="24"/>
        </w:rPr>
        <w:t xml:space="preserve"> (2017)</w:t>
      </w:r>
      <w:r w:rsidR="00383ADA" w:rsidRPr="004F51D2">
        <w:rPr>
          <w:rFonts w:ascii="Times New Roman" w:eastAsia="Calibri" w:hAnsi="Times New Roman" w:cs="Times New Roman"/>
          <w:color w:val="000000"/>
          <w:sz w:val="24"/>
          <w:szCs w:val="24"/>
        </w:rPr>
        <w:t xml:space="preserve"> work on the development of the MOGS</w:t>
      </w:r>
      <w:r w:rsidR="00BE461C" w:rsidRPr="004F51D2">
        <w:rPr>
          <w:rFonts w:ascii="Times New Roman" w:eastAsia="Calibri" w:hAnsi="Times New Roman" w:cs="Times New Roman"/>
          <w:color w:val="000000"/>
          <w:sz w:val="24"/>
          <w:szCs w:val="24"/>
        </w:rPr>
        <w:t>. The three</w:t>
      </w:r>
      <w:r w:rsidR="00F53BD4" w:rsidRPr="004F51D2">
        <w:rPr>
          <w:rFonts w:ascii="Times New Roman" w:eastAsia="Calibri" w:hAnsi="Times New Roman" w:cs="Times New Roman"/>
          <w:color w:val="000000"/>
          <w:sz w:val="24"/>
          <w:szCs w:val="24"/>
        </w:rPr>
        <w:t>-factor</w:t>
      </w:r>
      <w:r w:rsidR="00BE461C" w:rsidRPr="004F51D2">
        <w:rPr>
          <w:rFonts w:ascii="Times New Roman" w:eastAsia="Calibri" w:hAnsi="Times New Roman" w:cs="Times New Roman"/>
          <w:color w:val="000000"/>
          <w:sz w:val="24"/>
          <w:szCs w:val="24"/>
        </w:rPr>
        <w:t xml:space="preserve"> model of metacognitions about addictive behavior</w:t>
      </w:r>
      <w:r w:rsidR="00F53BD4" w:rsidRPr="004F51D2">
        <w:rPr>
          <w:rFonts w:ascii="Times New Roman" w:eastAsia="Calibri" w:hAnsi="Times New Roman" w:cs="Times New Roman"/>
          <w:color w:val="000000"/>
          <w:sz w:val="24"/>
          <w:szCs w:val="24"/>
        </w:rPr>
        <w:t>s</w:t>
      </w:r>
      <w:r w:rsidR="00BE461C" w:rsidRPr="004F51D2">
        <w:rPr>
          <w:rFonts w:ascii="Times New Roman" w:eastAsia="Calibri" w:hAnsi="Times New Roman" w:cs="Times New Roman"/>
          <w:color w:val="000000"/>
          <w:sz w:val="24"/>
          <w:szCs w:val="24"/>
        </w:rPr>
        <w:t xml:space="preserve"> </w:t>
      </w:r>
      <w:r w:rsidR="006967C1" w:rsidRPr="004F51D2">
        <w:rPr>
          <w:rFonts w:ascii="Times New Roman" w:eastAsia="Calibri" w:hAnsi="Times New Roman" w:cs="Times New Roman"/>
          <w:color w:val="000000"/>
          <w:sz w:val="24"/>
          <w:szCs w:val="24"/>
        </w:rPr>
        <w:t xml:space="preserve">is </w:t>
      </w:r>
      <w:r w:rsidR="00BE461C" w:rsidRPr="004F51D2">
        <w:rPr>
          <w:rFonts w:ascii="Times New Roman" w:eastAsia="Calibri" w:hAnsi="Times New Roman" w:cs="Times New Roman"/>
          <w:color w:val="000000"/>
          <w:sz w:val="24"/>
          <w:szCs w:val="24"/>
        </w:rPr>
        <w:t xml:space="preserve">confirmed </w:t>
      </w:r>
      <w:r w:rsidR="0058761D" w:rsidRPr="004F51D2">
        <w:rPr>
          <w:rFonts w:ascii="Times New Roman" w:eastAsia="Calibri" w:hAnsi="Times New Roman" w:cs="Times New Roman"/>
          <w:color w:val="000000"/>
          <w:sz w:val="24"/>
          <w:szCs w:val="24"/>
        </w:rPr>
        <w:t xml:space="preserve">as </w:t>
      </w:r>
      <w:r w:rsidR="00BE461C" w:rsidRPr="004F51D2">
        <w:rPr>
          <w:rFonts w:ascii="Times New Roman" w:eastAsia="Calibri" w:hAnsi="Times New Roman" w:cs="Times New Roman"/>
          <w:color w:val="000000"/>
          <w:sz w:val="24"/>
          <w:szCs w:val="24"/>
        </w:rPr>
        <w:t>in earlier studies</w:t>
      </w:r>
      <w:r w:rsidR="0058761D" w:rsidRPr="004F51D2">
        <w:rPr>
          <w:rFonts w:ascii="Times New Roman" w:eastAsia="Calibri" w:hAnsi="Times New Roman" w:cs="Times New Roman"/>
          <w:color w:val="000000"/>
          <w:sz w:val="24"/>
          <w:szCs w:val="24"/>
        </w:rPr>
        <w:t xml:space="preserve"> in other technological addictions</w:t>
      </w:r>
      <w:r w:rsidR="00BE461C" w:rsidRPr="004F51D2">
        <w:rPr>
          <w:rFonts w:ascii="Times New Roman" w:eastAsia="Calibri" w:hAnsi="Times New Roman" w:cs="Times New Roman"/>
          <w:color w:val="000000"/>
          <w:sz w:val="24"/>
          <w:szCs w:val="24"/>
        </w:rPr>
        <w:t xml:space="preserve"> (e.g.,</w:t>
      </w:r>
      <w:r w:rsidR="00BE461C" w:rsidRPr="004F51D2">
        <w:rPr>
          <w:rFonts w:ascii="Times New Roman" w:hAnsi="Times New Roman" w:cs="Times New Roman"/>
          <w:sz w:val="24"/>
          <w:szCs w:val="24"/>
        </w:rPr>
        <w:t xml:space="preserve"> </w:t>
      </w:r>
      <w:r w:rsidR="00BE461C" w:rsidRPr="004F51D2">
        <w:rPr>
          <w:rFonts w:ascii="Times New Roman" w:eastAsia="Calibri" w:hAnsi="Times New Roman" w:cs="Times New Roman"/>
          <w:color w:val="000000"/>
          <w:sz w:val="24"/>
          <w:szCs w:val="24"/>
        </w:rPr>
        <w:t>Metacognitions about Smartphone Use Questionnaire</w:t>
      </w:r>
      <w:r w:rsidR="00501DDF" w:rsidRPr="004F51D2">
        <w:rPr>
          <w:rFonts w:ascii="Times New Roman" w:eastAsia="Calibri" w:hAnsi="Times New Roman" w:cs="Times New Roman"/>
          <w:color w:val="000000"/>
          <w:sz w:val="24"/>
          <w:szCs w:val="24"/>
        </w:rPr>
        <w:t xml:space="preserve">; </w:t>
      </w:r>
      <w:r w:rsidR="00BE461C" w:rsidRPr="004F51D2">
        <w:rPr>
          <w:rFonts w:ascii="Times New Roman" w:eastAsia="Calibri" w:hAnsi="Times New Roman" w:cs="Times New Roman"/>
          <w:color w:val="000000"/>
          <w:sz w:val="24"/>
          <w:szCs w:val="24"/>
        </w:rPr>
        <w:t>Casale, Caponi</w:t>
      </w:r>
      <w:r w:rsidR="00501DDF" w:rsidRPr="004F51D2">
        <w:rPr>
          <w:rFonts w:ascii="Times New Roman" w:eastAsia="Calibri" w:hAnsi="Times New Roman" w:cs="Times New Roman"/>
          <w:color w:val="000000"/>
          <w:sz w:val="24"/>
          <w:szCs w:val="24"/>
        </w:rPr>
        <w:t>,</w:t>
      </w:r>
      <w:r w:rsidR="00BE461C" w:rsidRPr="004F51D2">
        <w:rPr>
          <w:rFonts w:ascii="Times New Roman" w:eastAsia="Calibri" w:hAnsi="Times New Roman" w:cs="Times New Roman"/>
          <w:color w:val="000000"/>
          <w:sz w:val="24"/>
          <w:szCs w:val="24"/>
        </w:rPr>
        <w:t xml:space="preserve"> &amp; Fioravanti, 2020; Akbari et al., 2020). </w:t>
      </w:r>
      <w:r w:rsidR="008C1A80" w:rsidRPr="004F51D2">
        <w:rPr>
          <w:rFonts w:ascii="Times New Roman" w:eastAsia="Calibri" w:hAnsi="Times New Roman" w:cs="Times New Roman"/>
          <w:color w:val="000000"/>
          <w:sz w:val="24"/>
          <w:szCs w:val="24"/>
        </w:rPr>
        <w:t>Furthermore</w:t>
      </w:r>
      <w:r w:rsidR="002631A1" w:rsidRPr="004F51D2">
        <w:rPr>
          <w:rFonts w:ascii="Times New Roman" w:eastAsia="Calibri" w:hAnsi="Times New Roman" w:cs="Times New Roman"/>
          <w:color w:val="000000"/>
          <w:sz w:val="24"/>
          <w:szCs w:val="24"/>
        </w:rPr>
        <w:t>, the Persian MOGS showed a suitable internal consistency for factors of the P-MOG, the N-MOGU</w:t>
      </w:r>
      <w:r w:rsidR="002631A1" w:rsidRPr="004F51D2">
        <w:rPr>
          <w:rFonts w:ascii="Times New Roman" w:hAnsi="Times New Roman" w:cs="Times New Roman"/>
          <w:sz w:val="24"/>
          <w:szCs w:val="24"/>
        </w:rPr>
        <w:t xml:space="preserve">, the </w:t>
      </w:r>
      <w:r w:rsidR="002631A1" w:rsidRPr="004F51D2">
        <w:rPr>
          <w:rFonts w:ascii="Times New Roman" w:eastAsia="Calibri" w:hAnsi="Times New Roman" w:cs="Times New Roman"/>
          <w:color w:val="000000"/>
          <w:sz w:val="24"/>
          <w:szCs w:val="24"/>
        </w:rPr>
        <w:t>N-MOGD, and the total score</w:t>
      </w:r>
      <w:r w:rsidR="002631A1" w:rsidRPr="004F51D2">
        <w:rPr>
          <w:rFonts w:ascii="Times New Roman" w:hAnsi="Times New Roman" w:cs="Times New Roman"/>
          <w:sz w:val="24"/>
          <w:szCs w:val="24"/>
        </w:rPr>
        <w:t xml:space="preserve"> </w:t>
      </w:r>
      <w:r w:rsidR="002631A1" w:rsidRPr="004F51D2">
        <w:rPr>
          <w:rFonts w:ascii="Times New Roman" w:eastAsia="Calibri" w:hAnsi="Times New Roman" w:cs="Times New Roman"/>
          <w:color w:val="000000"/>
          <w:sz w:val="24"/>
          <w:szCs w:val="24"/>
        </w:rPr>
        <w:t>using Cronbach's alpha coefficient</w:t>
      </w:r>
      <w:r w:rsidR="00383ADA" w:rsidRPr="004F51D2">
        <w:rPr>
          <w:rFonts w:ascii="Times New Roman" w:eastAsia="Calibri" w:hAnsi="Times New Roman" w:cs="Times New Roman"/>
          <w:color w:val="000000"/>
          <w:sz w:val="24"/>
          <w:szCs w:val="24"/>
        </w:rPr>
        <w:t>s</w:t>
      </w:r>
      <w:r w:rsidR="002631A1" w:rsidRPr="004F51D2">
        <w:rPr>
          <w:rFonts w:ascii="Times New Roman" w:eastAsia="Calibri" w:hAnsi="Times New Roman" w:cs="Times New Roman"/>
          <w:color w:val="000000"/>
          <w:sz w:val="24"/>
          <w:szCs w:val="24"/>
        </w:rPr>
        <w:t xml:space="preserve"> in both confirmatory and exploratory samples. The Cronbach's alpha coefficients for all factors and the total score were good (ranged from 0.79 to 0.93) and in line with the original </w:t>
      </w:r>
      <w:r w:rsidR="00383ADA" w:rsidRPr="004F51D2">
        <w:rPr>
          <w:rFonts w:ascii="Times New Roman" w:eastAsia="Calibri" w:hAnsi="Times New Roman" w:cs="Times New Roman"/>
          <w:color w:val="000000"/>
          <w:sz w:val="24"/>
          <w:szCs w:val="24"/>
        </w:rPr>
        <w:t>self-report measure development</w:t>
      </w:r>
      <w:r w:rsidR="002631A1" w:rsidRPr="004F51D2">
        <w:rPr>
          <w:rFonts w:ascii="Times New Roman" w:eastAsia="Calibri" w:hAnsi="Times New Roman" w:cs="Times New Roman"/>
          <w:color w:val="000000"/>
          <w:sz w:val="24"/>
          <w:szCs w:val="24"/>
        </w:rPr>
        <w:t xml:space="preserve"> (Spada &amp; Case</w:t>
      </w:r>
      <w:r w:rsidR="00383ADA" w:rsidRPr="004F51D2">
        <w:rPr>
          <w:rFonts w:ascii="Times New Roman" w:eastAsia="Calibri" w:hAnsi="Times New Roman" w:cs="Times New Roman"/>
          <w:color w:val="000000"/>
          <w:sz w:val="24"/>
          <w:szCs w:val="24"/>
        </w:rPr>
        <w:t>l</w:t>
      </w:r>
      <w:r w:rsidR="002631A1" w:rsidRPr="004F51D2">
        <w:rPr>
          <w:rFonts w:ascii="Times New Roman" w:eastAsia="Calibri" w:hAnsi="Times New Roman" w:cs="Times New Roman"/>
          <w:color w:val="000000"/>
          <w:sz w:val="24"/>
          <w:szCs w:val="24"/>
        </w:rPr>
        <w:t>li, 2017). The current findings also support the predictive validity of the Persian MOGS. The three factors of the Persian MOGS predicted 33.</w:t>
      </w:r>
      <w:r w:rsidR="00855760" w:rsidRPr="004F51D2">
        <w:rPr>
          <w:rFonts w:ascii="Times New Roman" w:eastAsia="Calibri" w:hAnsi="Times New Roman" w:cs="Times New Roman"/>
          <w:color w:val="000000"/>
          <w:sz w:val="24"/>
          <w:szCs w:val="24"/>
        </w:rPr>
        <w:t>9</w:t>
      </w:r>
      <w:r w:rsidR="002631A1" w:rsidRPr="004F51D2">
        <w:rPr>
          <w:rFonts w:ascii="Times New Roman" w:eastAsia="Calibri" w:hAnsi="Times New Roman" w:cs="Times New Roman"/>
          <w:color w:val="000000"/>
          <w:sz w:val="24"/>
          <w:szCs w:val="24"/>
        </w:rPr>
        <w:t xml:space="preserve">% of the variance </w:t>
      </w:r>
      <w:r w:rsidR="00383ADA" w:rsidRPr="004F51D2">
        <w:rPr>
          <w:rFonts w:ascii="Times New Roman" w:eastAsia="Calibri" w:hAnsi="Times New Roman" w:cs="Times New Roman"/>
          <w:color w:val="000000"/>
          <w:sz w:val="24"/>
          <w:szCs w:val="24"/>
        </w:rPr>
        <w:t>in</w:t>
      </w:r>
      <w:r w:rsidR="002631A1" w:rsidRPr="004F51D2">
        <w:rPr>
          <w:rFonts w:ascii="Times New Roman" w:eastAsia="Calibri" w:hAnsi="Times New Roman" w:cs="Times New Roman"/>
          <w:color w:val="000000"/>
          <w:sz w:val="24"/>
          <w:szCs w:val="24"/>
        </w:rPr>
        <w:t xml:space="preserve"> POGQ scores </w:t>
      </w:r>
      <w:r w:rsidR="002631A1" w:rsidRPr="004F51D2">
        <w:rPr>
          <w:rFonts w:ascii="Times New Roman" w:hAnsi="Times New Roman" w:cs="Times New Roman"/>
          <w:sz w:val="24"/>
          <w:szCs w:val="24"/>
        </w:rPr>
        <w:t xml:space="preserve">independently of personality traits, anxiety, depression, stress, and both </w:t>
      </w:r>
      <w:r w:rsidR="00383ADA" w:rsidRPr="004F51D2">
        <w:rPr>
          <w:rFonts w:ascii="Times New Roman" w:hAnsi="Times New Roman" w:cs="Times New Roman"/>
          <w:sz w:val="24"/>
          <w:szCs w:val="24"/>
        </w:rPr>
        <w:t xml:space="preserve">gaming-related </w:t>
      </w:r>
      <w:r w:rsidR="002631A1" w:rsidRPr="004F51D2">
        <w:rPr>
          <w:rFonts w:ascii="Times New Roman" w:hAnsi="Times New Roman" w:cs="Times New Roman"/>
          <w:sz w:val="24"/>
          <w:szCs w:val="24"/>
        </w:rPr>
        <w:t xml:space="preserve">cognitions and </w:t>
      </w:r>
      <w:r w:rsidR="00383ADA" w:rsidRPr="004F51D2">
        <w:rPr>
          <w:rFonts w:ascii="Times New Roman" w:hAnsi="Times New Roman" w:cs="Times New Roman"/>
          <w:sz w:val="24"/>
          <w:szCs w:val="24"/>
        </w:rPr>
        <w:t xml:space="preserve">gaming </w:t>
      </w:r>
      <w:r w:rsidR="002631A1" w:rsidRPr="004F51D2">
        <w:rPr>
          <w:rFonts w:ascii="Times New Roman" w:hAnsi="Times New Roman" w:cs="Times New Roman"/>
          <w:sz w:val="24"/>
          <w:szCs w:val="24"/>
        </w:rPr>
        <w:t>motives</w:t>
      </w:r>
      <w:r w:rsidR="002631A1" w:rsidRPr="004F51D2">
        <w:rPr>
          <w:rFonts w:ascii="Times New Roman" w:eastAsia="Calibri" w:hAnsi="Times New Roman" w:cs="Times New Roman"/>
          <w:color w:val="000000"/>
          <w:sz w:val="24"/>
          <w:szCs w:val="24"/>
        </w:rPr>
        <w:t>.</w:t>
      </w:r>
      <w:r w:rsidR="00E10760" w:rsidRPr="004F51D2">
        <w:t xml:space="preserve"> </w:t>
      </w:r>
      <w:r w:rsidR="00E10760" w:rsidRPr="004F51D2">
        <w:rPr>
          <w:rFonts w:ascii="Times New Roman" w:eastAsia="Calibri" w:hAnsi="Times New Roman" w:cs="Times New Roman"/>
          <w:color w:val="000000"/>
          <w:sz w:val="24"/>
          <w:szCs w:val="24"/>
        </w:rPr>
        <w:t xml:space="preserve">It is </w:t>
      </w:r>
      <w:r w:rsidR="00115E1F" w:rsidRPr="004F51D2">
        <w:rPr>
          <w:rFonts w:ascii="Times New Roman" w:eastAsia="Calibri" w:hAnsi="Times New Roman" w:cs="Times New Roman"/>
          <w:color w:val="000000"/>
          <w:sz w:val="24"/>
          <w:szCs w:val="24"/>
        </w:rPr>
        <w:t xml:space="preserve">also </w:t>
      </w:r>
      <w:r w:rsidR="00E10760" w:rsidRPr="004F51D2">
        <w:rPr>
          <w:rFonts w:ascii="Times New Roman" w:eastAsia="Calibri" w:hAnsi="Times New Roman" w:cs="Times New Roman"/>
          <w:color w:val="000000"/>
          <w:sz w:val="24"/>
          <w:szCs w:val="24"/>
        </w:rPr>
        <w:t xml:space="preserve">noteworthy that negative metacognitions and </w:t>
      </w:r>
      <w:r w:rsidR="00E10760" w:rsidRPr="004F51D2">
        <w:rPr>
          <w:rFonts w:ascii="Times New Roman" w:hAnsi="Times New Roman" w:cs="Times New Roman"/>
          <w:sz w:val="24"/>
          <w:szCs w:val="24"/>
        </w:rPr>
        <w:t xml:space="preserve">gaming-related cognitions </w:t>
      </w:r>
      <w:r w:rsidR="00E10760" w:rsidRPr="004F51D2">
        <w:rPr>
          <w:rFonts w:ascii="Times New Roman" w:eastAsia="Calibri" w:hAnsi="Times New Roman" w:cs="Times New Roman"/>
          <w:color w:val="000000"/>
          <w:sz w:val="24"/>
          <w:szCs w:val="24"/>
        </w:rPr>
        <w:t xml:space="preserve">do not </w:t>
      </w:r>
      <w:r w:rsidR="00115E1F" w:rsidRPr="004F51D2">
        <w:rPr>
          <w:rFonts w:ascii="Times New Roman" w:eastAsia="Calibri" w:hAnsi="Times New Roman" w:cs="Times New Roman"/>
          <w:color w:val="000000"/>
          <w:sz w:val="24"/>
          <w:szCs w:val="24"/>
        </w:rPr>
        <w:t xml:space="preserve">appear to </w:t>
      </w:r>
      <w:r w:rsidR="00E10760" w:rsidRPr="004F51D2">
        <w:rPr>
          <w:rFonts w:ascii="Times New Roman" w:eastAsia="Calibri" w:hAnsi="Times New Roman" w:cs="Times New Roman"/>
          <w:color w:val="000000"/>
          <w:sz w:val="24"/>
          <w:szCs w:val="24"/>
        </w:rPr>
        <w:t>overlap</w:t>
      </w:r>
      <w:r w:rsidR="007A54F1" w:rsidRPr="004F51D2">
        <w:rPr>
          <w:rFonts w:ascii="Times New Roman" w:eastAsia="Calibri" w:hAnsi="Times New Roman" w:cs="Times New Roman"/>
          <w:color w:val="000000"/>
          <w:sz w:val="24"/>
          <w:szCs w:val="24"/>
        </w:rPr>
        <w:t>.</w:t>
      </w:r>
      <w:r w:rsidR="005B53C0" w:rsidRPr="004F51D2">
        <w:t xml:space="preserve"> </w:t>
      </w:r>
      <w:r w:rsidR="005B53C0" w:rsidRPr="004F51D2">
        <w:rPr>
          <w:rFonts w:ascii="Times New Roman" w:eastAsia="Calibri" w:hAnsi="Times New Roman" w:cs="Times New Roman"/>
          <w:color w:val="000000"/>
          <w:sz w:val="24"/>
          <w:szCs w:val="24"/>
        </w:rPr>
        <w:t>Previous research</w:t>
      </w:r>
      <w:r w:rsidR="00115E1F" w:rsidRPr="004F51D2">
        <w:rPr>
          <w:rFonts w:ascii="Times New Roman" w:eastAsia="Calibri" w:hAnsi="Times New Roman" w:cs="Times New Roman"/>
          <w:color w:val="000000"/>
          <w:sz w:val="24"/>
          <w:szCs w:val="24"/>
        </w:rPr>
        <w:t>, in line with our findings,</w:t>
      </w:r>
      <w:r w:rsidR="00071CE7" w:rsidRPr="004F51D2">
        <w:rPr>
          <w:rFonts w:ascii="Times New Roman" w:eastAsia="Calibri" w:hAnsi="Times New Roman" w:cs="Times New Roman"/>
          <w:color w:val="000000"/>
          <w:sz w:val="24"/>
          <w:szCs w:val="24"/>
        </w:rPr>
        <w:t xml:space="preserve"> </w:t>
      </w:r>
      <w:r w:rsidR="00115E1F" w:rsidRPr="004F51D2">
        <w:rPr>
          <w:rFonts w:ascii="Times New Roman" w:eastAsia="Calibri" w:hAnsi="Times New Roman" w:cs="Times New Roman"/>
          <w:color w:val="000000"/>
          <w:sz w:val="24"/>
          <w:szCs w:val="24"/>
        </w:rPr>
        <w:t xml:space="preserve">has </w:t>
      </w:r>
      <w:r w:rsidR="005B53C0" w:rsidRPr="004F51D2">
        <w:rPr>
          <w:rFonts w:ascii="Times New Roman" w:eastAsia="Calibri" w:hAnsi="Times New Roman" w:cs="Times New Roman"/>
          <w:color w:val="000000"/>
          <w:sz w:val="24"/>
          <w:szCs w:val="24"/>
        </w:rPr>
        <w:t xml:space="preserve">reported that </w:t>
      </w:r>
      <w:r w:rsidR="005B53C0" w:rsidRPr="004F51D2">
        <w:rPr>
          <w:rFonts w:ascii="Times New Roman" w:hAnsi="Times New Roman" w:cs="Times New Roman"/>
          <w:sz w:val="24"/>
          <w:szCs w:val="24"/>
        </w:rPr>
        <w:t xml:space="preserve">gaming-related cognitions </w:t>
      </w:r>
      <w:r w:rsidR="005B53C0" w:rsidRPr="004F51D2">
        <w:rPr>
          <w:rFonts w:ascii="Times New Roman" w:eastAsia="Calibri" w:hAnsi="Times New Roman" w:cs="Times New Roman"/>
          <w:color w:val="000000"/>
          <w:sz w:val="24"/>
          <w:szCs w:val="24"/>
        </w:rPr>
        <w:t xml:space="preserve">predict </w:t>
      </w:r>
      <w:r w:rsidR="00115E1F" w:rsidRPr="004F51D2">
        <w:rPr>
          <w:rFonts w:ascii="Times New Roman" w:eastAsia="Calibri" w:hAnsi="Times New Roman" w:cs="Times New Roman"/>
          <w:color w:val="000000"/>
          <w:sz w:val="24"/>
          <w:szCs w:val="24"/>
        </w:rPr>
        <w:t>problematic gaming</w:t>
      </w:r>
      <w:r w:rsidR="005B53C0" w:rsidRPr="004F51D2">
        <w:rPr>
          <w:rFonts w:ascii="Times New Roman" w:eastAsia="Calibri" w:hAnsi="Times New Roman" w:cs="Times New Roman"/>
          <w:color w:val="000000"/>
          <w:sz w:val="24"/>
          <w:szCs w:val="24"/>
        </w:rPr>
        <w:t xml:space="preserve"> because </w:t>
      </w:r>
      <w:r w:rsidR="0014494F" w:rsidRPr="004F51D2">
        <w:rPr>
          <w:rFonts w:ascii="Times New Roman" w:eastAsia="Calibri" w:hAnsi="Times New Roman" w:cs="Times New Roman"/>
          <w:color w:val="000000"/>
          <w:sz w:val="24"/>
          <w:szCs w:val="24"/>
        </w:rPr>
        <w:t>they</w:t>
      </w:r>
      <w:r w:rsidR="005B53C0" w:rsidRPr="004F51D2">
        <w:rPr>
          <w:rFonts w:ascii="Times New Roman" w:eastAsia="Calibri" w:hAnsi="Times New Roman" w:cs="Times New Roman"/>
          <w:color w:val="000000"/>
          <w:sz w:val="24"/>
          <w:szCs w:val="24"/>
        </w:rPr>
        <w:t xml:space="preserve"> can </w:t>
      </w:r>
      <w:r w:rsidR="00115E1F" w:rsidRPr="004F51D2">
        <w:rPr>
          <w:rFonts w:ascii="Times New Roman" w:eastAsia="Calibri" w:hAnsi="Times New Roman" w:cs="Times New Roman"/>
          <w:color w:val="000000"/>
          <w:sz w:val="24"/>
          <w:szCs w:val="24"/>
        </w:rPr>
        <w:t xml:space="preserve">contribute to overvaluing </w:t>
      </w:r>
      <w:r w:rsidR="005B53C0" w:rsidRPr="004F51D2">
        <w:rPr>
          <w:rFonts w:ascii="Times New Roman" w:eastAsia="Calibri" w:hAnsi="Times New Roman" w:cs="Times New Roman"/>
          <w:color w:val="000000"/>
          <w:sz w:val="24"/>
          <w:szCs w:val="24"/>
        </w:rPr>
        <w:t xml:space="preserve">the reward of online gaming </w:t>
      </w:r>
      <w:r w:rsidR="005B53C0" w:rsidRPr="004F51D2">
        <w:rPr>
          <w:rFonts w:ascii="Times New Roman" w:hAnsi="Times New Roman" w:cs="Times New Roman"/>
          <w:sz w:val="24"/>
          <w:szCs w:val="24"/>
        </w:rPr>
        <w:t>(King &amp; Delfabbro, 2014</w:t>
      </w:r>
      <w:r w:rsidR="005B53C0" w:rsidRPr="004F51D2">
        <w:rPr>
          <w:rFonts w:ascii="Times New Roman" w:eastAsia="Calibri" w:hAnsi="Times New Roman" w:cs="Times New Roman"/>
          <w:color w:val="000000"/>
          <w:sz w:val="24"/>
          <w:szCs w:val="24"/>
        </w:rPr>
        <w:t>;</w:t>
      </w:r>
      <w:r w:rsidR="005B53C0" w:rsidRPr="004F51D2">
        <w:rPr>
          <w:rFonts w:ascii="Times New Roman" w:hAnsi="Times New Roman" w:cs="Times New Roman"/>
          <w:sz w:val="24"/>
          <w:szCs w:val="24"/>
        </w:rPr>
        <w:t xml:space="preserve"> Moudiab &amp; Spada, 2019</w:t>
      </w:r>
      <w:r w:rsidR="005B53C0" w:rsidRPr="004F51D2">
        <w:rPr>
          <w:rFonts w:ascii="Times New Roman" w:eastAsia="Calibri" w:hAnsi="Times New Roman" w:cs="Times New Roman"/>
          <w:color w:val="000000"/>
          <w:sz w:val="24"/>
          <w:szCs w:val="24"/>
        </w:rPr>
        <w:t>).</w:t>
      </w:r>
      <w:r w:rsidR="0014494F" w:rsidRPr="004F51D2">
        <w:rPr>
          <w:rFonts w:ascii="Times New Roman" w:eastAsia="Calibri" w:hAnsi="Times New Roman" w:cs="Times New Roman"/>
          <w:color w:val="000000"/>
          <w:sz w:val="24"/>
          <w:szCs w:val="24"/>
        </w:rPr>
        <w:t xml:space="preserve"> </w:t>
      </w:r>
      <w:r w:rsidR="005B53C0" w:rsidRPr="004F51D2">
        <w:rPr>
          <w:rFonts w:ascii="Times New Roman" w:eastAsia="Calibri" w:hAnsi="Times New Roman" w:cs="Times New Roman"/>
          <w:color w:val="000000"/>
          <w:sz w:val="24"/>
          <w:szCs w:val="24"/>
        </w:rPr>
        <w:t>But t</w:t>
      </w:r>
      <w:r w:rsidR="007A54F1" w:rsidRPr="004F51D2">
        <w:rPr>
          <w:rFonts w:ascii="Times New Roman" w:eastAsia="Calibri" w:hAnsi="Times New Roman" w:cs="Times New Roman"/>
          <w:color w:val="000000"/>
          <w:sz w:val="24"/>
          <w:szCs w:val="24"/>
        </w:rPr>
        <w:t>he</w:t>
      </w:r>
      <w:r w:rsidR="00383ADA" w:rsidRPr="004F51D2">
        <w:rPr>
          <w:rFonts w:ascii="Times New Roman" w:eastAsia="Calibri" w:hAnsi="Times New Roman" w:cs="Times New Roman"/>
          <w:color w:val="000000"/>
          <w:sz w:val="24"/>
          <w:szCs w:val="24"/>
        </w:rPr>
        <w:t xml:space="preserve"> question that arises is w</w:t>
      </w:r>
      <w:r w:rsidR="004205F1" w:rsidRPr="004F51D2">
        <w:rPr>
          <w:rFonts w:ascii="Times New Roman" w:eastAsia="Calibri" w:hAnsi="Times New Roman" w:cs="Times New Roman"/>
          <w:color w:val="000000"/>
          <w:sz w:val="24"/>
          <w:szCs w:val="24"/>
        </w:rPr>
        <w:t xml:space="preserve">hy </w:t>
      </w:r>
      <w:r w:rsidR="00383ADA" w:rsidRPr="004F51D2">
        <w:rPr>
          <w:rFonts w:ascii="Times New Roman" w:eastAsia="Calibri" w:hAnsi="Times New Roman" w:cs="Times New Roman"/>
          <w:color w:val="000000"/>
          <w:sz w:val="24"/>
          <w:szCs w:val="24"/>
        </w:rPr>
        <w:t>do metacognitions about online gaming predict problematic online gaming independently of all these constructs?</w:t>
      </w:r>
    </w:p>
    <w:p w14:paraId="69019459" w14:textId="11A12283" w:rsidR="004205F1" w:rsidRPr="004F51D2" w:rsidRDefault="004205F1" w:rsidP="002F6834">
      <w:pPr>
        <w:bidi w:val="0"/>
        <w:spacing w:after="0" w:line="480" w:lineRule="auto"/>
        <w:ind w:firstLine="720"/>
        <w:jc w:val="both"/>
        <w:rPr>
          <w:rFonts w:ascii="Times New Roman" w:hAnsi="Times New Roman" w:cs="Times New Roman"/>
          <w:sz w:val="24"/>
          <w:szCs w:val="24"/>
        </w:rPr>
      </w:pPr>
      <w:r w:rsidRPr="004F51D2">
        <w:rPr>
          <w:rFonts w:ascii="Times New Roman" w:eastAsia="Calibri" w:hAnsi="Times New Roman" w:cs="Times New Roman"/>
          <w:color w:val="000000"/>
          <w:sz w:val="24"/>
          <w:szCs w:val="24"/>
        </w:rPr>
        <w:t>Perhaps this predictive power stems from the fact that metacognitions are purported to directly affect time spent on online gaming as well as exacerbate cognitive-affective stat</w:t>
      </w:r>
      <w:r w:rsidR="00383ADA" w:rsidRPr="004F51D2">
        <w:rPr>
          <w:rFonts w:ascii="Times New Roman" w:eastAsia="Calibri" w:hAnsi="Times New Roman" w:cs="Times New Roman"/>
          <w:color w:val="000000"/>
          <w:sz w:val="24"/>
          <w:szCs w:val="24"/>
        </w:rPr>
        <w:t>e</w:t>
      </w:r>
      <w:r w:rsidRPr="004F51D2">
        <w:rPr>
          <w:rFonts w:ascii="Times New Roman" w:eastAsia="Calibri" w:hAnsi="Times New Roman" w:cs="Times New Roman"/>
          <w:color w:val="000000"/>
          <w:sz w:val="24"/>
          <w:szCs w:val="24"/>
        </w:rPr>
        <w:t>s that may bring to increased engagement in online gaming (Caselli, Marino &amp; Spada, 2020). Furthermore, it has been argued that metacognitions</w:t>
      </w:r>
      <w:r w:rsidRPr="004F51D2">
        <w:rPr>
          <w:rFonts w:ascii="Times New Roman" w:hAnsi="Times New Roman" w:cs="Times New Roman"/>
          <w:sz w:val="24"/>
          <w:szCs w:val="24"/>
        </w:rPr>
        <w:t xml:space="preserve"> </w:t>
      </w:r>
      <w:r w:rsidRPr="004F51D2">
        <w:rPr>
          <w:rFonts w:ascii="Times New Roman" w:eastAsia="Calibri" w:hAnsi="Times New Roman" w:cs="Times New Roman"/>
          <w:color w:val="000000"/>
          <w:sz w:val="24"/>
          <w:szCs w:val="24"/>
        </w:rPr>
        <w:t xml:space="preserve">may influence and control cognitions about online gaming (Marino &amp; Spada, 2017) as well as coping strategies and motivations </w:t>
      </w:r>
      <w:r w:rsidR="00752976" w:rsidRPr="004F51D2">
        <w:rPr>
          <w:rFonts w:ascii="Times New Roman" w:eastAsia="Calibri" w:hAnsi="Times New Roman" w:cs="Times New Roman"/>
          <w:color w:val="000000"/>
          <w:sz w:val="24"/>
          <w:szCs w:val="24"/>
        </w:rPr>
        <w:t xml:space="preserve">relating to online engagement </w:t>
      </w:r>
      <w:r w:rsidRPr="004F51D2">
        <w:rPr>
          <w:rFonts w:ascii="Times New Roman" w:eastAsia="Calibri" w:hAnsi="Times New Roman" w:cs="Times New Roman"/>
          <w:color w:val="000000"/>
          <w:sz w:val="24"/>
          <w:szCs w:val="24"/>
        </w:rPr>
        <w:t xml:space="preserve">(e.g., escaping from reality) (Spada et al., 2008). In support of this view, studies have shown that metacognitions predict other forms of addictive </w:t>
      </w:r>
      <w:r w:rsidR="00D36266" w:rsidRPr="004F51D2">
        <w:rPr>
          <w:rFonts w:ascii="Times New Roman" w:eastAsia="Calibri" w:hAnsi="Times New Roman" w:cs="Times New Roman"/>
          <w:color w:val="000000"/>
          <w:sz w:val="24"/>
          <w:szCs w:val="24"/>
        </w:rPr>
        <w:t>behavior</w:t>
      </w:r>
      <w:r w:rsidRPr="004F51D2">
        <w:rPr>
          <w:rFonts w:ascii="Times New Roman" w:eastAsia="Calibri" w:hAnsi="Times New Roman" w:cs="Times New Roman"/>
          <w:color w:val="000000"/>
          <w:sz w:val="24"/>
          <w:szCs w:val="24"/>
        </w:rPr>
        <w:t xml:space="preserve"> (e.g., alcohol use, nicotine use) independently of negative affect and cognitions (</w:t>
      </w:r>
      <w:r w:rsidR="00752976" w:rsidRPr="004F51D2">
        <w:rPr>
          <w:rFonts w:ascii="Times New Roman" w:eastAsia="Calibri" w:hAnsi="Times New Roman" w:cs="Times New Roman"/>
          <w:color w:val="000000"/>
          <w:sz w:val="24"/>
          <w:szCs w:val="24"/>
        </w:rPr>
        <w:t>Nikčević et al., 2017; Spada, Moneta &amp; Wells, 2007</w:t>
      </w:r>
      <w:r w:rsidR="008C1A80" w:rsidRPr="004F51D2">
        <w:rPr>
          <w:rFonts w:ascii="Times New Roman" w:eastAsia="Calibri" w:hAnsi="Times New Roman" w:cs="Times New Roman"/>
          <w:color w:val="000000"/>
          <w:sz w:val="24"/>
          <w:szCs w:val="24"/>
        </w:rPr>
        <w:t>; Casale, Caplan</w:t>
      </w:r>
      <w:r w:rsidR="00DC0A1B" w:rsidRPr="004F51D2">
        <w:rPr>
          <w:rFonts w:ascii="Times New Roman" w:eastAsia="Calibri" w:hAnsi="Times New Roman" w:cs="Times New Roman"/>
          <w:color w:val="000000"/>
          <w:sz w:val="24"/>
          <w:szCs w:val="24"/>
        </w:rPr>
        <w:t>,</w:t>
      </w:r>
      <w:r w:rsidR="008C1A80" w:rsidRPr="004F51D2">
        <w:rPr>
          <w:rFonts w:ascii="Times New Roman" w:eastAsia="Calibri" w:hAnsi="Times New Roman" w:cs="Times New Roman"/>
          <w:color w:val="000000"/>
          <w:sz w:val="24"/>
          <w:szCs w:val="24"/>
        </w:rPr>
        <w:t xml:space="preserve"> &amp; Fioravanti, 2016; Casale, Rugai</w:t>
      </w:r>
      <w:r w:rsidR="00DC0A1B" w:rsidRPr="004F51D2">
        <w:rPr>
          <w:rFonts w:ascii="Times New Roman" w:eastAsia="Calibri" w:hAnsi="Times New Roman" w:cs="Times New Roman"/>
          <w:color w:val="000000"/>
          <w:sz w:val="24"/>
          <w:szCs w:val="24"/>
        </w:rPr>
        <w:t>,</w:t>
      </w:r>
      <w:r w:rsidR="008C1A80" w:rsidRPr="004F51D2">
        <w:rPr>
          <w:rFonts w:ascii="Times New Roman" w:eastAsia="Calibri" w:hAnsi="Times New Roman" w:cs="Times New Roman"/>
          <w:color w:val="000000"/>
          <w:sz w:val="24"/>
          <w:szCs w:val="24"/>
        </w:rPr>
        <w:t xml:space="preserve"> &amp; Fioravanti, 2018</w:t>
      </w:r>
      <w:r w:rsidR="00752976" w:rsidRPr="004F51D2">
        <w:rPr>
          <w:rFonts w:ascii="Times New Roman" w:eastAsia="Calibri" w:hAnsi="Times New Roman" w:cs="Times New Roman"/>
          <w:color w:val="000000"/>
          <w:sz w:val="24"/>
          <w:szCs w:val="24"/>
        </w:rPr>
        <w:t xml:space="preserve">). </w:t>
      </w:r>
      <w:r w:rsidR="002F6834" w:rsidRPr="004F51D2">
        <w:rPr>
          <w:rFonts w:ascii="Times New Roman" w:eastAsia="Calibri" w:hAnsi="Times New Roman" w:cs="Times New Roman"/>
          <w:color w:val="000000"/>
          <w:sz w:val="24"/>
          <w:szCs w:val="24"/>
        </w:rPr>
        <w:t xml:space="preserve">Very recent research has also shown that metacognitions predict online gaming independently of motives to game (Marino et al., 2020). </w:t>
      </w:r>
      <w:r w:rsidR="00752976" w:rsidRPr="004F51D2">
        <w:rPr>
          <w:rFonts w:ascii="Times New Roman" w:eastAsia="Calibri" w:hAnsi="Times New Roman" w:cs="Times New Roman"/>
          <w:color w:val="000000"/>
          <w:sz w:val="24"/>
          <w:szCs w:val="24"/>
        </w:rPr>
        <w:t xml:space="preserve">Within the metacognitive model of addictive </w:t>
      </w:r>
      <w:r w:rsidR="00D36266" w:rsidRPr="004F51D2">
        <w:rPr>
          <w:rFonts w:ascii="Times New Roman" w:eastAsia="Calibri" w:hAnsi="Times New Roman" w:cs="Times New Roman"/>
          <w:color w:val="000000"/>
          <w:sz w:val="24"/>
          <w:szCs w:val="24"/>
        </w:rPr>
        <w:t>behavior</w:t>
      </w:r>
      <w:r w:rsidR="00752976" w:rsidRPr="004F51D2">
        <w:rPr>
          <w:rFonts w:ascii="Times New Roman" w:eastAsia="Calibri" w:hAnsi="Times New Roman" w:cs="Times New Roman"/>
          <w:color w:val="000000"/>
          <w:sz w:val="24"/>
          <w:szCs w:val="24"/>
        </w:rPr>
        <w:t>s (Spada et al., 2015) a significant emphasis is place</w:t>
      </w:r>
      <w:r w:rsidR="002F6834" w:rsidRPr="004F51D2">
        <w:rPr>
          <w:rFonts w:ascii="Times New Roman" w:eastAsia="Calibri" w:hAnsi="Times New Roman" w:cs="Times New Roman"/>
          <w:color w:val="000000"/>
          <w:sz w:val="24"/>
          <w:szCs w:val="24"/>
        </w:rPr>
        <w:t>d</w:t>
      </w:r>
      <w:r w:rsidR="00752976" w:rsidRPr="004F51D2">
        <w:rPr>
          <w:rFonts w:ascii="Times New Roman" w:eastAsia="Calibri" w:hAnsi="Times New Roman" w:cs="Times New Roman"/>
          <w:color w:val="000000"/>
          <w:sz w:val="24"/>
          <w:szCs w:val="24"/>
        </w:rPr>
        <w:t xml:space="preserve"> on the presumed uncontrollability of thoughts and </w:t>
      </w:r>
      <w:r w:rsidR="00D36266" w:rsidRPr="004F51D2">
        <w:rPr>
          <w:rFonts w:ascii="Times New Roman" w:eastAsia="Calibri" w:hAnsi="Times New Roman" w:cs="Times New Roman"/>
          <w:color w:val="000000"/>
          <w:sz w:val="24"/>
          <w:szCs w:val="24"/>
        </w:rPr>
        <w:t>behavior</w:t>
      </w:r>
      <w:r w:rsidR="00752976" w:rsidRPr="004F51D2">
        <w:rPr>
          <w:rFonts w:ascii="Times New Roman" w:eastAsia="Calibri" w:hAnsi="Times New Roman" w:cs="Times New Roman"/>
          <w:color w:val="000000"/>
          <w:sz w:val="24"/>
          <w:szCs w:val="24"/>
        </w:rPr>
        <w:t xml:space="preserve"> in predicting problematic </w:t>
      </w:r>
      <w:r w:rsidR="00D36266" w:rsidRPr="004F51D2">
        <w:rPr>
          <w:rFonts w:ascii="Times New Roman" w:eastAsia="Calibri" w:hAnsi="Times New Roman" w:cs="Times New Roman"/>
          <w:color w:val="000000"/>
          <w:sz w:val="24"/>
          <w:szCs w:val="24"/>
        </w:rPr>
        <w:t>behavior</w:t>
      </w:r>
      <w:r w:rsidR="00752976" w:rsidRPr="004F51D2">
        <w:rPr>
          <w:rFonts w:ascii="Times New Roman" w:eastAsia="Calibri" w:hAnsi="Times New Roman" w:cs="Times New Roman"/>
          <w:color w:val="000000"/>
          <w:sz w:val="24"/>
          <w:szCs w:val="24"/>
        </w:rPr>
        <w:t>. Our observations support this view as</w:t>
      </w:r>
      <w:r w:rsidRPr="004F51D2">
        <w:rPr>
          <w:rFonts w:ascii="Times New Roman" w:eastAsia="Calibri" w:hAnsi="Times New Roman" w:cs="Times New Roman"/>
          <w:color w:val="000000"/>
          <w:sz w:val="24"/>
          <w:szCs w:val="24"/>
        </w:rPr>
        <w:t xml:space="preserve"> </w:t>
      </w:r>
      <w:r w:rsidR="00752976" w:rsidRPr="004F51D2">
        <w:rPr>
          <w:rFonts w:ascii="Times New Roman" w:eastAsia="Calibri" w:hAnsi="Times New Roman" w:cs="Times New Roman"/>
          <w:color w:val="000000"/>
          <w:sz w:val="24"/>
          <w:szCs w:val="24"/>
        </w:rPr>
        <w:t xml:space="preserve">the </w:t>
      </w:r>
      <w:r w:rsidRPr="004F51D2">
        <w:rPr>
          <w:rFonts w:ascii="Times New Roman" w:eastAsia="Calibri" w:hAnsi="Times New Roman" w:cs="Times New Roman"/>
          <w:color w:val="000000"/>
          <w:sz w:val="24"/>
          <w:szCs w:val="24"/>
        </w:rPr>
        <w:t xml:space="preserve">N-MOGU </w:t>
      </w:r>
      <w:r w:rsidR="00752976" w:rsidRPr="004F51D2">
        <w:rPr>
          <w:rFonts w:ascii="Times New Roman" w:eastAsia="Calibri" w:hAnsi="Times New Roman" w:cs="Times New Roman"/>
          <w:color w:val="000000"/>
          <w:sz w:val="24"/>
          <w:szCs w:val="24"/>
        </w:rPr>
        <w:t xml:space="preserve">factor was found to </w:t>
      </w:r>
      <w:r w:rsidRPr="004F51D2">
        <w:rPr>
          <w:rFonts w:ascii="Times New Roman" w:eastAsia="Calibri" w:hAnsi="Times New Roman" w:cs="Times New Roman"/>
          <w:color w:val="000000"/>
          <w:sz w:val="24"/>
          <w:szCs w:val="24"/>
        </w:rPr>
        <w:t>play a greater role in predicting POGQ scores</w:t>
      </w:r>
      <w:r w:rsidR="00752976" w:rsidRPr="004F51D2">
        <w:rPr>
          <w:rFonts w:ascii="Times New Roman" w:eastAsia="Calibri" w:hAnsi="Times New Roman" w:cs="Times New Roman"/>
          <w:color w:val="000000"/>
          <w:sz w:val="24"/>
          <w:szCs w:val="24"/>
        </w:rPr>
        <w:t xml:space="preserve"> than any other variable</w:t>
      </w:r>
      <w:r w:rsidRPr="004F51D2">
        <w:rPr>
          <w:rFonts w:ascii="Times New Roman" w:eastAsia="Calibri" w:hAnsi="Times New Roman" w:cs="Times New Roman"/>
          <w:color w:val="000000"/>
          <w:sz w:val="24"/>
          <w:szCs w:val="24"/>
        </w:rPr>
        <w:t>.</w:t>
      </w:r>
      <w:r w:rsidRPr="004F51D2">
        <w:rPr>
          <w:rFonts w:ascii="Times New Roman" w:hAnsi="Times New Roman" w:cs="Times New Roman"/>
          <w:sz w:val="24"/>
          <w:szCs w:val="24"/>
        </w:rPr>
        <w:t xml:space="preserve"> </w:t>
      </w:r>
      <w:r w:rsidRPr="004F51D2">
        <w:rPr>
          <w:rFonts w:ascii="Times New Roman" w:eastAsia="Calibri" w:hAnsi="Times New Roman" w:cs="Times New Roman"/>
          <w:color w:val="000000"/>
          <w:sz w:val="24"/>
          <w:szCs w:val="24"/>
        </w:rPr>
        <w:t xml:space="preserve">The N-MOGU </w:t>
      </w:r>
      <w:r w:rsidR="00752976" w:rsidRPr="004F51D2">
        <w:rPr>
          <w:rFonts w:ascii="Times New Roman" w:eastAsia="Calibri" w:hAnsi="Times New Roman" w:cs="Times New Roman"/>
          <w:color w:val="000000"/>
          <w:sz w:val="24"/>
          <w:szCs w:val="24"/>
        </w:rPr>
        <w:t xml:space="preserve">reflects beliefs </w:t>
      </w:r>
      <w:r w:rsidRPr="004F51D2">
        <w:rPr>
          <w:rFonts w:ascii="Times New Roman" w:eastAsia="Calibri" w:hAnsi="Times New Roman" w:cs="Times New Roman"/>
          <w:color w:val="000000"/>
          <w:sz w:val="24"/>
          <w:szCs w:val="24"/>
        </w:rPr>
        <w:t>th</w:t>
      </w:r>
      <w:r w:rsidR="00383ADA" w:rsidRPr="004F51D2">
        <w:rPr>
          <w:rFonts w:ascii="Times New Roman" w:eastAsia="Calibri" w:hAnsi="Times New Roman" w:cs="Times New Roman"/>
          <w:color w:val="000000"/>
          <w:sz w:val="24"/>
          <w:szCs w:val="24"/>
        </w:rPr>
        <w:t>e</w:t>
      </w:r>
      <w:r w:rsidRPr="004F51D2">
        <w:rPr>
          <w:rFonts w:ascii="Times New Roman" w:eastAsia="Calibri" w:hAnsi="Times New Roman" w:cs="Times New Roman"/>
          <w:color w:val="000000"/>
          <w:sz w:val="24"/>
          <w:szCs w:val="24"/>
        </w:rPr>
        <w:t xml:space="preserve"> gamer </w:t>
      </w:r>
      <w:r w:rsidR="00752976" w:rsidRPr="004F51D2">
        <w:rPr>
          <w:rFonts w:ascii="Times New Roman" w:eastAsia="Calibri" w:hAnsi="Times New Roman" w:cs="Times New Roman"/>
          <w:color w:val="000000"/>
          <w:sz w:val="24"/>
          <w:szCs w:val="24"/>
        </w:rPr>
        <w:t>holds about lacking control</w:t>
      </w:r>
      <w:r w:rsidRPr="004F51D2">
        <w:rPr>
          <w:rFonts w:ascii="Times New Roman" w:eastAsia="Calibri" w:hAnsi="Times New Roman" w:cs="Times New Roman"/>
          <w:color w:val="000000"/>
          <w:sz w:val="24"/>
          <w:szCs w:val="24"/>
        </w:rPr>
        <w:t xml:space="preserve"> over the playing. </w:t>
      </w:r>
      <w:r w:rsidR="002F6834" w:rsidRPr="004F51D2">
        <w:rPr>
          <w:rFonts w:ascii="Times New Roman" w:eastAsia="Calibri" w:hAnsi="Times New Roman" w:cs="Times New Roman"/>
          <w:color w:val="000000"/>
          <w:sz w:val="24"/>
          <w:szCs w:val="24"/>
        </w:rPr>
        <w:t xml:space="preserve">These types of beliefs, possibly </w:t>
      </w:r>
      <w:r w:rsidRPr="004F51D2">
        <w:rPr>
          <w:rFonts w:ascii="Times New Roman" w:eastAsia="Calibri" w:hAnsi="Times New Roman" w:cs="Times New Roman"/>
          <w:color w:val="000000"/>
          <w:sz w:val="24"/>
          <w:szCs w:val="24"/>
        </w:rPr>
        <w:t>activated during or after playing</w:t>
      </w:r>
      <w:r w:rsidR="002F6834" w:rsidRPr="004F51D2">
        <w:rPr>
          <w:rFonts w:ascii="Times New Roman" w:eastAsia="Calibri" w:hAnsi="Times New Roman" w:cs="Times New Roman"/>
          <w:color w:val="000000"/>
          <w:sz w:val="24"/>
          <w:szCs w:val="24"/>
        </w:rPr>
        <w:t>,</w:t>
      </w:r>
      <w:r w:rsidRPr="004F51D2">
        <w:rPr>
          <w:rFonts w:ascii="Times New Roman" w:eastAsia="Calibri" w:hAnsi="Times New Roman" w:cs="Times New Roman"/>
          <w:color w:val="000000"/>
          <w:sz w:val="24"/>
          <w:szCs w:val="24"/>
        </w:rPr>
        <w:t xml:space="preserve"> </w:t>
      </w:r>
      <w:r w:rsidR="002F6834" w:rsidRPr="004F51D2">
        <w:rPr>
          <w:rFonts w:ascii="Times New Roman" w:eastAsia="Calibri" w:hAnsi="Times New Roman" w:cs="Times New Roman"/>
          <w:color w:val="000000"/>
          <w:sz w:val="24"/>
          <w:szCs w:val="24"/>
        </w:rPr>
        <w:t>may lead</w:t>
      </w:r>
      <w:r w:rsidRPr="004F51D2">
        <w:rPr>
          <w:rFonts w:ascii="Times New Roman" w:eastAsia="Calibri" w:hAnsi="Times New Roman" w:cs="Times New Roman"/>
          <w:color w:val="000000"/>
          <w:sz w:val="24"/>
          <w:szCs w:val="24"/>
        </w:rPr>
        <w:t xml:space="preserve"> to continue</w:t>
      </w:r>
      <w:r w:rsidR="002F6834" w:rsidRPr="004F51D2">
        <w:rPr>
          <w:rFonts w:ascii="Times New Roman" w:eastAsia="Calibri" w:hAnsi="Times New Roman" w:cs="Times New Roman"/>
          <w:color w:val="000000"/>
          <w:sz w:val="24"/>
          <w:szCs w:val="24"/>
        </w:rPr>
        <w:t>d</w:t>
      </w:r>
      <w:r w:rsidRPr="004F51D2">
        <w:rPr>
          <w:rFonts w:ascii="Times New Roman" w:eastAsia="Calibri" w:hAnsi="Times New Roman" w:cs="Times New Roman"/>
          <w:color w:val="000000"/>
          <w:sz w:val="24"/>
          <w:szCs w:val="24"/>
        </w:rPr>
        <w:t xml:space="preserve"> playing to reduce negative </w:t>
      </w:r>
      <w:r w:rsidR="002F6834" w:rsidRPr="004F51D2">
        <w:rPr>
          <w:rFonts w:ascii="Times New Roman" w:eastAsia="Calibri" w:hAnsi="Times New Roman" w:cs="Times New Roman"/>
          <w:color w:val="000000"/>
          <w:sz w:val="24"/>
          <w:szCs w:val="24"/>
        </w:rPr>
        <w:t>affect</w:t>
      </w:r>
      <w:r w:rsidRPr="004F51D2">
        <w:rPr>
          <w:rFonts w:ascii="Times New Roman" w:eastAsia="Calibri" w:hAnsi="Times New Roman" w:cs="Times New Roman"/>
          <w:color w:val="000000"/>
          <w:sz w:val="24"/>
          <w:szCs w:val="24"/>
        </w:rPr>
        <w:t xml:space="preserve"> </w:t>
      </w:r>
      <w:r w:rsidR="00383ADA" w:rsidRPr="004F51D2">
        <w:rPr>
          <w:rFonts w:ascii="Times New Roman" w:eastAsia="Calibri" w:hAnsi="Times New Roman" w:cs="Times New Roman"/>
          <w:color w:val="000000"/>
          <w:sz w:val="24"/>
          <w:szCs w:val="24"/>
        </w:rPr>
        <w:t xml:space="preserve">with the paradoxical effect of increasing it </w:t>
      </w:r>
      <w:r w:rsidRPr="004F51D2">
        <w:rPr>
          <w:rFonts w:ascii="Times New Roman" w:eastAsia="Calibri" w:hAnsi="Times New Roman" w:cs="Times New Roman"/>
          <w:color w:val="000000"/>
          <w:sz w:val="24"/>
          <w:szCs w:val="24"/>
        </w:rPr>
        <w:t>(Marino &amp; Spada, 2017).</w:t>
      </w:r>
    </w:p>
    <w:p w14:paraId="19DFCC5A" w14:textId="37C72BC8" w:rsidR="00261A11" w:rsidRPr="004F51D2" w:rsidRDefault="002F6834" w:rsidP="00641625">
      <w:pPr>
        <w:bidi w:val="0"/>
        <w:spacing w:after="0" w:line="480" w:lineRule="auto"/>
        <w:ind w:firstLine="720"/>
        <w:jc w:val="both"/>
        <w:rPr>
          <w:rFonts w:ascii="Times New Roman" w:eastAsia="Calibri" w:hAnsi="Times New Roman" w:cs="Times New Roman"/>
          <w:color w:val="000000"/>
          <w:sz w:val="24"/>
          <w:szCs w:val="24"/>
          <w:rtl/>
        </w:rPr>
      </w:pPr>
      <w:r w:rsidRPr="004F51D2">
        <w:rPr>
          <w:rFonts w:ascii="Times New Roman" w:eastAsia="Calibri" w:hAnsi="Times New Roman" w:cs="Times New Roman"/>
          <w:color w:val="000000"/>
          <w:sz w:val="24"/>
          <w:szCs w:val="24"/>
        </w:rPr>
        <w:t>As m</w:t>
      </w:r>
      <w:r w:rsidR="00344762" w:rsidRPr="004F51D2">
        <w:rPr>
          <w:rFonts w:ascii="Times New Roman" w:eastAsia="Calibri" w:hAnsi="Times New Roman" w:cs="Times New Roman"/>
          <w:color w:val="000000"/>
          <w:sz w:val="24"/>
          <w:szCs w:val="24"/>
        </w:rPr>
        <w:t>etacognition</w:t>
      </w:r>
      <w:r w:rsidR="000D79D9" w:rsidRPr="004F51D2">
        <w:rPr>
          <w:rFonts w:ascii="Times New Roman" w:eastAsia="Calibri" w:hAnsi="Times New Roman" w:cs="Times New Roman"/>
          <w:color w:val="000000"/>
          <w:sz w:val="24"/>
          <w:szCs w:val="24"/>
        </w:rPr>
        <w:t>s</w:t>
      </w:r>
      <w:r w:rsidR="00344762" w:rsidRPr="004F51D2">
        <w:rPr>
          <w:rFonts w:ascii="Times New Roman" w:eastAsia="Calibri" w:hAnsi="Times New Roman" w:cs="Times New Roman"/>
          <w:color w:val="000000"/>
          <w:sz w:val="24"/>
          <w:szCs w:val="24"/>
        </w:rPr>
        <w:t xml:space="preserve"> </w:t>
      </w:r>
      <w:r w:rsidR="002631A1" w:rsidRPr="004F51D2">
        <w:rPr>
          <w:rFonts w:ascii="Times New Roman" w:eastAsia="Calibri" w:hAnsi="Times New Roman" w:cs="Times New Roman"/>
          <w:color w:val="000000"/>
          <w:sz w:val="24"/>
          <w:szCs w:val="24"/>
        </w:rPr>
        <w:t>are</w:t>
      </w:r>
      <w:r w:rsidR="00344762" w:rsidRPr="004F51D2">
        <w:rPr>
          <w:rFonts w:ascii="Times New Roman" w:eastAsia="Calibri" w:hAnsi="Times New Roman" w:cs="Times New Roman"/>
          <w:color w:val="000000"/>
          <w:sz w:val="24"/>
          <w:szCs w:val="24"/>
        </w:rPr>
        <w:t xml:space="preserve"> one of the factors that play a key role </w:t>
      </w:r>
      <w:r w:rsidR="002631A1" w:rsidRPr="004F51D2">
        <w:rPr>
          <w:rFonts w:ascii="Times New Roman" w:eastAsia="Calibri" w:hAnsi="Times New Roman" w:cs="Times New Roman"/>
          <w:color w:val="000000"/>
          <w:sz w:val="24"/>
          <w:szCs w:val="24"/>
        </w:rPr>
        <w:t>across behavioral</w:t>
      </w:r>
      <w:r w:rsidR="00344762" w:rsidRPr="004F51D2">
        <w:rPr>
          <w:rFonts w:ascii="Times New Roman" w:eastAsia="Calibri" w:hAnsi="Times New Roman" w:cs="Times New Roman"/>
          <w:color w:val="000000"/>
          <w:sz w:val="24"/>
          <w:szCs w:val="24"/>
        </w:rPr>
        <w:t xml:space="preserve"> addictions, </w:t>
      </w:r>
      <w:r w:rsidRPr="004F51D2">
        <w:rPr>
          <w:rFonts w:ascii="Times New Roman" w:eastAsia="Calibri" w:hAnsi="Times New Roman" w:cs="Times New Roman"/>
          <w:color w:val="000000"/>
          <w:sz w:val="24"/>
          <w:szCs w:val="24"/>
        </w:rPr>
        <w:t>including</w:t>
      </w:r>
      <w:r w:rsidR="00344762" w:rsidRPr="004F51D2">
        <w:rPr>
          <w:rFonts w:ascii="Times New Roman" w:eastAsia="Calibri" w:hAnsi="Times New Roman" w:cs="Times New Roman"/>
          <w:color w:val="000000"/>
          <w:sz w:val="24"/>
          <w:szCs w:val="24"/>
        </w:rPr>
        <w:t xml:space="preserve"> </w:t>
      </w:r>
      <w:r w:rsidR="00A4047B" w:rsidRPr="004F51D2">
        <w:rPr>
          <w:rFonts w:ascii="Times New Roman" w:eastAsia="Calibri" w:hAnsi="Times New Roman" w:cs="Times New Roman"/>
          <w:color w:val="000000"/>
          <w:sz w:val="24"/>
          <w:szCs w:val="24"/>
        </w:rPr>
        <w:t>IGD</w:t>
      </w:r>
      <w:r w:rsidR="00344762" w:rsidRPr="004F51D2">
        <w:rPr>
          <w:rFonts w:ascii="Times New Roman" w:eastAsia="Calibri" w:hAnsi="Times New Roman" w:cs="Times New Roman"/>
          <w:color w:val="000000"/>
          <w:sz w:val="24"/>
          <w:szCs w:val="24"/>
        </w:rPr>
        <w:t xml:space="preserve"> (Spada et al., 2007; Spada et al., 2015;</w:t>
      </w:r>
      <w:r w:rsidR="00344762" w:rsidRPr="004F51D2">
        <w:rPr>
          <w:rFonts w:ascii="Times New Roman" w:hAnsi="Times New Roman" w:cs="Times New Roman"/>
          <w:sz w:val="24"/>
          <w:szCs w:val="24"/>
        </w:rPr>
        <w:t xml:space="preserve"> </w:t>
      </w:r>
      <w:r w:rsidR="00344762" w:rsidRPr="004F51D2">
        <w:rPr>
          <w:rFonts w:ascii="Times New Roman" w:eastAsia="Calibri" w:hAnsi="Times New Roman" w:cs="Times New Roman"/>
          <w:color w:val="000000"/>
          <w:sz w:val="24"/>
          <w:szCs w:val="24"/>
        </w:rPr>
        <w:t>Hamonniere et al., 2018;</w:t>
      </w:r>
      <w:r w:rsidR="00305124" w:rsidRPr="004F51D2">
        <w:rPr>
          <w:rFonts w:ascii="Times New Roman" w:eastAsia="Calibri" w:hAnsi="Times New Roman" w:cs="Times New Roman"/>
          <w:color w:val="000000"/>
          <w:sz w:val="24"/>
          <w:szCs w:val="24"/>
        </w:rPr>
        <w:t xml:space="preserve"> Caselli et al., 2018;</w:t>
      </w:r>
      <w:r w:rsidR="00344762" w:rsidRPr="004F51D2">
        <w:rPr>
          <w:rFonts w:ascii="Times New Roman" w:eastAsia="Calibri" w:hAnsi="Times New Roman" w:cs="Times New Roman"/>
          <w:color w:val="000000"/>
          <w:sz w:val="24"/>
          <w:szCs w:val="24"/>
        </w:rPr>
        <w:t xml:space="preserve"> Akbari et al., 2020; Marino et al., 2020;</w:t>
      </w:r>
      <w:r w:rsidR="00344762" w:rsidRPr="004F51D2">
        <w:rPr>
          <w:rFonts w:ascii="Times New Roman" w:hAnsi="Times New Roman" w:cs="Times New Roman"/>
          <w:sz w:val="24"/>
          <w:szCs w:val="24"/>
        </w:rPr>
        <w:t xml:space="preserve"> </w:t>
      </w:r>
      <w:r w:rsidR="009B1C8A" w:rsidRPr="004F51D2">
        <w:rPr>
          <w:rFonts w:ascii="Times New Roman" w:eastAsia="Calibri" w:hAnsi="Times New Roman" w:cs="Times New Roman"/>
          <w:color w:val="000000"/>
          <w:sz w:val="24"/>
          <w:szCs w:val="24"/>
        </w:rPr>
        <w:t>Caselli, Marino</w:t>
      </w:r>
      <w:r w:rsidR="00B5210C" w:rsidRPr="004F51D2">
        <w:rPr>
          <w:rFonts w:ascii="Times New Roman" w:eastAsia="Calibri" w:hAnsi="Times New Roman" w:cs="Times New Roman"/>
          <w:color w:val="000000"/>
          <w:sz w:val="24"/>
          <w:szCs w:val="24"/>
        </w:rPr>
        <w:t>,</w:t>
      </w:r>
      <w:r w:rsidR="009B1C8A" w:rsidRPr="004F51D2">
        <w:rPr>
          <w:rFonts w:ascii="Times New Roman" w:eastAsia="Calibri" w:hAnsi="Times New Roman" w:cs="Times New Roman"/>
          <w:color w:val="000000"/>
          <w:sz w:val="24"/>
          <w:szCs w:val="24"/>
        </w:rPr>
        <w:t xml:space="preserve"> &amp; Spada, 2020</w:t>
      </w:r>
      <w:r w:rsidR="00344762" w:rsidRPr="004F51D2">
        <w:rPr>
          <w:rFonts w:ascii="Times New Roman" w:eastAsia="Calibri" w:hAnsi="Times New Roman" w:cs="Times New Roman"/>
          <w:color w:val="000000"/>
          <w:sz w:val="24"/>
          <w:szCs w:val="24"/>
        </w:rPr>
        <w:t>)</w:t>
      </w:r>
      <w:r w:rsidRPr="004F51D2">
        <w:rPr>
          <w:rFonts w:ascii="Times New Roman" w:eastAsia="Calibri" w:hAnsi="Times New Roman" w:cs="Times New Roman"/>
          <w:color w:val="000000"/>
          <w:sz w:val="24"/>
          <w:szCs w:val="24"/>
        </w:rPr>
        <w:t>, and s</w:t>
      </w:r>
      <w:r w:rsidR="00AA3638" w:rsidRPr="004F51D2">
        <w:rPr>
          <w:rFonts w:ascii="Times New Roman" w:eastAsia="Calibri" w:hAnsi="Times New Roman" w:cs="Times New Roman"/>
          <w:color w:val="000000"/>
          <w:sz w:val="24"/>
          <w:szCs w:val="24"/>
        </w:rPr>
        <w:t xml:space="preserve">ince </w:t>
      </w:r>
      <w:r w:rsidRPr="004F51D2">
        <w:rPr>
          <w:rFonts w:ascii="Times New Roman" w:eastAsia="Calibri" w:hAnsi="Times New Roman" w:cs="Times New Roman"/>
          <w:color w:val="000000"/>
          <w:sz w:val="24"/>
          <w:szCs w:val="24"/>
        </w:rPr>
        <w:t>gaming</w:t>
      </w:r>
      <w:r w:rsidR="00AA3638" w:rsidRPr="004F51D2">
        <w:rPr>
          <w:rFonts w:ascii="Times New Roman" w:eastAsia="Calibri" w:hAnsi="Times New Roman" w:cs="Times New Roman"/>
          <w:color w:val="000000"/>
          <w:sz w:val="24"/>
          <w:szCs w:val="24"/>
        </w:rPr>
        <w:t xml:space="preserve"> </w:t>
      </w:r>
      <w:r w:rsidRPr="004F51D2">
        <w:rPr>
          <w:rFonts w:ascii="Times New Roman" w:eastAsia="Calibri" w:hAnsi="Times New Roman" w:cs="Times New Roman"/>
          <w:color w:val="000000"/>
          <w:sz w:val="24"/>
          <w:szCs w:val="24"/>
        </w:rPr>
        <w:t>is</w:t>
      </w:r>
      <w:r w:rsidR="00AA3638" w:rsidRPr="004F51D2">
        <w:rPr>
          <w:rFonts w:ascii="Times New Roman" w:eastAsia="Calibri" w:hAnsi="Times New Roman" w:cs="Times New Roman"/>
          <w:color w:val="000000"/>
          <w:sz w:val="24"/>
          <w:szCs w:val="24"/>
        </w:rPr>
        <w:t xml:space="preserve"> more attractive for adolescent</w:t>
      </w:r>
      <w:r w:rsidR="006E4F87" w:rsidRPr="004F51D2">
        <w:rPr>
          <w:rFonts w:ascii="Times New Roman" w:eastAsia="Calibri" w:hAnsi="Times New Roman" w:cs="Times New Roman"/>
          <w:color w:val="000000"/>
          <w:sz w:val="24"/>
          <w:szCs w:val="24"/>
        </w:rPr>
        <w:t>s</w:t>
      </w:r>
      <w:r w:rsidR="00AA3638" w:rsidRPr="004F51D2">
        <w:rPr>
          <w:rFonts w:ascii="Times New Roman" w:eastAsia="Calibri" w:hAnsi="Times New Roman" w:cs="Times New Roman"/>
          <w:color w:val="000000"/>
          <w:sz w:val="24"/>
          <w:szCs w:val="24"/>
        </w:rPr>
        <w:t xml:space="preserve"> and children, </w:t>
      </w:r>
      <w:r w:rsidRPr="004F51D2">
        <w:rPr>
          <w:rFonts w:ascii="Times New Roman" w:eastAsia="Calibri" w:hAnsi="Times New Roman" w:cs="Times New Roman"/>
          <w:color w:val="000000"/>
          <w:sz w:val="24"/>
          <w:szCs w:val="24"/>
        </w:rPr>
        <w:t>with</w:t>
      </w:r>
      <w:r w:rsidR="00AA3638" w:rsidRPr="004F51D2">
        <w:rPr>
          <w:rFonts w:ascii="Times New Roman" w:eastAsia="Calibri" w:hAnsi="Times New Roman" w:cs="Times New Roman"/>
          <w:color w:val="000000"/>
          <w:sz w:val="24"/>
          <w:szCs w:val="24"/>
        </w:rPr>
        <w:t xml:space="preserve"> </w:t>
      </w:r>
      <w:r w:rsidR="00120E39" w:rsidRPr="004F51D2">
        <w:rPr>
          <w:rFonts w:ascii="Times New Roman" w:eastAsia="Calibri" w:hAnsi="Times New Roman" w:cs="Times New Roman"/>
          <w:color w:val="000000"/>
          <w:sz w:val="24"/>
          <w:szCs w:val="24"/>
        </w:rPr>
        <w:t xml:space="preserve">this </w:t>
      </w:r>
      <w:r w:rsidR="00AA3638" w:rsidRPr="004F51D2">
        <w:rPr>
          <w:rFonts w:ascii="Times New Roman" w:eastAsia="Calibri" w:hAnsi="Times New Roman" w:cs="Times New Roman"/>
          <w:color w:val="000000"/>
          <w:sz w:val="24"/>
          <w:szCs w:val="24"/>
        </w:rPr>
        <w:t xml:space="preserve">group </w:t>
      </w:r>
      <w:r w:rsidRPr="004F51D2">
        <w:rPr>
          <w:rFonts w:ascii="Times New Roman" w:eastAsia="Calibri" w:hAnsi="Times New Roman" w:cs="Times New Roman"/>
          <w:color w:val="000000"/>
          <w:sz w:val="24"/>
          <w:szCs w:val="24"/>
        </w:rPr>
        <w:t>being</w:t>
      </w:r>
      <w:r w:rsidR="00AA3638" w:rsidRPr="004F51D2">
        <w:rPr>
          <w:rFonts w:ascii="Times New Roman" w:eastAsia="Calibri" w:hAnsi="Times New Roman" w:cs="Times New Roman"/>
          <w:color w:val="000000"/>
          <w:sz w:val="24"/>
          <w:szCs w:val="24"/>
        </w:rPr>
        <w:t xml:space="preserve"> at higher risk for IGD</w:t>
      </w:r>
      <w:r w:rsidR="00AA3638" w:rsidRPr="004F51D2">
        <w:rPr>
          <w:rFonts w:ascii="Times New Roman" w:hAnsi="Times New Roman" w:cs="Times New Roman"/>
          <w:sz w:val="24"/>
          <w:szCs w:val="24"/>
        </w:rPr>
        <w:t xml:space="preserve"> (</w:t>
      </w:r>
      <w:r w:rsidR="00AA3638" w:rsidRPr="004F51D2">
        <w:rPr>
          <w:rFonts w:ascii="Times New Roman" w:eastAsia="Calibri" w:hAnsi="Times New Roman" w:cs="Times New Roman"/>
          <w:color w:val="000000"/>
          <w:sz w:val="24"/>
          <w:szCs w:val="24"/>
        </w:rPr>
        <w:t>Kuss &amp; Griffiths, 2012; Hawi, Samaha</w:t>
      </w:r>
      <w:r w:rsidR="00FC1285" w:rsidRPr="004F51D2">
        <w:rPr>
          <w:rFonts w:ascii="Times New Roman" w:eastAsia="Calibri" w:hAnsi="Times New Roman" w:cs="Times New Roman"/>
          <w:color w:val="000000"/>
          <w:sz w:val="24"/>
          <w:szCs w:val="24"/>
        </w:rPr>
        <w:t>,</w:t>
      </w:r>
      <w:r w:rsidR="00AA3638" w:rsidRPr="004F51D2">
        <w:rPr>
          <w:rFonts w:ascii="Times New Roman" w:eastAsia="Calibri" w:hAnsi="Times New Roman" w:cs="Times New Roman"/>
          <w:color w:val="000000"/>
          <w:sz w:val="24"/>
          <w:szCs w:val="24"/>
        </w:rPr>
        <w:t xml:space="preserve"> &amp; Griffiths, 2018)</w:t>
      </w:r>
      <w:r w:rsidRPr="004F51D2">
        <w:rPr>
          <w:rFonts w:ascii="Times New Roman" w:eastAsia="Calibri" w:hAnsi="Times New Roman" w:cs="Times New Roman"/>
          <w:color w:val="000000"/>
          <w:sz w:val="24"/>
          <w:szCs w:val="24"/>
        </w:rPr>
        <w:t>, it may be worthwhile considering interventions aimed at modifying metacognitions. There is a large literature demonstrating the effectiveness of Metacognitive Therapy (MCT) in treating psychological distress (see Wells, 2013) and growing evidence of its application to addictive behaviors (see Spada et al., 2015; Caselli et al., 2018). These interventions may include the direct restructuring of metacognitions as well as techniques aimed at potentiating attentional flexibility (attention training technique) and interrupting rumination and worry (detached mindfulness and postponement) which may free up valuable resources for problem-solving and engagement with the environment</w:t>
      </w:r>
      <w:r w:rsidR="00641625" w:rsidRPr="004F51D2">
        <w:rPr>
          <w:rFonts w:ascii="Times New Roman" w:eastAsia="Calibri" w:hAnsi="Times New Roman" w:cs="Times New Roman"/>
          <w:color w:val="000000"/>
          <w:sz w:val="24"/>
          <w:szCs w:val="24"/>
        </w:rPr>
        <w:t xml:space="preserve">. </w:t>
      </w:r>
      <w:r w:rsidR="00641625" w:rsidRPr="004F51D2">
        <w:rPr>
          <w:rFonts w:asciiTheme="majorBidi" w:hAnsiTheme="majorBidi" w:cstheme="majorBidi"/>
          <w:sz w:val="24"/>
          <w:szCs w:val="24"/>
        </w:rPr>
        <w:t xml:space="preserve">The </w:t>
      </w:r>
      <w:r w:rsidR="00C409E2" w:rsidRPr="004F51D2">
        <w:rPr>
          <w:rFonts w:asciiTheme="majorBidi" w:hAnsiTheme="majorBidi" w:cstheme="majorBidi"/>
          <w:sz w:val="24"/>
          <w:szCs w:val="24"/>
        </w:rPr>
        <w:t>growing</w:t>
      </w:r>
      <w:r w:rsidR="0013577A" w:rsidRPr="004F51D2">
        <w:rPr>
          <w:rFonts w:asciiTheme="majorBidi" w:hAnsiTheme="majorBidi" w:cstheme="majorBidi"/>
          <w:sz w:val="24"/>
          <w:szCs w:val="24"/>
        </w:rPr>
        <w:t xml:space="preserve"> positive outcomes </w:t>
      </w:r>
      <w:r w:rsidR="00641625" w:rsidRPr="004F51D2">
        <w:rPr>
          <w:rFonts w:asciiTheme="majorBidi" w:hAnsiTheme="majorBidi" w:cstheme="majorBidi"/>
          <w:sz w:val="24"/>
          <w:szCs w:val="24"/>
        </w:rPr>
        <w:t xml:space="preserve">of third-wave therapies </w:t>
      </w:r>
      <w:r w:rsidR="0013577A" w:rsidRPr="004F51D2">
        <w:rPr>
          <w:rFonts w:asciiTheme="majorBidi" w:hAnsiTheme="majorBidi" w:cstheme="majorBidi"/>
          <w:sz w:val="24"/>
          <w:szCs w:val="24"/>
        </w:rPr>
        <w:t xml:space="preserve">in the treatment of </w:t>
      </w:r>
      <w:r w:rsidR="00641625" w:rsidRPr="004F51D2">
        <w:rPr>
          <w:rFonts w:asciiTheme="majorBidi" w:hAnsiTheme="majorBidi" w:cstheme="majorBidi"/>
          <w:sz w:val="24"/>
          <w:szCs w:val="24"/>
        </w:rPr>
        <w:t xml:space="preserve">addictive behaviors have been </w:t>
      </w:r>
      <w:r w:rsidR="0013577A" w:rsidRPr="004F51D2">
        <w:rPr>
          <w:rFonts w:asciiTheme="majorBidi" w:hAnsiTheme="majorBidi" w:cstheme="majorBidi"/>
          <w:sz w:val="24"/>
          <w:szCs w:val="24"/>
        </w:rPr>
        <w:t>showcasing the important of focusing on</w:t>
      </w:r>
      <w:r w:rsidR="00641625" w:rsidRPr="004F51D2">
        <w:rPr>
          <w:rFonts w:asciiTheme="majorBidi" w:hAnsiTheme="majorBidi" w:cstheme="majorBidi"/>
          <w:sz w:val="24"/>
          <w:szCs w:val="24"/>
        </w:rPr>
        <w:t xml:space="preserve"> process-oriented and transdiagnostic treatments (Garey, Zvolensky</w:t>
      </w:r>
      <w:r w:rsidR="006C4D6C" w:rsidRPr="004F51D2">
        <w:rPr>
          <w:rFonts w:asciiTheme="majorBidi" w:hAnsiTheme="majorBidi" w:cstheme="majorBidi"/>
          <w:sz w:val="24"/>
          <w:szCs w:val="24"/>
        </w:rPr>
        <w:t>,</w:t>
      </w:r>
      <w:r w:rsidR="00641625" w:rsidRPr="004F51D2">
        <w:rPr>
          <w:rFonts w:asciiTheme="majorBidi" w:hAnsiTheme="majorBidi" w:cstheme="majorBidi"/>
          <w:sz w:val="24"/>
          <w:szCs w:val="24"/>
        </w:rPr>
        <w:t xml:space="preserve"> &amp; Spada, 2020</w:t>
      </w:r>
      <w:r w:rsidR="0013577A" w:rsidRPr="004F51D2">
        <w:rPr>
          <w:rFonts w:asciiTheme="majorBidi" w:hAnsiTheme="majorBidi" w:cstheme="majorBidi"/>
          <w:sz w:val="24"/>
          <w:szCs w:val="24"/>
        </w:rPr>
        <w:t xml:space="preserve">). </w:t>
      </w:r>
    </w:p>
    <w:p w14:paraId="0681FE42" w14:textId="6E9C2C8C" w:rsidR="00336051" w:rsidRPr="004F51D2" w:rsidRDefault="00395150" w:rsidP="006C4D6C">
      <w:pPr>
        <w:bidi w:val="0"/>
        <w:spacing w:after="0" w:line="480" w:lineRule="auto"/>
        <w:ind w:firstLine="720"/>
        <w:jc w:val="both"/>
        <w:rPr>
          <w:rFonts w:ascii="Times New Roman" w:eastAsia="Calibri" w:hAnsi="Times New Roman" w:cs="Times New Roman"/>
          <w:color w:val="000000"/>
          <w:sz w:val="24"/>
          <w:szCs w:val="24"/>
        </w:rPr>
      </w:pPr>
      <w:r w:rsidRPr="004F51D2">
        <w:rPr>
          <w:rFonts w:ascii="Times New Roman" w:eastAsia="Calibri" w:hAnsi="Times New Roman" w:cs="Times New Roman"/>
          <w:color w:val="000000"/>
          <w:sz w:val="24"/>
          <w:szCs w:val="24"/>
        </w:rPr>
        <w:t xml:space="preserve">This study offers several notable strengths, including the large sample size, the investigation of the psychometric properties of the </w:t>
      </w:r>
      <w:r w:rsidR="00120E39" w:rsidRPr="004F51D2">
        <w:rPr>
          <w:rFonts w:ascii="Times New Roman" w:eastAsia="Calibri" w:hAnsi="Times New Roman" w:cs="Times New Roman"/>
          <w:color w:val="000000"/>
          <w:sz w:val="24"/>
          <w:szCs w:val="24"/>
        </w:rPr>
        <w:t xml:space="preserve">Persian </w:t>
      </w:r>
      <w:r w:rsidRPr="004F51D2">
        <w:rPr>
          <w:rFonts w:ascii="Times New Roman" w:eastAsia="Calibri" w:hAnsi="Times New Roman" w:cs="Times New Roman"/>
          <w:color w:val="000000"/>
          <w:sz w:val="24"/>
          <w:szCs w:val="24"/>
        </w:rPr>
        <w:t xml:space="preserve">MOGS in a sample of adolescents, and using different personality, cognitive, and motivational variables for predictive validity to compare the contribution of the Persian MOGS </w:t>
      </w:r>
      <w:r w:rsidR="00120E39" w:rsidRPr="004F51D2">
        <w:rPr>
          <w:rFonts w:ascii="Times New Roman" w:eastAsia="Calibri" w:hAnsi="Times New Roman" w:cs="Times New Roman"/>
          <w:color w:val="000000"/>
          <w:sz w:val="24"/>
          <w:szCs w:val="24"/>
        </w:rPr>
        <w:t>to</w:t>
      </w:r>
      <w:r w:rsidRPr="004F51D2">
        <w:rPr>
          <w:rFonts w:ascii="Times New Roman" w:eastAsia="Calibri" w:hAnsi="Times New Roman" w:cs="Times New Roman"/>
          <w:color w:val="000000"/>
          <w:sz w:val="24"/>
          <w:szCs w:val="24"/>
        </w:rPr>
        <w:t xml:space="preserve"> </w:t>
      </w:r>
      <w:r w:rsidR="001A40CF" w:rsidRPr="004F51D2">
        <w:rPr>
          <w:rFonts w:ascii="Times New Roman" w:eastAsia="Calibri" w:hAnsi="Times New Roman" w:cs="Times New Roman"/>
          <w:color w:val="000000"/>
          <w:sz w:val="24"/>
          <w:szCs w:val="24"/>
        </w:rPr>
        <w:t>problematic online gaming</w:t>
      </w:r>
      <w:r w:rsidRPr="004F51D2">
        <w:rPr>
          <w:rFonts w:ascii="Times New Roman" w:eastAsia="Calibri" w:hAnsi="Times New Roman" w:cs="Times New Roman"/>
          <w:color w:val="000000"/>
          <w:sz w:val="24"/>
          <w:szCs w:val="24"/>
        </w:rPr>
        <w:t>. There are also some limitations for</w:t>
      </w:r>
      <w:r w:rsidR="00525AE4" w:rsidRPr="004F51D2">
        <w:rPr>
          <w:rFonts w:ascii="Times New Roman" w:eastAsia="Calibri" w:hAnsi="Times New Roman" w:cs="Times New Roman"/>
          <w:color w:val="000000"/>
          <w:sz w:val="24"/>
          <w:szCs w:val="24"/>
        </w:rPr>
        <w:t xml:space="preserve"> the</w:t>
      </w:r>
      <w:r w:rsidRPr="004F51D2">
        <w:rPr>
          <w:rFonts w:ascii="Times New Roman" w:hAnsi="Times New Roman" w:cs="Times New Roman"/>
          <w:color w:val="231F20"/>
          <w:sz w:val="24"/>
          <w:szCs w:val="24"/>
        </w:rPr>
        <w:t xml:space="preserve"> </w:t>
      </w:r>
      <w:r w:rsidR="0034674D" w:rsidRPr="004F51D2">
        <w:rPr>
          <w:rFonts w:ascii="Times New Roman" w:eastAsia="Calibri" w:hAnsi="Times New Roman" w:cs="Times New Roman"/>
          <w:color w:val="000000"/>
          <w:sz w:val="24"/>
          <w:szCs w:val="24"/>
        </w:rPr>
        <w:t xml:space="preserve">present study that should be considered. </w:t>
      </w:r>
      <w:r w:rsidR="006A1260" w:rsidRPr="004F51D2">
        <w:rPr>
          <w:rFonts w:ascii="Times New Roman" w:eastAsia="Calibri" w:hAnsi="Times New Roman" w:cs="Times New Roman"/>
          <w:color w:val="000000"/>
          <w:sz w:val="24"/>
          <w:szCs w:val="24"/>
        </w:rPr>
        <w:t>First, t</w:t>
      </w:r>
      <w:r w:rsidRPr="004F51D2">
        <w:rPr>
          <w:rFonts w:ascii="Times New Roman" w:eastAsia="Calibri" w:hAnsi="Times New Roman" w:cs="Times New Roman"/>
          <w:color w:val="000000"/>
          <w:sz w:val="24"/>
          <w:szCs w:val="24"/>
        </w:rPr>
        <w:t xml:space="preserve">he </w:t>
      </w:r>
      <w:r w:rsidR="009E7280" w:rsidRPr="004F51D2">
        <w:rPr>
          <w:rFonts w:ascii="Times New Roman" w:eastAsia="Calibri" w:hAnsi="Times New Roman" w:cs="Times New Roman"/>
          <w:color w:val="000000"/>
          <w:sz w:val="24"/>
          <w:szCs w:val="24"/>
        </w:rPr>
        <w:t>s</w:t>
      </w:r>
      <w:r w:rsidR="0034674D" w:rsidRPr="004F51D2">
        <w:rPr>
          <w:rFonts w:ascii="Times New Roman" w:eastAsia="Calibri" w:hAnsi="Times New Roman" w:cs="Times New Roman"/>
          <w:color w:val="000000"/>
          <w:sz w:val="24"/>
          <w:szCs w:val="24"/>
        </w:rPr>
        <w:t xml:space="preserve">ampling and data collection </w:t>
      </w:r>
      <w:r w:rsidR="004A648F" w:rsidRPr="004F51D2">
        <w:rPr>
          <w:rFonts w:ascii="Times New Roman" w:eastAsia="Calibri" w:hAnsi="Times New Roman" w:cs="Times New Roman"/>
          <w:color w:val="000000"/>
          <w:sz w:val="24"/>
          <w:szCs w:val="24"/>
        </w:rPr>
        <w:t xml:space="preserve">were </w:t>
      </w:r>
      <w:r w:rsidR="0034674D" w:rsidRPr="004F51D2">
        <w:rPr>
          <w:rFonts w:ascii="Times New Roman" w:eastAsia="Calibri" w:hAnsi="Times New Roman" w:cs="Times New Roman"/>
          <w:color w:val="000000"/>
          <w:sz w:val="24"/>
          <w:szCs w:val="24"/>
        </w:rPr>
        <w:t>performed at the time of the C</w:t>
      </w:r>
      <w:r w:rsidR="001A40CF" w:rsidRPr="004F51D2">
        <w:rPr>
          <w:rFonts w:ascii="Times New Roman" w:eastAsia="Calibri" w:hAnsi="Times New Roman" w:cs="Times New Roman"/>
          <w:color w:val="000000"/>
          <w:sz w:val="24"/>
          <w:szCs w:val="24"/>
        </w:rPr>
        <w:t>OVID</w:t>
      </w:r>
      <w:r w:rsidR="0034674D" w:rsidRPr="004F51D2">
        <w:rPr>
          <w:rFonts w:ascii="Times New Roman" w:eastAsia="Calibri" w:hAnsi="Times New Roman" w:cs="Times New Roman"/>
          <w:color w:val="000000"/>
          <w:sz w:val="24"/>
          <w:szCs w:val="24"/>
        </w:rPr>
        <w:t>-19 pandemic</w:t>
      </w:r>
      <w:r w:rsidR="004A648F" w:rsidRPr="004F51D2">
        <w:rPr>
          <w:rFonts w:ascii="Times New Roman" w:eastAsia="Calibri" w:hAnsi="Times New Roman" w:cs="Times New Roman"/>
          <w:color w:val="000000"/>
          <w:sz w:val="24"/>
          <w:szCs w:val="24"/>
        </w:rPr>
        <w:t>. C</w:t>
      </w:r>
      <w:r w:rsidR="0034674D" w:rsidRPr="004F51D2">
        <w:rPr>
          <w:rFonts w:ascii="Times New Roman" w:eastAsia="Calibri" w:hAnsi="Times New Roman" w:cs="Times New Roman"/>
          <w:color w:val="000000"/>
          <w:sz w:val="24"/>
          <w:szCs w:val="24"/>
        </w:rPr>
        <w:t>onsidering that school closures and quarantine changed adolescents' lifestyles, current pandemic conditions</w:t>
      </w:r>
      <w:r w:rsidR="004A648F" w:rsidRPr="004F51D2">
        <w:rPr>
          <w:rFonts w:ascii="Times New Roman" w:eastAsia="Calibri" w:hAnsi="Times New Roman" w:cs="Times New Roman"/>
          <w:color w:val="000000"/>
          <w:sz w:val="24"/>
          <w:szCs w:val="24"/>
        </w:rPr>
        <w:t xml:space="preserve"> may</w:t>
      </w:r>
      <w:r w:rsidR="0034674D" w:rsidRPr="004F51D2">
        <w:rPr>
          <w:rFonts w:ascii="Times New Roman" w:eastAsia="Calibri" w:hAnsi="Times New Roman" w:cs="Times New Roman"/>
          <w:color w:val="000000"/>
          <w:sz w:val="24"/>
          <w:szCs w:val="24"/>
        </w:rPr>
        <w:t xml:space="preserve"> have affected the relationships between the present study </w:t>
      </w:r>
      <w:r w:rsidR="00525AE4" w:rsidRPr="004F51D2">
        <w:rPr>
          <w:rFonts w:ascii="Times New Roman" w:eastAsia="Calibri" w:hAnsi="Times New Roman" w:cs="Times New Roman"/>
          <w:color w:val="000000"/>
          <w:sz w:val="24"/>
          <w:szCs w:val="24"/>
        </w:rPr>
        <w:t xml:space="preserve">variables </w:t>
      </w:r>
      <w:r w:rsidR="0034674D" w:rsidRPr="004F51D2">
        <w:rPr>
          <w:rFonts w:ascii="Times New Roman" w:eastAsia="Calibri" w:hAnsi="Times New Roman" w:cs="Times New Roman"/>
          <w:color w:val="000000"/>
          <w:sz w:val="24"/>
          <w:szCs w:val="24"/>
        </w:rPr>
        <w:t>and redu</w:t>
      </w:r>
      <w:r w:rsidR="00B74592" w:rsidRPr="004F51D2">
        <w:rPr>
          <w:rFonts w:ascii="Times New Roman" w:eastAsia="Calibri" w:hAnsi="Times New Roman" w:cs="Times New Roman"/>
          <w:color w:val="000000"/>
          <w:sz w:val="24"/>
          <w:szCs w:val="24"/>
        </w:rPr>
        <w:t xml:space="preserve">ce </w:t>
      </w:r>
      <w:r w:rsidR="001A40CF" w:rsidRPr="004F51D2">
        <w:rPr>
          <w:rFonts w:ascii="Times New Roman" w:eastAsia="Calibri" w:hAnsi="Times New Roman" w:cs="Times New Roman"/>
          <w:color w:val="000000"/>
          <w:sz w:val="24"/>
          <w:szCs w:val="24"/>
        </w:rPr>
        <w:t>their</w:t>
      </w:r>
      <w:r w:rsidR="00B74592" w:rsidRPr="004F51D2">
        <w:rPr>
          <w:rFonts w:ascii="Times New Roman" w:eastAsia="Calibri" w:hAnsi="Times New Roman" w:cs="Times New Roman"/>
          <w:color w:val="000000"/>
          <w:sz w:val="24"/>
          <w:szCs w:val="24"/>
        </w:rPr>
        <w:t xml:space="preserve"> generalizability to pre-</w:t>
      </w:r>
      <w:r w:rsidR="0034674D" w:rsidRPr="004F51D2">
        <w:rPr>
          <w:rFonts w:ascii="Times New Roman" w:eastAsia="Calibri" w:hAnsi="Times New Roman" w:cs="Times New Roman"/>
          <w:color w:val="000000"/>
          <w:sz w:val="24"/>
          <w:szCs w:val="24"/>
        </w:rPr>
        <w:t xml:space="preserve">and post-epidemic times. </w:t>
      </w:r>
      <w:r w:rsidR="008D3D41" w:rsidRPr="004F51D2">
        <w:rPr>
          <w:rFonts w:ascii="Times New Roman" w:eastAsia="Calibri" w:hAnsi="Times New Roman" w:cs="Times New Roman"/>
          <w:color w:val="000000"/>
          <w:sz w:val="24"/>
          <w:szCs w:val="24"/>
        </w:rPr>
        <w:t>Second, due</w:t>
      </w:r>
      <w:r w:rsidR="0034674D" w:rsidRPr="004F51D2">
        <w:rPr>
          <w:rFonts w:ascii="Times New Roman" w:eastAsia="Calibri" w:hAnsi="Times New Roman" w:cs="Times New Roman"/>
          <w:color w:val="000000"/>
          <w:sz w:val="24"/>
          <w:szCs w:val="24"/>
        </w:rPr>
        <w:t xml:space="preserve"> to convenience sampling, the research sample may not represent Iranian adolescent</w:t>
      </w:r>
      <w:r w:rsidR="00525AE4" w:rsidRPr="004F51D2">
        <w:rPr>
          <w:rFonts w:ascii="Times New Roman" w:eastAsia="Calibri" w:hAnsi="Times New Roman" w:cs="Times New Roman"/>
          <w:color w:val="000000"/>
          <w:sz w:val="24"/>
          <w:szCs w:val="24"/>
        </w:rPr>
        <w:t>s</w:t>
      </w:r>
      <w:r w:rsidR="008D3D41" w:rsidRPr="004F51D2">
        <w:rPr>
          <w:rFonts w:ascii="Times New Roman" w:eastAsia="Calibri" w:hAnsi="Times New Roman" w:cs="Times New Roman"/>
          <w:color w:val="000000"/>
          <w:sz w:val="24"/>
          <w:szCs w:val="24"/>
        </w:rPr>
        <w:t>.</w:t>
      </w:r>
      <w:r w:rsidR="00355F62" w:rsidRPr="004F51D2">
        <w:t xml:space="preserve"> </w:t>
      </w:r>
      <w:r w:rsidR="00A902B8" w:rsidRPr="004F51D2">
        <w:rPr>
          <w:rFonts w:ascii="Times New Roman" w:eastAsia="Calibri" w:hAnsi="Times New Roman" w:cs="Times New Roman"/>
          <w:color w:val="000000"/>
          <w:sz w:val="24"/>
          <w:szCs w:val="24"/>
        </w:rPr>
        <w:t>Third</w:t>
      </w:r>
      <w:r w:rsidR="00171855" w:rsidRPr="004F51D2">
        <w:rPr>
          <w:rFonts w:ascii="Times New Roman" w:eastAsia="Calibri" w:hAnsi="Times New Roman" w:cs="Times New Roman"/>
          <w:color w:val="000000"/>
          <w:sz w:val="24"/>
          <w:szCs w:val="24"/>
        </w:rPr>
        <w:t xml:space="preserve">, some of the questionnaires used to evaluate the MOGS in this study have not yet been translated in </w:t>
      </w:r>
      <w:r w:rsidR="00115E1F" w:rsidRPr="004F51D2">
        <w:rPr>
          <w:rFonts w:ascii="Times New Roman" w:eastAsia="Calibri" w:hAnsi="Times New Roman" w:cs="Times New Roman"/>
          <w:color w:val="000000"/>
          <w:sz w:val="24"/>
          <w:szCs w:val="24"/>
        </w:rPr>
        <w:t xml:space="preserve">Persian </w:t>
      </w:r>
      <w:r w:rsidR="00171855" w:rsidRPr="004F51D2">
        <w:rPr>
          <w:rFonts w:ascii="Times New Roman" w:eastAsia="Calibri" w:hAnsi="Times New Roman" w:cs="Times New Roman"/>
          <w:color w:val="000000"/>
          <w:sz w:val="24"/>
          <w:szCs w:val="24"/>
        </w:rPr>
        <w:t>and the authors of this study have only piloted them.</w:t>
      </w:r>
      <w:r w:rsidR="008D3D41" w:rsidRPr="004F51D2">
        <w:rPr>
          <w:rFonts w:ascii="Times New Roman" w:eastAsia="Calibri" w:hAnsi="Times New Roman" w:cs="Times New Roman"/>
          <w:color w:val="000000"/>
          <w:sz w:val="24"/>
          <w:szCs w:val="24"/>
        </w:rPr>
        <w:t xml:space="preserve"> Future</w:t>
      </w:r>
      <w:r w:rsidR="0034674D" w:rsidRPr="004F51D2">
        <w:rPr>
          <w:rFonts w:ascii="Times New Roman" w:eastAsia="Calibri" w:hAnsi="Times New Roman" w:cs="Times New Roman"/>
          <w:color w:val="000000"/>
          <w:sz w:val="24"/>
          <w:szCs w:val="24"/>
        </w:rPr>
        <w:t xml:space="preserve"> </w:t>
      </w:r>
      <w:r w:rsidR="00D14B8F" w:rsidRPr="004F51D2">
        <w:rPr>
          <w:rFonts w:ascii="Times New Roman" w:eastAsia="Calibri" w:hAnsi="Times New Roman" w:cs="Times New Roman"/>
          <w:color w:val="000000"/>
          <w:sz w:val="24"/>
          <w:szCs w:val="24"/>
        </w:rPr>
        <w:t>studies</w:t>
      </w:r>
      <w:r w:rsidR="0034674D" w:rsidRPr="004F51D2">
        <w:rPr>
          <w:rFonts w:ascii="Times New Roman" w:eastAsia="Calibri" w:hAnsi="Times New Roman" w:cs="Times New Roman"/>
          <w:color w:val="000000"/>
          <w:sz w:val="24"/>
          <w:szCs w:val="24"/>
        </w:rPr>
        <w:t xml:space="preserve"> can complement the present research </w:t>
      </w:r>
      <w:r w:rsidR="00D14B8F" w:rsidRPr="004F51D2">
        <w:rPr>
          <w:rFonts w:ascii="Times New Roman" w:eastAsia="Calibri" w:hAnsi="Times New Roman" w:cs="Times New Roman"/>
          <w:color w:val="000000"/>
          <w:sz w:val="24"/>
          <w:szCs w:val="24"/>
        </w:rPr>
        <w:t>by evaluating</w:t>
      </w:r>
      <w:r w:rsidR="0034674D" w:rsidRPr="004F51D2">
        <w:rPr>
          <w:rFonts w:ascii="Times New Roman" w:eastAsia="Calibri" w:hAnsi="Times New Roman" w:cs="Times New Roman"/>
          <w:color w:val="000000"/>
          <w:sz w:val="24"/>
          <w:szCs w:val="24"/>
        </w:rPr>
        <w:t xml:space="preserve"> </w:t>
      </w:r>
      <w:r w:rsidR="001A40CF" w:rsidRPr="004F51D2">
        <w:rPr>
          <w:rFonts w:ascii="Times New Roman" w:eastAsia="Calibri" w:hAnsi="Times New Roman" w:cs="Times New Roman"/>
          <w:color w:val="000000"/>
          <w:sz w:val="24"/>
          <w:szCs w:val="24"/>
        </w:rPr>
        <w:t>the reliability</w:t>
      </w:r>
      <w:r w:rsidR="0034674D" w:rsidRPr="004F51D2">
        <w:rPr>
          <w:rFonts w:ascii="Times New Roman" w:eastAsia="Calibri" w:hAnsi="Times New Roman" w:cs="Times New Roman"/>
          <w:color w:val="000000"/>
          <w:sz w:val="24"/>
          <w:szCs w:val="24"/>
        </w:rPr>
        <w:t xml:space="preserve"> </w:t>
      </w:r>
      <w:r w:rsidR="001A40CF" w:rsidRPr="004F51D2">
        <w:rPr>
          <w:rFonts w:ascii="Times New Roman" w:eastAsia="Calibri" w:hAnsi="Times New Roman" w:cs="Times New Roman"/>
          <w:color w:val="000000"/>
          <w:sz w:val="24"/>
          <w:szCs w:val="24"/>
        </w:rPr>
        <w:t>of the Persian MOGS</w:t>
      </w:r>
      <w:r w:rsidR="00D14B8F" w:rsidRPr="004F51D2">
        <w:rPr>
          <w:rFonts w:ascii="Times New Roman" w:eastAsia="Calibri" w:hAnsi="Times New Roman" w:cs="Times New Roman"/>
          <w:color w:val="000000"/>
          <w:sz w:val="24"/>
          <w:szCs w:val="24"/>
        </w:rPr>
        <w:t xml:space="preserve"> using test-retest</w:t>
      </w:r>
      <w:r w:rsidR="0034674D" w:rsidRPr="004F51D2">
        <w:rPr>
          <w:rFonts w:ascii="Times New Roman" w:eastAsia="Calibri" w:hAnsi="Times New Roman" w:cs="Times New Roman"/>
          <w:color w:val="000000"/>
          <w:sz w:val="24"/>
          <w:szCs w:val="24"/>
        </w:rPr>
        <w:t xml:space="preserve">. </w:t>
      </w:r>
      <w:r w:rsidR="00D14B8F" w:rsidRPr="004F51D2">
        <w:rPr>
          <w:rFonts w:ascii="Times New Roman" w:eastAsia="Calibri" w:hAnsi="Times New Roman" w:cs="Times New Roman"/>
          <w:color w:val="000000"/>
          <w:sz w:val="24"/>
          <w:szCs w:val="24"/>
        </w:rPr>
        <w:t xml:space="preserve">Finally, future studies should be conducted on other </w:t>
      </w:r>
      <w:r w:rsidR="00AE38CF" w:rsidRPr="004F51D2">
        <w:rPr>
          <w:rFonts w:ascii="Times New Roman" w:eastAsia="Calibri" w:hAnsi="Times New Roman" w:cs="Times New Roman"/>
          <w:color w:val="000000"/>
          <w:sz w:val="24"/>
          <w:szCs w:val="24"/>
        </w:rPr>
        <w:t xml:space="preserve">age ranges of adolescents or adult samples </w:t>
      </w:r>
      <w:r w:rsidR="004A648F" w:rsidRPr="004F51D2">
        <w:rPr>
          <w:rFonts w:ascii="Times New Roman" w:eastAsia="Calibri" w:hAnsi="Times New Roman" w:cs="Times New Roman"/>
          <w:color w:val="000000"/>
          <w:sz w:val="24"/>
          <w:szCs w:val="24"/>
        </w:rPr>
        <w:t>and</w:t>
      </w:r>
      <w:r w:rsidR="00AE38CF" w:rsidRPr="004F51D2">
        <w:rPr>
          <w:rFonts w:ascii="Times New Roman" w:eastAsia="Calibri" w:hAnsi="Times New Roman" w:cs="Times New Roman"/>
          <w:color w:val="000000"/>
          <w:sz w:val="24"/>
          <w:szCs w:val="24"/>
        </w:rPr>
        <w:t xml:space="preserve"> in other Persian-speaking countries</w:t>
      </w:r>
      <w:r w:rsidR="00525AE4" w:rsidRPr="004F51D2">
        <w:rPr>
          <w:rFonts w:ascii="Times New Roman" w:eastAsia="Calibri" w:hAnsi="Times New Roman" w:cs="Times New Roman"/>
          <w:color w:val="000000"/>
          <w:sz w:val="24"/>
          <w:szCs w:val="24"/>
        </w:rPr>
        <w:t xml:space="preserve"> to further generalize the results</w:t>
      </w:r>
      <w:r w:rsidR="00AE38CF" w:rsidRPr="004F51D2">
        <w:rPr>
          <w:rFonts w:ascii="Times New Roman" w:eastAsia="Calibri" w:hAnsi="Times New Roman" w:cs="Times New Roman"/>
          <w:color w:val="000000"/>
          <w:sz w:val="24"/>
          <w:szCs w:val="24"/>
        </w:rPr>
        <w:t>.</w:t>
      </w:r>
      <w:r w:rsidR="00847209" w:rsidRPr="004F51D2">
        <w:t xml:space="preserve"> </w:t>
      </w:r>
      <w:r w:rsidR="00847209" w:rsidRPr="004F51D2">
        <w:rPr>
          <w:rFonts w:ascii="Times New Roman" w:eastAsia="Calibri" w:hAnsi="Times New Roman" w:cs="Times New Roman"/>
          <w:color w:val="000000"/>
          <w:sz w:val="24"/>
          <w:szCs w:val="24"/>
        </w:rPr>
        <w:t xml:space="preserve">It would also be interesting to explore mediating or moderating role of cognitive-affective factors like </w:t>
      </w:r>
      <w:r w:rsidR="00115E1F" w:rsidRPr="004F51D2">
        <w:rPr>
          <w:rFonts w:ascii="Times New Roman" w:eastAsia="Calibri" w:hAnsi="Times New Roman" w:cs="Times New Roman"/>
          <w:color w:val="000000"/>
          <w:sz w:val="24"/>
          <w:szCs w:val="24"/>
        </w:rPr>
        <w:t xml:space="preserve">rumination, worry and </w:t>
      </w:r>
      <w:r w:rsidR="00847209" w:rsidRPr="004F51D2">
        <w:rPr>
          <w:rFonts w:ascii="Times New Roman" w:eastAsia="Calibri" w:hAnsi="Times New Roman" w:cs="Times New Roman"/>
          <w:color w:val="000000"/>
          <w:sz w:val="24"/>
          <w:szCs w:val="24"/>
        </w:rPr>
        <w:t xml:space="preserve">desire thinking </w:t>
      </w:r>
      <w:r w:rsidR="006C4D6C" w:rsidRPr="004F51D2">
        <w:rPr>
          <w:rFonts w:ascii="Times New Roman" w:eastAsia="Calibri" w:hAnsi="Times New Roman" w:cs="Times New Roman"/>
          <w:color w:val="000000"/>
          <w:sz w:val="24"/>
          <w:szCs w:val="24"/>
        </w:rPr>
        <w:t xml:space="preserve">(Mansueto, </w:t>
      </w:r>
      <w:hyperlink r:id="rId12" w:history="1">
        <w:r w:rsidR="006C4D6C" w:rsidRPr="004F51D2">
          <w:rPr>
            <w:rFonts w:ascii="Times New Roman" w:eastAsia="Calibri" w:hAnsi="Times New Roman" w:cs="Times New Roman"/>
            <w:color w:val="000000"/>
            <w:sz w:val="24"/>
            <w:szCs w:val="24"/>
          </w:rPr>
          <w:t>Caselli</w:t>
        </w:r>
      </w:hyperlink>
      <w:r w:rsidR="006C4D6C" w:rsidRPr="004F51D2">
        <w:rPr>
          <w:rFonts w:ascii="Times New Roman" w:eastAsia="Calibri" w:hAnsi="Times New Roman" w:cs="Times New Roman"/>
          <w:color w:val="000000"/>
          <w:sz w:val="24"/>
          <w:szCs w:val="24"/>
        </w:rPr>
        <w:t xml:space="preserve">, &amp; Spada, 2021; Mansueto et al., 2019) </w:t>
      </w:r>
      <w:r w:rsidR="00115E1F" w:rsidRPr="004F51D2">
        <w:rPr>
          <w:rFonts w:ascii="Times New Roman" w:eastAsia="Calibri" w:hAnsi="Times New Roman" w:cs="Times New Roman"/>
          <w:color w:val="000000"/>
          <w:sz w:val="24"/>
          <w:szCs w:val="24"/>
        </w:rPr>
        <w:t xml:space="preserve">and their relationship to </w:t>
      </w:r>
      <w:r w:rsidR="00847209" w:rsidRPr="004F51D2">
        <w:rPr>
          <w:rFonts w:ascii="Times New Roman" w:eastAsia="Calibri" w:hAnsi="Times New Roman" w:cs="Times New Roman"/>
          <w:color w:val="000000"/>
          <w:sz w:val="24"/>
          <w:szCs w:val="24"/>
        </w:rPr>
        <w:t xml:space="preserve">metacognitions and </w:t>
      </w:r>
      <w:r w:rsidR="00115E1F" w:rsidRPr="004F51D2">
        <w:rPr>
          <w:rFonts w:ascii="Times New Roman" w:eastAsia="Calibri" w:hAnsi="Times New Roman" w:cs="Times New Roman"/>
          <w:color w:val="000000"/>
          <w:sz w:val="24"/>
          <w:szCs w:val="24"/>
        </w:rPr>
        <w:t>problematic online gaming</w:t>
      </w:r>
      <w:r w:rsidR="00847209" w:rsidRPr="004F51D2">
        <w:rPr>
          <w:rFonts w:ascii="Times New Roman" w:eastAsia="Calibri" w:hAnsi="Times New Roman" w:cs="Times New Roman"/>
          <w:color w:val="000000"/>
          <w:sz w:val="24"/>
          <w:szCs w:val="24"/>
        </w:rPr>
        <w:t>.</w:t>
      </w:r>
    </w:p>
    <w:p w14:paraId="0563B799" w14:textId="35D735FD" w:rsidR="006A1260" w:rsidRPr="004F51D2" w:rsidRDefault="006A1260" w:rsidP="00FA0C05">
      <w:pPr>
        <w:bidi w:val="0"/>
        <w:spacing w:after="0" w:line="480" w:lineRule="auto"/>
        <w:ind w:firstLine="720"/>
        <w:jc w:val="both"/>
        <w:rPr>
          <w:rFonts w:ascii="Times New Roman" w:eastAsia="Calibri" w:hAnsi="Times New Roman" w:cs="Times New Roman"/>
          <w:color w:val="000000"/>
          <w:sz w:val="24"/>
          <w:szCs w:val="24"/>
        </w:rPr>
      </w:pPr>
      <w:r w:rsidRPr="004F51D2">
        <w:rPr>
          <w:rFonts w:ascii="Times New Roman" w:eastAsia="Calibri" w:hAnsi="Times New Roman" w:cs="Times New Roman"/>
          <w:color w:val="000000"/>
          <w:sz w:val="24"/>
          <w:szCs w:val="24"/>
        </w:rPr>
        <w:t>Overall, whereas the characteristics of the online gaming phenomenon highlighted in the present study are in line with the international literature, this study has been conducted with Iranian adolescents, and some limitations regarding external validity might be related to the specificity of the sample. Despite the limitations</w:t>
      </w:r>
      <w:r w:rsidR="001A40CF" w:rsidRPr="004F51D2">
        <w:rPr>
          <w:rFonts w:ascii="Times New Roman" w:eastAsia="Calibri" w:hAnsi="Times New Roman" w:cs="Times New Roman"/>
          <w:color w:val="000000"/>
          <w:sz w:val="24"/>
          <w:szCs w:val="24"/>
        </w:rPr>
        <w:t xml:space="preserve"> we are confident </w:t>
      </w:r>
      <w:r w:rsidRPr="004F51D2">
        <w:rPr>
          <w:rFonts w:ascii="Times New Roman" w:eastAsia="Calibri" w:hAnsi="Times New Roman" w:cs="Times New Roman"/>
          <w:color w:val="000000"/>
          <w:sz w:val="24"/>
          <w:szCs w:val="24"/>
        </w:rPr>
        <w:t xml:space="preserve">our results provide evidence that the </w:t>
      </w:r>
      <w:r w:rsidR="00596E5F" w:rsidRPr="004F51D2">
        <w:rPr>
          <w:rFonts w:ascii="Times New Roman" w:eastAsia="Calibri" w:hAnsi="Times New Roman" w:cs="Times New Roman"/>
          <w:color w:val="000000"/>
          <w:sz w:val="24"/>
          <w:szCs w:val="24"/>
        </w:rPr>
        <w:t>Persian</w:t>
      </w:r>
      <w:r w:rsidRPr="004F51D2">
        <w:rPr>
          <w:rFonts w:ascii="Times New Roman" w:eastAsia="Calibri" w:hAnsi="Times New Roman" w:cs="Times New Roman"/>
          <w:color w:val="000000"/>
          <w:sz w:val="24"/>
          <w:szCs w:val="24"/>
        </w:rPr>
        <w:t xml:space="preserve"> MOGS for </w:t>
      </w:r>
      <w:r w:rsidR="001A40CF" w:rsidRPr="004F51D2">
        <w:rPr>
          <w:rFonts w:ascii="Times New Roman" w:eastAsia="Calibri" w:hAnsi="Times New Roman" w:cs="Times New Roman"/>
          <w:color w:val="000000"/>
          <w:sz w:val="24"/>
          <w:szCs w:val="24"/>
        </w:rPr>
        <w:t>adolescents</w:t>
      </w:r>
      <w:r w:rsidRPr="004F51D2">
        <w:rPr>
          <w:rFonts w:ascii="Times New Roman" w:eastAsia="Calibri" w:hAnsi="Times New Roman" w:cs="Times New Roman"/>
          <w:color w:val="000000"/>
          <w:sz w:val="24"/>
          <w:szCs w:val="24"/>
        </w:rPr>
        <w:t xml:space="preserve"> appears psychometrically appropriate to be used by researchers and practitioners dealing with the issue of prevention and treatment of problem</w:t>
      </w:r>
      <w:r w:rsidR="00120E39" w:rsidRPr="004F51D2">
        <w:rPr>
          <w:rFonts w:ascii="Times New Roman" w:eastAsia="Calibri" w:hAnsi="Times New Roman" w:cs="Times New Roman"/>
          <w:color w:val="000000"/>
          <w:sz w:val="24"/>
          <w:szCs w:val="24"/>
        </w:rPr>
        <w:t>atic</w:t>
      </w:r>
      <w:r w:rsidRPr="004F51D2">
        <w:rPr>
          <w:rFonts w:ascii="Times New Roman" w:eastAsia="Calibri" w:hAnsi="Times New Roman" w:cs="Times New Roman"/>
          <w:color w:val="000000"/>
          <w:sz w:val="24"/>
          <w:szCs w:val="24"/>
        </w:rPr>
        <w:t xml:space="preserve"> online gaming.</w:t>
      </w:r>
    </w:p>
    <w:p w14:paraId="166852F3" w14:textId="77777777" w:rsidR="0035499F" w:rsidRPr="004F51D2" w:rsidRDefault="0035499F" w:rsidP="00B5210C">
      <w:pPr>
        <w:bidi w:val="0"/>
        <w:spacing w:after="0" w:line="480" w:lineRule="auto"/>
        <w:jc w:val="both"/>
        <w:rPr>
          <w:rFonts w:asciiTheme="majorBidi" w:eastAsia="Calibri" w:hAnsiTheme="majorBidi" w:cstheme="majorBidi"/>
          <w:color w:val="000000"/>
          <w:sz w:val="24"/>
          <w:szCs w:val="24"/>
        </w:rPr>
      </w:pPr>
    </w:p>
    <w:p w14:paraId="00E5AB93" w14:textId="77777777" w:rsidR="0054124F" w:rsidRPr="004F51D2" w:rsidRDefault="0054124F" w:rsidP="0054124F">
      <w:pPr>
        <w:bidi w:val="0"/>
        <w:spacing w:after="0" w:line="480" w:lineRule="auto"/>
        <w:jc w:val="both"/>
        <w:rPr>
          <w:rFonts w:asciiTheme="majorBidi" w:eastAsia="Calibri" w:hAnsiTheme="majorBidi" w:cstheme="majorBidi"/>
          <w:color w:val="000000"/>
          <w:sz w:val="24"/>
          <w:szCs w:val="24"/>
          <w:rtl/>
        </w:rPr>
      </w:pPr>
    </w:p>
    <w:p w14:paraId="57FA3F05" w14:textId="1FBC99EA" w:rsidR="00336051" w:rsidRPr="004F51D2" w:rsidRDefault="00336051" w:rsidP="00336051">
      <w:pPr>
        <w:bidi w:val="0"/>
        <w:spacing w:after="0" w:line="480" w:lineRule="auto"/>
        <w:jc w:val="both"/>
        <w:rPr>
          <w:rFonts w:asciiTheme="majorBidi" w:eastAsia="Calibri" w:hAnsiTheme="majorBidi" w:cstheme="majorBidi"/>
          <w:b/>
          <w:bCs/>
          <w:color w:val="000000"/>
          <w:sz w:val="24"/>
          <w:szCs w:val="24"/>
        </w:rPr>
      </w:pPr>
      <w:r w:rsidRPr="004F51D2">
        <w:rPr>
          <w:rFonts w:asciiTheme="majorBidi" w:eastAsia="Calibri" w:hAnsiTheme="majorBidi" w:cstheme="majorBidi"/>
          <w:b/>
          <w:bCs/>
          <w:color w:val="000000"/>
          <w:sz w:val="24"/>
          <w:szCs w:val="24"/>
        </w:rPr>
        <w:t>Declaration of Competing Interest</w:t>
      </w:r>
      <w:r w:rsidR="0013577A" w:rsidRPr="004F51D2">
        <w:rPr>
          <w:rFonts w:asciiTheme="majorBidi" w:eastAsia="Calibri" w:hAnsiTheme="majorBidi" w:cstheme="majorBidi"/>
          <w:b/>
          <w:bCs/>
          <w:color w:val="000000"/>
          <w:sz w:val="24"/>
          <w:szCs w:val="24"/>
        </w:rPr>
        <w:t>s</w:t>
      </w:r>
    </w:p>
    <w:p w14:paraId="36508F3D" w14:textId="77777777" w:rsidR="00336051" w:rsidRPr="004F51D2" w:rsidRDefault="00336051" w:rsidP="00336051">
      <w:pPr>
        <w:bidi w:val="0"/>
        <w:spacing w:after="0" w:line="480" w:lineRule="auto"/>
        <w:jc w:val="both"/>
        <w:rPr>
          <w:rFonts w:asciiTheme="majorBidi" w:eastAsia="Calibri" w:hAnsiTheme="majorBidi" w:cstheme="majorBidi"/>
          <w:color w:val="000000"/>
          <w:sz w:val="24"/>
          <w:szCs w:val="24"/>
        </w:rPr>
      </w:pPr>
      <w:r w:rsidRPr="004F51D2">
        <w:rPr>
          <w:rFonts w:asciiTheme="majorBidi" w:eastAsia="Calibri" w:hAnsiTheme="majorBidi" w:cstheme="majorBidi"/>
          <w:color w:val="000000"/>
          <w:sz w:val="24"/>
          <w:szCs w:val="24"/>
        </w:rPr>
        <w:t>The authors declare that they have no known competing financial interests or personal relationships that could have appeared to influence the work reported in this paper.</w:t>
      </w:r>
    </w:p>
    <w:p w14:paraId="0E3E330F" w14:textId="77777777" w:rsidR="007F2412" w:rsidRPr="004F51D2" w:rsidRDefault="007F2412" w:rsidP="007F2412">
      <w:pPr>
        <w:bidi w:val="0"/>
        <w:spacing w:after="0" w:line="480" w:lineRule="auto"/>
        <w:jc w:val="both"/>
        <w:rPr>
          <w:rFonts w:asciiTheme="majorBidi" w:eastAsia="Calibri" w:hAnsiTheme="majorBidi" w:cstheme="majorBidi"/>
          <w:color w:val="000000"/>
          <w:sz w:val="24"/>
          <w:szCs w:val="24"/>
        </w:rPr>
      </w:pPr>
    </w:p>
    <w:p w14:paraId="4B93EAA1" w14:textId="38BF58C0" w:rsidR="00336051" w:rsidRPr="004F51D2" w:rsidRDefault="00336051" w:rsidP="00336051">
      <w:pPr>
        <w:bidi w:val="0"/>
        <w:spacing w:after="0" w:line="480" w:lineRule="auto"/>
        <w:jc w:val="both"/>
        <w:rPr>
          <w:rFonts w:asciiTheme="majorBidi" w:eastAsia="Calibri" w:hAnsiTheme="majorBidi" w:cstheme="majorBidi"/>
          <w:b/>
          <w:bCs/>
          <w:color w:val="000000"/>
          <w:sz w:val="24"/>
          <w:szCs w:val="24"/>
        </w:rPr>
      </w:pPr>
      <w:r w:rsidRPr="004F51D2">
        <w:rPr>
          <w:rFonts w:asciiTheme="majorBidi" w:eastAsia="Calibri" w:hAnsiTheme="majorBidi" w:cstheme="majorBidi"/>
          <w:b/>
          <w:bCs/>
          <w:color w:val="000000"/>
          <w:sz w:val="24"/>
          <w:szCs w:val="24"/>
        </w:rPr>
        <w:t>Acknowledgment</w:t>
      </w:r>
      <w:r w:rsidR="0013577A" w:rsidRPr="004F51D2">
        <w:rPr>
          <w:rFonts w:asciiTheme="majorBidi" w:eastAsia="Calibri" w:hAnsiTheme="majorBidi" w:cstheme="majorBidi"/>
          <w:b/>
          <w:bCs/>
          <w:color w:val="000000"/>
          <w:sz w:val="24"/>
          <w:szCs w:val="24"/>
        </w:rPr>
        <w:t>s</w:t>
      </w:r>
    </w:p>
    <w:p w14:paraId="049D09AB" w14:textId="77777777" w:rsidR="00336051" w:rsidRPr="004F51D2" w:rsidRDefault="00336051" w:rsidP="00336051">
      <w:pPr>
        <w:bidi w:val="0"/>
        <w:spacing w:after="0" w:line="480" w:lineRule="auto"/>
        <w:jc w:val="both"/>
        <w:rPr>
          <w:rFonts w:asciiTheme="majorBidi" w:eastAsia="Calibri" w:hAnsiTheme="majorBidi" w:cstheme="majorBidi"/>
          <w:color w:val="000000"/>
          <w:sz w:val="24"/>
          <w:szCs w:val="24"/>
        </w:rPr>
      </w:pPr>
      <w:r w:rsidRPr="004F51D2">
        <w:rPr>
          <w:rFonts w:asciiTheme="majorBidi" w:eastAsia="Calibri" w:hAnsiTheme="majorBidi" w:cstheme="majorBidi"/>
          <w:color w:val="000000"/>
          <w:sz w:val="24"/>
          <w:szCs w:val="24"/>
        </w:rPr>
        <w:t>This research did not receive any specific grant from funding agencies in the public, commercial, or not-for-profit sectors.</w:t>
      </w:r>
    </w:p>
    <w:p w14:paraId="34F363A6" w14:textId="77777777" w:rsidR="00336051" w:rsidRPr="004F51D2" w:rsidRDefault="00336051" w:rsidP="00336051">
      <w:pPr>
        <w:bidi w:val="0"/>
        <w:spacing w:after="0" w:line="480" w:lineRule="auto"/>
        <w:jc w:val="both"/>
        <w:rPr>
          <w:rFonts w:asciiTheme="majorBidi" w:eastAsia="Calibri" w:hAnsiTheme="majorBidi" w:cstheme="majorBidi"/>
          <w:color w:val="000000"/>
          <w:sz w:val="24"/>
          <w:szCs w:val="24"/>
          <w:rtl/>
        </w:rPr>
      </w:pPr>
    </w:p>
    <w:p w14:paraId="1D33091B" w14:textId="77777777" w:rsidR="00FC6354" w:rsidRPr="004F51D2" w:rsidRDefault="00FC6354">
      <w:pPr>
        <w:bidi w:val="0"/>
        <w:rPr>
          <w:rFonts w:ascii="Times New Roman" w:eastAsia="Calibri" w:hAnsi="Times New Roman" w:cs="Times New Roman"/>
          <w:b/>
          <w:bCs/>
          <w:color w:val="000000"/>
          <w:sz w:val="24"/>
          <w:szCs w:val="24"/>
        </w:rPr>
      </w:pPr>
      <w:r w:rsidRPr="004F51D2">
        <w:rPr>
          <w:rFonts w:ascii="Times New Roman" w:eastAsia="Calibri" w:hAnsi="Times New Roman" w:cs="Times New Roman"/>
          <w:b/>
          <w:bCs/>
          <w:color w:val="000000"/>
          <w:sz w:val="24"/>
          <w:szCs w:val="24"/>
        </w:rPr>
        <w:br w:type="page"/>
      </w:r>
    </w:p>
    <w:p w14:paraId="43E8E996" w14:textId="77777777" w:rsidR="004815D4" w:rsidRPr="004F51D2" w:rsidRDefault="004815D4" w:rsidP="004815D4">
      <w:pPr>
        <w:bidi w:val="0"/>
        <w:spacing w:after="0" w:line="240" w:lineRule="auto"/>
        <w:jc w:val="both"/>
        <w:rPr>
          <w:rFonts w:asciiTheme="majorBidi" w:eastAsia="Calibri" w:hAnsiTheme="majorBidi" w:cstheme="majorBidi"/>
          <w:color w:val="000000"/>
          <w:sz w:val="24"/>
          <w:szCs w:val="24"/>
        </w:rPr>
      </w:pPr>
      <w:r w:rsidRPr="004F51D2">
        <w:rPr>
          <w:rFonts w:ascii="Times New Roman" w:eastAsia="Calibri" w:hAnsi="Times New Roman" w:cs="Times New Roman"/>
          <w:b/>
          <w:bCs/>
          <w:color w:val="000000"/>
          <w:sz w:val="24"/>
          <w:szCs w:val="24"/>
        </w:rPr>
        <w:t xml:space="preserve">Table 1: </w:t>
      </w:r>
      <w:r w:rsidRPr="004F51D2">
        <w:rPr>
          <w:rFonts w:asciiTheme="majorBidi" w:eastAsia="Calibri" w:hAnsiTheme="majorBidi" w:cstheme="majorBidi"/>
          <w:color w:val="000000"/>
          <w:sz w:val="24"/>
          <w:szCs w:val="24"/>
        </w:rPr>
        <w:t>Socio-demographic features of the sample (n=769).</w:t>
      </w:r>
    </w:p>
    <w:p w14:paraId="5955ECF8" w14:textId="77777777" w:rsidR="004815D4" w:rsidRPr="004F51D2" w:rsidRDefault="004815D4" w:rsidP="004815D4">
      <w:pPr>
        <w:bidi w:val="0"/>
        <w:spacing w:after="0" w:line="240" w:lineRule="auto"/>
        <w:jc w:val="both"/>
        <w:rPr>
          <w:rFonts w:ascii="Times New Roman" w:eastAsia="Calibri" w:hAnsi="Times New Roman" w:cs="Times New Roman"/>
          <w:color w:val="000000"/>
          <w:sz w:val="26"/>
          <w:szCs w:val="26"/>
        </w:rPr>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1559"/>
        <w:gridCol w:w="1418"/>
        <w:gridCol w:w="1280"/>
      </w:tblGrid>
      <w:tr w:rsidR="004815D4" w:rsidRPr="004F51D2" w14:paraId="17EB1523" w14:textId="77777777" w:rsidTr="001F5F0B">
        <w:tc>
          <w:tcPr>
            <w:tcW w:w="4248" w:type="dxa"/>
            <w:tcBorders>
              <w:top w:val="single" w:sz="4" w:space="0" w:color="auto"/>
              <w:bottom w:val="single" w:sz="4" w:space="0" w:color="auto"/>
            </w:tcBorders>
          </w:tcPr>
          <w:p w14:paraId="5070B8E4" w14:textId="77777777" w:rsidR="004815D4" w:rsidRPr="004F51D2" w:rsidRDefault="004815D4" w:rsidP="001F5F0B">
            <w:pPr>
              <w:bidi w:val="0"/>
              <w:spacing w:line="360" w:lineRule="auto"/>
              <w:jc w:val="both"/>
              <w:rPr>
                <w:rFonts w:asciiTheme="majorBidi" w:eastAsia="Calibri" w:hAnsiTheme="majorBidi" w:cstheme="majorBidi"/>
                <w:color w:val="000000"/>
              </w:rPr>
            </w:pPr>
            <w:r w:rsidRPr="004F51D2">
              <w:rPr>
                <w:rFonts w:asciiTheme="majorBidi" w:eastAsia="Calibri" w:hAnsiTheme="majorBidi" w:cstheme="majorBidi"/>
                <w:color w:val="000000"/>
              </w:rPr>
              <w:t>Socio-demographic features</w:t>
            </w:r>
          </w:p>
        </w:tc>
        <w:tc>
          <w:tcPr>
            <w:tcW w:w="1559" w:type="dxa"/>
            <w:tcBorders>
              <w:top w:val="single" w:sz="4" w:space="0" w:color="auto"/>
              <w:bottom w:val="single" w:sz="4" w:space="0" w:color="auto"/>
            </w:tcBorders>
          </w:tcPr>
          <w:p w14:paraId="0F71D1A8" w14:textId="77777777" w:rsidR="004815D4" w:rsidRPr="004F51D2" w:rsidRDefault="004815D4" w:rsidP="001F5F0B">
            <w:pPr>
              <w:bidi w:val="0"/>
              <w:spacing w:line="360" w:lineRule="auto"/>
              <w:jc w:val="both"/>
              <w:rPr>
                <w:rFonts w:asciiTheme="majorBidi" w:eastAsia="Calibri" w:hAnsiTheme="majorBidi" w:cstheme="majorBidi"/>
                <w:color w:val="000000"/>
              </w:rPr>
            </w:pPr>
            <w:r w:rsidRPr="004F51D2">
              <w:rPr>
                <w:rFonts w:asciiTheme="majorBidi" w:eastAsia="Calibri" w:hAnsiTheme="majorBidi" w:cstheme="majorBidi"/>
                <w:color w:val="000000"/>
              </w:rPr>
              <w:t>Mean</w:t>
            </w:r>
          </w:p>
        </w:tc>
        <w:tc>
          <w:tcPr>
            <w:tcW w:w="1418" w:type="dxa"/>
            <w:tcBorders>
              <w:top w:val="single" w:sz="4" w:space="0" w:color="auto"/>
              <w:bottom w:val="single" w:sz="4" w:space="0" w:color="auto"/>
            </w:tcBorders>
          </w:tcPr>
          <w:p w14:paraId="1C84D0CE" w14:textId="77777777" w:rsidR="004815D4" w:rsidRPr="004F51D2" w:rsidRDefault="004815D4" w:rsidP="001F5F0B">
            <w:pPr>
              <w:bidi w:val="0"/>
              <w:spacing w:line="360" w:lineRule="auto"/>
              <w:jc w:val="both"/>
              <w:rPr>
                <w:rFonts w:asciiTheme="majorBidi" w:eastAsia="Calibri" w:hAnsiTheme="majorBidi" w:cstheme="majorBidi"/>
                <w:color w:val="000000"/>
              </w:rPr>
            </w:pPr>
            <w:r w:rsidRPr="004F51D2">
              <w:rPr>
                <w:rFonts w:asciiTheme="majorBidi" w:eastAsia="Calibri" w:hAnsiTheme="majorBidi" w:cstheme="majorBidi"/>
                <w:color w:val="000000"/>
              </w:rPr>
              <w:t>S.D.</w:t>
            </w:r>
          </w:p>
        </w:tc>
        <w:tc>
          <w:tcPr>
            <w:tcW w:w="1280" w:type="dxa"/>
            <w:tcBorders>
              <w:top w:val="single" w:sz="4" w:space="0" w:color="auto"/>
              <w:bottom w:val="single" w:sz="4" w:space="0" w:color="auto"/>
            </w:tcBorders>
          </w:tcPr>
          <w:p w14:paraId="2E4B4036" w14:textId="77777777" w:rsidR="004815D4" w:rsidRPr="004F51D2" w:rsidRDefault="004815D4" w:rsidP="001F5F0B">
            <w:pPr>
              <w:bidi w:val="0"/>
              <w:spacing w:line="360" w:lineRule="auto"/>
              <w:jc w:val="both"/>
              <w:rPr>
                <w:rFonts w:asciiTheme="majorBidi" w:eastAsia="Calibri" w:hAnsiTheme="majorBidi" w:cstheme="majorBidi"/>
                <w:color w:val="000000"/>
              </w:rPr>
            </w:pPr>
            <w:r w:rsidRPr="004F51D2">
              <w:rPr>
                <w:rFonts w:asciiTheme="majorBidi" w:eastAsia="Calibri" w:hAnsiTheme="majorBidi" w:cstheme="majorBidi"/>
                <w:color w:val="000000"/>
              </w:rPr>
              <w:t>Count (%)</w:t>
            </w:r>
          </w:p>
        </w:tc>
      </w:tr>
      <w:tr w:rsidR="004815D4" w:rsidRPr="004F51D2" w14:paraId="25F1DFC3" w14:textId="77777777" w:rsidTr="001F5F0B">
        <w:tc>
          <w:tcPr>
            <w:tcW w:w="4248" w:type="dxa"/>
            <w:tcBorders>
              <w:top w:val="single" w:sz="4" w:space="0" w:color="auto"/>
            </w:tcBorders>
          </w:tcPr>
          <w:p w14:paraId="30969810" w14:textId="77777777" w:rsidR="004815D4" w:rsidRPr="004F51D2" w:rsidRDefault="004815D4" w:rsidP="001F5F0B">
            <w:pPr>
              <w:bidi w:val="0"/>
              <w:spacing w:line="360" w:lineRule="auto"/>
              <w:jc w:val="both"/>
              <w:rPr>
                <w:rFonts w:asciiTheme="majorBidi" w:eastAsia="Calibri" w:hAnsiTheme="majorBidi" w:cstheme="majorBidi"/>
                <w:color w:val="000000"/>
              </w:rPr>
            </w:pPr>
            <w:r w:rsidRPr="004F51D2">
              <w:rPr>
                <w:rFonts w:asciiTheme="majorBidi" w:eastAsia="Calibri" w:hAnsiTheme="majorBidi" w:cstheme="majorBidi"/>
                <w:color w:val="000000"/>
              </w:rPr>
              <w:t>Age</w:t>
            </w:r>
          </w:p>
        </w:tc>
        <w:tc>
          <w:tcPr>
            <w:tcW w:w="1559" w:type="dxa"/>
            <w:tcBorders>
              <w:top w:val="single" w:sz="4" w:space="0" w:color="auto"/>
            </w:tcBorders>
          </w:tcPr>
          <w:p w14:paraId="1C546812" w14:textId="77777777" w:rsidR="004815D4" w:rsidRPr="004F51D2" w:rsidRDefault="004815D4" w:rsidP="001F5F0B">
            <w:pPr>
              <w:bidi w:val="0"/>
              <w:spacing w:line="360" w:lineRule="auto"/>
              <w:jc w:val="both"/>
              <w:rPr>
                <w:rFonts w:asciiTheme="majorBidi" w:eastAsia="Calibri" w:hAnsiTheme="majorBidi" w:cstheme="majorBidi"/>
                <w:color w:val="000000"/>
                <w:sz w:val="20"/>
                <w:szCs w:val="20"/>
              </w:rPr>
            </w:pPr>
            <w:r w:rsidRPr="004F51D2">
              <w:rPr>
                <w:rFonts w:asciiTheme="majorBidi" w:eastAsia="Calibri" w:hAnsiTheme="majorBidi" w:cstheme="majorBidi"/>
                <w:color w:val="000000"/>
                <w:sz w:val="20"/>
                <w:szCs w:val="20"/>
              </w:rPr>
              <w:t>16.39</w:t>
            </w:r>
          </w:p>
        </w:tc>
        <w:tc>
          <w:tcPr>
            <w:tcW w:w="1418" w:type="dxa"/>
            <w:tcBorders>
              <w:top w:val="single" w:sz="4" w:space="0" w:color="auto"/>
            </w:tcBorders>
          </w:tcPr>
          <w:p w14:paraId="6D292E3D" w14:textId="77777777" w:rsidR="004815D4" w:rsidRPr="004F51D2" w:rsidRDefault="004815D4" w:rsidP="001F5F0B">
            <w:pPr>
              <w:bidi w:val="0"/>
              <w:spacing w:line="360" w:lineRule="auto"/>
              <w:jc w:val="both"/>
              <w:rPr>
                <w:rFonts w:asciiTheme="majorBidi" w:eastAsia="Calibri" w:hAnsiTheme="majorBidi" w:cstheme="majorBidi"/>
                <w:color w:val="000000"/>
                <w:sz w:val="20"/>
                <w:szCs w:val="20"/>
              </w:rPr>
            </w:pPr>
            <w:r w:rsidRPr="004F51D2">
              <w:rPr>
                <w:rFonts w:asciiTheme="majorBidi" w:eastAsia="Calibri" w:hAnsiTheme="majorBidi" w:cstheme="majorBidi"/>
                <w:color w:val="000000"/>
                <w:sz w:val="20"/>
                <w:szCs w:val="20"/>
              </w:rPr>
              <w:t>1.68</w:t>
            </w:r>
          </w:p>
        </w:tc>
        <w:tc>
          <w:tcPr>
            <w:tcW w:w="1280" w:type="dxa"/>
            <w:tcBorders>
              <w:top w:val="single" w:sz="4" w:space="0" w:color="auto"/>
            </w:tcBorders>
          </w:tcPr>
          <w:p w14:paraId="5FDFC0BC" w14:textId="77777777" w:rsidR="004815D4" w:rsidRPr="004F51D2" w:rsidRDefault="004815D4" w:rsidP="001F5F0B">
            <w:pPr>
              <w:bidi w:val="0"/>
              <w:spacing w:line="360" w:lineRule="auto"/>
              <w:jc w:val="both"/>
              <w:rPr>
                <w:rFonts w:asciiTheme="majorBidi" w:eastAsia="Calibri" w:hAnsiTheme="majorBidi" w:cstheme="majorBidi"/>
                <w:color w:val="000000"/>
                <w:sz w:val="20"/>
                <w:szCs w:val="20"/>
              </w:rPr>
            </w:pPr>
          </w:p>
        </w:tc>
      </w:tr>
      <w:tr w:rsidR="004815D4" w:rsidRPr="004F51D2" w14:paraId="531F3926" w14:textId="77777777" w:rsidTr="001F5F0B">
        <w:tc>
          <w:tcPr>
            <w:tcW w:w="4248" w:type="dxa"/>
          </w:tcPr>
          <w:p w14:paraId="4B221228" w14:textId="77777777" w:rsidR="004815D4" w:rsidRPr="004F51D2" w:rsidRDefault="004815D4" w:rsidP="001F5F0B">
            <w:pPr>
              <w:bidi w:val="0"/>
              <w:spacing w:line="360" w:lineRule="auto"/>
              <w:jc w:val="both"/>
              <w:rPr>
                <w:rFonts w:asciiTheme="majorBidi" w:eastAsia="Calibri" w:hAnsiTheme="majorBidi" w:cstheme="majorBidi"/>
                <w:color w:val="000000"/>
              </w:rPr>
            </w:pPr>
            <w:r w:rsidRPr="004F51D2">
              <w:rPr>
                <w:rFonts w:asciiTheme="majorBidi" w:eastAsia="Calibri" w:hAnsiTheme="majorBidi" w:cstheme="majorBidi"/>
                <w:color w:val="000000"/>
              </w:rPr>
              <w:t>Gender</w:t>
            </w:r>
          </w:p>
        </w:tc>
        <w:tc>
          <w:tcPr>
            <w:tcW w:w="1559" w:type="dxa"/>
          </w:tcPr>
          <w:p w14:paraId="751F6BF5" w14:textId="77777777" w:rsidR="004815D4" w:rsidRPr="004F51D2" w:rsidRDefault="004815D4" w:rsidP="001F5F0B">
            <w:pPr>
              <w:bidi w:val="0"/>
              <w:spacing w:line="360" w:lineRule="auto"/>
              <w:jc w:val="both"/>
              <w:rPr>
                <w:rFonts w:asciiTheme="majorBidi" w:eastAsia="Calibri" w:hAnsiTheme="majorBidi" w:cstheme="majorBidi"/>
                <w:color w:val="000000"/>
                <w:sz w:val="20"/>
                <w:szCs w:val="20"/>
              </w:rPr>
            </w:pPr>
          </w:p>
        </w:tc>
        <w:tc>
          <w:tcPr>
            <w:tcW w:w="1418" w:type="dxa"/>
          </w:tcPr>
          <w:p w14:paraId="517D97A1" w14:textId="77777777" w:rsidR="004815D4" w:rsidRPr="004F51D2" w:rsidRDefault="004815D4" w:rsidP="001F5F0B">
            <w:pPr>
              <w:bidi w:val="0"/>
              <w:spacing w:line="360" w:lineRule="auto"/>
              <w:jc w:val="both"/>
              <w:rPr>
                <w:rFonts w:asciiTheme="majorBidi" w:eastAsia="Calibri" w:hAnsiTheme="majorBidi" w:cstheme="majorBidi"/>
                <w:color w:val="000000"/>
                <w:sz w:val="20"/>
                <w:szCs w:val="20"/>
              </w:rPr>
            </w:pPr>
          </w:p>
        </w:tc>
        <w:tc>
          <w:tcPr>
            <w:tcW w:w="1280" w:type="dxa"/>
          </w:tcPr>
          <w:p w14:paraId="5A2EDE9E" w14:textId="77777777" w:rsidR="004815D4" w:rsidRPr="004F51D2" w:rsidRDefault="004815D4" w:rsidP="001F5F0B">
            <w:pPr>
              <w:bidi w:val="0"/>
              <w:spacing w:line="360" w:lineRule="auto"/>
              <w:jc w:val="both"/>
              <w:rPr>
                <w:rFonts w:asciiTheme="majorBidi" w:eastAsia="Calibri" w:hAnsiTheme="majorBidi" w:cstheme="majorBidi"/>
                <w:color w:val="000000"/>
                <w:sz w:val="20"/>
                <w:szCs w:val="20"/>
              </w:rPr>
            </w:pPr>
          </w:p>
        </w:tc>
      </w:tr>
      <w:tr w:rsidR="004815D4" w:rsidRPr="004F51D2" w14:paraId="6A6B309A" w14:textId="77777777" w:rsidTr="001F5F0B">
        <w:tc>
          <w:tcPr>
            <w:tcW w:w="4248" w:type="dxa"/>
          </w:tcPr>
          <w:p w14:paraId="6FE05A44" w14:textId="77777777" w:rsidR="004815D4" w:rsidRPr="004F51D2" w:rsidRDefault="004815D4" w:rsidP="001F5F0B">
            <w:pPr>
              <w:bidi w:val="0"/>
              <w:spacing w:line="360" w:lineRule="auto"/>
              <w:ind w:left="284"/>
              <w:jc w:val="both"/>
              <w:rPr>
                <w:rFonts w:asciiTheme="majorBidi" w:eastAsia="Calibri" w:hAnsiTheme="majorBidi" w:cstheme="majorBidi"/>
                <w:i/>
                <w:iCs/>
                <w:color w:val="000000"/>
              </w:rPr>
            </w:pPr>
            <w:r w:rsidRPr="004F51D2">
              <w:rPr>
                <w:rFonts w:asciiTheme="majorBidi" w:eastAsia="Calibri" w:hAnsiTheme="majorBidi" w:cstheme="majorBidi"/>
                <w:i/>
                <w:iCs/>
                <w:color w:val="000000"/>
              </w:rPr>
              <w:t>Male</w:t>
            </w:r>
          </w:p>
        </w:tc>
        <w:tc>
          <w:tcPr>
            <w:tcW w:w="1559" w:type="dxa"/>
          </w:tcPr>
          <w:p w14:paraId="0CF3DF63" w14:textId="77777777" w:rsidR="004815D4" w:rsidRPr="004F51D2" w:rsidRDefault="004815D4" w:rsidP="001F5F0B">
            <w:pPr>
              <w:bidi w:val="0"/>
              <w:spacing w:line="360" w:lineRule="auto"/>
              <w:jc w:val="both"/>
              <w:rPr>
                <w:rFonts w:asciiTheme="majorBidi" w:eastAsia="Calibri" w:hAnsiTheme="majorBidi" w:cstheme="majorBidi"/>
                <w:color w:val="000000"/>
                <w:sz w:val="20"/>
                <w:szCs w:val="20"/>
              </w:rPr>
            </w:pPr>
          </w:p>
        </w:tc>
        <w:tc>
          <w:tcPr>
            <w:tcW w:w="1418" w:type="dxa"/>
          </w:tcPr>
          <w:p w14:paraId="02CD9609" w14:textId="77777777" w:rsidR="004815D4" w:rsidRPr="004F51D2" w:rsidRDefault="004815D4" w:rsidP="001F5F0B">
            <w:pPr>
              <w:bidi w:val="0"/>
              <w:spacing w:line="360" w:lineRule="auto"/>
              <w:jc w:val="both"/>
              <w:rPr>
                <w:rFonts w:asciiTheme="majorBidi" w:eastAsia="Calibri" w:hAnsiTheme="majorBidi" w:cstheme="majorBidi"/>
                <w:color w:val="000000"/>
                <w:sz w:val="20"/>
                <w:szCs w:val="20"/>
              </w:rPr>
            </w:pPr>
          </w:p>
        </w:tc>
        <w:tc>
          <w:tcPr>
            <w:tcW w:w="1280" w:type="dxa"/>
          </w:tcPr>
          <w:p w14:paraId="24018C2C" w14:textId="77777777" w:rsidR="004815D4" w:rsidRPr="004F51D2" w:rsidRDefault="004815D4" w:rsidP="001F5F0B">
            <w:pPr>
              <w:bidi w:val="0"/>
              <w:spacing w:line="360" w:lineRule="auto"/>
              <w:jc w:val="both"/>
              <w:rPr>
                <w:rFonts w:asciiTheme="majorBidi" w:eastAsia="Calibri" w:hAnsiTheme="majorBidi" w:cstheme="majorBidi"/>
                <w:color w:val="000000"/>
                <w:sz w:val="20"/>
                <w:szCs w:val="20"/>
              </w:rPr>
            </w:pPr>
            <w:r w:rsidRPr="004F51D2">
              <w:rPr>
                <w:rFonts w:asciiTheme="majorBidi" w:eastAsia="Calibri" w:hAnsiTheme="majorBidi" w:cstheme="majorBidi"/>
                <w:color w:val="000000"/>
                <w:sz w:val="20"/>
                <w:szCs w:val="20"/>
              </w:rPr>
              <w:t>577 (75%)</w:t>
            </w:r>
          </w:p>
        </w:tc>
      </w:tr>
      <w:tr w:rsidR="004815D4" w:rsidRPr="004F51D2" w14:paraId="4F5C4E1D" w14:textId="77777777" w:rsidTr="001F5F0B">
        <w:tc>
          <w:tcPr>
            <w:tcW w:w="4248" w:type="dxa"/>
          </w:tcPr>
          <w:p w14:paraId="2D3472C4" w14:textId="77777777" w:rsidR="004815D4" w:rsidRPr="004F51D2" w:rsidRDefault="004815D4" w:rsidP="001F5F0B">
            <w:pPr>
              <w:bidi w:val="0"/>
              <w:spacing w:line="360" w:lineRule="auto"/>
              <w:ind w:left="284"/>
              <w:jc w:val="both"/>
              <w:rPr>
                <w:rFonts w:asciiTheme="majorBidi" w:eastAsia="Calibri" w:hAnsiTheme="majorBidi" w:cstheme="majorBidi"/>
                <w:i/>
                <w:iCs/>
                <w:color w:val="000000"/>
              </w:rPr>
            </w:pPr>
            <w:r w:rsidRPr="004F51D2">
              <w:rPr>
                <w:rFonts w:asciiTheme="majorBidi" w:eastAsia="Calibri" w:hAnsiTheme="majorBidi" w:cstheme="majorBidi"/>
                <w:i/>
                <w:iCs/>
                <w:color w:val="000000"/>
              </w:rPr>
              <w:t>Female</w:t>
            </w:r>
          </w:p>
        </w:tc>
        <w:tc>
          <w:tcPr>
            <w:tcW w:w="1559" w:type="dxa"/>
          </w:tcPr>
          <w:p w14:paraId="5023957B" w14:textId="77777777" w:rsidR="004815D4" w:rsidRPr="004F51D2" w:rsidRDefault="004815D4" w:rsidP="001F5F0B">
            <w:pPr>
              <w:bidi w:val="0"/>
              <w:spacing w:line="360" w:lineRule="auto"/>
              <w:jc w:val="both"/>
              <w:rPr>
                <w:rFonts w:asciiTheme="majorBidi" w:eastAsia="Calibri" w:hAnsiTheme="majorBidi" w:cstheme="majorBidi"/>
                <w:color w:val="000000"/>
                <w:sz w:val="20"/>
                <w:szCs w:val="20"/>
              </w:rPr>
            </w:pPr>
          </w:p>
        </w:tc>
        <w:tc>
          <w:tcPr>
            <w:tcW w:w="1418" w:type="dxa"/>
          </w:tcPr>
          <w:p w14:paraId="002A6615" w14:textId="77777777" w:rsidR="004815D4" w:rsidRPr="004F51D2" w:rsidRDefault="004815D4" w:rsidP="001F5F0B">
            <w:pPr>
              <w:bidi w:val="0"/>
              <w:spacing w:line="360" w:lineRule="auto"/>
              <w:jc w:val="both"/>
              <w:rPr>
                <w:rFonts w:asciiTheme="majorBidi" w:eastAsia="Calibri" w:hAnsiTheme="majorBidi" w:cstheme="majorBidi"/>
                <w:color w:val="000000"/>
                <w:sz w:val="20"/>
                <w:szCs w:val="20"/>
              </w:rPr>
            </w:pPr>
          </w:p>
        </w:tc>
        <w:tc>
          <w:tcPr>
            <w:tcW w:w="1280" w:type="dxa"/>
          </w:tcPr>
          <w:p w14:paraId="759AD14C" w14:textId="77777777" w:rsidR="004815D4" w:rsidRPr="004F51D2" w:rsidRDefault="004815D4" w:rsidP="001F5F0B">
            <w:pPr>
              <w:bidi w:val="0"/>
              <w:spacing w:line="360" w:lineRule="auto"/>
              <w:jc w:val="both"/>
              <w:rPr>
                <w:rFonts w:asciiTheme="majorBidi" w:eastAsia="Calibri" w:hAnsiTheme="majorBidi" w:cstheme="majorBidi"/>
                <w:color w:val="000000"/>
                <w:sz w:val="20"/>
                <w:szCs w:val="20"/>
              </w:rPr>
            </w:pPr>
            <w:r w:rsidRPr="004F51D2">
              <w:rPr>
                <w:rFonts w:asciiTheme="majorBidi" w:eastAsia="Calibri" w:hAnsiTheme="majorBidi" w:cstheme="majorBidi"/>
                <w:color w:val="000000"/>
                <w:sz w:val="20"/>
                <w:szCs w:val="20"/>
              </w:rPr>
              <w:t>192 (25%)</w:t>
            </w:r>
          </w:p>
        </w:tc>
      </w:tr>
      <w:tr w:rsidR="004815D4" w:rsidRPr="004F51D2" w14:paraId="2F6C7B27" w14:textId="77777777" w:rsidTr="001F5F0B">
        <w:tc>
          <w:tcPr>
            <w:tcW w:w="4248" w:type="dxa"/>
          </w:tcPr>
          <w:p w14:paraId="232DA05A" w14:textId="77777777" w:rsidR="004815D4" w:rsidRPr="004F51D2" w:rsidRDefault="004815D4" w:rsidP="001F5F0B">
            <w:pPr>
              <w:bidi w:val="0"/>
              <w:spacing w:line="360" w:lineRule="auto"/>
              <w:jc w:val="both"/>
              <w:rPr>
                <w:rFonts w:asciiTheme="majorBidi" w:eastAsia="Calibri" w:hAnsiTheme="majorBidi" w:cstheme="majorBidi"/>
                <w:color w:val="000000"/>
              </w:rPr>
            </w:pPr>
            <w:r w:rsidRPr="004F51D2">
              <w:rPr>
                <w:rFonts w:asciiTheme="majorBidi" w:eastAsia="Calibri" w:hAnsiTheme="majorBidi" w:cstheme="majorBidi"/>
                <w:color w:val="000000"/>
              </w:rPr>
              <w:t>Grade point average (out of 20)</w:t>
            </w:r>
          </w:p>
        </w:tc>
        <w:tc>
          <w:tcPr>
            <w:tcW w:w="1559" w:type="dxa"/>
          </w:tcPr>
          <w:p w14:paraId="286D732A" w14:textId="77777777" w:rsidR="004815D4" w:rsidRPr="004F51D2" w:rsidRDefault="004815D4" w:rsidP="001F5F0B">
            <w:pPr>
              <w:bidi w:val="0"/>
              <w:spacing w:line="360" w:lineRule="auto"/>
              <w:jc w:val="both"/>
              <w:rPr>
                <w:rFonts w:asciiTheme="majorBidi" w:eastAsia="Calibri" w:hAnsiTheme="majorBidi" w:cstheme="majorBidi"/>
                <w:color w:val="000000"/>
                <w:sz w:val="20"/>
                <w:szCs w:val="20"/>
              </w:rPr>
            </w:pPr>
            <w:r w:rsidRPr="004F51D2">
              <w:rPr>
                <w:rFonts w:asciiTheme="majorBidi" w:eastAsia="Calibri" w:hAnsiTheme="majorBidi" w:cstheme="majorBidi"/>
                <w:color w:val="000000"/>
                <w:sz w:val="20"/>
                <w:szCs w:val="20"/>
              </w:rPr>
              <w:t>17.12</w:t>
            </w:r>
          </w:p>
        </w:tc>
        <w:tc>
          <w:tcPr>
            <w:tcW w:w="1418" w:type="dxa"/>
          </w:tcPr>
          <w:p w14:paraId="09E7DD44" w14:textId="77777777" w:rsidR="004815D4" w:rsidRPr="004F51D2" w:rsidRDefault="004815D4" w:rsidP="001F5F0B">
            <w:pPr>
              <w:bidi w:val="0"/>
              <w:spacing w:line="360" w:lineRule="auto"/>
              <w:jc w:val="both"/>
              <w:rPr>
                <w:rFonts w:asciiTheme="majorBidi" w:eastAsia="Calibri" w:hAnsiTheme="majorBidi" w:cstheme="majorBidi"/>
                <w:color w:val="000000"/>
                <w:sz w:val="20"/>
                <w:szCs w:val="20"/>
              </w:rPr>
            </w:pPr>
            <w:r w:rsidRPr="004F51D2">
              <w:rPr>
                <w:rFonts w:asciiTheme="majorBidi" w:eastAsia="Calibri" w:hAnsiTheme="majorBidi" w:cstheme="majorBidi"/>
                <w:color w:val="000000"/>
                <w:sz w:val="20"/>
                <w:szCs w:val="20"/>
              </w:rPr>
              <w:t>2.07</w:t>
            </w:r>
          </w:p>
        </w:tc>
        <w:tc>
          <w:tcPr>
            <w:tcW w:w="1280" w:type="dxa"/>
          </w:tcPr>
          <w:p w14:paraId="1F20265D" w14:textId="77777777" w:rsidR="004815D4" w:rsidRPr="004F51D2" w:rsidRDefault="004815D4" w:rsidP="001F5F0B">
            <w:pPr>
              <w:bidi w:val="0"/>
              <w:spacing w:line="360" w:lineRule="auto"/>
              <w:jc w:val="both"/>
              <w:rPr>
                <w:rFonts w:asciiTheme="majorBidi" w:eastAsia="Calibri" w:hAnsiTheme="majorBidi" w:cstheme="majorBidi"/>
                <w:color w:val="000000"/>
                <w:sz w:val="20"/>
                <w:szCs w:val="20"/>
              </w:rPr>
            </w:pPr>
          </w:p>
        </w:tc>
      </w:tr>
      <w:tr w:rsidR="004815D4" w:rsidRPr="004F51D2" w14:paraId="1F3EEC75" w14:textId="77777777" w:rsidTr="001F5F0B">
        <w:tc>
          <w:tcPr>
            <w:tcW w:w="4248" w:type="dxa"/>
          </w:tcPr>
          <w:p w14:paraId="6FBD57F0" w14:textId="77777777" w:rsidR="004815D4" w:rsidRPr="004F51D2" w:rsidRDefault="004815D4" w:rsidP="001F5F0B">
            <w:pPr>
              <w:bidi w:val="0"/>
              <w:spacing w:line="276" w:lineRule="auto"/>
              <w:jc w:val="both"/>
              <w:rPr>
                <w:rFonts w:asciiTheme="majorBidi" w:eastAsia="Calibri" w:hAnsiTheme="majorBidi" w:cstheme="majorBidi"/>
                <w:color w:val="000000"/>
              </w:rPr>
            </w:pPr>
            <w:r w:rsidRPr="004F51D2">
              <w:rPr>
                <w:rFonts w:asciiTheme="majorBidi" w:eastAsia="Calibri" w:hAnsiTheme="majorBidi" w:cstheme="majorBidi"/>
                <w:color w:val="000000"/>
              </w:rPr>
              <w:t>Family economic status</w:t>
            </w:r>
          </w:p>
          <w:p w14:paraId="4DE38B0C" w14:textId="77777777" w:rsidR="004815D4" w:rsidRPr="004F51D2" w:rsidRDefault="004815D4" w:rsidP="001F5F0B">
            <w:pPr>
              <w:bidi w:val="0"/>
              <w:spacing w:line="276" w:lineRule="auto"/>
              <w:jc w:val="both"/>
              <w:rPr>
                <w:rFonts w:asciiTheme="majorBidi" w:eastAsia="Calibri" w:hAnsiTheme="majorBidi" w:cstheme="majorBidi"/>
                <w:color w:val="000000"/>
              </w:rPr>
            </w:pPr>
            <w:r w:rsidRPr="004F51D2">
              <w:rPr>
                <w:rFonts w:asciiTheme="majorBidi" w:eastAsia="Calibri" w:hAnsiTheme="majorBidi" w:cstheme="majorBidi"/>
                <w:color w:val="000000"/>
              </w:rPr>
              <w:t>(converted to U.S. Dollar)</w:t>
            </w:r>
          </w:p>
        </w:tc>
        <w:tc>
          <w:tcPr>
            <w:tcW w:w="1559" w:type="dxa"/>
          </w:tcPr>
          <w:p w14:paraId="2D5A24C0" w14:textId="77777777" w:rsidR="004815D4" w:rsidRPr="004F51D2" w:rsidRDefault="004815D4" w:rsidP="001F5F0B">
            <w:pPr>
              <w:bidi w:val="0"/>
              <w:spacing w:line="360" w:lineRule="auto"/>
              <w:jc w:val="both"/>
              <w:rPr>
                <w:rFonts w:asciiTheme="majorBidi" w:eastAsia="Calibri" w:hAnsiTheme="majorBidi" w:cstheme="majorBidi"/>
                <w:color w:val="000000"/>
                <w:sz w:val="20"/>
                <w:szCs w:val="20"/>
              </w:rPr>
            </w:pPr>
          </w:p>
        </w:tc>
        <w:tc>
          <w:tcPr>
            <w:tcW w:w="1418" w:type="dxa"/>
          </w:tcPr>
          <w:p w14:paraId="7640A7F9" w14:textId="77777777" w:rsidR="004815D4" w:rsidRPr="004F51D2" w:rsidRDefault="004815D4" w:rsidP="001F5F0B">
            <w:pPr>
              <w:bidi w:val="0"/>
              <w:spacing w:line="360" w:lineRule="auto"/>
              <w:jc w:val="both"/>
              <w:rPr>
                <w:rFonts w:asciiTheme="majorBidi" w:eastAsia="Calibri" w:hAnsiTheme="majorBidi" w:cstheme="majorBidi"/>
                <w:color w:val="000000"/>
                <w:sz w:val="20"/>
                <w:szCs w:val="20"/>
              </w:rPr>
            </w:pPr>
          </w:p>
        </w:tc>
        <w:tc>
          <w:tcPr>
            <w:tcW w:w="1280" w:type="dxa"/>
          </w:tcPr>
          <w:p w14:paraId="2978ED93" w14:textId="77777777" w:rsidR="004815D4" w:rsidRPr="004F51D2" w:rsidRDefault="004815D4" w:rsidP="001F5F0B">
            <w:pPr>
              <w:bidi w:val="0"/>
              <w:spacing w:line="360" w:lineRule="auto"/>
              <w:jc w:val="both"/>
              <w:rPr>
                <w:rFonts w:asciiTheme="majorBidi" w:eastAsia="Calibri" w:hAnsiTheme="majorBidi" w:cstheme="majorBidi"/>
                <w:color w:val="000000"/>
                <w:sz w:val="20"/>
                <w:szCs w:val="20"/>
              </w:rPr>
            </w:pPr>
          </w:p>
        </w:tc>
      </w:tr>
      <w:tr w:rsidR="004815D4" w:rsidRPr="004F51D2" w14:paraId="551311B1" w14:textId="77777777" w:rsidTr="001F5F0B">
        <w:tc>
          <w:tcPr>
            <w:tcW w:w="4248" w:type="dxa"/>
          </w:tcPr>
          <w:p w14:paraId="4C0205FE" w14:textId="77777777" w:rsidR="004815D4" w:rsidRPr="004F51D2" w:rsidRDefault="004815D4" w:rsidP="001F5F0B">
            <w:pPr>
              <w:bidi w:val="0"/>
              <w:spacing w:line="360" w:lineRule="auto"/>
              <w:ind w:left="284"/>
              <w:jc w:val="both"/>
              <w:rPr>
                <w:rFonts w:asciiTheme="majorBidi" w:eastAsia="Calibri" w:hAnsiTheme="majorBidi" w:cstheme="majorBidi"/>
                <w:i/>
                <w:iCs/>
                <w:color w:val="000000"/>
              </w:rPr>
            </w:pPr>
            <w:r w:rsidRPr="004F51D2">
              <w:rPr>
                <w:rFonts w:asciiTheme="majorBidi" w:eastAsia="Calibri" w:hAnsiTheme="majorBidi" w:cstheme="majorBidi"/>
                <w:i/>
                <w:iCs/>
                <w:color w:val="000000"/>
              </w:rPr>
              <w:t>Less than $250</w:t>
            </w:r>
          </w:p>
        </w:tc>
        <w:tc>
          <w:tcPr>
            <w:tcW w:w="1559" w:type="dxa"/>
          </w:tcPr>
          <w:p w14:paraId="04ACB1AD" w14:textId="77777777" w:rsidR="004815D4" w:rsidRPr="004F51D2" w:rsidRDefault="004815D4" w:rsidP="001F5F0B">
            <w:pPr>
              <w:bidi w:val="0"/>
              <w:spacing w:line="360" w:lineRule="auto"/>
              <w:jc w:val="both"/>
              <w:rPr>
                <w:rFonts w:asciiTheme="majorBidi" w:eastAsia="Calibri" w:hAnsiTheme="majorBidi" w:cstheme="majorBidi"/>
                <w:color w:val="000000"/>
                <w:sz w:val="20"/>
                <w:szCs w:val="20"/>
              </w:rPr>
            </w:pPr>
          </w:p>
        </w:tc>
        <w:tc>
          <w:tcPr>
            <w:tcW w:w="1418" w:type="dxa"/>
          </w:tcPr>
          <w:p w14:paraId="7028E980" w14:textId="77777777" w:rsidR="004815D4" w:rsidRPr="004F51D2" w:rsidRDefault="004815D4" w:rsidP="001F5F0B">
            <w:pPr>
              <w:bidi w:val="0"/>
              <w:spacing w:line="360" w:lineRule="auto"/>
              <w:jc w:val="both"/>
              <w:rPr>
                <w:rFonts w:asciiTheme="majorBidi" w:eastAsia="Calibri" w:hAnsiTheme="majorBidi" w:cstheme="majorBidi"/>
                <w:color w:val="000000"/>
                <w:sz w:val="20"/>
                <w:szCs w:val="20"/>
              </w:rPr>
            </w:pPr>
          </w:p>
        </w:tc>
        <w:tc>
          <w:tcPr>
            <w:tcW w:w="1280" w:type="dxa"/>
          </w:tcPr>
          <w:p w14:paraId="6C92C16B" w14:textId="77777777" w:rsidR="004815D4" w:rsidRPr="004F51D2" w:rsidRDefault="004815D4" w:rsidP="001F5F0B">
            <w:pPr>
              <w:bidi w:val="0"/>
              <w:spacing w:line="360" w:lineRule="auto"/>
              <w:jc w:val="both"/>
              <w:rPr>
                <w:rFonts w:asciiTheme="majorBidi" w:eastAsia="Calibri" w:hAnsiTheme="majorBidi" w:cstheme="majorBidi"/>
                <w:color w:val="000000"/>
                <w:sz w:val="20"/>
                <w:szCs w:val="20"/>
              </w:rPr>
            </w:pPr>
            <w:r w:rsidRPr="004F51D2">
              <w:rPr>
                <w:rFonts w:asciiTheme="majorBidi" w:eastAsia="Calibri" w:hAnsiTheme="majorBidi" w:cstheme="majorBidi"/>
                <w:color w:val="000000"/>
                <w:sz w:val="20"/>
                <w:szCs w:val="20"/>
              </w:rPr>
              <w:t>264 (34.3%)</w:t>
            </w:r>
          </w:p>
        </w:tc>
      </w:tr>
      <w:tr w:rsidR="004815D4" w:rsidRPr="004F51D2" w14:paraId="7DEFE968" w14:textId="77777777" w:rsidTr="001F5F0B">
        <w:tc>
          <w:tcPr>
            <w:tcW w:w="4248" w:type="dxa"/>
          </w:tcPr>
          <w:p w14:paraId="579A9BD3" w14:textId="77777777" w:rsidR="004815D4" w:rsidRPr="004F51D2" w:rsidRDefault="004815D4" w:rsidP="001F5F0B">
            <w:pPr>
              <w:bidi w:val="0"/>
              <w:spacing w:line="360" w:lineRule="auto"/>
              <w:ind w:left="284"/>
              <w:jc w:val="both"/>
              <w:rPr>
                <w:rFonts w:asciiTheme="majorBidi" w:eastAsia="Calibri" w:hAnsiTheme="majorBidi" w:cstheme="majorBidi"/>
                <w:i/>
                <w:iCs/>
                <w:color w:val="000000"/>
              </w:rPr>
            </w:pPr>
            <w:r w:rsidRPr="004F51D2">
              <w:rPr>
                <w:rFonts w:asciiTheme="majorBidi" w:eastAsia="Calibri" w:hAnsiTheme="majorBidi" w:cstheme="majorBidi"/>
                <w:i/>
                <w:iCs/>
                <w:color w:val="000000"/>
              </w:rPr>
              <w:t>$250- $500</w:t>
            </w:r>
          </w:p>
        </w:tc>
        <w:tc>
          <w:tcPr>
            <w:tcW w:w="1559" w:type="dxa"/>
          </w:tcPr>
          <w:p w14:paraId="6158D666" w14:textId="77777777" w:rsidR="004815D4" w:rsidRPr="004F51D2" w:rsidRDefault="004815D4" w:rsidP="001F5F0B">
            <w:pPr>
              <w:bidi w:val="0"/>
              <w:spacing w:line="360" w:lineRule="auto"/>
              <w:jc w:val="both"/>
              <w:rPr>
                <w:rFonts w:asciiTheme="majorBidi" w:eastAsia="Calibri" w:hAnsiTheme="majorBidi" w:cstheme="majorBidi"/>
                <w:color w:val="000000"/>
                <w:sz w:val="20"/>
                <w:szCs w:val="20"/>
              </w:rPr>
            </w:pPr>
          </w:p>
        </w:tc>
        <w:tc>
          <w:tcPr>
            <w:tcW w:w="1418" w:type="dxa"/>
          </w:tcPr>
          <w:p w14:paraId="282604B6" w14:textId="77777777" w:rsidR="004815D4" w:rsidRPr="004F51D2" w:rsidRDefault="004815D4" w:rsidP="001F5F0B">
            <w:pPr>
              <w:bidi w:val="0"/>
              <w:spacing w:line="360" w:lineRule="auto"/>
              <w:jc w:val="both"/>
              <w:rPr>
                <w:rFonts w:asciiTheme="majorBidi" w:eastAsia="Calibri" w:hAnsiTheme="majorBidi" w:cstheme="majorBidi"/>
                <w:color w:val="000000"/>
                <w:sz w:val="20"/>
                <w:szCs w:val="20"/>
              </w:rPr>
            </w:pPr>
          </w:p>
        </w:tc>
        <w:tc>
          <w:tcPr>
            <w:tcW w:w="1280" w:type="dxa"/>
          </w:tcPr>
          <w:p w14:paraId="558F850B" w14:textId="77777777" w:rsidR="004815D4" w:rsidRPr="004F51D2" w:rsidRDefault="004815D4" w:rsidP="001F5F0B">
            <w:pPr>
              <w:bidi w:val="0"/>
              <w:spacing w:line="360" w:lineRule="auto"/>
              <w:jc w:val="both"/>
              <w:rPr>
                <w:rFonts w:asciiTheme="majorBidi" w:eastAsia="Calibri" w:hAnsiTheme="majorBidi" w:cstheme="majorBidi"/>
                <w:color w:val="000000"/>
                <w:sz w:val="20"/>
                <w:szCs w:val="20"/>
              </w:rPr>
            </w:pPr>
            <w:r w:rsidRPr="004F51D2">
              <w:rPr>
                <w:rFonts w:asciiTheme="majorBidi" w:eastAsia="Calibri" w:hAnsiTheme="majorBidi" w:cstheme="majorBidi"/>
                <w:color w:val="000000"/>
                <w:sz w:val="20"/>
                <w:szCs w:val="20"/>
              </w:rPr>
              <w:t>346 (45%)</w:t>
            </w:r>
          </w:p>
        </w:tc>
      </w:tr>
      <w:tr w:rsidR="004815D4" w:rsidRPr="004F51D2" w14:paraId="111636BC" w14:textId="77777777" w:rsidTr="001F5F0B">
        <w:tc>
          <w:tcPr>
            <w:tcW w:w="4248" w:type="dxa"/>
          </w:tcPr>
          <w:p w14:paraId="77DA48FE" w14:textId="77777777" w:rsidR="004815D4" w:rsidRPr="004F51D2" w:rsidRDefault="004815D4" w:rsidP="001F5F0B">
            <w:pPr>
              <w:bidi w:val="0"/>
              <w:spacing w:line="360" w:lineRule="auto"/>
              <w:ind w:left="284"/>
              <w:jc w:val="both"/>
              <w:rPr>
                <w:rFonts w:asciiTheme="majorBidi" w:eastAsia="Calibri" w:hAnsiTheme="majorBidi" w:cstheme="majorBidi"/>
                <w:i/>
                <w:iCs/>
                <w:color w:val="000000"/>
              </w:rPr>
            </w:pPr>
            <w:r w:rsidRPr="004F51D2">
              <w:rPr>
                <w:rFonts w:asciiTheme="majorBidi" w:eastAsia="Calibri" w:hAnsiTheme="majorBidi" w:cstheme="majorBidi"/>
                <w:i/>
                <w:iCs/>
                <w:color w:val="000000"/>
              </w:rPr>
              <w:t>More than $500</w:t>
            </w:r>
          </w:p>
        </w:tc>
        <w:tc>
          <w:tcPr>
            <w:tcW w:w="1559" w:type="dxa"/>
          </w:tcPr>
          <w:p w14:paraId="0C2F2F30" w14:textId="77777777" w:rsidR="004815D4" w:rsidRPr="004F51D2" w:rsidRDefault="004815D4" w:rsidP="001F5F0B">
            <w:pPr>
              <w:bidi w:val="0"/>
              <w:spacing w:line="360" w:lineRule="auto"/>
              <w:jc w:val="both"/>
              <w:rPr>
                <w:rFonts w:asciiTheme="majorBidi" w:eastAsia="Calibri" w:hAnsiTheme="majorBidi" w:cstheme="majorBidi"/>
                <w:color w:val="000000"/>
                <w:sz w:val="20"/>
                <w:szCs w:val="20"/>
              </w:rPr>
            </w:pPr>
          </w:p>
        </w:tc>
        <w:tc>
          <w:tcPr>
            <w:tcW w:w="1418" w:type="dxa"/>
          </w:tcPr>
          <w:p w14:paraId="0932021B" w14:textId="77777777" w:rsidR="004815D4" w:rsidRPr="004F51D2" w:rsidRDefault="004815D4" w:rsidP="001F5F0B">
            <w:pPr>
              <w:bidi w:val="0"/>
              <w:spacing w:line="360" w:lineRule="auto"/>
              <w:jc w:val="both"/>
              <w:rPr>
                <w:rFonts w:asciiTheme="majorBidi" w:eastAsia="Calibri" w:hAnsiTheme="majorBidi" w:cstheme="majorBidi"/>
                <w:color w:val="000000"/>
                <w:sz w:val="20"/>
                <w:szCs w:val="20"/>
              </w:rPr>
            </w:pPr>
          </w:p>
        </w:tc>
        <w:tc>
          <w:tcPr>
            <w:tcW w:w="1280" w:type="dxa"/>
          </w:tcPr>
          <w:p w14:paraId="5E878C17" w14:textId="77777777" w:rsidR="004815D4" w:rsidRPr="004F51D2" w:rsidRDefault="004815D4" w:rsidP="001F5F0B">
            <w:pPr>
              <w:bidi w:val="0"/>
              <w:spacing w:line="360" w:lineRule="auto"/>
              <w:jc w:val="both"/>
              <w:rPr>
                <w:rFonts w:asciiTheme="majorBidi" w:eastAsia="Calibri" w:hAnsiTheme="majorBidi" w:cstheme="majorBidi"/>
                <w:color w:val="000000"/>
                <w:sz w:val="20"/>
                <w:szCs w:val="20"/>
              </w:rPr>
            </w:pPr>
            <w:r w:rsidRPr="004F51D2">
              <w:rPr>
                <w:rFonts w:asciiTheme="majorBidi" w:eastAsia="Calibri" w:hAnsiTheme="majorBidi" w:cstheme="majorBidi"/>
                <w:color w:val="000000"/>
                <w:sz w:val="20"/>
                <w:szCs w:val="20"/>
              </w:rPr>
              <w:t>159 (20.7)</w:t>
            </w:r>
          </w:p>
        </w:tc>
      </w:tr>
      <w:tr w:rsidR="004815D4" w:rsidRPr="004F51D2" w14:paraId="55DE9738" w14:textId="77777777" w:rsidTr="001F5F0B">
        <w:tc>
          <w:tcPr>
            <w:tcW w:w="4248" w:type="dxa"/>
          </w:tcPr>
          <w:p w14:paraId="1C3E7EC0" w14:textId="77777777" w:rsidR="004815D4" w:rsidRPr="004F51D2" w:rsidRDefault="004815D4" w:rsidP="001F5F0B">
            <w:pPr>
              <w:bidi w:val="0"/>
              <w:spacing w:line="360" w:lineRule="auto"/>
              <w:jc w:val="both"/>
              <w:rPr>
                <w:rFonts w:asciiTheme="majorBidi" w:eastAsia="Calibri" w:hAnsiTheme="majorBidi" w:cstheme="majorBidi"/>
                <w:color w:val="000000"/>
              </w:rPr>
            </w:pPr>
            <w:r w:rsidRPr="004F51D2">
              <w:rPr>
                <w:rFonts w:asciiTheme="majorBidi" w:eastAsia="Calibri" w:hAnsiTheme="majorBidi" w:cstheme="majorBidi"/>
                <w:color w:val="000000"/>
              </w:rPr>
              <w:t>Residential area</w:t>
            </w:r>
          </w:p>
        </w:tc>
        <w:tc>
          <w:tcPr>
            <w:tcW w:w="1559" w:type="dxa"/>
          </w:tcPr>
          <w:p w14:paraId="249144EC" w14:textId="77777777" w:rsidR="004815D4" w:rsidRPr="004F51D2" w:rsidRDefault="004815D4" w:rsidP="001F5F0B">
            <w:pPr>
              <w:bidi w:val="0"/>
              <w:spacing w:line="360" w:lineRule="auto"/>
              <w:jc w:val="both"/>
              <w:rPr>
                <w:rFonts w:asciiTheme="majorBidi" w:eastAsia="Calibri" w:hAnsiTheme="majorBidi" w:cstheme="majorBidi"/>
                <w:color w:val="000000"/>
                <w:sz w:val="20"/>
                <w:szCs w:val="20"/>
              </w:rPr>
            </w:pPr>
          </w:p>
        </w:tc>
        <w:tc>
          <w:tcPr>
            <w:tcW w:w="1418" w:type="dxa"/>
          </w:tcPr>
          <w:p w14:paraId="740DDBE9" w14:textId="77777777" w:rsidR="004815D4" w:rsidRPr="004F51D2" w:rsidRDefault="004815D4" w:rsidP="001F5F0B">
            <w:pPr>
              <w:bidi w:val="0"/>
              <w:spacing w:line="360" w:lineRule="auto"/>
              <w:jc w:val="both"/>
              <w:rPr>
                <w:rFonts w:asciiTheme="majorBidi" w:eastAsia="Calibri" w:hAnsiTheme="majorBidi" w:cstheme="majorBidi"/>
                <w:color w:val="000000"/>
                <w:sz w:val="20"/>
                <w:szCs w:val="20"/>
              </w:rPr>
            </w:pPr>
          </w:p>
        </w:tc>
        <w:tc>
          <w:tcPr>
            <w:tcW w:w="1280" w:type="dxa"/>
          </w:tcPr>
          <w:p w14:paraId="52BA731A" w14:textId="77777777" w:rsidR="004815D4" w:rsidRPr="004F51D2" w:rsidRDefault="004815D4" w:rsidP="001F5F0B">
            <w:pPr>
              <w:bidi w:val="0"/>
              <w:spacing w:line="360" w:lineRule="auto"/>
              <w:jc w:val="both"/>
              <w:rPr>
                <w:rFonts w:asciiTheme="majorBidi" w:eastAsia="Calibri" w:hAnsiTheme="majorBidi" w:cstheme="majorBidi"/>
                <w:color w:val="000000"/>
                <w:sz w:val="20"/>
                <w:szCs w:val="20"/>
              </w:rPr>
            </w:pPr>
          </w:p>
        </w:tc>
      </w:tr>
      <w:tr w:rsidR="004815D4" w:rsidRPr="004F51D2" w14:paraId="7FE10A71" w14:textId="77777777" w:rsidTr="001F5F0B">
        <w:tc>
          <w:tcPr>
            <w:tcW w:w="4248" w:type="dxa"/>
          </w:tcPr>
          <w:p w14:paraId="575C12F6" w14:textId="77777777" w:rsidR="004815D4" w:rsidRPr="004F51D2" w:rsidRDefault="004815D4" w:rsidP="001F5F0B">
            <w:pPr>
              <w:bidi w:val="0"/>
              <w:spacing w:line="360" w:lineRule="auto"/>
              <w:ind w:left="284"/>
              <w:jc w:val="both"/>
              <w:rPr>
                <w:rFonts w:asciiTheme="majorBidi" w:eastAsia="Calibri" w:hAnsiTheme="majorBidi" w:cstheme="majorBidi"/>
                <w:i/>
                <w:iCs/>
                <w:color w:val="000000"/>
              </w:rPr>
            </w:pPr>
            <w:r w:rsidRPr="004F51D2">
              <w:rPr>
                <w:rFonts w:asciiTheme="majorBidi" w:eastAsia="Calibri" w:hAnsiTheme="majorBidi" w:cstheme="majorBidi"/>
                <w:i/>
                <w:iCs/>
                <w:color w:val="000000"/>
              </w:rPr>
              <w:t>City center</w:t>
            </w:r>
          </w:p>
        </w:tc>
        <w:tc>
          <w:tcPr>
            <w:tcW w:w="1559" w:type="dxa"/>
          </w:tcPr>
          <w:p w14:paraId="02505C7C" w14:textId="77777777" w:rsidR="004815D4" w:rsidRPr="004F51D2" w:rsidRDefault="004815D4" w:rsidP="001F5F0B">
            <w:pPr>
              <w:bidi w:val="0"/>
              <w:spacing w:line="360" w:lineRule="auto"/>
              <w:jc w:val="both"/>
              <w:rPr>
                <w:rFonts w:asciiTheme="majorBidi" w:eastAsia="Calibri" w:hAnsiTheme="majorBidi" w:cstheme="majorBidi"/>
                <w:color w:val="000000"/>
                <w:sz w:val="20"/>
                <w:szCs w:val="20"/>
              </w:rPr>
            </w:pPr>
          </w:p>
        </w:tc>
        <w:tc>
          <w:tcPr>
            <w:tcW w:w="1418" w:type="dxa"/>
          </w:tcPr>
          <w:p w14:paraId="5FF8B0D9" w14:textId="77777777" w:rsidR="004815D4" w:rsidRPr="004F51D2" w:rsidRDefault="004815D4" w:rsidP="001F5F0B">
            <w:pPr>
              <w:bidi w:val="0"/>
              <w:spacing w:line="360" w:lineRule="auto"/>
              <w:jc w:val="both"/>
              <w:rPr>
                <w:rFonts w:asciiTheme="majorBidi" w:eastAsia="Calibri" w:hAnsiTheme="majorBidi" w:cstheme="majorBidi"/>
                <w:color w:val="000000"/>
                <w:sz w:val="20"/>
                <w:szCs w:val="20"/>
              </w:rPr>
            </w:pPr>
          </w:p>
        </w:tc>
        <w:tc>
          <w:tcPr>
            <w:tcW w:w="1280" w:type="dxa"/>
          </w:tcPr>
          <w:p w14:paraId="62A570B0" w14:textId="77777777" w:rsidR="004815D4" w:rsidRPr="004F51D2" w:rsidRDefault="004815D4" w:rsidP="001F5F0B">
            <w:pPr>
              <w:bidi w:val="0"/>
              <w:spacing w:line="360" w:lineRule="auto"/>
              <w:jc w:val="both"/>
              <w:rPr>
                <w:rFonts w:asciiTheme="majorBidi" w:eastAsia="Calibri" w:hAnsiTheme="majorBidi" w:cstheme="majorBidi"/>
                <w:color w:val="000000"/>
                <w:sz w:val="20"/>
                <w:szCs w:val="20"/>
              </w:rPr>
            </w:pPr>
            <w:r w:rsidRPr="004F51D2">
              <w:rPr>
                <w:rFonts w:asciiTheme="majorBidi" w:eastAsia="Calibri" w:hAnsiTheme="majorBidi" w:cstheme="majorBidi"/>
                <w:color w:val="000000"/>
                <w:sz w:val="20"/>
                <w:szCs w:val="20"/>
              </w:rPr>
              <w:t>599 (77.9%)</w:t>
            </w:r>
          </w:p>
        </w:tc>
      </w:tr>
      <w:tr w:rsidR="004815D4" w:rsidRPr="004F51D2" w14:paraId="1B8D83BE" w14:textId="77777777" w:rsidTr="001F5F0B">
        <w:tc>
          <w:tcPr>
            <w:tcW w:w="4248" w:type="dxa"/>
          </w:tcPr>
          <w:p w14:paraId="775A9093" w14:textId="77777777" w:rsidR="004815D4" w:rsidRPr="004F51D2" w:rsidRDefault="004815D4" w:rsidP="001F5F0B">
            <w:pPr>
              <w:bidi w:val="0"/>
              <w:spacing w:line="360" w:lineRule="auto"/>
              <w:ind w:left="284"/>
              <w:jc w:val="both"/>
              <w:rPr>
                <w:rFonts w:asciiTheme="majorBidi" w:eastAsia="Calibri" w:hAnsiTheme="majorBidi" w:cstheme="majorBidi"/>
                <w:i/>
                <w:iCs/>
                <w:color w:val="000000"/>
              </w:rPr>
            </w:pPr>
            <w:r w:rsidRPr="004F51D2">
              <w:rPr>
                <w:rFonts w:asciiTheme="majorBidi" w:eastAsia="Calibri" w:hAnsiTheme="majorBidi" w:cstheme="majorBidi"/>
                <w:i/>
                <w:iCs/>
                <w:color w:val="000000"/>
              </w:rPr>
              <w:t>Not city center</w:t>
            </w:r>
          </w:p>
        </w:tc>
        <w:tc>
          <w:tcPr>
            <w:tcW w:w="1559" w:type="dxa"/>
          </w:tcPr>
          <w:p w14:paraId="68695D99" w14:textId="77777777" w:rsidR="004815D4" w:rsidRPr="004F51D2" w:rsidRDefault="004815D4" w:rsidP="001F5F0B">
            <w:pPr>
              <w:bidi w:val="0"/>
              <w:spacing w:line="360" w:lineRule="auto"/>
              <w:jc w:val="both"/>
              <w:rPr>
                <w:rFonts w:asciiTheme="majorBidi" w:eastAsia="Calibri" w:hAnsiTheme="majorBidi" w:cstheme="majorBidi"/>
                <w:color w:val="000000"/>
                <w:sz w:val="20"/>
                <w:szCs w:val="20"/>
              </w:rPr>
            </w:pPr>
          </w:p>
        </w:tc>
        <w:tc>
          <w:tcPr>
            <w:tcW w:w="1418" w:type="dxa"/>
          </w:tcPr>
          <w:p w14:paraId="2D389CB6" w14:textId="77777777" w:rsidR="004815D4" w:rsidRPr="004F51D2" w:rsidRDefault="004815D4" w:rsidP="001F5F0B">
            <w:pPr>
              <w:bidi w:val="0"/>
              <w:spacing w:line="360" w:lineRule="auto"/>
              <w:jc w:val="both"/>
              <w:rPr>
                <w:rFonts w:asciiTheme="majorBidi" w:eastAsia="Calibri" w:hAnsiTheme="majorBidi" w:cstheme="majorBidi"/>
                <w:color w:val="000000"/>
                <w:sz w:val="20"/>
                <w:szCs w:val="20"/>
              </w:rPr>
            </w:pPr>
          </w:p>
        </w:tc>
        <w:tc>
          <w:tcPr>
            <w:tcW w:w="1280" w:type="dxa"/>
          </w:tcPr>
          <w:p w14:paraId="6FE0BBB2" w14:textId="77777777" w:rsidR="004815D4" w:rsidRPr="004F51D2" w:rsidRDefault="004815D4" w:rsidP="001F5F0B">
            <w:pPr>
              <w:bidi w:val="0"/>
              <w:spacing w:line="360" w:lineRule="auto"/>
              <w:jc w:val="both"/>
              <w:rPr>
                <w:rFonts w:asciiTheme="majorBidi" w:eastAsia="Calibri" w:hAnsiTheme="majorBidi" w:cstheme="majorBidi"/>
                <w:color w:val="000000"/>
                <w:sz w:val="20"/>
                <w:szCs w:val="20"/>
              </w:rPr>
            </w:pPr>
            <w:r w:rsidRPr="004F51D2">
              <w:rPr>
                <w:rFonts w:asciiTheme="majorBidi" w:eastAsia="Calibri" w:hAnsiTheme="majorBidi" w:cstheme="majorBidi"/>
                <w:color w:val="000000"/>
                <w:sz w:val="20"/>
                <w:szCs w:val="20"/>
              </w:rPr>
              <w:t>170 (22.1%)</w:t>
            </w:r>
          </w:p>
        </w:tc>
      </w:tr>
      <w:tr w:rsidR="004815D4" w:rsidRPr="004F51D2" w14:paraId="22D3D8E5" w14:textId="77777777" w:rsidTr="001F5F0B">
        <w:tc>
          <w:tcPr>
            <w:tcW w:w="4248" w:type="dxa"/>
          </w:tcPr>
          <w:p w14:paraId="1F03CF0A" w14:textId="77777777" w:rsidR="004815D4" w:rsidRPr="004F51D2" w:rsidRDefault="004815D4" w:rsidP="001F5F0B">
            <w:pPr>
              <w:bidi w:val="0"/>
              <w:spacing w:line="360" w:lineRule="auto"/>
              <w:jc w:val="both"/>
              <w:rPr>
                <w:rFonts w:asciiTheme="majorBidi" w:eastAsia="Calibri" w:hAnsiTheme="majorBidi" w:cstheme="majorBidi"/>
                <w:color w:val="000000"/>
              </w:rPr>
            </w:pPr>
            <w:r w:rsidRPr="004F51D2">
              <w:rPr>
                <w:rFonts w:asciiTheme="majorBidi" w:hAnsiTheme="majorBidi" w:cstheme="majorBidi"/>
                <w:color w:val="000000"/>
              </w:rPr>
              <w:t>Presence of Internet connection at home</w:t>
            </w:r>
          </w:p>
        </w:tc>
        <w:tc>
          <w:tcPr>
            <w:tcW w:w="1559" w:type="dxa"/>
          </w:tcPr>
          <w:p w14:paraId="702A8341" w14:textId="77777777" w:rsidR="004815D4" w:rsidRPr="004F51D2" w:rsidRDefault="004815D4" w:rsidP="001F5F0B">
            <w:pPr>
              <w:bidi w:val="0"/>
              <w:spacing w:line="360" w:lineRule="auto"/>
              <w:jc w:val="both"/>
              <w:rPr>
                <w:rFonts w:asciiTheme="majorBidi" w:eastAsia="Calibri" w:hAnsiTheme="majorBidi" w:cstheme="majorBidi"/>
                <w:color w:val="000000"/>
                <w:sz w:val="20"/>
                <w:szCs w:val="20"/>
              </w:rPr>
            </w:pPr>
          </w:p>
        </w:tc>
        <w:tc>
          <w:tcPr>
            <w:tcW w:w="1418" w:type="dxa"/>
          </w:tcPr>
          <w:p w14:paraId="29FA3F8A" w14:textId="77777777" w:rsidR="004815D4" w:rsidRPr="004F51D2" w:rsidRDefault="004815D4" w:rsidP="001F5F0B">
            <w:pPr>
              <w:bidi w:val="0"/>
              <w:spacing w:line="360" w:lineRule="auto"/>
              <w:jc w:val="both"/>
              <w:rPr>
                <w:rFonts w:asciiTheme="majorBidi" w:eastAsia="Calibri" w:hAnsiTheme="majorBidi" w:cstheme="majorBidi"/>
                <w:color w:val="000000"/>
                <w:sz w:val="20"/>
                <w:szCs w:val="20"/>
              </w:rPr>
            </w:pPr>
          </w:p>
        </w:tc>
        <w:tc>
          <w:tcPr>
            <w:tcW w:w="1280" w:type="dxa"/>
          </w:tcPr>
          <w:p w14:paraId="00644C68" w14:textId="77777777" w:rsidR="004815D4" w:rsidRPr="004F51D2" w:rsidRDefault="004815D4" w:rsidP="001F5F0B">
            <w:pPr>
              <w:bidi w:val="0"/>
              <w:spacing w:line="360" w:lineRule="auto"/>
              <w:jc w:val="both"/>
              <w:rPr>
                <w:rFonts w:asciiTheme="majorBidi" w:eastAsia="Calibri" w:hAnsiTheme="majorBidi" w:cstheme="majorBidi"/>
                <w:color w:val="000000"/>
                <w:sz w:val="20"/>
                <w:szCs w:val="20"/>
              </w:rPr>
            </w:pPr>
            <w:r w:rsidRPr="004F51D2">
              <w:rPr>
                <w:rFonts w:asciiTheme="majorBidi" w:eastAsia="Calibri" w:hAnsiTheme="majorBidi" w:cstheme="majorBidi"/>
                <w:color w:val="000000"/>
                <w:sz w:val="20"/>
                <w:szCs w:val="20"/>
              </w:rPr>
              <w:t>765 (98.3%)</w:t>
            </w:r>
          </w:p>
        </w:tc>
      </w:tr>
      <w:tr w:rsidR="004815D4" w:rsidRPr="004F51D2" w14:paraId="1C12B2A1" w14:textId="77777777" w:rsidTr="001F5F0B">
        <w:tc>
          <w:tcPr>
            <w:tcW w:w="4248" w:type="dxa"/>
          </w:tcPr>
          <w:p w14:paraId="34349BFD" w14:textId="77777777" w:rsidR="004815D4" w:rsidRPr="004F51D2" w:rsidRDefault="004815D4" w:rsidP="001F5F0B">
            <w:pPr>
              <w:bidi w:val="0"/>
              <w:spacing w:line="360" w:lineRule="auto"/>
              <w:jc w:val="both"/>
              <w:rPr>
                <w:rFonts w:asciiTheme="majorBidi" w:eastAsia="Calibri" w:hAnsiTheme="majorBidi" w:cstheme="majorBidi"/>
                <w:color w:val="000000"/>
              </w:rPr>
            </w:pPr>
            <w:r w:rsidRPr="004F51D2">
              <w:rPr>
                <w:rFonts w:asciiTheme="majorBidi" w:hAnsiTheme="majorBidi" w:cstheme="majorBidi"/>
                <w:color w:val="000000"/>
              </w:rPr>
              <w:t>Average internet usage (hour/day)</w:t>
            </w:r>
          </w:p>
        </w:tc>
        <w:tc>
          <w:tcPr>
            <w:tcW w:w="1559" w:type="dxa"/>
          </w:tcPr>
          <w:p w14:paraId="6151161F" w14:textId="77777777" w:rsidR="004815D4" w:rsidRPr="004F51D2" w:rsidRDefault="004815D4" w:rsidP="001F5F0B">
            <w:pPr>
              <w:bidi w:val="0"/>
              <w:spacing w:line="360" w:lineRule="auto"/>
              <w:jc w:val="both"/>
              <w:rPr>
                <w:rFonts w:asciiTheme="majorBidi" w:eastAsia="Calibri" w:hAnsiTheme="majorBidi" w:cstheme="majorBidi"/>
                <w:color w:val="000000"/>
                <w:sz w:val="20"/>
                <w:szCs w:val="20"/>
              </w:rPr>
            </w:pPr>
          </w:p>
        </w:tc>
        <w:tc>
          <w:tcPr>
            <w:tcW w:w="1418" w:type="dxa"/>
          </w:tcPr>
          <w:p w14:paraId="7ECA7B99" w14:textId="77777777" w:rsidR="004815D4" w:rsidRPr="004F51D2" w:rsidRDefault="004815D4" w:rsidP="001F5F0B">
            <w:pPr>
              <w:bidi w:val="0"/>
              <w:spacing w:line="360" w:lineRule="auto"/>
              <w:jc w:val="both"/>
              <w:rPr>
                <w:rFonts w:asciiTheme="majorBidi" w:eastAsia="Calibri" w:hAnsiTheme="majorBidi" w:cstheme="majorBidi"/>
                <w:color w:val="000000"/>
                <w:sz w:val="20"/>
                <w:szCs w:val="20"/>
              </w:rPr>
            </w:pPr>
          </w:p>
        </w:tc>
        <w:tc>
          <w:tcPr>
            <w:tcW w:w="1280" w:type="dxa"/>
          </w:tcPr>
          <w:p w14:paraId="38F4A2B4" w14:textId="77777777" w:rsidR="004815D4" w:rsidRPr="004F51D2" w:rsidRDefault="004815D4" w:rsidP="001F5F0B">
            <w:pPr>
              <w:bidi w:val="0"/>
              <w:spacing w:line="360" w:lineRule="auto"/>
              <w:jc w:val="both"/>
              <w:rPr>
                <w:rFonts w:asciiTheme="majorBidi" w:eastAsia="Calibri" w:hAnsiTheme="majorBidi" w:cstheme="majorBidi"/>
                <w:color w:val="000000"/>
                <w:sz w:val="20"/>
                <w:szCs w:val="20"/>
              </w:rPr>
            </w:pPr>
          </w:p>
        </w:tc>
      </w:tr>
      <w:tr w:rsidR="004815D4" w:rsidRPr="004F51D2" w14:paraId="27BA79F7" w14:textId="77777777" w:rsidTr="001F5F0B">
        <w:tc>
          <w:tcPr>
            <w:tcW w:w="4248" w:type="dxa"/>
          </w:tcPr>
          <w:p w14:paraId="145B78CC" w14:textId="77777777" w:rsidR="004815D4" w:rsidRPr="004F51D2" w:rsidRDefault="004815D4" w:rsidP="001F5F0B">
            <w:pPr>
              <w:bidi w:val="0"/>
              <w:spacing w:line="360" w:lineRule="auto"/>
              <w:ind w:left="284"/>
              <w:jc w:val="both"/>
              <w:rPr>
                <w:rFonts w:asciiTheme="majorBidi" w:eastAsia="Calibri" w:hAnsiTheme="majorBidi" w:cstheme="majorBidi"/>
                <w:i/>
                <w:iCs/>
                <w:color w:val="000000"/>
              </w:rPr>
            </w:pPr>
            <w:r w:rsidRPr="004F51D2">
              <w:rPr>
                <w:rFonts w:asciiTheme="majorBidi" w:hAnsiTheme="majorBidi" w:cstheme="majorBidi"/>
                <w:i/>
                <w:iCs/>
                <w:color w:val="000000"/>
              </w:rPr>
              <w:t>Less than 2 h</w:t>
            </w:r>
          </w:p>
        </w:tc>
        <w:tc>
          <w:tcPr>
            <w:tcW w:w="1559" w:type="dxa"/>
          </w:tcPr>
          <w:p w14:paraId="1435E754" w14:textId="77777777" w:rsidR="004815D4" w:rsidRPr="004F51D2" w:rsidRDefault="004815D4" w:rsidP="001F5F0B">
            <w:pPr>
              <w:bidi w:val="0"/>
              <w:spacing w:line="360" w:lineRule="auto"/>
              <w:jc w:val="both"/>
              <w:rPr>
                <w:rFonts w:asciiTheme="majorBidi" w:eastAsia="Calibri" w:hAnsiTheme="majorBidi" w:cstheme="majorBidi"/>
                <w:color w:val="000000"/>
                <w:sz w:val="20"/>
                <w:szCs w:val="20"/>
              </w:rPr>
            </w:pPr>
          </w:p>
        </w:tc>
        <w:tc>
          <w:tcPr>
            <w:tcW w:w="1418" w:type="dxa"/>
          </w:tcPr>
          <w:p w14:paraId="72F84459" w14:textId="77777777" w:rsidR="004815D4" w:rsidRPr="004F51D2" w:rsidRDefault="004815D4" w:rsidP="001F5F0B">
            <w:pPr>
              <w:bidi w:val="0"/>
              <w:spacing w:line="360" w:lineRule="auto"/>
              <w:jc w:val="both"/>
              <w:rPr>
                <w:rFonts w:asciiTheme="majorBidi" w:eastAsia="Calibri" w:hAnsiTheme="majorBidi" w:cstheme="majorBidi"/>
                <w:color w:val="000000"/>
                <w:sz w:val="20"/>
                <w:szCs w:val="20"/>
              </w:rPr>
            </w:pPr>
          </w:p>
        </w:tc>
        <w:tc>
          <w:tcPr>
            <w:tcW w:w="1280" w:type="dxa"/>
          </w:tcPr>
          <w:p w14:paraId="39630B6F" w14:textId="77777777" w:rsidR="004815D4" w:rsidRPr="004F51D2" w:rsidRDefault="004815D4" w:rsidP="001F5F0B">
            <w:pPr>
              <w:bidi w:val="0"/>
              <w:spacing w:line="360" w:lineRule="auto"/>
              <w:jc w:val="both"/>
              <w:rPr>
                <w:rFonts w:asciiTheme="majorBidi" w:eastAsia="Calibri" w:hAnsiTheme="majorBidi" w:cstheme="majorBidi"/>
                <w:color w:val="000000"/>
                <w:sz w:val="20"/>
                <w:szCs w:val="20"/>
              </w:rPr>
            </w:pPr>
            <w:r w:rsidRPr="004F51D2">
              <w:rPr>
                <w:rFonts w:asciiTheme="majorBidi" w:eastAsia="Calibri" w:hAnsiTheme="majorBidi" w:cstheme="majorBidi"/>
                <w:color w:val="000000"/>
                <w:sz w:val="20"/>
                <w:szCs w:val="20"/>
              </w:rPr>
              <w:t>28 (3.6%)</w:t>
            </w:r>
          </w:p>
        </w:tc>
      </w:tr>
      <w:tr w:rsidR="004815D4" w:rsidRPr="004F51D2" w14:paraId="719AA462" w14:textId="77777777" w:rsidTr="001F5F0B">
        <w:tc>
          <w:tcPr>
            <w:tcW w:w="4248" w:type="dxa"/>
          </w:tcPr>
          <w:p w14:paraId="37E5CE00" w14:textId="77777777" w:rsidR="004815D4" w:rsidRPr="004F51D2" w:rsidRDefault="004815D4" w:rsidP="001F5F0B">
            <w:pPr>
              <w:bidi w:val="0"/>
              <w:spacing w:line="360" w:lineRule="auto"/>
              <w:ind w:left="284"/>
              <w:jc w:val="both"/>
              <w:rPr>
                <w:rFonts w:asciiTheme="majorBidi" w:eastAsia="Calibri" w:hAnsiTheme="majorBidi" w:cstheme="majorBidi"/>
                <w:i/>
                <w:iCs/>
                <w:color w:val="000000"/>
              </w:rPr>
            </w:pPr>
            <w:r w:rsidRPr="004F51D2">
              <w:rPr>
                <w:rFonts w:asciiTheme="majorBidi" w:hAnsiTheme="majorBidi" w:cstheme="majorBidi"/>
                <w:i/>
                <w:iCs/>
                <w:color w:val="000000"/>
              </w:rPr>
              <w:t>More than 2 h</w:t>
            </w:r>
          </w:p>
        </w:tc>
        <w:tc>
          <w:tcPr>
            <w:tcW w:w="1559" w:type="dxa"/>
          </w:tcPr>
          <w:p w14:paraId="061CA49B" w14:textId="77777777" w:rsidR="004815D4" w:rsidRPr="004F51D2" w:rsidRDefault="004815D4" w:rsidP="001F5F0B">
            <w:pPr>
              <w:bidi w:val="0"/>
              <w:spacing w:line="360" w:lineRule="auto"/>
              <w:jc w:val="both"/>
              <w:rPr>
                <w:rFonts w:asciiTheme="majorBidi" w:eastAsia="Calibri" w:hAnsiTheme="majorBidi" w:cstheme="majorBidi"/>
                <w:color w:val="000000"/>
                <w:sz w:val="20"/>
                <w:szCs w:val="20"/>
              </w:rPr>
            </w:pPr>
          </w:p>
        </w:tc>
        <w:tc>
          <w:tcPr>
            <w:tcW w:w="1418" w:type="dxa"/>
          </w:tcPr>
          <w:p w14:paraId="13E3702E" w14:textId="77777777" w:rsidR="004815D4" w:rsidRPr="004F51D2" w:rsidRDefault="004815D4" w:rsidP="001F5F0B">
            <w:pPr>
              <w:bidi w:val="0"/>
              <w:spacing w:line="360" w:lineRule="auto"/>
              <w:jc w:val="both"/>
              <w:rPr>
                <w:rFonts w:asciiTheme="majorBidi" w:eastAsia="Calibri" w:hAnsiTheme="majorBidi" w:cstheme="majorBidi"/>
                <w:color w:val="000000"/>
                <w:sz w:val="20"/>
                <w:szCs w:val="20"/>
              </w:rPr>
            </w:pPr>
          </w:p>
        </w:tc>
        <w:tc>
          <w:tcPr>
            <w:tcW w:w="1280" w:type="dxa"/>
          </w:tcPr>
          <w:p w14:paraId="17534C16" w14:textId="77777777" w:rsidR="004815D4" w:rsidRPr="004F51D2" w:rsidRDefault="004815D4" w:rsidP="001F5F0B">
            <w:pPr>
              <w:bidi w:val="0"/>
              <w:spacing w:line="360" w:lineRule="auto"/>
              <w:jc w:val="both"/>
              <w:rPr>
                <w:rFonts w:asciiTheme="majorBidi" w:eastAsia="Calibri" w:hAnsiTheme="majorBidi" w:cstheme="majorBidi"/>
                <w:color w:val="000000"/>
                <w:sz w:val="20"/>
                <w:szCs w:val="20"/>
              </w:rPr>
            </w:pPr>
            <w:r w:rsidRPr="004F51D2">
              <w:rPr>
                <w:rFonts w:asciiTheme="majorBidi" w:eastAsia="Calibri" w:hAnsiTheme="majorBidi" w:cstheme="majorBidi"/>
                <w:color w:val="000000"/>
                <w:sz w:val="20"/>
                <w:szCs w:val="20"/>
              </w:rPr>
              <w:t>741 (96.4%)</w:t>
            </w:r>
          </w:p>
        </w:tc>
      </w:tr>
      <w:tr w:rsidR="004815D4" w:rsidRPr="004F51D2" w14:paraId="620F6D2A" w14:textId="77777777" w:rsidTr="001F5F0B">
        <w:tc>
          <w:tcPr>
            <w:tcW w:w="4248" w:type="dxa"/>
          </w:tcPr>
          <w:p w14:paraId="54A12CE0" w14:textId="77777777" w:rsidR="004815D4" w:rsidRPr="004F51D2" w:rsidRDefault="004815D4" w:rsidP="001F5F0B">
            <w:pPr>
              <w:bidi w:val="0"/>
              <w:spacing w:line="360" w:lineRule="auto"/>
              <w:jc w:val="both"/>
              <w:rPr>
                <w:rFonts w:asciiTheme="majorBidi" w:eastAsia="Calibri" w:hAnsiTheme="majorBidi" w:cstheme="majorBidi"/>
                <w:color w:val="000000"/>
              </w:rPr>
            </w:pPr>
            <w:r w:rsidRPr="004F51D2">
              <w:rPr>
                <w:rFonts w:asciiTheme="majorBidi" w:hAnsiTheme="majorBidi" w:cstheme="majorBidi"/>
                <w:color w:val="000000"/>
              </w:rPr>
              <w:t>Tools of gaming</w:t>
            </w:r>
          </w:p>
        </w:tc>
        <w:tc>
          <w:tcPr>
            <w:tcW w:w="1559" w:type="dxa"/>
          </w:tcPr>
          <w:p w14:paraId="46436F28" w14:textId="77777777" w:rsidR="004815D4" w:rsidRPr="004F51D2" w:rsidRDefault="004815D4" w:rsidP="001F5F0B">
            <w:pPr>
              <w:bidi w:val="0"/>
              <w:spacing w:line="360" w:lineRule="auto"/>
              <w:jc w:val="both"/>
              <w:rPr>
                <w:rFonts w:asciiTheme="majorBidi" w:eastAsia="Calibri" w:hAnsiTheme="majorBidi" w:cstheme="majorBidi"/>
                <w:color w:val="000000"/>
                <w:sz w:val="20"/>
                <w:szCs w:val="20"/>
              </w:rPr>
            </w:pPr>
          </w:p>
        </w:tc>
        <w:tc>
          <w:tcPr>
            <w:tcW w:w="1418" w:type="dxa"/>
          </w:tcPr>
          <w:p w14:paraId="240C2CF2" w14:textId="77777777" w:rsidR="004815D4" w:rsidRPr="004F51D2" w:rsidRDefault="004815D4" w:rsidP="001F5F0B">
            <w:pPr>
              <w:bidi w:val="0"/>
              <w:spacing w:line="360" w:lineRule="auto"/>
              <w:jc w:val="both"/>
              <w:rPr>
                <w:rFonts w:asciiTheme="majorBidi" w:eastAsia="Calibri" w:hAnsiTheme="majorBidi" w:cstheme="majorBidi"/>
                <w:color w:val="000000"/>
                <w:sz w:val="20"/>
                <w:szCs w:val="20"/>
              </w:rPr>
            </w:pPr>
          </w:p>
        </w:tc>
        <w:tc>
          <w:tcPr>
            <w:tcW w:w="1280" w:type="dxa"/>
          </w:tcPr>
          <w:p w14:paraId="02250A79" w14:textId="77777777" w:rsidR="004815D4" w:rsidRPr="004F51D2" w:rsidRDefault="004815D4" w:rsidP="001F5F0B">
            <w:pPr>
              <w:bidi w:val="0"/>
              <w:spacing w:line="360" w:lineRule="auto"/>
              <w:jc w:val="both"/>
              <w:rPr>
                <w:rFonts w:asciiTheme="majorBidi" w:eastAsia="Calibri" w:hAnsiTheme="majorBidi" w:cstheme="majorBidi"/>
                <w:color w:val="000000"/>
                <w:sz w:val="20"/>
                <w:szCs w:val="20"/>
              </w:rPr>
            </w:pPr>
          </w:p>
        </w:tc>
      </w:tr>
      <w:tr w:rsidR="004815D4" w:rsidRPr="004F51D2" w14:paraId="139F81D7" w14:textId="77777777" w:rsidTr="001F5F0B">
        <w:tc>
          <w:tcPr>
            <w:tcW w:w="4248" w:type="dxa"/>
          </w:tcPr>
          <w:p w14:paraId="04DBE0B8" w14:textId="77777777" w:rsidR="004815D4" w:rsidRPr="004F51D2" w:rsidRDefault="004815D4" w:rsidP="001F5F0B">
            <w:pPr>
              <w:bidi w:val="0"/>
              <w:spacing w:line="360" w:lineRule="auto"/>
              <w:ind w:left="284"/>
              <w:jc w:val="both"/>
              <w:rPr>
                <w:rFonts w:asciiTheme="majorBidi" w:eastAsia="Calibri" w:hAnsiTheme="majorBidi" w:cstheme="majorBidi"/>
                <w:i/>
                <w:iCs/>
                <w:color w:val="000000"/>
              </w:rPr>
            </w:pPr>
            <w:r w:rsidRPr="004F51D2">
              <w:rPr>
                <w:rFonts w:asciiTheme="majorBidi" w:hAnsiTheme="majorBidi" w:cstheme="majorBidi"/>
                <w:i/>
                <w:iCs/>
                <w:color w:val="000000"/>
              </w:rPr>
              <w:t>Computer</w:t>
            </w:r>
          </w:p>
        </w:tc>
        <w:tc>
          <w:tcPr>
            <w:tcW w:w="1559" w:type="dxa"/>
          </w:tcPr>
          <w:p w14:paraId="0248B203" w14:textId="77777777" w:rsidR="004815D4" w:rsidRPr="004F51D2" w:rsidRDefault="004815D4" w:rsidP="001F5F0B">
            <w:pPr>
              <w:bidi w:val="0"/>
              <w:spacing w:line="360" w:lineRule="auto"/>
              <w:jc w:val="both"/>
              <w:rPr>
                <w:rFonts w:asciiTheme="majorBidi" w:eastAsia="Calibri" w:hAnsiTheme="majorBidi" w:cstheme="majorBidi"/>
                <w:color w:val="000000"/>
                <w:sz w:val="20"/>
                <w:szCs w:val="20"/>
              </w:rPr>
            </w:pPr>
          </w:p>
        </w:tc>
        <w:tc>
          <w:tcPr>
            <w:tcW w:w="1418" w:type="dxa"/>
          </w:tcPr>
          <w:p w14:paraId="39E1D549" w14:textId="77777777" w:rsidR="004815D4" w:rsidRPr="004F51D2" w:rsidRDefault="004815D4" w:rsidP="001F5F0B">
            <w:pPr>
              <w:bidi w:val="0"/>
              <w:spacing w:line="360" w:lineRule="auto"/>
              <w:jc w:val="both"/>
              <w:rPr>
                <w:rFonts w:asciiTheme="majorBidi" w:eastAsia="Calibri" w:hAnsiTheme="majorBidi" w:cstheme="majorBidi"/>
                <w:color w:val="000000"/>
                <w:sz w:val="20"/>
                <w:szCs w:val="20"/>
              </w:rPr>
            </w:pPr>
          </w:p>
        </w:tc>
        <w:tc>
          <w:tcPr>
            <w:tcW w:w="1280" w:type="dxa"/>
          </w:tcPr>
          <w:p w14:paraId="27C03434" w14:textId="77777777" w:rsidR="004815D4" w:rsidRPr="004F51D2" w:rsidRDefault="004815D4" w:rsidP="001F5F0B">
            <w:pPr>
              <w:bidi w:val="0"/>
              <w:spacing w:line="360" w:lineRule="auto"/>
              <w:jc w:val="both"/>
              <w:rPr>
                <w:rFonts w:asciiTheme="majorBidi" w:eastAsia="Calibri" w:hAnsiTheme="majorBidi" w:cstheme="majorBidi"/>
                <w:color w:val="000000"/>
                <w:sz w:val="20"/>
                <w:szCs w:val="20"/>
              </w:rPr>
            </w:pPr>
            <w:r w:rsidRPr="004F51D2">
              <w:rPr>
                <w:rFonts w:asciiTheme="majorBidi" w:eastAsia="Calibri" w:hAnsiTheme="majorBidi" w:cstheme="majorBidi"/>
                <w:color w:val="000000"/>
                <w:sz w:val="20"/>
                <w:szCs w:val="20"/>
              </w:rPr>
              <w:t>255 (33.2%)</w:t>
            </w:r>
          </w:p>
        </w:tc>
      </w:tr>
      <w:tr w:rsidR="004815D4" w:rsidRPr="004F51D2" w14:paraId="15D0D2BC" w14:textId="77777777" w:rsidTr="001F5F0B">
        <w:tc>
          <w:tcPr>
            <w:tcW w:w="4248" w:type="dxa"/>
          </w:tcPr>
          <w:p w14:paraId="6944CB80" w14:textId="77777777" w:rsidR="004815D4" w:rsidRPr="004F51D2" w:rsidRDefault="004815D4" w:rsidP="001F5F0B">
            <w:pPr>
              <w:bidi w:val="0"/>
              <w:spacing w:line="360" w:lineRule="auto"/>
              <w:ind w:left="284"/>
              <w:jc w:val="both"/>
              <w:rPr>
                <w:rFonts w:asciiTheme="majorBidi" w:eastAsia="Calibri" w:hAnsiTheme="majorBidi" w:cstheme="majorBidi"/>
                <w:i/>
                <w:iCs/>
                <w:color w:val="000000"/>
              </w:rPr>
            </w:pPr>
            <w:r w:rsidRPr="004F51D2">
              <w:rPr>
                <w:rFonts w:asciiTheme="majorBidi" w:hAnsiTheme="majorBidi" w:cstheme="majorBidi"/>
                <w:i/>
                <w:iCs/>
                <w:color w:val="000000"/>
              </w:rPr>
              <w:t>Tablet</w:t>
            </w:r>
          </w:p>
        </w:tc>
        <w:tc>
          <w:tcPr>
            <w:tcW w:w="1559" w:type="dxa"/>
          </w:tcPr>
          <w:p w14:paraId="0F3FE8C3" w14:textId="77777777" w:rsidR="004815D4" w:rsidRPr="004F51D2" w:rsidRDefault="004815D4" w:rsidP="001F5F0B">
            <w:pPr>
              <w:bidi w:val="0"/>
              <w:spacing w:line="360" w:lineRule="auto"/>
              <w:jc w:val="both"/>
              <w:rPr>
                <w:rFonts w:asciiTheme="majorBidi" w:eastAsia="Calibri" w:hAnsiTheme="majorBidi" w:cstheme="majorBidi"/>
                <w:color w:val="000000"/>
                <w:sz w:val="20"/>
                <w:szCs w:val="20"/>
              </w:rPr>
            </w:pPr>
          </w:p>
        </w:tc>
        <w:tc>
          <w:tcPr>
            <w:tcW w:w="1418" w:type="dxa"/>
          </w:tcPr>
          <w:p w14:paraId="21D12C9A" w14:textId="77777777" w:rsidR="004815D4" w:rsidRPr="004F51D2" w:rsidRDefault="004815D4" w:rsidP="001F5F0B">
            <w:pPr>
              <w:bidi w:val="0"/>
              <w:spacing w:line="360" w:lineRule="auto"/>
              <w:jc w:val="both"/>
              <w:rPr>
                <w:rFonts w:asciiTheme="majorBidi" w:eastAsia="Calibri" w:hAnsiTheme="majorBidi" w:cstheme="majorBidi"/>
                <w:color w:val="000000"/>
                <w:sz w:val="20"/>
                <w:szCs w:val="20"/>
              </w:rPr>
            </w:pPr>
          </w:p>
        </w:tc>
        <w:tc>
          <w:tcPr>
            <w:tcW w:w="1280" w:type="dxa"/>
          </w:tcPr>
          <w:p w14:paraId="70A8C66A" w14:textId="77777777" w:rsidR="004815D4" w:rsidRPr="004F51D2" w:rsidRDefault="004815D4" w:rsidP="001F5F0B">
            <w:pPr>
              <w:bidi w:val="0"/>
              <w:spacing w:line="360" w:lineRule="auto"/>
              <w:jc w:val="both"/>
              <w:rPr>
                <w:rFonts w:asciiTheme="majorBidi" w:eastAsia="Calibri" w:hAnsiTheme="majorBidi" w:cstheme="majorBidi"/>
                <w:color w:val="000000"/>
                <w:sz w:val="20"/>
                <w:szCs w:val="20"/>
              </w:rPr>
            </w:pPr>
            <w:r w:rsidRPr="004F51D2">
              <w:rPr>
                <w:rFonts w:asciiTheme="majorBidi" w:eastAsia="Calibri" w:hAnsiTheme="majorBidi" w:cstheme="majorBidi"/>
                <w:color w:val="000000"/>
                <w:sz w:val="20"/>
                <w:szCs w:val="20"/>
              </w:rPr>
              <w:t>11 (1.4%)</w:t>
            </w:r>
          </w:p>
        </w:tc>
      </w:tr>
      <w:tr w:rsidR="004815D4" w:rsidRPr="004F51D2" w14:paraId="2AB192B6" w14:textId="77777777" w:rsidTr="001F5F0B">
        <w:tc>
          <w:tcPr>
            <w:tcW w:w="4248" w:type="dxa"/>
          </w:tcPr>
          <w:p w14:paraId="07314473" w14:textId="77777777" w:rsidR="004815D4" w:rsidRPr="004F51D2" w:rsidRDefault="004815D4" w:rsidP="001F5F0B">
            <w:pPr>
              <w:bidi w:val="0"/>
              <w:spacing w:line="360" w:lineRule="auto"/>
              <w:ind w:left="284"/>
              <w:jc w:val="both"/>
              <w:rPr>
                <w:rFonts w:asciiTheme="majorBidi" w:eastAsia="Calibri" w:hAnsiTheme="majorBidi" w:cstheme="majorBidi"/>
                <w:i/>
                <w:iCs/>
                <w:color w:val="000000"/>
              </w:rPr>
            </w:pPr>
            <w:r w:rsidRPr="004F51D2">
              <w:rPr>
                <w:rFonts w:asciiTheme="majorBidi" w:hAnsiTheme="majorBidi" w:cstheme="majorBidi"/>
                <w:i/>
                <w:iCs/>
                <w:color w:val="000000"/>
              </w:rPr>
              <w:t>Mobile phone</w:t>
            </w:r>
          </w:p>
        </w:tc>
        <w:tc>
          <w:tcPr>
            <w:tcW w:w="1559" w:type="dxa"/>
          </w:tcPr>
          <w:p w14:paraId="081BB491" w14:textId="77777777" w:rsidR="004815D4" w:rsidRPr="004F51D2" w:rsidRDefault="004815D4" w:rsidP="001F5F0B">
            <w:pPr>
              <w:bidi w:val="0"/>
              <w:spacing w:line="360" w:lineRule="auto"/>
              <w:jc w:val="both"/>
              <w:rPr>
                <w:rFonts w:asciiTheme="majorBidi" w:eastAsia="Calibri" w:hAnsiTheme="majorBidi" w:cstheme="majorBidi"/>
                <w:color w:val="000000"/>
                <w:sz w:val="20"/>
                <w:szCs w:val="20"/>
              </w:rPr>
            </w:pPr>
          </w:p>
        </w:tc>
        <w:tc>
          <w:tcPr>
            <w:tcW w:w="1418" w:type="dxa"/>
          </w:tcPr>
          <w:p w14:paraId="29EAC86A" w14:textId="77777777" w:rsidR="004815D4" w:rsidRPr="004F51D2" w:rsidRDefault="004815D4" w:rsidP="001F5F0B">
            <w:pPr>
              <w:bidi w:val="0"/>
              <w:spacing w:line="360" w:lineRule="auto"/>
              <w:jc w:val="both"/>
              <w:rPr>
                <w:rFonts w:asciiTheme="majorBidi" w:eastAsia="Calibri" w:hAnsiTheme="majorBidi" w:cstheme="majorBidi"/>
                <w:color w:val="000000"/>
                <w:sz w:val="20"/>
                <w:szCs w:val="20"/>
              </w:rPr>
            </w:pPr>
          </w:p>
        </w:tc>
        <w:tc>
          <w:tcPr>
            <w:tcW w:w="1280" w:type="dxa"/>
          </w:tcPr>
          <w:p w14:paraId="2F1744A7" w14:textId="77777777" w:rsidR="004815D4" w:rsidRPr="004F51D2" w:rsidRDefault="004815D4" w:rsidP="001F5F0B">
            <w:pPr>
              <w:bidi w:val="0"/>
              <w:spacing w:line="360" w:lineRule="auto"/>
              <w:jc w:val="both"/>
              <w:rPr>
                <w:rFonts w:asciiTheme="majorBidi" w:eastAsia="Calibri" w:hAnsiTheme="majorBidi" w:cstheme="majorBidi"/>
                <w:color w:val="000000"/>
                <w:sz w:val="20"/>
                <w:szCs w:val="20"/>
              </w:rPr>
            </w:pPr>
            <w:r w:rsidRPr="004F51D2">
              <w:rPr>
                <w:rFonts w:asciiTheme="majorBidi" w:eastAsia="Calibri" w:hAnsiTheme="majorBidi" w:cstheme="majorBidi"/>
                <w:color w:val="000000"/>
                <w:sz w:val="20"/>
                <w:szCs w:val="20"/>
              </w:rPr>
              <w:t>402 (52.3%)</w:t>
            </w:r>
          </w:p>
        </w:tc>
      </w:tr>
      <w:tr w:rsidR="004815D4" w:rsidRPr="004F51D2" w14:paraId="63E0ED5C" w14:textId="77777777" w:rsidTr="001F5F0B">
        <w:tc>
          <w:tcPr>
            <w:tcW w:w="4248" w:type="dxa"/>
          </w:tcPr>
          <w:p w14:paraId="79561400" w14:textId="77777777" w:rsidR="004815D4" w:rsidRPr="004F51D2" w:rsidRDefault="004815D4" w:rsidP="001F5F0B">
            <w:pPr>
              <w:bidi w:val="0"/>
              <w:spacing w:line="360" w:lineRule="auto"/>
              <w:ind w:left="284"/>
              <w:jc w:val="both"/>
              <w:rPr>
                <w:rFonts w:asciiTheme="majorBidi" w:hAnsiTheme="majorBidi" w:cstheme="majorBidi"/>
                <w:i/>
                <w:iCs/>
                <w:color w:val="000000"/>
              </w:rPr>
            </w:pPr>
            <w:r w:rsidRPr="004F51D2">
              <w:rPr>
                <w:rFonts w:asciiTheme="majorBidi" w:hAnsiTheme="majorBidi" w:cstheme="majorBidi"/>
                <w:i/>
                <w:iCs/>
                <w:color w:val="000000"/>
              </w:rPr>
              <w:t>Game console</w:t>
            </w:r>
          </w:p>
        </w:tc>
        <w:tc>
          <w:tcPr>
            <w:tcW w:w="1559" w:type="dxa"/>
          </w:tcPr>
          <w:p w14:paraId="764A3391" w14:textId="77777777" w:rsidR="004815D4" w:rsidRPr="004F51D2" w:rsidRDefault="004815D4" w:rsidP="001F5F0B">
            <w:pPr>
              <w:bidi w:val="0"/>
              <w:spacing w:line="360" w:lineRule="auto"/>
              <w:jc w:val="both"/>
              <w:rPr>
                <w:rFonts w:asciiTheme="majorBidi" w:eastAsia="Calibri" w:hAnsiTheme="majorBidi" w:cstheme="majorBidi"/>
                <w:color w:val="000000"/>
                <w:sz w:val="20"/>
                <w:szCs w:val="20"/>
              </w:rPr>
            </w:pPr>
          </w:p>
        </w:tc>
        <w:tc>
          <w:tcPr>
            <w:tcW w:w="1418" w:type="dxa"/>
          </w:tcPr>
          <w:p w14:paraId="17A92D5A" w14:textId="77777777" w:rsidR="004815D4" w:rsidRPr="004F51D2" w:rsidRDefault="004815D4" w:rsidP="001F5F0B">
            <w:pPr>
              <w:bidi w:val="0"/>
              <w:spacing w:line="360" w:lineRule="auto"/>
              <w:jc w:val="both"/>
              <w:rPr>
                <w:rFonts w:asciiTheme="majorBidi" w:eastAsia="Calibri" w:hAnsiTheme="majorBidi" w:cstheme="majorBidi"/>
                <w:color w:val="000000"/>
                <w:sz w:val="20"/>
                <w:szCs w:val="20"/>
              </w:rPr>
            </w:pPr>
          </w:p>
        </w:tc>
        <w:tc>
          <w:tcPr>
            <w:tcW w:w="1280" w:type="dxa"/>
          </w:tcPr>
          <w:p w14:paraId="503D89EB" w14:textId="77777777" w:rsidR="004815D4" w:rsidRPr="004F51D2" w:rsidRDefault="004815D4" w:rsidP="001F5F0B">
            <w:pPr>
              <w:bidi w:val="0"/>
              <w:spacing w:line="360" w:lineRule="auto"/>
              <w:jc w:val="both"/>
              <w:rPr>
                <w:rFonts w:asciiTheme="majorBidi" w:eastAsia="Calibri" w:hAnsiTheme="majorBidi" w:cstheme="majorBidi"/>
                <w:color w:val="000000"/>
                <w:sz w:val="20"/>
                <w:szCs w:val="20"/>
              </w:rPr>
            </w:pPr>
            <w:r w:rsidRPr="004F51D2">
              <w:rPr>
                <w:rFonts w:asciiTheme="majorBidi" w:eastAsia="Calibri" w:hAnsiTheme="majorBidi" w:cstheme="majorBidi"/>
                <w:color w:val="000000"/>
                <w:sz w:val="20"/>
                <w:szCs w:val="20"/>
              </w:rPr>
              <w:t>101 (13.1%)</w:t>
            </w:r>
          </w:p>
        </w:tc>
      </w:tr>
      <w:tr w:rsidR="004815D4" w:rsidRPr="004F51D2" w14:paraId="23F4AF17" w14:textId="77777777" w:rsidTr="001F5F0B">
        <w:tc>
          <w:tcPr>
            <w:tcW w:w="4248" w:type="dxa"/>
          </w:tcPr>
          <w:p w14:paraId="46FEDF54" w14:textId="77777777" w:rsidR="004815D4" w:rsidRPr="004F51D2" w:rsidRDefault="004815D4" w:rsidP="001F5F0B">
            <w:pPr>
              <w:bidi w:val="0"/>
              <w:spacing w:line="360" w:lineRule="auto"/>
              <w:jc w:val="both"/>
              <w:rPr>
                <w:rFonts w:asciiTheme="majorBidi" w:hAnsiTheme="majorBidi" w:cstheme="majorBidi"/>
                <w:color w:val="000000"/>
              </w:rPr>
            </w:pPr>
            <w:r w:rsidRPr="004F51D2">
              <w:rPr>
                <w:rFonts w:asciiTheme="majorBidi" w:hAnsiTheme="majorBidi" w:cstheme="majorBidi"/>
                <w:color w:val="000000"/>
              </w:rPr>
              <w:t>Type of game</w:t>
            </w:r>
          </w:p>
        </w:tc>
        <w:tc>
          <w:tcPr>
            <w:tcW w:w="1559" w:type="dxa"/>
          </w:tcPr>
          <w:p w14:paraId="3ACA6B7D" w14:textId="77777777" w:rsidR="004815D4" w:rsidRPr="004F51D2" w:rsidRDefault="004815D4" w:rsidP="001F5F0B">
            <w:pPr>
              <w:bidi w:val="0"/>
              <w:spacing w:line="360" w:lineRule="auto"/>
              <w:jc w:val="both"/>
              <w:rPr>
                <w:rFonts w:asciiTheme="majorBidi" w:hAnsiTheme="majorBidi" w:cstheme="majorBidi"/>
                <w:color w:val="000000"/>
                <w:sz w:val="20"/>
                <w:szCs w:val="20"/>
              </w:rPr>
            </w:pPr>
          </w:p>
        </w:tc>
        <w:tc>
          <w:tcPr>
            <w:tcW w:w="1418" w:type="dxa"/>
          </w:tcPr>
          <w:p w14:paraId="028A6950" w14:textId="77777777" w:rsidR="004815D4" w:rsidRPr="004F51D2" w:rsidRDefault="004815D4" w:rsidP="001F5F0B">
            <w:pPr>
              <w:bidi w:val="0"/>
              <w:spacing w:line="360" w:lineRule="auto"/>
              <w:jc w:val="both"/>
              <w:rPr>
                <w:rFonts w:asciiTheme="majorBidi" w:hAnsiTheme="majorBidi" w:cstheme="majorBidi"/>
                <w:color w:val="000000"/>
                <w:sz w:val="20"/>
                <w:szCs w:val="20"/>
              </w:rPr>
            </w:pPr>
          </w:p>
        </w:tc>
        <w:tc>
          <w:tcPr>
            <w:tcW w:w="1280" w:type="dxa"/>
          </w:tcPr>
          <w:p w14:paraId="12F6DFCE" w14:textId="77777777" w:rsidR="004815D4" w:rsidRPr="004F51D2" w:rsidRDefault="004815D4" w:rsidP="001F5F0B">
            <w:pPr>
              <w:bidi w:val="0"/>
              <w:spacing w:line="360" w:lineRule="auto"/>
              <w:jc w:val="both"/>
              <w:rPr>
                <w:rFonts w:asciiTheme="majorBidi" w:hAnsiTheme="majorBidi" w:cstheme="majorBidi"/>
                <w:color w:val="000000"/>
                <w:sz w:val="20"/>
                <w:szCs w:val="20"/>
              </w:rPr>
            </w:pPr>
          </w:p>
        </w:tc>
      </w:tr>
      <w:tr w:rsidR="004815D4" w:rsidRPr="004F51D2" w14:paraId="4D1D1E2A" w14:textId="77777777" w:rsidTr="001F5F0B">
        <w:tc>
          <w:tcPr>
            <w:tcW w:w="4248" w:type="dxa"/>
          </w:tcPr>
          <w:p w14:paraId="7CEDDA3F" w14:textId="77777777" w:rsidR="004815D4" w:rsidRPr="004F51D2" w:rsidRDefault="004815D4" w:rsidP="001F5F0B">
            <w:pPr>
              <w:bidi w:val="0"/>
              <w:spacing w:line="360" w:lineRule="auto"/>
              <w:ind w:left="284"/>
              <w:jc w:val="both"/>
              <w:rPr>
                <w:rFonts w:asciiTheme="majorBidi" w:hAnsiTheme="majorBidi" w:cstheme="majorBidi"/>
                <w:i/>
                <w:iCs/>
                <w:color w:val="000000"/>
              </w:rPr>
            </w:pPr>
            <w:r w:rsidRPr="004F51D2">
              <w:rPr>
                <w:rFonts w:asciiTheme="majorBidi" w:hAnsiTheme="majorBidi" w:cstheme="majorBidi"/>
                <w:i/>
                <w:iCs/>
                <w:color w:val="000000"/>
              </w:rPr>
              <w:t>Action</w:t>
            </w:r>
          </w:p>
        </w:tc>
        <w:tc>
          <w:tcPr>
            <w:tcW w:w="1559" w:type="dxa"/>
          </w:tcPr>
          <w:p w14:paraId="4BDA9B5F" w14:textId="77777777" w:rsidR="004815D4" w:rsidRPr="004F51D2" w:rsidRDefault="004815D4" w:rsidP="001F5F0B">
            <w:pPr>
              <w:bidi w:val="0"/>
              <w:spacing w:line="360" w:lineRule="auto"/>
              <w:jc w:val="both"/>
              <w:rPr>
                <w:rFonts w:asciiTheme="majorBidi" w:hAnsiTheme="majorBidi" w:cstheme="majorBidi"/>
                <w:color w:val="000000"/>
                <w:sz w:val="20"/>
                <w:szCs w:val="20"/>
              </w:rPr>
            </w:pPr>
          </w:p>
        </w:tc>
        <w:tc>
          <w:tcPr>
            <w:tcW w:w="1418" w:type="dxa"/>
          </w:tcPr>
          <w:p w14:paraId="1C87685A" w14:textId="77777777" w:rsidR="004815D4" w:rsidRPr="004F51D2" w:rsidRDefault="004815D4" w:rsidP="001F5F0B">
            <w:pPr>
              <w:bidi w:val="0"/>
              <w:spacing w:line="360" w:lineRule="auto"/>
              <w:jc w:val="both"/>
              <w:rPr>
                <w:rFonts w:asciiTheme="majorBidi" w:hAnsiTheme="majorBidi" w:cstheme="majorBidi"/>
                <w:color w:val="000000"/>
                <w:sz w:val="20"/>
                <w:szCs w:val="20"/>
              </w:rPr>
            </w:pPr>
          </w:p>
        </w:tc>
        <w:tc>
          <w:tcPr>
            <w:tcW w:w="1280" w:type="dxa"/>
          </w:tcPr>
          <w:p w14:paraId="11BAFA33" w14:textId="77777777" w:rsidR="004815D4" w:rsidRPr="004F51D2" w:rsidRDefault="004815D4" w:rsidP="001F5F0B">
            <w:pPr>
              <w:bidi w:val="0"/>
              <w:spacing w:line="360" w:lineRule="auto"/>
              <w:jc w:val="both"/>
              <w:rPr>
                <w:rFonts w:asciiTheme="majorBidi" w:hAnsiTheme="majorBidi" w:cstheme="majorBidi"/>
                <w:color w:val="000000"/>
                <w:sz w:val="20"/>
                <w:szCs w:val="20"/>
              </w:rPr>
            </w:pPr>
            <w:r w:rsidRPr="004F51D2">
              <w:rPr>
                <w:rFonts w:asciiTheme="majorBidi" w:hAnsiTheme="majorBidi" w:cstheme="majorBidi"/>
                <w:color w:val="000000"/>
                <w:sz w:val="20"/>
                <w:szCs w:val="20"/>
              </w:rPr>
              <w:t>385 (50.1%)</w:t>
            </w:r>
          </w:p>
        </w:tc>
      </w:tr>
      <w:tr w:rsidR="004815D4" w:rsidRPr="004F51D2" w14:paraId="390BB29B" w14:textId="77777777" w:rsidTr="001F5F0B">
        <w:tc>
          <w:tcPr>
            <w:tcW w:w="4248" w:type="dxa"/>
          </w:tcPr>
          <w:p w14:paraId="711B0E77" w14:textId="77777777" w:rsidR="004815D4" w:rsidRPr="004F51D2" w:rsidRDefault="004815D4" w:rsidP="001F5F0B">
            <w:pPr>
              <w:bidi w:val="0"/>
              <w:spacing w:line="360" w:lineRule="auto"/>
              <w:ind w:left="284"/>
              <w:jc w:val="both"/>
              <w:rPr>
                <w:rFonts w:asciiTheme="majorBidi" w:hAnsiTheme="majorBidi" w:cstheme="majorBidi"/>
                <w:i/>
                <w:iCs/>
                <w:color w:val="000000"/>
              </w:rPr>
            </w:pPr>
            <w:r w:rsidRPr="004F51D2">
              <w:rPr>
                <w:rFonts w:asciiTheme="majorBidi" w:hAnsiTheme="majorBidi" w:cstheme="majorBidi"/>
                <w:i/>
                <w:iCs/>
                <w:color w:val="000000"/>
              </w:rPr>
              <w:t>Strategic</w:t>
            </w:r>
          </w:p>
        </w:tc>
        <w:tc>
          <w:tcPr>
            <w:tcW w:w="1559" w:type="dxa"/>
          </w:tcPr>
          <w:p w14:paraId="3606E9EF" w14:textId="77777777" w:rsidR="004815D4" w:rsidRPr="004F51D2" w:rsidRDefault="004815D4" w:rsidP="001F5F0B">
            <w:pPr>
              <w:bidi w:val="0"/>
              <w:spacing w:line="360" w:lineRule="auto"/>
              <w:jc w:val="both"/>
              <w:rPr>
                <w:rFonts w:asciiTheme="majorBidi" w:hAnsiTheme="majorBidi" w:cstheme="majorBidi"/>
                <w:color w:val="000000"/>
                <w:sz w:val="20"/>
                <w:szCs w:val="20"/>
              </w:rPr>
            </w:pPr>
          </w:p>
        </w:tc>
        <w:tc>
          <w:tcPr>
            <w:tcW w:w="1418" w:type="dxa"/>
          </w:tcPr>
          <w:p w14:paraId="424955A8" w14:textId="77777777" w:rsidR="004815D4" w:rsidRPr="004F51D2" w:rsidRDefault="004815D4" w:rsidP="001F5F0B">
            <w:pPr>
              <w:bidi w:val="0"/>
              <w:spacing w:line="360" w:lineRule="auto"/>
              <w:jc w:val="both"/>
              <w:rPr>
                <w:rFonts w:asciiTheme="majorBidi" w:hAnsiTheme="majorBidi" w:cstheme="majorBidi"/>
                <w:color w:val="000000"/>
                <w:sz w:val="20"/>
                <w:szCs w:val="20"/>
              </w:rPr>
            </w:pPr>
          </w:p>
        </w:tc>
        <w:tc>
          <w:tcPr>
            <w:tcW w:w="1280" w:type="dxa"/>
          </w:tcPr>
          <w:p w14:paraId="1267F416" w14:textId="77777777" w:rsidR="004815D4" w:rsidRPr="004F51D2" w:rsidRDefault="004815D4" w:rsidP="001F5F0B">
            <w:pPr>
              <w:bidi w:val="0"/>
              <w:spacing w:line="360" w:lineRule="auto"/>
              <w:jc w:val="both"/>
              <w:rPr>
                <w:rFonts w:asciiTheme="majorBidi" w:hAnsiTheme="majorBidi" w:cstheme="majorBidi"/>
                <w:color w:val="000000"/>
                <w:sz w:val="20"/>
                <w:szCs w:val="20"/>
              </w:rPr>
            </w:pPr>
            <w:r w:rsidRPr="004F51D2">
              <w:rPr>
                <w:rFonts w:asciiTheme="majorBidi" w:hAnsiTheme="majorBidi" w:cstheme="majorBidi"/>
                <w:color w:val="000000"/>
                <w:sz w:val="20"/>
                <w:szCs w:val="20"/>
              </w:rPr>
              <w:t>227 (29.5%)</w:t>
            </w:r>
          </w:p>
        </w:tc>
      </w:tr>
      <w:tr w:rsidR="004815D4" w:rsidRPr="004F51D2" w14:paraId="6D6F3633" w14:textId="77777777" w:rsidTr="001F5F0B">
        <w:tc>
          <w:tcPr>
            <w:tcW w:w="4248" w:type="dxa"/>
          </w:tcPr>
          <w:p w14:paraId="10CFAA25" w14:textId="77777777" w:rsidR="004815D4" w:rsidRPr="004F51D2" w:rsidRDefault="004815D4" w:rsidP="001F5F0B">
            <w:pPr>
              <w:bidi w:val="0"/>
              <w:spacing w:line="360" w:lineRule="auto"/>
              <w:ind w:left="284"/>
              <w:jc w:val="both"/>
              <w:rPr>
                <w:rFonts w:asciiTheme="majorBidi" w:hAnsiTheme="majorBidi" w:cstheme="majorBidi"/>
                <w:i/>
                <w:iCs/>
                <w:color w:val="000000"/>
              </w:rPr>
            </w:pPr>
            <w:r w:rsidRPr="004F51D2">
              <w:rPr>
                <w:rFonts w:asciiTheme="majorBidi" w:hAnsiTheme="majorBidi" w:cstheme="majorBidi"/>
                <w:i/>
                <w:iCs/>
                <w:color w:val="000000"/>
              </w:rPr>
              <w:t>Racing</w:t>
            </w:r>
          </w:p>
        </w:tc>
        <w:tc>
          <w:tcPr>
            <w:tcW w:w="1559" w:type="dxa"/>
          </w:tcPr>
          <w:p w14:paraId="09BF0C03" w14:textId="77777777" w:rsidR="004815D4" w:rsidRPr="004F51D2" w:rsidRDefault="004815D4" w:rsidP="001F5F0B">
            <w:pPr>
              <w:bidi w:val="0"/>
              <w:spacing w:line="360" w:lineRule="auto"/>
              <w:jc w:val="both"/>
              <w:rPr>
                <w:rFonts w:asciiTheme="majorBidi" w:hAnsiTheme="majorBidi" w:cstheme="majorBidi"/>
                <w:color w:val="000000"/>
                <w:sz w:val="20"/>
                <w:szCs w:val="20"/>
              </w:rPr>
            </w:pPr>
          </w:p>
        </w:tc>
        <w:tc>
          <w:tcPr>
            <w:tcW w:w="1418" w:type="dxa"/>
          </w:tcPr>
          <w:p w14:paraId="013C75E8" w14:textId="77777777" w:rsidR="004815D4" w:rsidRPr="004F51D2" w:rsidRDefault="004815D4" w:rsidP="001F5F0B">
            <w:pPr>
              <w:bidi w:val="0"/>
              <w:spacing w:line="360" w:lineRule="auto"/>
              <w:jc w:val="both"/>
              <w:rPr>
                <w:rFonts w:asciiTheme="majorBidi" w:hAnsiTheme="majorBidi" w:cstheme="majorBidi"/>
                <w:color w:val="000000"/>
                <w:sz w:val="20"/>
                <w:szCs w:val="20"/>
              </w:rPr>
            </w:pPr>
          </w:p>
        </w:tc>
        <w:tc>
          <w:tcPr>
            <w:tcW w:w="1280" w:type="dxa"/>
          </w:tcPr>
          <w:p w14:paraId="0783FC35" w14:textId="77777777" w:rsidR="004815D4" w:rsidRPr="004F51D2" w:rsidRDefault="004815D4" w:rsidP="001F5F0B">
            <w:pPr>
              <w:bidi w:val="0"/>
              <w:spacing w:line="360" w:lineRule="auto"/>
              <w:jc w:val="both"/>
              <w:rPr>
                <w:rFonts w:asciiTheme="majorBidi" w:hAnsiTheme="majorBidi" w:cstheme="majorBidi"/>
                <w:color w:val="000000"/>
                <w:sz w:val="20"/>
                <w:szCs w:val="20"/>
              </w:rPr>
            </w:pPr>
            <w:r w:rsidRPr="004F51D2">
              <w:rPr>
                <w:rFonts w:asciiTheme="majorBidi" w:hAnsiTheme="majorBidi" w:cstheme="majorBidi"/>
                <w:color w:val="000000"/>
                <w:sz w:val="20"/>
                <w:szCs w:val="20"/>
              </w:rPr>
              <w:t>112 (14.6%)</w:t>
            </w:r>
          </w:p>
        </w:tc>
      </w:tr>
      <w:tr w:rsidR="004815D4" w:rsidRPr="004F51D2" w14:paraId="52BC15BD" w14:textId="77777777" w:rsidTr="002A12D0">
        <w:tc>
          <w:tcPr>
            <w:tcW w:w="4248" w:type="dxa"/>
            <w:tcBorders>
              <w:bottom w:val="nil"/>
            </w:tcBorders>
          </w:tcPr>
          <w:p w14:paraId="5E7F29AA" w14:textId="77777777" w:rsidR="004815D4" w:rsidRPr="004F51D2" w:rsidRDefault="004815D4" w:rsidP="001F5F0B">
            <w:pPr>
              <w:bidi w:val="0"/>
              <w:spacing w:line="360" w:lineRule="auto"/>
              <w:ind w:left="284"/>
              <w:jc w:val="both"/>
              <w:rPr>
                <w:rFonts w:asciiTheme="majorBidi" w:hAnsiTheme="majorBidi" w:cstheme="majorBidi"/>
                <w:i/>
                <w:iCs/>
                <w:color w:val="000000"/>
              </w:rPr>
            </w:pPr>
            <w:r w:rsidRPr="004F51D2">
              <w:rPr>
                <w:rFonts w:asciiTheme="majorBidi" w:hAnsiTheme="majorBidi" w:cstheme="majorBidi"/>
                <w:i/>
                <w:iCs/>
                <w:color w:val="000000"/>
              </w:rPr>
              <w:t>Sport</w:t>
            </w:r>
          </w:p>
        </w:tc>
        <w:tc>
          <w:tcPr>
            <w:tcW w:w="1559" w:type="dxa"/>
            <w:tcBorders>
              <w:bottom w:val="nil"/>
            </w:tcBorders>
          </w:tcPr>
          <w:p w14:paraId="4F6E4CFA" w14:textId="77777777" w:rsidR="004815D4" w:rsidRPr="004F51D2" w:rsidRDefault="004815D4" w:rsidP="001F5F0B">
            <w:pPr>
              <w:bidi w:val="0"/>
              <w:spacing w:line="360" w:lineRule="auto"/>
              <w:jc w:val="both"/>
              <w:rPr>
                <w:rFonts w:asciiTheme="majorBidi" w:hAnsiTheme="majorBidi" w:cstheme="majorBidi"/>
                <w:color w:val="000000"/>
                <w:sz w:val="20"/>
                <w:szCs w:val="20"/>
              </w:rPr>
            </w:pPr>
          </w:p>
        </w:tc>
        <w:tc>
          <w:tcPr>
            <w:tcW w:w="1418" w:type="dxa"/>
            <w:tcBorders>
              <w:bottom w:val="nil"/>
            </w:tcBorders>
          </w:tcPr>
          <w:p w14:paraId="558BF414" w14:textId="77777777" w:rsidR="004815D4" w:rsidRPr="004F51D2" w:rsidRDefault="004815D4" w:rsidP="001F5F0B">
            <w:pPr>
              <w:bidi w:val="0"/>
              <w:spacing w:line="360" w:lineRule="auto"/>
              <w:jc w:val="both"/>
              <w:rPr>
                <w:rFonts w:asciiTheme="majorBidi" w:hAnsiTheme="majorBidi" w:cstheme="majorBidi"/>
                <w:color w:val="000000"/>
                <w:sz w:val="20"/>
                <w:szCs w:val="20"/>
              </w:rPr>
            </w:pPr>
          </w:p>
        </w:tc>
        <w:tc>
          <w:tcPr>
            <w:tcW w:w="1280" w:type="dxa"/>
            <w:tcBorders>
              <w:bottom w:val="nil"/>
            </w:tcBorders>
          </w:tcPr>
          <w:p w14:paraId="751F7443" w14:textId="77777777" w:rsidR="004815D4" w:rsidRPr="004F51D2" w:rsidRDefault="004815D4" w:rsidP="001F5F0B">
            <w:pPr>
              <w:bidi w:val="0"/>
              <w:spacing w:line="360" w:lineRule="auto"/>
              <w:jc w:val="both"/>
              <w:rPr>
                <w:rFonts w:asciiTheme="majorBidi" w:hAnsiTheme="majorBidi" w:cstheme="majorBidi"/>
                <w:color w:val="000000"/>
                <w:sz w:val="20"/>
                <w:szCs w:val="20"/>
              </w:rPr>
            </w:pPr>
            <w:r w:rsidRPr="004F51D2">
              <w:rPr>
                <w:rFonts w:asciiTheme="majorBidi" w:hAnsiTheme="majorBidi" w:cstheme="majorBidi"/>
                <w:color w:val="000000"/>
                <w:sz w:val="20"/>
                <w:szCs w:val="20"/>
              </w:rPr>
              <w:t>45 (5.9%)</w:t>
            </w:r>
          </w:p>
        </w:tc>
      </w:tr>
      <w:tr w:rsidR="004815D4" w:rsidRPr="004F51D2" w14:paraId="79029DA7" w14:textId="77777777" w:rsidTr="002A12D0">
        <w:tc>
          <w:tcPr>
            <w:tcW w:w="4248" w:type="dxa"/>
            <w:tcBorders>
              <w:top w:val="nil"/>
              <w:bottom w:val="nil"/>
            </w:tcBorders>
          </w:tcPr>
          <w:p w14:paraId="149AE6FA" w14:textId="6D4ED265" w:rsidR="004815D4" w:rsidRPr="004F51D2" w:rsidRDefault="004815D4" w:rsidP="001F5F0B">
            <w:pPr>
              <w:bidi w:val="0"/>
              <w:spacing w:line="360" w:lineRule="auto"/>
              <w:jc w:val="both"/>
              <w:rPr>
                <w:rFonts w:asciiTheme="majorBidi" w:hAnsiTheme="majorBidi" w:cstheme="majorBidi"/>
                <w:i/>
                <w:iCs/>
                <w:color w:val="000000"/>
                <w:sz w:val="20"/>
                <w:szCs w:val="20"/>
              </w:rPr>
            </w:pPr>
            <w:r w:rsidRPr="004F51D2">
              <w:rPr>
                <w:rFonts w:asciiTheme="majorBidi" w:hAnsiTheme="majorBidi" w:cstheme="majorBidi"/>
                <w:color w:val="000000"/>
                <w:sz w:val="20"/>
                <w:szCs w:val="20"/>
              </w:rPr>
              <w:t xml:space="preserve">Do you consider yourself </w:t>
            </w:r>
            <w:r w:rsidR="0013577A" w:rsidRPr="004F51D2">
              <w:rPr>
                <w:rFonts w:asciiTheme="majorBidi" w:hAnsiTheme="majorBidi" w:cstheme="majorBidi"/>
                <w:color w:val="000000"/>
                <w:sz w:val="20"/>
                <w:szCs w:val="20"/>
              </w:rPr>
              <w:t>a problematic gamer</w:t>
            </w:r>
            <w:r w:rsidRPr="004F51D2">
              <w:rPr>
                <w:rFonts w:asciiTheme="majorBidi" w:hAnsiTheme="majorBidi" w:cstheme="majorBidi"/>
                <w:color w:val="000000"/>
                <w:sz w:val="20"/>
                <w:szCs w:val="20"/>
              </w:rPr>
              <w:t>?</w:t>
            </w:r>
          </w:p>
        </w:tc>
        <w:tc>
          <w:tcPr>
            <w:tcW w:w="1559" w:type="dxa"/>
            <w:tcBorders>
              <w:top w:val="nil"/>
              <w:bottom w:val="nil"/>
            </w:tcBorders>
          </w:tcPr>
          <w:p w14:paraId="159BCD34" w14:textId="77777777" w:rsidR="004815D4" w:rsidRPr="004F51D2" w:rsidRDefault="004815D4" w:rsidP="001F5F0B">
            <w:pPr>
              <w:bidi w:val="0"/>
              <w:spacing w:line="360" w:lineRule="auto"/>
              <w:jc w:val="both"/>
              <w:rPr>
                <w:rFonts w:asciiTheme="majorBidi" w:hAnsiTheme="majorBidi" w:cstheme="majorBidi"/>
                <w:color w:val="000000"/>
                <w:sz w:val="20"/>
                <w:szCs w:val="20"/>
              </w:rPr>
            </w:pPr>
          </w:p>
        </w:tc>
        <w:tc>
          <w:tcPr>
            <w:tcW w:w="1418" w:type="dxa"/>
            <w:tcBorders>
              <w:top w:val="nil"/>
              <w:bottom w:val="nil"/>
            </w:tcBorders>
          </w:tcPr>
          <w:p w14:paraId="151C0934" w14:textId="77777777" w:rsidR="004815D4" w:rsidRPr="004F51D2" w:rsidRDefault="004815D4" w:rsidP="001F5F0B">
            <w:pPr>
              <w:bidi w:val="0"/>
              <w:spacing w:line="360" w:lineRule="auto"/>
              <w:jc w:val="both"/>
              <w:rPr>
                <w:rFonts w:asciiTheme="majorBidi" w:hAnsiTheme="majorBidi" w:cstheme="majorBidi"/>
                <w:color w:val="000000"/>
                <w:sz w:val="20"/>
                <w:szCs w:val="20"/>
              </w:rPr>
            </w:pPr>
          </w:p>
        </w:tc>
        <w:tc>
          <w:tcPr>
            <w:tcW w:w="1280" w:type="dxa"/>
            <w:tcBorders>
              <w:top w:val="nil"/>
              <w:bottom w:val="nil"/>
            </w:tcBorders>
          </w:tcPr>
          <w:p w14:paraId="6F99C40A" w14:textId="77777777" w:rsidR="004815D4" w:rsidRPr="004F51D2" w:rsidRDefault="004815D4" w:rsidP="001F5F0B">
            <w:pPr>
              <w:bidi w:val="0"/>
              <w:spacing w:line="360" w:lineRule="auto"/>
              <w:jc w:val="both"/>
              <w:rPr>
                <w:rFonts w:asciiTheme="majorBidi" w:hAnsiTheme="majorBidi" w:cstheme="majorBidi"/>
                <w:color w:val="000000"/>
                <w:sz w:val="20"/>
                <w:szCs w:val="20"/>
              </w:rPr>
            </w:pPr>
          </w:p>
        </w:tc>
      </w:tr>
      <w:tr w:rsidR="004815D4" w:rsidRPr="004F51D2" w14:paraId="3457CF47" w14:textId="77777777" w:rsidTr="002A12D0">
        <w:tc>
          <w:tcPr>
            <w:tcW w:w="4248" w:type="dxa"/>
            <w:tcBorders>
              <w:top w:val="nil"/>
              <w:bottom w:val="nil"/>
            </w:tcBorders>
          </w:tcPr>
          <w:p w14:paraId="746710C4" w14:textId="77777777" w:rsidR="004815D4" w:rsidRPr="004F51D2" w:rsidRDefault="004815D4" w:rsidP="001F5F0B">
            <w:pPr>
              <w:bidi w:val="0"/>
              <w:spacing w:line="360" w:lineRule="auto"/>
              <w:ind w:left="284"/>
              <w:jc w:val="both"/>
              <w:rPr>
                <w:rFonts w:asciiTheme="majorBidi" w:hAnsiTheme="majorBidi" w:cstheme="majorBidi"/>
                <w:i/>
                <w:iCs/>
                <w:color w:val="000000"/>
              </w:rPr>
            </w:pPr>
            <w:r w:rsidRPr="004F51D2">
              <w:rPr>
                <w:rFonts w:asciiTheme="majorBidi" w:hAnsiTheme="majorBidi" w:cstheme="majorBidi"/>
                <w:i/>
                <w:iCs/>
                <w:color w:val="000000"/>
              </w:rPr>
              <w:t xml:space="preserve">No </w:t>
            </w:r>
          </w:p>
        </w:tc>
        <w:tc>
          <w:tcPr>
            <w:tcW w:w="1559" w:type="dxa"/>
            <w:tcBorders>
              <w:top w:val="nil"/>
              <w:bottom w:val="nil"/>
            </w:tcBorders>
          </w:tcPr>
          <w:p w14:paraId="30FB2E35" w14:textId="77777777" w:rsidR="004815D4" w:rsidRPr="004F51D2" w:rsidRDefault="004815D4" w:rsidP="001F5F0B">
            <w:pPr>
              <w:bidi w:val="0"/>
              <w:spacing w:line="360" w:lineRule="auto"/>
              <w:jc w:val="both"/>
              <w:rPr>
                <w:rFonts w:asciiTheme="majorBidi" w:hAnsiTheme="majorBidi" w:cstheme="majorBidi"/>
                <w:color w:val="000000"/>
                <w:sz w:val="20"/>
                <w:szCs w:val="20"/>
              </w:rPr>
            </w:pPr>
          </w:p>
        </w:tc>
        <w:tc>
          <w:tcPr>
            <w:tcW w:w="1418" w:type="dxa"/>
            <w:tcBorders>
              <w:top w:val="nil"/>
              <w:bottom w:val="nil"/>
            </w:tcBorders>
          </w:tcPr>
          <w:p w14:paraId="2F287C99" w14:textId="77777777" w:rsidR="004815D4" w:rsidRPr="004F51D2" w:rsidRDefault="004815D4" w:rsidP="001F5F0B">
            <w:pPr>
              <w:bidi w:val="0"/>
              <w:spacing w:line="360" w:lineRule="auto"/>
              <w:jc w:val="both"/>
              <w:rPr>
                <w:rFonts w:asciiTheme="majorBidi" w:hAnsiTheme="majorBidi" w:cstheme="majorBidi"/>
                <w:color w:val="000000"/>
                <w:sz w:val="20"/>
                <w:szCs w:val="20"/>
              </w:rPr>
            </w:pPr>
          </w:p>
        </w:tc>
        <w:tc>
          <w:tcPr>
            <w:tcW w:w="1280" w:type="dxa"/>
            <w:tcBorders>
              <w:top w:val="nil"/>
              <w:bottom w:val="nil"/>
            </w:tcBorders>
          </w:tcPr>
          <w:p w14:paraId="3F40CF27" w14:textId="77777777" w:rsidR="004815D4" w:rsidRPr="004F51D2" w:rsidRDefault="004815D4" w:rsidP="001F5F0B">
            <w:pPr>
              <w:bidi w:val="0"/>
              <w:spacing w:line="360" w:lineRule="auto"/>
              <w:jc w:val="both"/>
              <w:rPr>
                <w:rFonts w:asciiTheme="majorBidi" w:hAnsiTheme="majorBidi" w:cstheme="majorBidi"/>
                <w:color w:val="000000"/>
                <w:sz w:val="20"/>
                <w:szCs w:val="20"/>
              </w:rPr>
            </w:pPr>
            <w:r w:rsidRPr="004F51D2">
              <w:rPr>
                <w:rFonts w:asciiTheme="majorBidi" w:hAnsiTheme="majorBidi" w:cstheme="majorBidi"/>
                <w:color w:val="000000"/>
                <w:sz w:val="20"/>
                <w:szCs w:val="20"/>
              </w:rPr>
              <w:t>42 (5.4%)</w:t>
            </w:r>
          </w:p>
        </w:tc>
      </w:tr>
      <w:tr w:rsidR="004815D4" w:rsidRPr="004F51D2" w14:paraId="046CA4FE" w14:textId="77777777" w:rsidTr="002A12D0">
        <w:tc>
          <w:tcPr>
            <w:tcW w:w="4248" w:type="dxa"/>
            <w:tcBorders>
              <w:top w:val="nil"/>
              <w:bottom w:val="nil"/>
            </w:tcBorders>
          </w:tcPr>
          <w:p w14:paraId="27B7B4E8" w14:textId="77777777" w:rsidR="004815D4" w:rsidRPr="004F51D2" w:rsidRDefault="004815D4" w:rsidP="001F5F0B">
            <w:pPr>
              <w:bidi w:val="0"/>
              <w:spacing w:line="360" w:lineRule="auto"/>
              <w:ind w:left="284"/>
              <w:jc w:val="both"/>
              <w:rPr>
                <w:rFonts w:asciiTheme="majorBidi" w:hAnsiTheme="majorBidi" w:cstheme="majorBidi"/>
                <w:i/>
                <w:iCs/>
                <w:color w:val="000000"/>
              </w:rPr>
            </w:pPr>
            <w:r w:rsidRPr="004F51D2">
              <w:rPr>
                <w:rFonts w:asciiTheme="majorBidi" w:hAnsiTheme="majorBidi" w:cstheme="majorBidi"/>
                <w:i/>
                <w:iCs/>
                <w:color w:val="000000"/>
              </w:rPr>
              <w:t xml:space="preserve">I have no idea </w:t>
            </w:r>
          </w:p>
        </w:tc>
        <w:tc>
          <w:tcPr>
            <w:tcW w:w="1559" w:type="dxa"/>
            <w:tcBorders>
              <w:top w:val="nil"/>
              <w:bottom w:val="nil"/>
            </w:tcBorders>
          </w:tcPr>
          <w:p w14:paraId="4DA3E127" w14:textId="77777777" w:rsidR="004815D4" w:rsidRPr="004F51D2" w:rsidRDefault="004815D4" w:rsidP="001F5F0B">
            <w:pPr>
              <w:bidi w:val="0"/>
              <w:spacing w:line="360" w:lineRule="auto"/>
              <w:jc w:val="both"/>
              <w:rPr>
                <w:rFonts w:asciiTheme="majorBidi" w:hAnsiTheme="majorBidi" w:cstheme="majorBidi"/>
                <w:color w:val="000000"/>
                <w:sz w:val="20"/>
                <w:szCs w:val="20"/>
              </w:rPr>
            </w:pPr>
          </w:p>
        </w:tc>
        <w:tc>
          <w:tcPr>
            <w:tcW w:w="1418" w:type="dxa"/>
            <w:tcBorders>
              <w:top w:val="nil"/>
              <w:bottom w:val="nil"/>
            </w:tcBorders>
          </w:tcPr>
          <w:p w14:paraId="230169D7" w14:textId="77777777" w:rsidR="004815D4" w:rsidRPr="004F51D2" w:rsidRDefault="004815D4" w:rsidP="001F5F0B">
            <w:pPr>
              <w:bidi w:val="0"/>
              <w:spacing w:line="360" w:lineRule="auto"/>
              <w:jc w:val="both"/>
              <w:rPr>
                <w:rFonts w:asciiTheme="majorBidi" w:hAnsiTheme="majorBidi" w:cstheme="majorBidi"/>
                <w:color w:val="000000"/>
                <w:sz w:val="20"/>
                <w:szCs w:val="20"/>
              </w:rPr>
            </w:pPr>
          </w:p>
        </w:tc>
        <w:tc>
          <w:tcPr>
            <w:tcW w:w="1280" w:type="dxa"/>
            <w:tcBorders>
              <w:top w:val="nil"/>
              <w:bottom w:val="nil"/>
            </w:tcBorders>
          </w:tcPr>
          <w:p w14:paraId="08461A53" w14:textId="77777777" w:rsidR="004815D4" w:rsidRPr="004F51D2" w:rsidRDefault="004815D4" w:rsidP="001F5F0B">
            <w:pPr>
              <w:bidi w:val="0"/>
              <w:spacing w:line="360" w:lineRule="auto"/>
              <w:jc w:val="both"/>
              <w:rPr>
                <w:rFonts w:asciiTheme="majorBidi" w:hAnsiTheme="majorBidi" w:cstheme="majorBidi"/>
                <w:color w:val="000000"/>
                <w:sz w:val="20"/>
                <w:szCs w:val="20"/>
              </w:rPr>
            </w:pPr>
            <w:r w:rsidRPr="004F51D2">
              <w:rPr>
                <w:rFonts w:asciiTheme="majorBidi" w:hAnsiTheme="majorBidi" w:cstheme="majorBidi"/>
                <w:color w:val="000000"/>
                <w:sz w:val="20"/>
                <w:szCs w:val="20"/>
              </w:rPr>
              <w:t>71 (9.2%)</w:t>
            </w:r>
          </w:p>
        </w:tc>
      </w:tr>
      <w:tr w:rsidR="004815D4" w:rsidRPr="004F51D2" w14:paraId="42164AE0" w14:textId="77777777" w:rsidTr="002A12D0">
        <w:tc>
          <w:tcPr>
            <w:tcW w:w="4248" w:type="dxa"/>
            <w:tcBorders>
              <w:top w:val="nil"/>
              <w:bottom w:val="nil"/>
            </w:tcBorders>
          </w:tcPr>
          <w:p w14:paraId="570258A6" w14:textId="77777777" w:rsidR="004815D4" w:rsidRPr="004F51D2" w:rsidRDefault="004815D4" w:rsidP="001F5F0B">
            <w:pPr>
              <w:bidi w:val="0"/>
              <w:spacing w:line="360" w:lineRule="auto"/>
              <w:ind w:left="284"/>
              <w:jc w:val="both"/>
              <w:rPr>
                <w:rFonts w:asciiTheme="majorBidi" w:hAnsiTheme="majorBidi" w:cstheme="majorBidi"/>
                <w:i/>
                <w:iCs/>
                <w:color w:val="000000"/>
              </w:rPr>
            </w:pPr>
            <w:r w:rsidRPr="004F51D2">
              <w:rPr>
                <w:rFonts w:asciiTheme="majorBidi" w:hAnsiTheme="majorBidi" w:cstheme="majorBidi"/>
                <w:i/>
                <w:iCs/>
                <w:color w:val="000000"/>
              </w:rPr>
              <w:t>Maybe</w:t>
            </w:r>
          </w:p>
        </w:tc>
        <w:tc>
          <w:tcPr>
            <w:tcW w:w="1559" w:type="dxa"/>
            <w:tcBorders>
              <w:top w:val="nil"/>
              <w:bottom w:val="nil"/>
            </w:tcBorders>
          </w:tcPr>
          <w:p w14:paraId="100FB0E0" w14:textId="77777777" w:rsidR="004815D4" w:rsidRPr="004F51D2" w:rsidRDefault="004815D4" w:rsidP="001F5F0B">
            <w:pPr>
              <w:bidi w:val="0"/>
              <w:spacing w:line="360" w:lineRule="auto"/>
              <w:jc w:val="both"/>
              <w:rPr>
                <w:rFonts w:asciiTheme="majorBidi" w:hAnsiTheme="majorBidi" w:cstheme="majorBidi"/>
                <w:color w:val="000000"/>
                <w:sz w:val="20"/>
                <w:szCs w:val="20"/>
              </w:rPr>
            </w:pPr>
          </w:p>
        </w:tc>
        <w:tc>
          <w:tcPr>
            <w:tcW w:w="1418" w:type="dxa"/>
            <w:tcBorders>
              <w:top w:val="nil"/>
              <w:bottom w:val="nil"/>
            </w:tcBorders>
          </w:tcPr>
          <w:p w14:paraId="45012950" w14:textId="77777777" w:rsidR="004815D4" w:rsidRPr="004F51D2" w:rsidRDefault="004815D4" w:rsidP="001F5F0B">
            <w:pPr>
              <w:bidi w:val="0"/>
              <w:spacing w:line="360" w:lineRule="auto"/>
              <w:jc w:val="both"/>
              <w:rPr>
                <w:rFonts w:asciiTheme="majorBidi" w:hAnsiTheme="majorBidi" w:cstheme="majorBidi"/>
                <w:color w:val="000000"/>
                <w:sz w:val="20"/>
                <w:szCs w:val="20"/>
              </w:rPr>
            </w:pPr>
          </w:p>
        </w:tc>
        <w:tc>
          <w:tcPr>
            <w:tcW w:w="1280" w:type="dxa"/>
            <w:tcBorders>
              <w:top w:val="nil"/>
              <w:bottom w:val="nil"/>
            </w:tcBorders>
          </w:tcPr>
          <w:p w14:paraId="589AB4C8" w14:textId="77777777" w:rsidR="004815D4" w:rsidRPr="004F51D2" w:rsidRDefault="004815D4" w:rsidP="001F5F0B">
            <w:pPr>
              <w:bidi w:val="0"/>
              <w:spacing w:line="360" w:lineRule="auto"/>
              <w:jc w:val="both"/>
              <w:rPr>
                <w:rFonts w:asciiTheme="majorBidi" w:hAnsiTheme="majorBidi" w:cstheme="majorBidi"/>
                <w:color w:val="000000"/>
                <w:sz w:val="20"/>
                <w:szCs w:val="20"/>
              </w:rPr>
            </w:pPr>
            <w:r w:rsidRPr="004F51D2">
              <w:rPr>
                <w:rFonts w:asciiTheme="majorBidi" w:hAnsiTheme="majorBidi" w:cstheme="majorBidi"/>
                <w:color w:val="000000"/>
                <w:sz w:val="20"/>
                <w:szCs w:val="20"/>
              </w:rPr>
              <w:t>358 (46.5%)</w:t>
            </w:r>
          </w:p>
        </w:tc>
      </w:tr>
      <w:tr w:rsidR="004815D4" w:rsidRPr="004F51D2" w14:paraId="00340CE5" w14:textId="77777777" w:rsidTr="002A12D0">
        <w:tc>
          <w:tcPr>
            <w:tcW w:w="4248" w:type="dxa"/>
            <w:tcBorders>
              <w:top w:val="nil"/>
              <w:bottom w:val="single" w:sz="4" w:space="0" w:color="auto"/>
            </w:tcBorders>
          </w:tcPr>
          <w:p w14:paraId="6C4354A1" w14:textId="77777777" w:rsidR="004815D4" w:rsidRPr="004F51D2" w:rsidRDefault="004815D4" w:rsidP="001F5F0B">
            <w:pPr>
              <w:bidi w:val="0"/>
              <w:spacing w:line="360" w:lineRule="auto"/>
              <w:ind w:left="284"/>
              <w:jc w:val="both"/>
              <w:rPr>
                <w:rFonts w:asciiTheme="majorBidi" w:hAnsiTheme="majorBidi" w:cstheme="majorBidi"/>
                <w:i/>
                <w:iCs/>
                <w:color w:val="000000"/>
              </w:rPr>
            </w:pPr>
            <w:r w:rsidRPr="004F51D2">
              <w:rPr>
                <w:rFonts w:asciiTheme="majorBidi" w:hAnsiTheme="majorBidi" w:cstheme="majorBidi"/>
                <w:i/>
                <w:iCs/>
                <w:color w:val="000000"/>
              </w:rPr>
              <w:t>Yes</w:t>
            </w:r>
          </w:p>
        </w:tc>
        <w:tc>
          <w:tcPr>
            <w:tcW w:w="1559" w:type="dxa"/>
            <w:tcBorders>
              <w:top w:val="nil"/>
              <w:bottom w:val="single" w:sz="4" w:space="0" w:color="auto"/>
            </w:tcBorders>
          </w:tcPr>
          <w:p w14:paraId="6E129BD9" w14:textId="77777777" w:rsidR="004815D4" w:rsidRPr="004F51D2" w:rsidRDefault="004815D4" w:rsidP="001F5F0B">
            <w:pPr>
              <w:bidi w:val="0"/>
              <w:spacing w:line="360" w:lineRule="auto"/>
              <w:jc w:val="both"/>
              <w:rPr>
                <w:rFonts w:asciiTheme="majorBidi" w:hAnsiTheme="majorBidi" w:cstheme="majorBidi"/>
                <w:color w:val="000000"/>
                <w:sz w:val="20"/>
                <w:szCs w:val="20"/>
              </w:rPr>
            </w:pPr>
          </w:p>
        </w:tc>
        <w:tc>
          <w:tcPr>
            <w:tcW w:w="1418" w:type="dxa"/>
            <w:tcBorders>
              <w:top w:val="nil"/>
              <w:bottom w:val="single" w:sz="4" w:space="0" w:color="auto"/>
            </w:tcBorders>
          </w:tcPr>
          <w:p w14:paraId="5AF1BB4F" w14:textId="77777777" w:rsidR="004815D4" w:rsidRPr="004F51D2" w:rsidRDefault="004815D4" w:rsidP="001F5F0B">
            <w:pPr>
              <w:bidi w:val="0"/>
              <w:spacing w:line="360" w:lineRule="auto"/>
              <w:jc w:val="both"/>
              <w:rPr>
                <w:rFonts w:asciiTheme="majorBidi" w:hAnsiTheme="majorBidi" w:cstheme="majorBidi"/>
                <w:color w:val="000000"/>
                <w:sz w:val="20"/>
                <w:szCs w:val="20"/>
              </w:rPr>
            </w:pPr>
          </w:p>
        </w:tc>
        <w:tc>
          <w:tcPr>
            <w:tcW w:w="1280" w:type="dxa"/>
            <w:tcBorders>
              <w:top w:val="nil"/>
              <w:bottom w:val="single" w:sz="4" w:space="0" w:color="auto"/>
            </w:tcBorders>
          </w:tcPr>
          <w:p w14:paraId="06AB99B3" w14:textId="77777777" w:rsidR="004815D4" w:rsidRPr="004F51D2" w:rsidRDefault="004815D4" w:rsidP="001F5F0B">
            <w:pPr>
              <w:bidi w:val="0"/>
              <w:spacing w:line="360" w:lineRule="auto"/>
              <w:jc w:val="both"/>
              <w:rPr>
                <w:rFonts w:asciiTheme="majorBidi" w:hAnsiTheme="majorBidi" w:cstheme="majorBidi"/>
                <w:color w:val="000000"/>
                <w:sz w:val="20"/>
                <w:szCs w:val="20"/>
              </w:rPr>
            </w:pPr>
            <w:r w:rsidRPr="004F51D2">
              <w:rPr>
                <w:rFonts w:asciiTheme="majorBidi" w:hAnsiTheme="majorBidi" w:cstheme="majorBidi"/>
                <w:color w:val="000000"/>
                <w:sz w:val="20"/>
                <w:szCs w:val="20"/>
              </w:rPr>
              <w:t>299 (38.9%)</w:t>
            </w:r>
          </w:p>
        </w:tc>
      </w:tr>
    </w:tbl>
    <w:p w14:paraId="3BEAB56A" w14:textId="77777777" w:rsidR="001A40CF" w:rsidRPr="004F51D2" w:rsidRDefault="001A40CF" w:rsidP="004815D4">
      <w:pPr>
        <w:bidi w:val="0"/>
        <w:spacing w:after="0" w:line="480" w:lineRule="auto"/>
        <w:jc w:val="both"/>
        <w:rPr>
          <w:rFonts w:ascii="Times New Roman" w:eastAsia="Calibri" w:hAnsi="Times New Roman" w:cs="Times New Roman"/>
          <w:color w:val="000000"/>
          <w:sz w:val="24"/>
          <w:szCs w:val="24"/>
        </w:rPr>
      </w:pPr>
    </w:p>
    <w:p w14:paraId="013C1C6D" w14:textId="2689B611" w:rsidR="00BF3AC6" w:rsidRPr="004F51D2" w:rsidRDefault="00BF3AC6" w:rsidP="00F05052">
      <w:pPr>
        <w:bidi w:val="0"/>
        <w:spacing w:after="0" w:line="480" w:lineRule="auto"/>
        <w:jc w:val="both"/>
        <w:rPr>
          <w:rFonts w:ascii="Times New Roman" w:hAnsi="Times New Roman" w:cs="Times New Roman"/>
        </w:rPr>
      </w:pPr>
      <w:r w:rsidRPr="004F51D2">
        <w:rPr>
          <w:rFonts w:ascii="Times New Roman" w:hAnsi="Times New Roman" w:cs="Times New Roman"/>
          <w:b/>
          <w:bCs/>
        </w:rPr>
        <w:t xml:space="preserve">Table </w:t>
      </w:r>
      <w:r w:rsidR="00CC1264" w:rsidRPr="004F51D2">
        <w:rPr>
          <w:rFonts w:ascii="Times New Roman" w:hAnsi="Times New Roman" w:cs="Times New Roman"/>
          <w:b/>
          <w:bCs/>
        </w:rPr>
        <w:t>2</w:t>
      </w:r>
      <w:r w:rsidR="001A40CF" w:rsidRPr="004F51D2">
        <w:rPr>
          <w:rFonts w:ascii="Times New Roman" w:hAnsi="Times New Roman" w:cs="Times New Roman"/>
          <w:b/>
          <w:bCs/>
        </w:rPr>
        <w:t xml:space="preserve">: </w:t>
      </w:r>
      <w:r w:rsidRPr="004F51D2">
        <w:rPr>
          <w:rFonts w:ascii="Times New Roman" w:hAnsi="Times New Roman" w:cs="Times New Roman"/>
        </w:rPr>
        <w:t xml:space="preserve">Factor loadings for </w:t>
      </w:r>
      <w:r w:rsidR="00F05052" w:rsidRPr="004F51D2">
        <w:rPr>
          <w:rFonts w:ascii="Times New Roman" w:hAnsi="Times New Roman" w:cs="Times New Roman"/>
        </w:rPr>
        <w:t>12</w:t>
      </w:r>
      <w:r w:rsidRPr="004F51D2">
        <w:rPr>
          <w:rFonts w:ascii="Times New Roman" w:hAnsi="Times New Roman" w:cs="Times New Roman"/>
        </w:rPr>
        <w:t xml:space="preserve"> items of the M</w:t>
      </w:r>
      <w:r w:rsidR="00F05052" w:rsidRPr="004F51D2">
        <w:rPr>
          <w:rFonts w:ascii="Times New Roman" w:hAnsi="Times New Roman" w:cs="Times New Roman"/>
        </w:rPr>
        <w:t>OGS</w:t>
      </w:r>
      <w:r w:rsidRPr="004F51D2">
        <w:rPr>
          <w:rFonts w:ascii="Times New Roman" w:hAnsi="Times New Roman" w:cs="Times New Roman"/>
        </w:rPr>
        <w:t xml:space="preserve"> based on exploratory factor analyses (n = 3</w:t>
      </w:r>
      <w:r w:rsidR="00F05052" w:rsidRPr="004F51D2">
        <w:rPr>
          <w:rFonts w:ascii="Times New Roman" w:hAnsi="Times New Roman" w:cs="Times New Roman"/>
        </w:rPr>
        <w:t>50</w:t>
      </w:r>
      <w:r w:rsidRPr="004F51D2">
        <w:rPr>
          <w:rFonts w:ascii="Times New Roman" w:hAnsi="Times New Roman" w:cs="Times New Roman"/>
        </w:rPr>
        <w:t>).</w:t>
      </w:r>
    </w:p>
    <w:tbl>
      <w:tblPr>
        <w:tblStyle w:val="TableGrid2"/>
        <w:tblpPr w:leftFromText="181" w:rightFromText="181" w:vertAnchor="text" w:horzAnchor="margin" w:tblpXSpec="center" w:tblpY="1"/>
        <w:bidiVisual/>
        <w:tblW w:w="9130" w:type="dxa"/>
        <w:tblLook w:val="04A0" w:firstRow="1" w:lastRow="0" w:firstColumn="1" w:lastColumn="0" w:noHBand="0" w:noVBand="1"/>
      </w:tblPr>
      <w:tblGrid>
        <w:gridCol w:w="1050"/>
        <w:gridCol w:w="992"/>
        <w:gridCol w:w="992"/>
        <w:gridCol w:w="6096"/>
      </w:tblGrid>
      <w:tr w:rsidR="00BF3AC6" w:rsidRPr="004F51D2" w14:paraId="1E82C07A" w14:textId="77777777" w:rsidTr="00803207">
        <w:trPr>
          <w:trHeight w:val="414"/>
        </w:trPr>
        <w:tc>
          <w:tcPr>
            <w:tcW w:w="1050" w:type="dxa"/>
            <w:tcBorders>
              <w:left w:val="nil"/>
              <w:bottom w:val="single" w:sz="4" w:space="0" w:color="auto"/>
              <w:right w:val="nil"/>
            </w:tcBorders>
          </w:tcPr>
          <w:p w14:paraId="7A1B325F" w14:textId="77777777" w:rsidR="00BF3AC6" w:rsidRPr="004F51D2" w:rsidRDefault="00BF3AC6" w:rsidP="00803207">
            <w:pPr>
              <w:bidi w:val="0"/>
              <w:spacing w:line="360" w:lineRule="auto"/>
              <w:jc w:val="center"/>
              <w:rPr>
                <w:rFonts w:ascii="Times New Roman" w:hAnsi="Times New Roman" w:cs="Times New Roman"/>
                <w:color w:val="000000" w:themeColor="text1"/>
              </w:rPr>
            </w:pPr>
            <w:r w:rsidRPr="004F51D2">
              <w:rPr>
                <w:rFonts w:ascii="Times New Roman" w:hAnsi="Times New Roman" w:cs="Times New Roman"/>
                <w:color w:val="000000" w:themeColor="text1"/>
              </w:rPr>
              <w:t>Factor 3</w:t>
            </w:r>
          </w:p>
        </w:tc>
        <w:tc>
          <w:tcPr>
            <w:tcW w:w="992" w:type="dxa"/>
            <w:tcBorders>
              <w:left w:val="nil"/>
              <w:bottom w:val="single" w:sz="4" w:space="0" w:color="auto"/>
              <w:right w:val="nil"/>
            </w:tcBorders>
          </w:tcPr>
          <w:p w14:paraId="0068703C" w14:textId="77777777" w:rsidR="00BF3AC6" w:rsidRPr="004F51D2" w:rsidRDefault="00BF3AC6" w:rsidP="00803207">
            <w:pPr>
              <w:bidi w:val="0"/>
              <w:spacing w:line="360" w:lineRule="auto"/>
              <w:jc w:val="center"/>
              <w:rPr>
                <w:rFonts w:ascii="Times New Roman" w:hAnsi="Times New Roman" w:cs="Times New Roman"/>
                <w:color w:val="000000" w:themeColor="text1"/>
              </w:rPr>
            </w:pPr>
            <w:r w:rsidRPr="004F51D2">
              <w:rPr>
                <w:rFonts w:ascii="Times New Roman" w:hAnsi="Times New Roman" w:cs="Times New Roman"/>
                <w:color w:val="000000" w:themeColor="text1"/>
              </w:rPr>
              <w:t>Factor 2</w:t>
            </w:r>
          </w:p>
        </w:tc>
        <w:tc>
          <w:tcPr>
            <w:tcW w:w="992" w:type="dxa"/>
            <w:tcBorders>
              <w:left w:val="nil"/>
              <w:bottom w:val="single" w:sz="4" w:space="0" w:color="auto"/>
              <w:right w:val="nil"/>
            </w:tcBorders>
          </w:tcPr>
          <w:p w14:paraId="41A66744" w14:textId="77777777" w:rsidR="00BF3AC6" w:rsidRPr="004F51D2" w:rsidRDefault="00BF3AC6" w:rsidP="00803207">
            <w:pPr>
              <w:bidi w:val="0"/>
              <w:spacing w:line="360" w:lineRule="auto"/>
              <w:jc w:val="center"/>
              <w:rPr>
                <w:rFonts w:ascii="Times New Roman" w:hAnsi="Times New Roman" w:cs="Times New Roman"/>
                <w:color w:val="000000" w:themeColor="text1"/>
                <w:rtl/>
              </w:rPr>
            </w:pPr>
            <w:r w:rsidRPr="004F51D2">
              <w:rPr>
                <w:rFonts w:ascii="Times New Roman" w:hAnsi="Times New Roman" w:cs="Times New Roman"/>
                <w:color w:val="000000" w:themeColor="text1"/>
              </w:rPr>
              <w:t>Factor 1</w:t>
            </w:r>
          </w:p>
        </w:tc>
        <w:tc>
          <w:tcPr>
            <w:tcW w:w="6096" w:type="dxa"/>
            <w:tcBorders>
              <w:left w:val="nil"/>
              <w:bottom w:val="single" w:sz="4" w:space="0" w:color="auto"/>
              <w:right w:val="nil"/>
            </w:tcBorders>
          </w:tcPr>
          <w:p w14:paraId="27D481C2" w14:textId="77777777" w:rsidR="00BF3AC6" w:rsidRPr="004F51D2" w:rsidRDefault="00BF3AC6" w:rsidP="00803207">
            <w:pPr>
              <w:bidi w:val="0"/>
              <w:spacing w:line="360" w:lineRule="auto"/>
              <w:jc w:val="center"/>
              <w:rPr>
                <w:rFonts w:ascii="Times New Roman" w:hAnsi="Times New Roman" w:cs="Times New Roman"/>
                <w:color w:val="000000" w:themeColor="text1"/>
                <w:sz w:val="24"/>
                <w:szCs w:val="24"/>
              </w:rPr>
            </w:pPr>
            <w:r w:rsidRPr="004F51D2">
              <w:rPr>
                <w:rFonts w:ascii="Times New Roman" w:hAnsi="Times New Roman" w:cs="Times New Roman"/>
                <w:color w:val="000000" w:themeColor="text1"/>
                <w:sz w:val="24"/>
                <w:szCs w:val="24"/>
              </w:rPr>
              <w:t>Items</w:t>
            </w:r>
          </w:p>
        </w:tc>
      </w:tr>
      <w:tr w:rsidR="00F05052" w:rsidRPr="004F51D2" w14:paraId="2F32FA09" w14:textId="77777777" w:rsidTr="00803207">
        <w:trPr>
          <w:trHeight w:val="276"/>
        </w:trPr>
        <w:tc>
          <w:tcPr>
            <w:tcW w:w="1050" w:type="dxa"/>
            <w:tcBorders>
              <w:left w:val="nil"/>
              <w:bottom w:val="nil"/>
              <w:right w:val="nil"/>
            </w:tcBorders>
          </w:tcPr>
          <w:p w14:paraId="191EC95C" w14:textId="3B57B336" w:rsidR="00F05052" w:rsidRPr="004F51D2" w:rsidRDefault="00F05052" w:rsidP="00F05052">
            <w:pPr>
              <w:bidi w:val="0"/>
              <w:spacing w:line="360" w:lineRule="auto"/>
              <w:jc w:val="center"/>
              <w:rPr>
                <w:rFonts w:ascii="Times New Roman" w:hAnsi="Times New Roman" w:cs="Times New Roman"/>
                <w:b/>
                <w:bCs/>
                <w:color w:val="000000" w:themeColor="text1"/>
                <w:sz w:val="20"/>
                <w:szCs w:val="20"/>
              </w:rPr>
            </w:pPr>
            <w:r w:rsidRPr="004F51D2">
              <w:rPr>
                <w:rFonts w:ascii="Times New Roman" w:hAnsi="Times New Roman" w:cs="Times New Roman"/>
                <w:color w:val="000000" w:themeColor="text1"/>
                <w:sz w:val="20"/>
                <w:szCs w:val="20"/>
              </w:rPr>
              <w:t>0.186</w:t>
            </w:r>
          </w:p>
        </w:tc>
        <w:tc>
          <w:tcPr>
            <w:tcW w:w="992" w:type="dxa"/>
            <w:tcBorders>
              <w:left w:val="nil"/>
              <w:bottom w:val="nil"/>
              <w:right w:val="nil"/>
            </w:tcBorders>
          </w:tcPr>
          <w:p w14:paraId="4D1F9B5F" w14:textId="1CD454F2" w:rsidR="00F05052" w:rsidRPr="004F51D2" w:rsidRDefault="00F05052" w:rsidP="00F05052">
            <w:pPr>
              <w:bidi w:val="0"/>
              <w:spacing w:line="360" w:lineRule="auto"/>
              <w:jc w:val="center"/>
              <w:rPr>
                <w:rFonts w:ascii="Times New Roman" w:hAnsi="Times New Roman" w:cs="Times New Roman"/>
                <w:color w:val="000000" w:themeColor="text1"/>
                <w:sz w:val="20"/>
                <w:szCs w:val="20"/>
              </w:rPr>
            </w:pPr>
            <w:r w:rsidRPr="004F51D2">
              <w:rPr>
                <w:rFonts w:ascii="Times New Roman" w:hAnsi="Times New Roman" w:cs="Times New Roman"/>
                <w:color w:val="000000" w:themeColor="text1"/>
                <w:sz w:val="20"/>
                <w:szCs w:val="20"/>
              </w:rPr>
              <w:t>0.126</w:t>
            </w:r>
          </w:p>
        </w:tc>
        <w:tc>
          <w:tcPr>
            <w:tcW w:w="992" w:type="dxa"/>
            <w:tcBorders>
              <w:left w:val="nil"/>
              <w:bottom w:val="nil"/>
              <w:right w:val="nil"/>
            </w:tcBorders>
          </w:tcPr>
          <w:p w14:paraId="50987A41" w14:textId="3FA3CCE0" w:rsidR="00F05052" w:rsidRPr="004F51D2" w:rsidRDefault="00F05052" w:rsidP="00F05052">
            <w:pPr>
              <w:bidi w:val="0"/>
              <w:spacing w:line="360" w:lineRule="auto"/>
              <w:jc w:val="center"/>
              <w:rPr>
                <w:rFonts w:ascii="Times New Roman" w:hAnsi="Times New Roman" w:cs="Times New Roman"/>
                <w:color w:val="000000" w:themeColor="text1"/>
                <w:sz w:val="20"/>
                <w:szCs w:val="20"/>
              </w:rPr>
            </w:pPr>
            <w:r w:rsidRPr="004F51D2">
              <w:rPr>
                <w:rFonts w:ascii="Times New Roman" w:hAnsi="Times New Roman" w:cs="Times New Roman"/>
                <w:b/>
                <w:bCs/>
                <w:color w:val="000000" w:themeColor="text1"/>
                <w:sz w:val="20"/>
                <w:szCs w:val="20"/>
              </w:rPr>
              <w:t>0.830</w:t>
            </w:r>
          </w:p>
        </w:tc>
        <w:tc>
          <w:tcPr>
            <w:tcW w:w="6096" w:type="dxa"/>
            <w:tcBorders>
              <w:left w:val="nil"/>
              <w:bottom w:val="nil"/>
              <w:right w:val="nil"/>
            </w:tcBorders>
          </w:tcPr>
          <w:p w14:paraId="0496FB4A" w14:textId="5536AB70" w:rsidR="00F05052" w:rsidRPr="004F51D2" w:rsidRDefault="00F05052" w:rsidP="00F05052">
            <w:pPr>
              <w:bidi w:val="0"/>
              <w:rPr>
                <w:rFonts w:ascii="Times New Roman" w:hAnsi="Times New Roman" w:cs="Times New Roman"/>
                <w:color w:val="000000" w:themeColor="text1"/>
                <w:sz w:val="20"/>
                <w:szCs w:val="20"/>
              </w:rPr>
            </w:pPr>
            <w:r w:rsidRPr="004F51D2">
              <w:rPr>
                <w:rFonts w:ascii="Times New Roman" w:hAnsi="Times New Roman" w:cs="Times New Roman"/>
                <w:color w:val="000000" w:themeColor="text1"/>
                <w:sz w:val="20"/>
                <w:szCs w:val="20"/>
              </w:rPr>
              <w:t>1.</w:t>
            </w:r>
            <w:r w:rsidR="00501DDF" w:rsidRPr="004F51D2">
              <w:rPr>
                <w:rFonts w:ascii="Times New Roman" w:hAnsi="Times New Roman" w:cs="Times New Roman"/>
                <w:color w:val="000000" w:themeColor="text1"/>
                <w:sz w:val="20"/>
                <w:szCs w:val="20"/>
              </w:rPr>
              <w:t xml:space="preserve"> </w:t>
            </w:r>
            <w:r w:rsidR="008C4E2F" w:rsidRPr="004F51D2">
              <w:rPr>
                <w:rFonts w:ascii="Times New Roman" w:hAnsi="Times New Roman" w:cs="Times New Roman"/>
                <w:color w:val="000000" w:themeColor="text1"/>
                <w:sz w:val="20"/>
                <w:szCs w:val="20"/>
              </w:rPr>
              <w:t>I continue to play despite I think it would be better to stop.</w:t>
            </w:r>
          </w:p>
        </w:tc>
      </w:tr>
      <w:tr w:rsidR="00F05052" w:rsidRPr="004F51D2" w14:paraId="62CCB955" w14:textId="77777777" w:rsidTr="00803207">
        <w:trPr>
          <w:trHeight w:val="325"/>
        </w:trPr>
        <w:tc>
          <w:tcPr>
            <w:tcW w:w="1050" w:type="dxa"/>
            <w:tcBorders>
              <w:top w:val="nil"/>
              <w:left w:val="nil"/>
              <w:bottom w:val="nil"/>
              <w:right w:val="nil"/>
            </w:tcBorders>
          </w:tcPr>
          <w:p w14:paraId="51AEEEEE" w14:textId="6FA82783" w:rsidR="00F05052" w:rsidRPr="004F51D2" w:rsidRDefault="00F05052" w:rsidP="00F05052">
            <w:pPr>
              <w:bidi w:val="0"/>
              <w:spacing w:line="360" w:lineRule="auto"/>
              <w:jc w:val="center"/>
              <w:rPr>
                <w:rFonts w:ascii="Times New Roman" w:hAnsi="Times New Roman" w:cs="Times New Roman"/>
                <w:b/>
                <w:bCs/>
                <w:color w:val="000000" w:themeColor="text1"/>
                <w:sz w:val="20"/>
                <w:szCs w:val="20"/>
              </w:rPr>
            </w:pPr>
            <w:r w:rsidRPr="004F51D2">
              <w:rPr>
                <w:rFonts w:ascii="Times New Roman" w:hAnsi="Times New Roman" w:cs="Times New Roman"/>
                <w:color w:val="000000" w:themeColor="text1"/>
                <w:sz w:val="20"/>
                <w:szCs w:val="20"/>
              </w:rPr>
              <w:t>0.137</w:t>
            </w:r>
          </w:p>
        </w:tc>
        <w:tc>
          <w:tcPr>
            <w:tcW w:w="992" w:type="dxa"/>
            <w:tcBorders>
              <w:top w:val="nil"/>
              <w:left w:val="nil"/>
              <w:bottom w:val="nil"/>
              <w:right w:val="nil"/>
            </w:tcBorders>
          </w:tcPr>
          <w:p w14:paraId="3F10FB20" w14:textId="18CB91DF" w:rsidR="00F05052" w:rsidRPr="004F51D2" w:rsidRDefault="00F05052" w:rsidP="00F05052">
            <w:pPr>
              <w:bidi w:val="0"/>
              <w:spacing w:line="360" w:lineRule="auto"/>
              <w:jc w:val="center"/>
              <w:rPr>
                <w:rFonts w:ascii="Times New Roman" w:hAnsi="Times New Roman" w:cs="Times New Roman"/>
                <w:color w:val="000000" w:themeColor="text1"/>
                <w:sz w:val="20"/>
                <w:szCs w:val="20"/>
              </w:rPr>
            </w:pPr>
            <w:r w:rsidRPr="004F51D2">
              <w:rPr>
                <w:rFonts w:ascii="Times New Roman" w:hAnsi="Times New Roman" w:cs="Times New Roman"/>
                <w:color w:val="000000" w:themeColor="text1"/>
                <w:sz w:val="20"/>
                <w:szCs w:val="20"/>
              </w:rPr>
              <w:t>0.298</w:t>
            </w:r>
          </w:p>
        </w:tc>
        <w:tc>
          <w:tcPr>
            <w:tcW w:w="992" w:type="dxa"/>
            <w:tcBorders>
              <w:top w:val="nil"/>
              <w:left w:val="nil"/>
              <w:bottom w:val="nil"/>
              <w:right w:val="nil"/>
            </w:tcBorders>
          </w:tcPr>
          <w:p w14:paraId="097ECC3A" w14:textId="78F6D00B" w:rsidR="00F05052" w:rsidRPr="004F51D2" w:rsidRDefault="00F05052" w:rsidP="00F05052">
            <w:pPr>
              <w:bidi w:val="0"/>
              <w:spacing w:line="360" w:lineRule="auto"/>
              <w:jc w:val="center"/>
              <w:rPr>
                <w:rFonts w:ascii="Times New Roman" w:hAnsi="Times New Roman" w:cs="Times New Roman"/>
                <w:color w:val="000000" w:themeColor="text1"/>
                <w:sz w:val="20"/>
                <w:szCs w:val="20"/>
              </w:rPr>
            </w:pPr>
            <w:r w:rsidRPr="004F51D2">
              <w:rPr>
                <w:rFonts w:ascii="Times New Roman" w:hAnsi="Times New Roman" w:cs="Times New Roman"/>
                <w:b/>
                <w:bCs/>
                <w:color w:val="000000" w:themeColor="text1"/>
                <w:sz w:val="20"/>
                <w:szCs w:val="20"/>
              </w:rPr>
              <w:t>0.831</w:t>
            </w:r>
          </w:p>
        </w:tc>
        <w:tc>
          <w:tcPr>
            <w:tcW w:w="6096" w:type="dxa"/>
            <w:tcBorders>
              <w:top w:val="nil"/>
              <w:left w:val="nil"/>
              <w:bottom w:val="nil"/>
              <w:right w:val="nil"/>
            </w:tcBorders>
          </w:tcPr>
          <w:p w14:paraId="606D7920" w14:textId="3627522E" w:rsidR="00F05052" w:rsidRPr="004F51D2" w:rsidRDefault="00F05052" w:rsidP="00F05052">
            <w:pPr>
              <w:bidi w:val="0"/>
              <w:rPr>
                <w:rFonts w:ascii="Times New Roman" w:hAnsi="Times New Roman" w:cs="Times New Roman"/>
                <w:color w:val="000000" w:themeColor="text1"/>
                <w:sz w:val="20"/>
                <w:szCs w:val="20"/>
              </w:rPr>
            </w:pPr>
            <w:r w:rsidRPr="004F51D2">
              <w:rPr>
                <w:rFonts w:ascii="Times New Roman" w:hAnsi="Times New Roman" w:cs="Times New Roman"/>
                <w:color w:val="000000" w:themeColor="text1"/>
                <w:sz w:val="20"/>
                <w:szCs w:val="20"/>
              </w:rPr>
              <w:t>2.</w:t>
            </w:r>
            <w:r w:rsidR="00501DDF" w:rsidRPr="004F51D2">
              <w:rPr>
                <w:rFonts w:ascii="Times New Roman" w:hAnsi="Times New Roman" w:cs="Times New Roman"/>
                <w:color w:val="000000" w:themeColor="text1"/>
                <w:sz w:val="20"/>
                <w:szCs w:val="20"/>
              </w:rPr>
              <w:t xml:space="preserve"> </w:t>
            </w:r>
            <w:r w:rsidR="008C4E2F" w:rsidRPr="004F51D2">
              <w:rPr>
                <w:rFonts w:ascii="Times New Roman" w:hAnsi="Times New Roman" w:cs="Times New Roman"/>
                <w:color w:val="000000" w:themeColor="text1"/>
                <w:sz w:val="20"/>
                <w:szCs w:val="20"/>
              </w:rPr>
              <w:t>I have no control over how much time I play.</w:t>
            </w:r>
          </w:p>
        </w:tc>
      </w:tr>
      <w:tr w:rsidR="00F05052" w:rsidRPr="004F51D2" w14:paraId="4EAC1217" w14:textId="77777777" w:rsidTr="00803207">
        <w:trPr>
          <w:trHeight w:val="272"/>
        </w:trPr>
        <w:tc>
          <w:tcPr>
            <w:tcW w:w="1050" w:type="dxa"/>
            <w:tcBorders>
              <w:top w:val="nil"/>
              <w:left w:val="nil"/>
              <w:bottom w:val="nil"/>
              <w:right w:val="nil"/>
            </w:tcBorders>
          </w:tcPr>
          <w:p w14:paraId="62EEE39E" w14:textId="3516CC6E" w:rsidR="00F05052" w:rsidRPr="004F51D2" w:rsidRDefault="00F05052" w:rsidP="00F05052">
            <w:pPr>
              <w:bidi w:val="0"/>
              <w:spacing w:line="360" w:lineRule="auto"/>
              <w:jc w:val="center"/>
              <w:rPr>
                <w:rFonts w:ascii="Times New Roman" w:hAnsi="Times New Roman" w:cs="Times New Roman"/>
                <w:b/>
                <w:bCs/>
                <w:color w:val="000000" w:themeColor="text1"/>
                <w:sz w:val="20"/>
                <w:szCs w:val="20"/>
              </w:rPr>
            </w:pPr>
            <w:r w:rsidRPr="004F51D2">
              <w:rPr>
                <w:rFonts w:ascii="Times New Roman" w:hAnsi="Times New Roman" w:cs="Times New Roman"/>
                <w:color w:val="000000" w:themeColor="text1"/>
                <w:sz w:val="20"/>
                <w:szCs w:val="20"/>
              </w:rPr>
              <w:t>0.153</w:t>
            </w:r>
          </w:p>
        </w:tc>
        <w:tc>
          <w:tcPr>
            <w:tcW w:w="992" w:type="dxa"/>
            <w:tcBorders>
              <w:top w:val="nil"/>
              <w:left w:val="nil"/>
              <w:bottom w:val="nil"/>
              <w:right w:val="nil"/>
            </w:tcBorders>
          </w:tcPr>
          <w:p w14:paraId="019F1A44" w14:textId="54A7D634" w:rsidR="00F05052" w:rsidRPr="004F51D2" w:rsidRDefault="00F05052" w:rsidP="00F05052">
            <w:pPr>
              <w:bidi w:val="0"/>
              <w:spacing w:line="360" w:lineRule="auto"/>
              <w:jc w:val="center"/>
              <w:rPr>
                <w:rFonts w:ascii="Times New Roman" w:hAnsi="Times New Roman" w:cs="Times New Roman"/>
                <w:color w:val="000000" w:themeColor="text1"/>
                <w:sz w:val="20"/>
                <w:szCs w:val="20"/>
              </w:rPr>
            </w:pPr>
            <w:r w:rsidRPr="004F51D2">
              <w:rPr>
                <w:rFonts w:ascii="Times New Roman" w:hAnsi="Times New Roman" w:cs="Times New Roman"/>
                <w:color w:val="000000" w:themeColor="text1"/>
                <w:sz w:val="20"/>
                <w:szCs w:val="20"/>
              </w:rPr>
              <w:t>0.486</w:t>
            </w:r>
          </w:p>
        </w:tc>
        <w:tc>
          <w:tcPr>
            <w:tcW w:w="992" w:type="dxa"/>
            <w:tcBorders>
              <w:top w:val="nil"/>
              <w:left w:val="nil"/>
              <w:bottom w:val="nil"/>
              <w:right w:val="nil"/>
            </w:tcBorders>
          </w:tcPr>
          <w:p w14:paraId="4FBF4B77" w14:textId="7E6C885F" w:rsidR="00F05052" w:rsidRPr="004F51D2" w:rsidRDefault="00F05052" w:rsidP="00F05052">
            <w:pPr>
              <w:bidi w:val="0"/>
              <w:spacing w:line="360" w:lineRule="auto"/>
              <w:jc w:val="center"/>
              <w:rPr>
                <w:rFonts w:ascii="Times New Roman" w:hAnsi="Times New Roman" w:cs="Times New Roman"/>
                <w:color w:val="000000" w:themeColor="text1"/>
                <w:sz w:val="20"/>
                <w:szCs w:val="20"/>
              </w:rPr>
            </w:pPr>
            <w:r w:rsidRPr="004F51D2">
              <w:rPr>
                <w:rFonts w:ascii="Times New Roman" w:hAnsi="Times New Roman" w:cs="Times New Roman"/>
                <w:b/>
                <w:bCs/>
                <w:color w:val="000000" w:themeColor="text1"/>
                <w:sz w:val="20"/>
                <w:szCs w:val="20"/>
              </w:rPr>
              <w:t>0.716</w:t>
            </w:r>
          </w:p>
        </w:tc>
        <w:tc>
          <w:tcPr>
            <w:tcW w:w="6096" w:type="dxa"/>
            <w:tcBorders>
              <w:top w:val="nil"/>
              <w:left w:val="nil"/>
              <w:bottom w:val="nil"/>
              <w:right w:val="nil"/>
            </w:tcBorders>
          </w:tcPr>
          <w:p w14:paraId="78BEE6E0" w14:textId="16AF8025" w:rsidR="00F05052" w:rsidRPr="004F51D2" w:rsidRDefault="00F05052" w:rsidP="00F05052">
            <w:pPr>
              <w:bidi w:val="0"/>
              <w:rPr>
                <w:rFonts w:ascii="Times New Roman" w:hAnsi="Times New Roman" w:cs="Times New Roman"/>
                <w:color w:val="000000" w:themeColor="text1"/>
                <w:sz w:val="20"/>
                <w:szCs w:val="20"/>
              </w:rPr>
            </w:pPr>
            <w:r w:rsidRPr="004F51D2">
              <w:rPr>
                <w:rFonts w:ascii="Times New Roman" w:hAnsi="Times New Roman" w:cs="Times New Roman"/>
                <w:color w:val="000000" w:themeColor="text1"/>
                <w:sz w:val="20"/>
                <w:szCs w:val="20"/>
              </w:rPr>
              <w:t>3.</w:t>
            </w:r>
            <w:r w:rsidR="00501DDF" w:rsidRPr="004F51D2">
              <w:rPr>
                <w:rFonts w:ascii="Times New Roman" w:hAnsi="Times New Roman" w:cs="Times New Roman"/>
                <w:color w:val="000000" w:themeColor="text1"/>
                <w:sz w:val="20"/>
                <w:szCs w:val="20"/>
              </w:rPr>
              <w:t xml:space="preserve"> </w:t>
            </w:r>
            <w:r w:rsidR="008C4E2F" w:rsidRPr="004F51D2">
              <w:rPr>
                <w:rFonts w:ascii="Times New Roman" w:hAnsi="Times New Roman" w:cs="Times New Roman"/>
                <w:color w:val="000000" w:themeColor="text1"/>
                <w:sz w:val="20"/>
                <w:szCs w:val="20"/>
              </w:rPr>
              <w:t>Once I start online gaming I cannot stop.</w:t>
            </w:r>
          </w:p>
        </w:tc>
      </w:tr>
      <w:tr w:rsidR="00F05052" w:rsidRPr="004F51D2" w14:paraId="4337AD3B" w14:textId="77777777" w:rsidTr="00803207">
        <w:trPr>
          <w:trHeight w:val="278"/>
        </w:trPr>
        <w:tc>
          <w:tcPr>
            <w:tcW w:w="1050" w:type="dxa"/>
            <w:tcBorders>
              <w:top w:val="nil"/>
              <w:left w:val="nil"/>
              <w:bottom w:val="nil"/>
              <w:right w:val="nil"/>
            </w:tcBorders>
          </w:tcPr>
          <w:p w14:paraId="3A3ED9CB" w14:textId="05AEC5C3" w:rsidR="00F05052" w:rsidRPr="004F51D2" w:rsidRDefault="00F05052" w:rsidP="00F05052">
            <w:pPr>
              <w:bidi w:val="0"/>
              <w:spacing w:line="360" w:lineRule="auto"/>
              <w:jc w:val="center"/>
              <w:rPr>
                <w:rFonts w:ascii="Times New Roman" w:hAnsi="Times New Roman" w:cs="Times New Roman"/>
                <w:color w:val="000000" w:themeColor="text1"/>
                <w:sz w:val="20"/>
                <w:szCs w:val="20"/>
              </w:rPr>
            </w:pPr>
            <w:r w:rsidRPr="004F51D2">
              <w:rPr>
                <w:rFonts w:ascii="Times New Roman" w:hAnsi="Times New Roman" w:cs="Times New Roman"/>
                <w:color w:val="000000" w:themeColor="text1"/>
                <w:sz w:val="20"/>
                <w:szCs w:val="20"/>
              </w:rPr>
              <w:t>0.039</w:t>
            </w:r>
          </w:p>
        </w:tc>
        <w:tc>
          <w:tcPr>
            <w:tcW w:w="992" w:type="dxa"/>
            <w:tcBorders>
              <w:top w:val="nil"/>
              <w:left w:val="nil"/>
              <w:bottom w:val="nil"/>
              <w:right w:val="nil"/>
            </w:tcBorders>
          </w:tcPr>
          <w:p w14:paraId="183607A2" w14:textId="45D15997" w:rsidR="00F05052" w:rsidRPr="004F51D2" w:rsidRDefault="00F05052" w:rsidP="00F05052">
            <w:pPr>
              <w:bidi w:val="0"/>
              <w:spacing w:line="360" w:lineRule="auto"/>
              <w:jc w:val="center"/>
              <w:rPr>
                <w:rFonts w:ascii="Times New Roman" w:hAnsi="Times New Roman" w:cs="Times New Roman"/>
                <w:b/>
                <w:bCs/>
                <w:color w:val="000000" w:themeColor="text1"/>
                <w:sz w:val="20"/>
                <w:szCs w:val="20"/>
              </w:rPr>
            </w:pPr>
            <w:r w:rsidRPr="004F51D2">
              <w:rPr>
                <w:rFonts w:ascii="Times New Roman" w:hAnsi="Times New Roman" w:cs="Times New Roman"/>
                <w:b/>
                <w:bCs/>
                <w:color w:val="000000" w:themeColor="text1"/>
                <w:sz w:val="20"/>
                <w:szCs w:val="20"/>
              </w:rPr>
              <w:t>0.715</w:t>
            </w:r>
          </w:p>
        </w:tc>
        <w:tc>
          <w:tcPr>
            <w:tcW w:w="992" w:type="dxa"/>
            <w:tcBorders>
              <w:top w:val="nil"/>
              <w:left w:val="nil"/>
              <w:bottom w:val="nil"/>
              <w:right w:val="nil"/>
            </w:tcBorders>
          </w:tcPr>
          <w:p w14:paraId="6BCF7EE2" w14:textId="5C3A5F4A" w:rsidR="00F05052" w:rsidRPr="004F51D2" w:rsidRDefault="00F05052" w:rsidP="00F05052">
            <w:pPr>
              <w:bidi w:val="0"/>
              <w:spacing w:line="360" w:lineRule="auto"/>
              <w:jc w:val="center"/>
              <w:rPr>
                <w:rFonts w:ascii="Times New Roman" w:hAnsi="Times New Roman" w:cs="Times New Roman"/>
                <w:color w:val="000000" w:themeColor="text1"/>
                <w:sz w:val="20"/>
                <w:szCs w:val="20"/>
              </w:rPr>
            </w:pPr>
            <w:r w:rsidRPr="004F51D2">
              <w:rPr>
                <w:rFonts w:ascii="Times New Roman" w:hAnsi="Times New Roman" w:cs="Times New Roman"/>
                <w:color w:val="000000" w:themeColor="text1"/>
                <w:sz w:val="20"/>
                <w:szCs w:val="20"/>
              </w:rPr>
              <w:t>0.474</w:t>
            </w:r>
          </w:p>
        </w:tc>
        <w:tc>
          <w:tcPr>
            <w:tcW w:w="6096" w:type="dxa"/>
            <w:tcBorders>
              <w:top w:val="nil"/>
              <w:left w:val="nil"/>
              <w:bottom w:val="nil"/>
              <w:right w:val="nil"/>
            </w:tcBorders>
          </w:tcPr>
          <w:p w14:paraId="12438450" w14:textId="06E2D3F6" w:rsidR="00F05052" w:rsidRPr="004F51D2" w:rsidRDefault="00F05052" w:rsidP="00F05052">
            <w:pPr>
              <w:bidi w:val="0"/>
              <w:rPr>
                <w:rFonts w:ascii="Times New Roman" w:hAnsi="Times New Roman" w:cs="Times New Roman"/>
                <w:color w:val="000000" w:themeColor="text1"/>
                <w:sz w:val="20"/>
                <w:szCs w:val="20"/>
              </w:rPr>
            </w:pPr>
            <w:r w:rsidRPr="004F51D2">
              <w:rPr>
                <w:rFonts w:ascii="Times New Roman" w:hAnsi="Times New Roman" w:cs="Times New Roman"/>
                <w:color w:val="000000" w:themeColor="text1"/>
                <w:sz w:val="20"/>
                <w:szCs w:val="20"/>
              </w:rPr>
              <w:t>4.</w:t>
            </w:r>
            <w:r w:rsidR="00501DDF" w:rsidRPr="004F51D2">
              <w:rPr>
                <w:rFonts w:ascii="Times New Roman" w:hAnsi="Times New Roman" w:cs="Times New Roman"/>
                <w:color w:val="000000" w:themeColor="text1"/>
                <w:sz w:val="20"/>
                <w:szCs w:val="20"/>
              </w:rPr>
              <w:t xml:space="preserve"> </w:t>
            </w:r>
            <w:r w:rsidR="008C4E2F" w:rsidRPr="004F51D2">
              <w:rPr>
                <w:rFonts w:ascii="Times New Roman" w:hAnsi="Times New Roman" w:cs="Times New Roman"/>
                <w:color w:val="000000" w:themeColor="text1"/>
                <w:sz w:val="20"/>
                <w:szCs w:val="20"/>
              </w:rPr>
              <w:t>Online gaming makes me lose control.</w:t>
            </w:r>
          </w:p>
        </w:tc>
      </w:tr>
      <w:tr w:rsidR="00F05052" w:rsidRPr="004F51D2" w14:paraId="22D6F1E9" w14:textId="77777777" w:rsidTr="00803207">
        <w:trPr>
          <w:trHeight w:val="353"/>
        </w:trPr>
        <w:tc>
          <w:tcPr>
            <w:tcW w:w="1050" w:type="dxa"/>
            <w:tcBorders>
              <w:top w:val="nil"/>
              <w:left w:val="nil"/>
              <w:bottom w:val="nil"/>
              <w:right w:val="nil"/>
            </w:tcBorders>
          </w:tcPr>
          <w:p w14:paraId="49FD84CD" w14:textId="2BC035B1" w:rsidR="00F05052" w:rsidRPr="004F51D2" w:rsidRDefault="00F05052" w:rsidP="00F05052">
            <w:pPr>
              <w:bidi w:val="0"/>
              <w:spacing w:line="360" w:lineRule="auto"/>
              <w:jc w:val="center"/>
              <w:rPr>
                <w:rFonts w:ascii="Times New Roman" w:hAnsi="Times New Roman" w:cs="Times New Roman"/>
                <w:color w:val="000000" w:themeColor="text1"/>
                <w:sz w:val="20"/>
                <w:szCs w:val="20"/>
              </w:rPr>
            </w:pPr>
            <w:r w:rsidRPr="004F51D2">
              <w:rPr>
                <w:rFonts w:ascii="Times New Roman" w:hAnsi="Times New Roman" w:cs="Times New Roman"/>
                <w:color w:val="000000" w:themeColor="text1"/>
                <w:sz w:val="20"/>
                <w:szCs w:val="20"/>
              </w:rPr>
              <w:t>0.156</w:t>
            </w:r>
          </w:p>
        </w:tc>
        <w:tc>
          <w:tcPr>
            <w:tcW w:w="992" w:type="dxa"/>
            <w:tcBorders>
              <w:top w:val="nil"/>
              <w:left w:val="nil"/>
              <w:bottom w:val="nil"/>
              <w:right w:val="nil"/>
            </w:tcBorders>
          </w:tcPr>
          <w:p w14:paraId="1DDC9A8B" w14:textId="0B66C163" w:rsidR="00F05052" w:rsidRPr="004F51D2" w:rsidRDefault="00F05052" w:rsidP="00F05052">
            <w:pPr>
              <w:bidi w:val="0"/>
              <w:spacing w:line="360" w:lineRule="auto"/>
              <w:jc w:val="center"/>
              <w:rPr>
                <w:rFonts w:ascii="Times New Roman" w:hAnsi="Times New Roman" w:cs="Times New Roman"/>
                <w:b/>
                <w:bCs/>
                <w:color w:val="000000" w:themeColor="text1"/>
                <w:sz w:val="20"/>
                <w:szCs w:val="20"/>
              </w:rPr>
            </w:pPr>
            <w:r w:rsidRPr="004F51D2">
              <w:rPr>
                <w:rFonts w:ascii="Times New Roman" w:hAnsi="Times New Roman" w:cs="Times New Roman"/>
                <w:b/>
                <w:bCs/>
                <w:color w:val="000000" w:themeColor="text1"/>
                <w:sz w:val="20"/>
                <w:szCs w:val="20"/>
              </w:rPr>
              <w:t>0.833</w:t>
            </w:r>
          </w:p>
        </w:tc>
        <w:tc>
          <w:tcPr>
            <w:tcW w:w="992" w:type="dxa"/>
            <w:tcBorders>
              <w:top w:val="nil"/>
              <w:left w:val="nil"/>
              <w:bottom w:val="nil"/>
              <w:right w:val="nil"/>
            </w:tcBorders>
          </w:tcPr>
          <w:p w14:paraId="332199D1" w14:textId="688CC045" w:rsidR="00F05052" w:rsidRPr="004F51D2" w:rsidRDefault="00F05052" w:rsidP="00F05052">
            <w:pPr>
              <w:bidi w:val="0"/>
              <w:spacing w:line="360" w:lineRule="auto"/>
              <w:jc w:val="center"/>
              <w:rPr>
                <w:rFonts w:ascii="Times New Roman" w:hAnsi="Times New Roman" w:cs="Times New Roman"/>
                <w:color w:val="000000" w:themeColor="text1"/>
                <w:sz w:val="20"/>
                <w:szCs w:val="20"/>
              </w:rPr>
            </w:pPr>
            <w:r w:rsidRPr="004F51D2">
              <w:rPr>
                <w:rFonts w:ascii="Times New Roman" w:hAnsi="Times New Roman" w:cs="Times New Roman"/>
                <w:color w:val="000000" w:themeColor="text1"/>
                <w:sz w:val="20"/>
                <w:szCs w:val="20"/>
              </w:rPr>
              <w:t>0.198</w:t>
            </w:r>
          </w:p>
        </w:tc>
        <w:tc>
          <w:tcPr>
            <w:tcW w:w="6096" w:type="dxa"/>
            <w:tcBorders>
              <w:top w:val="nil"/>
              <w:left w:val="nil"/>
              <w:bottom w:val="nil"/>
              <w:right w:val="nil"/>
            </w:tcBorders>
          </w:tcPr>
          <w:p w14:paraId="2B16C02B" w14:textId="22D4A67D" w:rsidR="00F05052" w:rsidRPr="004F51D2" w:rsidRDefault="00F05052" w:rsidP="00F05052">
            <w:pPr>
              <w:bidi w:val="0"/>
              <w:rPr>
                <w:rFonts w:ascii="Times New Roman" w:hAnsi="Times New Roman" w:cs="Times New Roman"/>
                <w:color w:val="000000" w:themeColor="text1"/>
                <w:sz w:val="20"/>
                <w:szCs w:val="20"/>
              </w:rPr>
            </w:pPr>
            <w:r w:rsidRPr="004F51D2">
              <w:rPr>
                <w:rFonts w:ascii="Times New Roman" w:hAnsi="Times New Roman" w:cs="Times New Roman"/>
                <w:color w:val="000000" w:themeColor="text1"/>
                <w:sz w:val="20"/>
                <w:szCs w:val="20"/>
              </w:rPr>
              <w:t>5.</w:t>
            </w:r>
            <w:r w:rsidR="00501DDF" w:rsidRPr="004F51D2">
              <w:rPr>
                <w:rFonts w:ascii="Times New Roman" w:hAnsi="Times New Roman" w:cs="Times New Roman"/>
                <w:color w:val="000000" w:themeColor="text1"/>
                <w:sz w:val="20"/>
                <w:szCs w:val="20"/>
              </w:rPr>
              <w:t xml:space="preserve"> </w:t>
            </w:r>
            <w:r w:rsidR="008C4E2F" w:rsidRPr="004F51D2">
              <w:rPr>
                <w:rFonts w:ascii="Times New Roman" w:hAnsi="Times New Roman" w:cs="Times New Roman"/>
                <w:color w:val="000000" w:themeColor="text1"/>
                <w:sz w:val="20"/>
                <w:szCs w:val="20"/>
              </w:rPr>
              <w:t>Thoughts about online gaming interfere with my functioning.</w:t>
            </w:r>
          </w:p>
        </w:tc>
      </w:tr>
      <w:tr w:rsidR="00F05052" w:rsidRPr="004F51D2" w14:paraId="5ADBFA05" w14:textId="77777777" w:rsidTr="00803207">
        <w:trPr>
          <w:trHeight w:val="274"/>
        </w:trPr>
        <w:tc>
          <w:tcPr>
            <w:tcW w:w="1050" w:type="dxa"/>
            <w:tcBorders>
              <w:top w:val="nil"/>
              <w:left w:val="nil"/>
              <w:bottom w:val="nil"/>
              <w:right w:val="nil"/>
            </w:tcBorders>
          </w:tcPr>
          <w:p w14:paraId="2B0B4BA4" w14:textId="1CB3535D" w:rsidR="00F05052" w:rsidRPr="004F51D2" w:rsidRDefault="00F05052" w:rsidP="00F05052">
            <w:pPr>
              <w:bidi w:val="0"/>
              <w:spacing w:line="360" w:lineRule="auto"/>
              <w:jc w:val="center"/>
              <w:rPr>
                <w:rFonts w:ascii="Times New Roman" w:hAnsi="Times New Roman" w:cs="Times New Roman"/>
                <w:color w:val="000000" w:themeColor="text1"/>
                <w:sz w:val="20"/>
                <w:szCs w:val="20"/>
              </w:rPr>
            </w:pPr>
            <w:r w:rsidRPr="004F51D2">
              <w:rPr>
                <w:rFonts w:ascii="Times New Roman" w:hAnsi="Times New Roman" w:cs="Times New Roman"/>
                <w:color w:val="000000" w:themeColor="text1"/>
                <w:sz w:val="20"/>
                <w:szCs w:val="20"/>
              </w:rPr>
              <w:t>0.118</w:t>
            </w:r>
          </w:p>
        </w:tc>
        <w:tc>
          <w:tcPr>
            <w:tcW w:w="992" w:type="dxa"/>
            <w:tcBorders>
              <w:top w:val="nil"/>
              <w:left w:val="nil"/>
              <w:bottom w:val="nil"/>
              <w:right w:val="nil"/>
            </w:tcBorders>
          </w:tcPr>
          <w:p w14:paraId="6B619DCE" w14:textId="0015AA0B" w:rsidR="00F05052" w:rsidRPr="004F51D2" w:rsidRDefault="00F05052" w:rsidP="00F05052">
            <w:pPr>
              <w:bidi w:val="0"/>
              <w:spacing w:line="360" w:lineRule="auto"/>
              <w:jc w:val="center"/>
              <w:rPr>
                <w:rFonts w:ascii="Times New Roman" w:hAnsi="Times New Roman" w:cs="Times New Roman"/>
                <w:b/>
                <w:bCs/>
                <w:color w:val="000000" w:themeColor="text1"/>
                <w:sz w:val="20"/>
                <w:szCs w:val="20"/>
              </w:rPr>
            </w:pPr>
            <w:r w:rsidRPr="004F51D2">
              <w:rPr>
                <w:rFonts w:ascii="Times New Roman" w:hAnsi="Times New Roman" w:cs="Times New Roman"/>
                <w:b/>
                <w:bCs/>
                <w:color w:val="000000" w:themeColor="text1"/>
                <w:sz w:val="20"/>
                <w:szCs w:val="20"/>
              </w:rPr>
              <w:t>0.860</w:t>
            </w:r>
          </w:p>
        </w:tc>
        <w:tc>
          <w:tcPr>
            <w:tcW w:w="992" w:type="dxa"/>
            <w:tcBorders>
              <w:top w:val="nil"/>
              <w:left w:val="nil"/>
              <w:bottom w:val="nil"/>
              <w:right w:val="nil"/>
            </w:tcBorders>
          </w:tcPr>
          <w:p w14:paraId="1AEFCFC4" w14:textId="009EF069" w:rsidR="00F05052" w:rsidRPr="004F51D2" w:rsidRDefault="00F05052" w:rsidP="00F05052">
            <w:pPr>
              <w:bidi w:val="0"/>
              <w:spacing w:line="360" w:lineRule="auto"/>
              <w:jc w:val="center"/>
              <w:rPr>
                <w:rFonts w:ascii="Times New Roman" w:hAnsi="Times New Roman" w:cs="Times New Roman"/>
                <w:color w:val="000000" w:themeColor="text1"/>
                <w:sz w:val="20"/>
                <w:szCs w:val="20"/>
              </w:rPr>
            </w:pPr>
            <w:r w:rsidRPr="004F51D2">
              <w:rPr>
                <w:rFonts w:ascii="Times New Roman" w:hAnsi="Times New Roman" w:cs="Times New Roman"/>
                <w:color w:val="000000" w:themeColor="text1"/>
                <w:sz w:val="20"/>
                <w:szCs w:val="20"/>
              </w:rPr>
              <w:t>0.177</w:t>
            </w:r>
          </w:p>
        </w:tc>
        <w:tc>
          <w:tcPr>
            <w:tcW w:w="6096" w:type="dxa"/>
            <w:tcBorders>
              <w:top w:val="nil"/>
              <w:left w:val="nil"/>
              <w:bottom w:val="nil"/>
              <w:right w:val="nil"/>
            </w:tcBorders>
          </w:tcPr>
          <w:p w14:paraId="7D024347" w14:textId="52245A1E" w:rsidR="00F05052" w:rsidRPr="004F51D2" w:rsidRDefault="00F05052" w:rsidP="00F05052">
            <w:pPr>
              <w:bidi w:val="0"/>
              <w:rPr>
                <w:rFonts w:ascii="Times New Roman" w:hAnsi="Times New Roman" w:cs="Times New Roman"/>
                <w:color w:val="000000" w:themeColor="text1"/>
                <w:sz w:val="20"/>
                <w:szCs w:val="20"/>
              </w:rPr>
            </w:pPr>
            <w:r w:rsidRPr="004F51D2">
              <w:rPr>
                <w:rFonts w:ascii="Times New Roman" w:hAnsi="Times New Roman" w:cs="Times New Roman"/>
                <w:color w:val="000000" w:themeColor="text1"/>
                <w:sz w:val="20"/>
                <w:szCs w:val="20"/>
              </w:rPr>
              <w:t>6.</w:t>
            </w:r>
            <w:r w:rsidR="00501DDF" w:rsidRPr="004F51D2">
              <w:rPr>
                <w:rFonts w:ascii="Times New Roman" w:hAnsi="Times New Roman" w:cs="Times New Roman"/>
                <w:color w:val="000000" w:themeColor="text1"/>
                <w:sz w:val="20"/>
                <w:szCs w:val="20"/>
              </w:rPr>
              <w:t xml:space="preserve"> </w:t>
            </w:r>
            <w:r w:rsidR="008C4E2F" w:rsidRPr="004F51D2">
              <w:rPr>
                <w:rFonts w:ascii="Times New Roman" w:hAnsi="Times New Roman" w:cs="Times New Roman"/>
                <w:color w:val="000000" w:themeColor="text1"/>
                <w:sz w:val="20"/>
                <w:szCs w:val="20"/>
              </w:rPr>
              <w:t>Thoughts about online gaming are becoming an obsession.</w:t>
            </w:r>
          </w:p>
        </w:tc>
      </w:tr>
      <w:tr w:rsidR="00F05052" w:rsidRPr="004F51D2" w14:paraId="3FB8E009" w14:textId="77777777" w:rsidTr="00803207">
        <w:trPr>
          <w:trHeight w:val="335"/>
        </w:trPr>
        <w:tc>
          <w:tcPr>
            <w:tcW w:w="1050" w:type="dxa"/>
            <w:tcBorders>
              <w:top w:val="nil"/>
              <w:left w:val="nil"/>
              <w:bottom w:val="nil"/>
              <w:right w:val="nil"/>
            </w:tcBorders>
          </w:tcPr>
          <w:p w14:paraId="44137C24" w14:textId="45DD71E9" w:rsidR="00F05052" w:rsidRPr="004F51D2" w:rsidRDefault="00F05052" w:rsidP="00F05052">
            <w:pPr>
              <w:bidi w:val="0"/>
              <w:spacing w:line="360" w:lineRule="auto"/>
              <w:jc w:val="center"/>
              <w:rPr>
                <w:rFonts w:ascii="Times New Roman" w:hAnsi="Times New Roman" w:cs="Times New Roman"/>
                <w:color w:val="000000" w:themeColor="text1"/>
                <w:sz w:val="20"/>
                <w:szCs w:val="20"/>
              </w:rPr>
            </w:pPr>
            <w:r w:rsidRPr="004F51D2">
              <w:rPr>
                <w:rFonts w:ascii="Times New Roman" w:hAnsi="Times New Roman" w:cs="Times New Roman"/>
                <w:b/>
                <w:bCs/>
                <w:color w:val="000000" w:themeColor="text1"/>
                <w:sz w:val="20"/>
                <w:szCs w:val="20"/>
              </w:rPr>
              <w:t>0.862</w:t>
            </w:r>
          </w:p>
        </w:tc>
        <w:tc>
          <w:tcPr>
            <w:tcW w:w="992" w:type="dxa"/>
            <w:tcBorders>
              <w:top w:val="nil"/>
              <w:left w:val="nil"/>
              <w:bottom w:val="nil"/>
              <w:right w:val="nil"/>
            </w:tcBorders>
          </w:tcPr>
          <w:p w14:paraId="3A8E4141" w14:textId="7AB90AC1" w:rsidR="00F05052" w:rsidRPr="004F51D2" w:rsidRDefault="00F05052" w:rsidP="00F05052">
            <w:pPr>
              <w:bidi w:val="0"/>
              <w:spacing w:line="360" w:lineRule="auto"/>
              <w:jc w:val="center"/>
              <w:rPr>
                <w:rFonts w:ascii="Times New Roman" w:hAnsi="Times New Roman" w:cs="Times New Roman"/>
                <w:color w:val="000000" w:themeColor="text1"/>
                <w:sz w:val="20"/>
                <w:szCs w:val="20"/>
              </w:rPr>
            </w:pPr>
            <w:r w:rsidRPr="004F51D2">
              <w:rPr>
                <w:rFonts w:ascii="Times New Roman" w:hAnsi="Times New Roman" w:cs="Times New Roman"/>
                <w:color w:val="000000" w:themeColor="text1"/>
                <w:sz w:val="20"/>
                <w:szCs w:val="20"/>
              </w:rPr>
              <w:t>0.150</w:t>
            </w:r>
          </w:p>
        </w:tc>
        <w:tc>
          <w:tcPr>
            <w:tcW w:w="992" w:type="dxa"/>
            <w:tcBorders>
              <w:top w:val="nil"/>
              <w:left w:val="nil"/>
              <w:bottom w:val="nil"/>
              <w:right w:val="nil"/>
            </w:tcBorders>
          </w:tcPr>
          <w:p w14:paraId="7E6A1BB9" w14:textId="1293F56D" w:rsidR="00F05052" w:rsidRPr="004F51D2" w:rsidRDefault="00F05052" w:rsidP="00F05052">
            <w:pPr>
              <w:bidi w:val="0"/>
              <w:spacing w:line="360" w:lineRule="auto"/>
              <w:jc w:val="center"/>
              <w:rPr>
                <w:rFonts w:ascii="Times New Roman" w:hAnsi="Times New Roman" w:cs="Times New Roman"/>
                <w:b/>
                <w:bCs/>
                <w:color w:val="000000" w:themeColor="text1"/>
                <w:sz w:val="20"/>
                <w:szCs w:val="20"/>
              </w:rPr>
            </w:pPr>
            <w:r w:rsidRPr="004F51D2">
              <w:rPr>
                <w:rFonts w:ascii="Times New Roman" w:hAnsi="Times New Roman" w:cs="Times New Roman"/>
                <w:color w:val="000000" w:themeColor="text1"/>
                <w:sz w:val="20"/>
                <w:szCs w:val="20"/>
              </w:rPr>
              <w:t>0.153</w:t>
            </w:r>
          </w:p>
        </w:tc>
        <w:tc>
          <w:tcPr>
            <w:tcW w:w="6096" w:type="dxa"/>
            <w:tcBorders>
              <w:top w:val="nil"/>
              <w:left w:val="nil"/>
              <w:bottom w:val="nil"/>
              <w:right w:val="nil"/>
            </w:tcBorders>
          </w:tcPr>
          <w:p w14:paraId="47B6827D" w14:textId="0065B09C" w:rsidR="00F05052" w:rsidRPr="004F51D2" w:rsidRDefault="00F05052" w:rsidP="00F05052">
            <w:pPr>
              <w:bidi w:val="0"/>
              <w:rPr>
                <w:rFonts w:ascii="Times New Roman" w:hAnsi="Times New Roman" w:cs="Times New Roman"/>
                <w:color w:val="000000" w:themeColor="text1"/>
                <w:sz w:val="20"/>
                <w:szCs w:val="20"/>
              </w:rPr>
            </w:pPr>
            <w:r w:rsidRPr="004F51D2">
              <w:rPr>
                <w:rFonts w:ascii="Times New Roman" w:hAnsi="Times New Roman" w:cs="Times New Roman"/>
                <w:color w:val="000000" w:themeColor="text1"/>
                <w:sz w:val="20"/>
                <w:szCs w:val="20"/>
              </w:rPr>
              <w:t>7.</w:t>
            </w:r>
            <w:r w:rsidR="00501DDF" w:rsidRPr="004F51D2">
              <w:rPr>
                <w:rFonts w:ascii="Times New Roman" w:hAnsi="Times New Roman" w:cs="Times New Roman"/>
                <w:color w:val="000000" w:themeColor="text1"/>
                <w:sz w:val="20"/>
                <w:szCs w:val="20"/>
              </w:rPr>
              <w:t xml:space="preserve"> </w:t>
            </w:r>
            <w:r w:rsidR="008C4E2F" w:rsidRPr="004F51D2">
              <w:rPr>
                <w:rFonts w:ascii="Times New Roman" w:hAnsi="Times New Roman" w:cs="Times New Roman"/>
                <w:color w:val="000000" w:themeColor="text1"/>
                <w:sz w:val="20"/>
                <w:szCs w:val="20"/>
              </w:rPr>
              <w:t>Online gaming makes my worries more bearable.</w:t>
            </w:r>
          </w:p>
        </w:tc>
      </w:tr>
      <w:tr w:rsidR="00F05052" w:rsidRPr="004F51D2" w14:paraId="0AA15E4D" w14:textId="77777777" w:rsidTr="00803207">
        <w:trPr>
          <w:trHeight w:val="243"/>
        </w:trPr>
        <w:tc>
          <w:tcPr>
            <w:tcW w:w="1050" w:type="dxa"/>
            <w:tcBorders>
              <w:top w:val="nil"/>
              <w:left w:val="nil"/>
              <w:bottom w:val="nil"/>
              <w:right w:val="nil"/>
            </w:tcBorders>
          </w:tcPr>
          <w:p w14:paraId="32777EF4" w14:textId="3AEA5C0D" w:rsidR="00F05052" w:rsidRPr="004F51D2" w:rsidRDefault="00F05052" w:rsidP="00F05052">
            <w:pPr>
              <w:bidi w:val="0"/>
              <w:spacing w:line="360" w:lineRule="auto"/>
              <w:jc w:val="center"/>
              <w:rPr>
                <w:rFonts w:ascii="Times New Roman" w:hAnsi="Times New Roman" w:cs="Times New Roman"/>
                <w:color w:val="000000" w:themeColor="text1"/>
                <w:sz w:val="20"/>
                <w:szCs w:val="20"/>
              </w:rPr>
            </w:pPr>
            <w:r w:rsidRPr="004F51D2">
              <w:rPr>
                <w:rFonts w:ascii="Times New Roman" w:hAnsi="Times New Roman" w:cs="Times New Roman"/>
                <w:b/>
                <w:bCs/>
                <w:color w:val="000000" w:themeColor="text1"/>
                <w:sz w:val="20"/>
                <w:szCs w:val="20"/>
              </w:rPr>
              <w:t>0.878</w:t>
            </w:r>
          </w:p>
        </w:tc>
        <w:tc>
          <w:tcPr>
            <w:tcW w:w="992" w:type="dxa"/>
            <w:tcBorders>
              <w:top w:val="nil"/>
              <w:left w:val="nil"/>
              <w:bottom w:val="nil"/>
              <w:right w:val="nil"/>
            </w:tcBorders>
          </w:tcPr>
          <w:p w14:paraId="2D4E2DA2" w14:textId="73388359" w:rsidR="00F05052" w:rsidRPr="004F51D2" w:rsidRDefault="00F05052" w:rsidP="00F05052">
            <w:pPr>
              <w:bidi w:val="0"/>
              <w:spacing w:line="360" w:lineRule="auto"/>
              <w:jc w:val="center"/>
              <w:rPr>
                <w:rFonts w:ascii="Times New Roman" w:hAnsi="Times New Roman" w:cs="Times New Roman"/>
                <w:color w:val="000000" w:themeColor="text1"/>
                <w:sz w:val="20"/>
                <w:szCs w:val="20"/>
              </w:rPr>
            </w:pPr>
            <w:r w:rsidRPr="004F51D2">
              <w:rPr>
                <w:rFonts w:ascii="Times New Roman" w:hAnsi="Times New Roman" w:cs="Times New Roman"/>
                <w:color w:val="000000" w:themeColor="text1"/>
                <w:sz w:val="20"/>
                <w:szCs w:val="20"/>
              </w:rPr>
              <w:t>0.086</w:t>
            </w:r>
          </w:p>
        </w:tc>
        <w:tc>
          <w:tcPr>
            <w:tcW w:w="992" w:type="dxa"/>
            <w:tcBorders>
              <w:top w:val="nil"/>
              <w:left w:val="nil"/>
              <w:bottom w:val="nil"/>
              <w:right w:val="nil"/>
            </w:tcBorders>
          </w:tcPr>
          <w:p w14:paraId="2B397545" w14:textId="63DE2B77" w:rsidR="00F05052" w:rsidRPr="004F51D2" w:rsidRDefault="00F05052" w:rsidP="00F05052">
            <w:pPr>
              <w:bidi w:val="0"/>
              <w:spacing w:line="360" w:lineRule="auto"/>
              <w:jc w:val="center"/>
              <w:rPr>
                <w:rFonts w:ascii="Times New Roman" w:hAnsi="Times New Roman" w:cs="Times New Roman"/>
                <w:b/>
                <w:bCs/>
                <w:color w:val="000000" w:themeColor="text1"/>
                <w:sz w:val="20"/>
                <w:szCs w:val="20"/>
              </w:rPr>
            </w:pPr>
            <w:r w:rsidRPr="004F51D2">
              <w:rPr>
                <w:rFonts w:ascii="Times New Roman" w:hAnsi="Times New Roman" w:cs="Times New Roman"/>
                <w:color w:val="000000" w:themeColor="text1"/>
                <w:sz w:val="20"/>
                <w:szCs w:val="20"/>
              </w:rPr>
              <w:t>0.154</w:t>
            </w:r>
          </w:p>
        </w:tc>
        <w:tc>
          <w:tcPr>
            <w:tcW w:w="6096" w:type="dxa"/>
            <w:tcBorders>
              <w:top w:val="nil"/>
              <w:left w:val="nil"/>
              <w:bottom w:val="nil"/>
              <w:right w:val="nil"/>
            </w:tcBorders>
          </w:tcPr>
          <w:p w14:paraId="5654B49A" w14:textId="0496BB5D" w:rsidR="00F05052" w:rsidRPr="004F51D2" w:rsidRDefault="00F05052" w:rsidP="00C35ED7">
            <w:pPr>
              <w:bidi w:val="0"/>
              <w:jc w:val="both"/>
              <w:rPr>
                <w:rFonts w:ascii="Times New Roman" w:hAnsi="Times New Roman" w:cs="Times New Roman"/>
                <w:color w:val="000000" w:themeColor="text1"/>
                <w:sz w:val="20"/>
                <w:szCs w:val="20"/>
              </w:rPr>
            </w:pPr>
            <w:r w:rsidRPr="004F51D2">
              <w:rPr>
                <w:rFonts w:ascii="Times New Roman" w:hAnsi="Times New Roman" w:cs="Times New Roman"/>
                <w:color w:val="000000" w:themeColor="text1"/>
                <w:sz w:val="20"/>
                <w:szCs w:val="20"/>
              </w:rPr>
              <w:t>8.</w:t>
            </w:r>
            <w:r w:rsidR="00501DDF" w:rsidRPr="004F51D2">
              <w:rPr>
                <w:rFonts w:ascii="Times New Roman" w:hAnsi="Times New Roman" w:cs="Times New Roman"/>
                <w:color w:val="000000" w:themeColor="text1"/>
                <w:sz w:val="20"/>
                <w:szCs w:val="20"/>
              </w:rPr>
              <w:t xml:space="preserve"> </w:t>
            </w:r>
            <w:r w:rsidR="008C4E2F" w:rsidRPr="004F51D2">
              <w:rPr>
                <w:rFonts w:ascii="Times New Roman" w:hAnsi="Times New Roman" w:cs="Times New Roman"/>
                <w:color w:val="000000" w:themeColor="text1"/>
                <w:sz w:val="20"/>
                <w:szCs w:val="20"/>
              </w:rPr>
              <w:t>Online gaming reduces my negative feelings.</w:t>
            </w:r>
          </w:p>
        </w:tc>
      </w:tr>
      <w:tr w:rsidR="00F05052" w:rsidRPr="004F51D2" w14:paraId="0717ED77" w14:textId="77777777" w:rsidTr="00803207">
        <w:trPr>
          <w:trHeight w:val="320"/>
        </w:trPr>
        <w:tc>
          <w:tcPr>
            <w:tcW w:w="1050" w:type="dxa"/>
            <w:tcBorders>
              <w:top w:val="nil"/>
              <w:left w:val="nil"/>
              <w:bottom w:val="nil"/>
              <w:right w:val="nil"/>
            </w:tcBorders>
          </w:tcPr>
          <w:p w14:paraId="6BAB6817" w14:textId="0F9E8822" w:rsidR="00F05052" w:rsidRPr="004F51D2" w:rsidRDefault="00F05052" w:rsidP="00F05052">
            <w:pPr>
              <w:bidi w:val="0"/>
              <w:spacing w:line="360" w:lineRule="auto"/>
              <w:jc w:val="center"/>
              <w:rPr>
                <w:rFonts w:ascii="Times New Roman" w:hAnsi="Times New Roman" w:cs="Times New Roman"/>
                <w:color w:val="000000" w:themeColor="text1"/>
                <w:sz w:val="20"/>
                <w:szCs w:val="20"/>
              </w:rPr>
            </w:pPr>
            <w:r w:rsidRPr="004F51D2">
              <w:rPr>
                <w:rFonts w:ascii="Times New Roman" w:hAnsi="Times New Roman" w:cs="Times New Roman"/>
                <w:b/>
                <w:bCs/>
                <w:color w:val="000000" w:themeColor="text1"/>
                <w:sz w:val="20"/>
                <w:szCs w:val="20"/>
              </w:rPr>
              <w:t>0.881</w:t>
            </w:r>
          </w:p>
        </w:tc>
        <w:tc>
          <w:tcPr>
            <w:tcW w:w="992" w:type="dxa"/>
            <w:tcBorders>
              <w:top w:val="nil"/>
              <w:left w:val="nil"/>
              <w:bottom w:val="nil"/>
              <w:right w:val="nil"/>
            </w:tcBorders>
          </w:tcPr>
          <w:p w14:paraId="29C53C6F" w14:textId="5A13DB2D" w:rsidR="00F05052" w:rsidRPr="004F51D2" w:rsidRDefault="00F05052" w:rsidP="00F05052">
            <w:pPr>
              <w:bidi w:val="0"/>
              <w:spacing w:line="360" w:lineRule="auto"/>
              <w:jc w:val="center"/>
              <w:rPr>
                <w:rFonts w:ascii="Times New Roman" w:hAnsi="Times New Roman" w:cs="Times New Roman"/>
                <w:color w:val="000000" w:themeColor="text1"/>
                <w:sz w:val="20"/>
                <w:szCs w:val="20"/>
              </w:rPr>
            </w:pPr>
            <w:r w:rsidRPr="004F51D2">
              <w:rPr>
                <w:rFonts w:ascii="Times New Roman" w:hAnsi="Times New Roman" w:cs="Times New Roman"/>
                <w:color w:val="000000" w:themeColor="text1"/>
                <w:sz w:val="20"/>
                <w:szCs w:val="20"/>
              </w:rPr>
              <w:t>0.144</w:t>
            </w:r>
          </w:p>
        </w:tc>
        <w:tc>
          <w:tcPr>
            <w:tcW w:w="992" w:type="dxa"/>
            <w:tcBorders>
              <w:top w:val="nil"/>
              <w:left w:val="nil"/>
              <w:bottom w:val="nil"/>
              <w:right w:val="nil"/>
            </w:tcBorders>
          </w:tcPr>
          <w:p w14:paraId="0EAC2E64" w14:textId="0A2C79E2" w:rsidR="00F05052" w:rsidRPr="004F51D2" w:rsidRDefault="00F05052" w:rsidP="00F05052">
            <w:pPr>
              <w:bidi w:val="0"/>
              <w:spacing w:line="360" w:lineRule="auto"/>
              <w:jc w:val="center"/>
              <w:rPr>
                <w:rFonts w:ascii="Times New Roman" w:hAnsi="Times New Roman" w:cs="Times New Roman"/>
                <w:b/>
                <w:bCs/>
                <w:color w:val="000000" w:themeColor="text1"/>
                <w:sz w:val="20"/>
                <w:szCs w:val="20"/>
              </w:rPr>
            </w:pPr>
            <w:r w:rsidRPr="004F51D2">
              <w:rPr>
                <w:rFonts w:ascii="Times New Roman" w:hAnsi="Times New Roman" w:cs="Times New Roman"/>
                <w:color w:val="000000" w:themeColor="text1"/>
                <w:sz w:val="20"/>
                <w:szCs w:val="20"/>
              </w:rPr>
              <w:t>0.123</w:t>
            </w:r>
          </w:p>
        </w:tc>
        <w:tc>
          <w:tcPr>
            <w:tcW w:w="6096" w:type="dxa"/>
            <w:tcBorders>
              <w:top w:val="nil"/>
              <w:left w:val="nil"/>
              <w:bottom w:val="nil"/>
              <w:right w:val="nil"/>
            </w:tcBorders>
          </w:tcPr>
          <w:p w14:paraId="7E7C716A" w14:textId="4CFC816E" w:rsidR="00F05052" w:rsidRPr="004F51D2" w:rsidRDefault="00F05052" w:rsidP="00F05052">
            <w:pPr>
              <w:jc w:val="right"/>
              <w:rPr>
                <w:rFonts w:ascii="Times New Roman" w:hAnsi="Times New Roman" w:cs="Times New Roman"/>
                <w:color w:val="000000" w:themeColor="text1"/>
                <w:sz w:val="20"/>
                <w:szCs w:val="20"/>
              </w:rPr>
            </w:pPr>
            <w:r w:rsidRPr="004F51D2">
              <w:rPr>
                <w:rFonts w:ascii="Times New Roman" w:hAnsi="Times New Roman" w:cs="Times New Roman"/>
                <w:color w:val="000000" w:themeColor="text1"/>
                <w:sz w:val="20"/>
                <w:szCs w:val="20"/>
              </w:rPr>
              <w:t>9.</w:t>
            </w:r>
            <w:r w:rsidR="00501DDF" w:rsidRPr="004F51D2">
              <w:rPr>
                <w:rFonts w:ascii="Times New Roman" w:hAnsi="Times New Roman" w:cs="Times New Roman"/>
                <w:color w:val="000000" w:themeColor="text1"/>
                <w:sz w:val="20"/>
                <w:szCs w:val="20"/>
              </w:rPr>
              <w:t xml:space="preserve"> </w:t>
            </w:r>
            <w:r w:rsidR="008C4E2F" w:rsidRPr="004F51D2">
              <w:rPr>
                <w:rFonts w:ascii="Times New Roman" w:hAnsi="Times New Roman" w:cs="Times New Roman"/>
                <w:color w:val="000000" w:themeColor="text1"/>
                <w:sz w:val="20"/>
                <w:szCs w:val="20"/>
              </w:rPr>
              <w:t>Online gaming helps me to control my negative thoughts.</w:t>
            </w:r>
          </w:p>
        </w:tc>
      </w:tr>
      <w:tr w:rsidR="00F05052" w:rsidRPr="004F51D2" w14:paraId="30E788AD" w14:textId="77777777" w:rsidTr="00803207">
        <w:trPr>
          <w:trHeight w:val="253"/>
        </w:trPr>
        <w:tc>
          <w:tcPr>
            <w:tcW w:w="1050" w:type="dxa"/>
            <w:tcBorders>
              <w:top w:val="nil"/>
              <w:left w:val="nil"/>
              <w:bottom w:val="nil"/>
              <w:right w:val="nil"/>
            </w:tcBorders>
          </w:tcPr>
          <w:p w14:paraId="3BFDAEBF" w14:textId="59B1C8AE" w:rsidR="00F05052" w:rsidRPr="004F51D2" w:rsidRDefault="00F05052" w:rsidP="00F05052">
            <w:pPr>
              <w:bidi w:val="0"/>
              <w:spacing w:line="360" w:lineRule="auto"/>
              <w:jc w:val="center"/>
              <w:rPr>
                <w:rFonts w:ascii="Times New Roman" w:hAnsi="Times New Roman" w:cs="Times New Roman"/>
                <w:color w:val="000000" w:themeColor="text1"/>
                <w:sz w:val="20"/>
                <w:szCs w:val="20"/>
              </w:rPr>
            </w:pPr>
            <w:r w:rsidRPr="004F51D2">
              <w:rPr>
                <w:rFonts w:ascii="Times New Roman" w:hAnsi="Times New Roman" w:cs="Times New Roman"/>
                <w:b/>
                <w:bCs/>
                <w:color w:val="000000" w:themeColor="text1"/>
                <w:sz w:val="20"/>
                <w:szCs w:val="20"/>
              </w:rPr>
              <w:t>0.898</w:t>
            </w:r>
          </w:p>
        </w:tc>
        <w:tc>
          <w:tcPr>
            <w:tcW w:w="992" w:type="dxa"/>
            <w:tcBorders>
              <w:top w:val="nil"/>
              <w:left w:val="nil"/>
              <w:bottom w:val="nil"/>
              <w:right w:val="nil"/>
            </w:tcBorders>
          </w:tcPr>
          <w:p w14:paraId="0E2597ED" w14:textId="46CC3247" w:rsidR="00F05052" w:rsidRPr="004F51D2" w:rsidRDefault="00F05052" w:rsidP="00F05052">
            <w:pPr>
              <w:bidi w:val="0"/>
              <w:spacing w:line="360" w:lineRule="auto"/>
              <w:jc w:val="center"/>
              <w:rPr>
                <w:rFonts w:ascii="Times New Roman" w:hAnsi="Times New Roman" w:cs="Times New Roman"/>
                <w:color w:val="000000" w:themeColor="text1"/>
                <w:sz w:val="20"/>
                <w:szCs w:val="20"/>
              </w:rPr>
            </w:pPr>
            <w:r w:rsidRPr="004F51D2">
              <w:rPr>
                <w:rFonts w:ascii="Times New Roman" w:hAnsi="Times New Roman" w:cs="Times New Roman"/>
                <w:color w:val="000000" w:themeColor="text1"/>
                <w:sz w:val="20"/>
                <w:szCs w:val="20"/>
              </w:rPr>
              <w:t>0.148</w:t>
            </w:r>
          </w:p>
        </w:tc>
        <w:tc>
          <w:tcPr>
            <w:tcW w:w="992" w:type="dxa"/>
            <w:tcBorders>
              <w:top w:val="nil"/>
              <w:left w:val="nil"/>
              <w:bottom w:val="nil"/>
              <w:right w:val="nil"/>
            </w:tcBorders>
          </w:tcPr>
          <w:p w14:paraId="53421DF6" w14:textId="7E9724A4" w:rsidR="00F05052" w:rsidRPr="004F51D2" w:rsidRDefault="00F05052" w:rsidP="00F05052">
            <w:pPr>
              <w:bidi w:val="0"/>
              <w:spacing w:line="360" w:lineRule="auto"/>
              <w:jc w:val="center"/>
              <w:rPr>
                <w:rFonts w:ascii="Times New Roman" w:hAnsi="Times New Roman" w:cs="Times New Roman"/>
                <w:b/>
                <w:bCs/>
                <w:color w:val="000000" w:themeColor="text1"/>
                <w:sz w:val="20"/>
                <w:szCs w:val="20"/>
              </w:rPr>
            </w:pPr>
            <w:r w:rsidRPr="004F51D2">
              <w:rPr>
                <w:rFonts w:ascii="Times New Roman" w:hAnsi="Times New Roman" w:cs="Times New Roman"/>
                <w:color w:val="000000" w:themeColor="text1"/>
                <w:sz w:val="20"/>
                <w:szCs w:val="20"/>
              </w:rPr>
              <w:t>0.129</w:t>
            </w:r>
          </w:p>
        </w:tc>
        <w:tc>
          <w:tcPr>
            <w:tcW w:w="6096" w:type="dxa"/>
            <w:tcBorders>
              <w:top w:val="nil"/>
              <w:left w:val="nil"/>
              <w:bottom w:val="nil"/>
              <w:right w:val="nil"/>
            </w:tcBorders>
          </w:tcPr>
          <w:p w14:paraId="2A844F6B" w14:textId="6A9103EC" w:rsidR="00F05052" w:rsidRPr="004F51D2" w:rsidRDefault="00F05052" w:rsidP="00F05052">
            <w:pPr>
              <w:bidi w:val="0"/>
              <w:rPr>
                <w:rFonts w:ascii="Times New Roman" w:hAnsi="Times New Roman" w:cs="Times New Roman"/>
                <w:color w:val="000000" w:themeColor="text1"/>
                <w:sz w:val="20"/>
                <w:szCs w:val="20"/>
              </w:rPr>
            </w:pPr>
            <w:r w:rsidRPr="004F51D2">
              <w:rPr>
                <w:rFonts w:ascii="Times New Roman" w:hAnsi="Times New Roman" w:cs="Times New Roman"/>
                <w:color w:val="000000" w:themeColor="text1"/>
                <w:sz w:val="20"/>
                <w:szCs w:val="20"/>
              </w:rPr>
              <w:t>10.</w:t>
            </w:r>
            <w:r w:rsidR="00501DDF" w:rsidRPr="004F51D2">
              <w:rPr>
                <w:rFonts w:ascii="Times New Roman" w:hAnsi="Times New Roman" w:cs="Times New Roman"/>
                <w:color w:val="000000" w:themeColor="text1"/>
                <w:sz w:val="20"/>
                <w:szCs w:val="20"/>
              </w:rPr>
              <w:t xml:space="preserve"> </w:t>
            </w:r>
            <w:r w:rsidR="008C4E2F" w:rsidRPr="004F51D2">
              <w:rPr>
                <w:rFonts w:ascii="Times New Roman" w:hAnsi="Times New Roman" w:cs="Times New Roman"/>
                <w:color w:val="000000" w:themeColor="text1"/>
                <w:sz w:val="20"/>
                <w:szCs w:val="20"/>
              </w:rPr>
              <w:t>Online gaming stops me from worrying.</w:t>
            </w:r>
          </w:p>
        </w:tc>
      </w:tr>
      <w:tr w:rsidR="00F05052" w:rsidRPr="004F51D2" w14:paraId="77E5D3C7" w14:textId="77777777" w:rsidTr="007C2D24">
        <w:trPr>
          <w:trHeight w:val="173"/>
        </w:trPr>
        <w:tc>
          <w:tcPr>
            <w:tcW w:w="1050" w:type="dxa"/>
            <w:tcBorders>
              <w:top w:val="nil"/>
              <w:left w:val="nil"/>
              <w:bottom w:val="nil"/>
              <w:right w:val="nil"/>
            </w:tcBorders>
          </w:tcPr>
          <w:p w14:paraId="3D730F4B" w14:textId="254E3D82" w:rsidR="00F05052" w:rsidRPr="004F51D2" w:rsidRDefault="00F05052" w:rsidP="00F05052">
            <w:pPr>
              <w:bidi w:val="0"/>
              <w:spacing w:line="360" w:lineRule="auto"/>
              <w:jc w:val="center"/>
              <w:rPr>
                <w:rFonts w:ascii="Times New Roman" w:hAnsi="Times New Roman" w:cs="Times New Roman"/>
                <w:color w:val="000000" w:themeColor="text1"/>
                <w:sz w:val="20"/>
                <w:szCs w:val="20"/>
              </w:rPr>
            </w:pPr>
            <w:r w:rsidRPr="004F51D2">
              <w:rPr>
                <w:rFonts w:ascii="Times New Roman" w:hAnsi="Times New Roman" w:cs="Times New Roman"/>
                <w:b/>
                <w:bCs/>
                <w:color w:val="000000" w:themeColor="text1"/>
                <w:sz w:val="20"/>
                <w:szCs w:val="20"/>
              </w:rPr>
              <w:t>0.886</w:t>
            </w:r>
          </w:p>
        </w:tc>
        <w:tc>
          <w:tcPr>
            <w:tcW w:w="992" w:type="dxa"/>
            <w:tcBorders>
              <w:top w:val="nil"/>
              <w:left w:val="nil"/>
              <w:bottom w:val="nil"/>
              <w:right w:val="nil"/>
            </w:tcBorders>
          </w:tcPr>
          <w:p w14:paraId="021E7DCD" w14:textId="22B19AF9" w:rsidR="00F05052" w:rsidRPr="004F51D2" w:rsidRDefault="00F05052" w:rsidP="00F05052">
            <w:pPr>
              <w:bidi w:val="0"/>
              <w:spacing w:line="360" w:lineRule="auto"/>
              <w:jc w:val="center"/>
              <w:rPr>
                <w:rFonts w:ascii="Times New Roman" w:hAnsi="Times New Roman" w:cs="Times New Roman"/>
                <w:color w:val="000000" w:themeColor="text1"/>
                <w:sz w:val="20"/>
                <w:szCs w:val="20"/>
              </w:rPr>
            </w:pPr>
            <w:r w:rsidRPr="004F51D2">
              <w:rPr>
                <w:rFonts w:ascii="Times New Roman" w:hAnsi="Times New Roman" w:cs="Times New Roman"/>
                <w:color w:val="000000" w:themeColor="text1"/>
                <w:sz w:val="20"/>
                <w:szCs w:val="20"/>
              </w:rPr>
              <w:t>0.034</w:t>
            </w:r>
          </w:p>
        </w:tc>
        <w:tc>
          <w:tcPr>
            <w:tcW w:w="992" w:type="dxa"/>
            <w:tcBorders>
              <w:top w:val="nil"/>
              <w:left w:val="nil"/>
              <w:bottom w:val="nil"/>
              <w:right w:val="nil"/>
            </w:tcBorders>
          </w:tcPr>
          <w:p w14:paraId="66CCD4DF" w14:textId="6010CA5A" w:rsidR="00F05052" w:rsidRPr="004F51D2" w:rsidRDefault="00F05052" w:rsidP="00F05052">
            <w:pPr>
              <w:bidi w:val="0"/>
              <w:spacing w:line="360" w:lineRule="auto"/>
              <w:jc w:val="center"/>
              <w:rPr>
                <w:rFonts w:ascii="Times New Roman" w:hAnsi="Times New Roman" w:cs="Times New Roman"/>
                <w:b/>
                <w:bCs/>
                <w:color w:val="000000" w:themeColor="text1"/>
                <w:sz w:val="20"/>
                <w:szCs w:val="20"/>
              </w:rPr>
            </w:pPr>
            <w:r w:rsidRPr="004F51D2">
              <w:rPr>
                <w:rFonts w:ascii="Times New Roman" w:hAnsi="Times New Roman" w:cs="Times New Roman"/>
                <w:color w:val="000000" w:themeColor="text1"/>
                <w:sz w:val="20"/>
                <w:szCs w:val="20"/>
              </w:rPr>
              <w:t>0.089</w:t>
            </w:r>
          </w:p>
        </w:tc>
        <w:tc>
          <w:tcPr>
            <w:tcW w:w="6096" w:type="dxa"/>
            <w:tcBorders>
              <w:top w:val="nil"/>
              <w:left w:val="nil"/>
              <w:bottom w:val="nil"/>
              <w:right w:val="nil"/>
            </w:tcBorders>
          </w:tcPr>
          <w:p w14:paraId="5B0F6014" w14:textId="1C6D28DE" w:rsidR="00F05052" w:rsidRPr="004F51D2" w:rsidRDefault="00F05052" w:rsidP="00F05052">
            <w:pPr>
              <w:bidi w:val="0"/>
              <w:rPr>
                <w:rFonts w:ascii="Times New Roman" w:hAnsi="Times New Roman" w:cs="Times New Roman"/>
                <w:color w:val="000000" w:themeColor="text1"/>
                <w:sz w:val="20"/>
                <w:szCs w:val="20"/>
              </w:rPr>
            </w:pPr>
            <w:r w:rsidRPr="004F51D2">
              <w:rPr>
                <w:rFonts w:ascii="Times New Roman" w:hAnsi="Times New Roman" w:cs="Times New Roman"/>
                <w:color w:val="000000" w:themeColor="text1"/>
                <w:sz w:val="20"/>
                <w:szCs w:val="20"/>
              </w:rPr>
              <w:t>11.</w:t>
            </w:r>
            <w:r w:rsidR="00501DDF" w:rsidRPr="004F51D2">
              <w:rPr>
                <w:rFonts w:ascii="Times New Roman" w:hAnsi="Times New Roman" w:cs="Times New Roman"/>
                <w:color w:val="000000" w:themeColor="text1"/>
                <w:sz w:val="20"/>
                <w:szCs w:val="20"/>
              </w:rPr>
              <w:t xml:space="preserve"> </w:t>
            </w:r>
            <w:r w:rsidR="008C4E2F" w:rsidRPr="004F51D2">
              <w:rPr>
                <w:rFonts w:ascii="Times New Roman" w:hAnsi="Times New Roman" w:cs="Times New Roman"/>
                <w:color w:val="000000" w:themeColor="text1"/>
                <w:sz w:val="20"/>
                <w:szCs w:val="20"/>
              </w:rPr>
              <w:t>Online gaming reduces my anxious feelings.</w:t>
            </w:r>
          </w:p>
        </w:tc>
      </w:tr>
      <w:tr w:rsidR="00F05052" w:rsidRPr="004F51D2" w14:paraId="711FD219" w14:textId="77777777" w:rsidTr="007C2D24">
        <w:trPr>
          <w:trHeight w:val="249"/>
        </w:trPr>
        <w:tc>
          <w:tcPr>
            <w:tcW w:w="1050" w:type="dxa"/>
            <w:tcBorders>
              <w:top w:val="nil"/>
              <w:left w:val="nil"/>
              <w:bottom w:val="single" w:sz="4" w:space="0" w:color="auto"/>
              <w:right w:val="nil"/>
            </w:tcBorders>
          </w:tcPr>
          <w:p w14:paraId="46FA6471" w14:textId="4FA46939" w:rsidR="00F05052" w:rsidRPr="004F51D2" w:rsidRDefault="00F05052" w:rsidP="00F05052">
            <w:pPr>
              <w:bidi w:val="0"/>
              <w:spacing w:line="360" w:lineRule="auto"/>
              <w:jc w:val="center"/>
              <w:rPr>
                <w:rFonts w:ascii="Times New Roman" w:hAnsi="Times New Roman" w:cs="Times New Roman"/>
                <w:color w:val="000000" w:themeColor="text1"/>
                <w:sz w:val="20"/>
                <w:szCs w:val="20"/>
              </w:rPr>
            </w:pPr>
            <w:r w:rsidRPr="004F51D2">
              <w:rPr>
                <w:rFonts w:ascii="Times New Roman" w:hAnsi="Times New Roman" w:cs="Times New Roman"/>
                <w:b/>
                <w:bCs/>
                <w:color w:val="000000" w:themeColor="text1"/>
                <w:sz w:val="20"/>
                <w:szCs w:val="20"/>
              </w:rPr>
              <w:t>0.843</w:t>
            </w:r>
          </w:p>
        </w:tc>
        <w:tc>
          <w:tcPr>
            <w:tcW w:w="992" w:type="dxa"/>
            <w:tcBorders>
              <w:top w:val="nil"/>
              <w:left w:val="nil"/>
              <w:bottom w:val="single" w:sz="4" w:space="0" w:color="auto"/>
              <w:right w:val="nil"/>
            </w:tcBorders>
          </w:tcPr>
          <w:p w14:paraId="0EEC134D" w14:textId="1292F962" w:rsidR="00F05052" w:rsidRPr="004F51D2" w:rsidRDefault="00F05052" w:rsidP="00F05052">
            <w:pPr>
              <w:bidi w:val="0"/>
              <w:spacing w:line="360" w:lineRule="auto"/>
              <w:jc w:val="center"/>
              <w:rPr>
                <w:rFonts w:ascii="Times New Roman" w:hAnsi="Times New Roman" w:cs="Times New Roman"/>
                <w:color w:val="000000" w:themeColor="text1"/>
                <w:sz w:val="20"/>
                <w:szCs w:val="20"/>
              </w:rPr>
            </w:pPr>
            <w:r w:rsidRPr="004F51D2">
              <w:rPr>
                <w:rFonts w:ascii="Times New Roman" w:hAnsi="Times New Roman" w:cs="Times New Roman"/>
                <w:color w:val="000000" w:themeColor="text1"/>
                <w:sz w:val="20"/>
                <w:szCs w:val="20"/>
              </w:rPr>
              <w:t>0.032</w:t>
            </w:r>
          </w:p>
        </w:tc>
        <w:tc>
          <w:tcPr>
            <w:tcW w:w="992" w:type="dxa"/>
            <w:tcBorders>
              <w:top w:val="nil"/>
              <w:left w:val="nil"/>
              <w:bottom w:val="single" w:sz="4" w:space="0" w:color="auto"/>
              <w:right w:val="nil"/>
            </w:tcBorders>
          </w:tcPr>
          <w:p w14:paraId="11AD390F" w14:textId="68116B8C" w:rsidR="00F05052" w:rsidRPr="004F51D2" w:rsidRDefault="00F05052" w:rsidP="00F05052">
            <w:pPr>
              <w:bidi w:val="0"/>
              <w:spacing w:line="360" w:lineRule="auto"/>
              <w:jc w:val="center"/>
              <w:rPr>
                <w:rFonts w:ascii="Times New Roman" w:hAnsi="Times New Roman" w:cs="Times New Roman"/>
                <w:b/>
                <w:bCs/>
                <w:color w:val="000000" w:themeColor="text1"/>
                <w:sz w:val="20"/>
                <w:szCs w:val="20"/>
              </w:rPr>
            </w:pPr>
            <w:r w:rsidRPr="004F51D2">
              <w:rPr>
                <w:rFonts w:ascii="Times New Roman" w:hAnsi="Times New Roman" w:cs="Times New Roman"/>
                <w:color w:val="000000" w:themeColor="text1"/>
                <w:sz w:val="20"/>
                <w:szCs w:val="20"/>
              </w:rPr>
              <w:t>0.074</w:t>
            </w:r>
          </w:p>
        </w:tc>
        <w:tc>
          <w:tcPr>
            <w:tcW w:w="6096" w:type="dxa"/>
            <w:tcBorders>
              <w:top w:val="nil"/>
              <w:left w:val="nil"/>
              <w:bottom w:val="single" w:sz="4" w:space="0" w:color="auto"/>
              <w:right w:val="nil"/>
            </w:tcBorders>
          </w:tcPr>
          <w:p w14:paraId="3D729DE3" w14:textId="1299A635" w:rsidR="00F05052" w:rsidRPr="004F51D2" w:rsidRDefault="00F05052" w:rsidP="00F05052">
            <w:pPr>
              <w:bidi w:val="0"/>
              <w:rPr>
                <w:rFonts w:ascii="Times New Roman" w:hAnsi="Times New Roman" w:cs="Times New Roman"/>
                <w:color w:val="000000" w:themeColor="text1"/>
                <w:sz w:val="20"/>
                <w:szCs w:val="20"/>
              </w:rPr>
            </w:pPr>
            <w:r w:rsidRPr="004F51D2">
              <w:rPr>
                <w:rFonts w:ascii="Times New Roman" w:hAnsi="Times New Roman" w:cs="Times New Roman"/>
                <w:color w:val="000000" w:themeColor="text1"/>
                <w:sz w:val="20"/>
                <w:szCs w:val="20"/>
              </w:rPr>
              <w:t>12.</w:t>
            </w:r>
            <w:r w:rsidR="00501DDF" w:rsidRPr="004F51D2">
              <w:rPr>
                <w:rFonts w:ascii="Times New Roman" w:hAnsi="Times New Roman" w:cs="Times New Roman"/>
                <w:color w:val="000000" w:themeColor="text1"/>
                <w:sz w:val="20"/>
                <w:szCs w:val="20"/>
              </w:rPr>
              <w:t xml:space="preserve"> </w:t>
            </w:r>
            <w:r w:rsidR="008C4E2F" w:rsidRPr="004F51D2">
              <w:rPr>
                <w:rFonts w:ascii="Times New Roman" w:hAnsi="Times New Roman" w:cs="Times New Roman"/>
                <w:color w:val="000000" w:themeColor="text1"/>
                <w:sz w:val="20"/>
                <w:szCs w:val="20"/>
              </w:rPr>
              <w:t>Online gaming distracts my mind from problems.</w:t>
            </w:r>
          </w:p>
        </w:tc>
      </w:tr>
    </w:tbl>
    <w:p w14:paraId="38299153" w14:textId="3AEB2C65" w:rsidR="00BF3AC6" w:rsidRPr="004F51D2" w:rsidRDefault="00BF3AC6" w:rsidP="001A40CF">
      <w:pPr>
        <w:bidi w:val="0"/>
        <w:spacing w:after="0" w:line="240" w:lineRule="auto"/>
        <w:jc w:val="both"/>
        <w:rPr>
          <w:rFonts w:ascii="Times New Roman" w:hAnsi="Times New Roman" w:cs="Times New Roman"/>
          <w:sz w:val="20"/>
          <w:szCs w:val="20"/>
        </w:rPr>
      </w:pPr>
      <w:r w:rsidRPr="004F51D2">
        <w:rPr>
          <w:rFonts w:ascii="Times New Roman" w:hAnsi="Times New Roman" w:cs="Times New Roman"/>
          <w:i/>
          <w:iCs/>
          <w:sz w:val="20"/>
          <w:szCs w:val="20"/>
        </w:rPr>
        <w:t>Note</w:t>
      </w:r>
      <w:r w:rsidRPr="004F51D2">
        <w:rPr>
          <w:rFonts w:ascii="Times New Roman" w:hAnsi="Times New Roman" w:cs="Times New Roman"/>
          <w:sz w:val="20"/>
          <w:szCs w:val="20"/>
        </w:rPr>
        <w:t xml:space="preserve">: </w:t>
      </w:r>
      <w:r w:rsidR="00CA6E94" w:rsidRPr="004F51D2">
        <w:rPr>
          <w:rFonts w:ascii="Times New Roman" w:hAnsi="Times New Roman" w:cs="Times New Roman"/>
          <w:sz w:val="20"/>
          <w:szCs w:val="20"/>
        </w:rPr>
        <w:t xml:space="preserve">Factor </w:t>
      </w:r>
      <w:r w:rsidR="00F05052" w:rsidRPr="004F51D2">
        <w:rPr>
          <w:rFonts w:ascii="Times New Roman" w:hAnsi="Times New Roman" w:cs="Times New Roman"/>
          <w:sz w:val="20"/>
          <w:szCs w:val="20"/>
        </w:rPr>
        <w:t>1:</w:t>
      </w:r>
      <w:r w:rsidR="00CA6E94" w:rsidRPr="004F51D2">
        <w:rPr>
          <w:rFonts w:ascii="Times New Roman" w:hAnsi="Times New Roman" w:cs="Times New Roman"/>
          <w:sz w:val="20"/>
          <w:szCs w:val="20"/>
        </w:rPr>
        <w:t xml:space="preserve"> </w:t>
      </w:r>
      <w:r w:rsidR="00F05052" w:rsidRPr="004F51D2">
        <w:rPr>
          <w:rFonts w:ascii="Times New Roman" w:hAnsi="Times New Roman" w:cs="Times New Roman"/>
          <w:sz w:val="20"/>
          <w:szCs w:val="20"/>
        </w:rPr>
        <w:t>N</w:t>
      </w:r>
      <w:r w:rsidR="00CA6E94" w:rsidRPr="004F51D2">
        <w:rPr>
          <w:rFonts w:ascii="Times New Roman" w:hAnsi="Times New Roman" w:cs="Times New Roman"/>
          <w:sz w:val="20"/>
          <w:szCs w:val="20"/>
        </w:rPr>
        <w:t xml:space="preserve">egative </w:t>
      </w:r>
      <w:r w:rsidR="00F05052" w:rsidRPr="004F51D2">
        <w:rPr>
          <w:rFonts w:ascii="Times New Roman" w:hAnsi="Times New Roman" w:cs="Times New Roman"/>
          <w:sz w:val="20"/>
          <w:szCs w:val="20"/>
        </w:rPr>
        <w:t>M</w:t>
      </w:r>
      <w:r w:rsidR="00CA6E94" w:rsidRPr="004F51D2">
        <w:rPr>
          <w:rFonts w:ascii="Times New Roman" w:hAnsi="Times New Roman" w:cs="Times New Roman"/>
          <w:sz w:val="20"/>
          <w:szCs w:val="20"/>
        </w:rPr>
        <w:t xml:space="preserve">etacognitions about </w:t>
      </w:r>
      <w:r w:rsidR="00F05052" w:rsidRPr="004F51D2">
        <w:rPr>
          <w:rFonts w:ascii="Times New Roman" w:hAnsi="Times New Roman" w:cs="Times New Roman"/>
          <w:sz w:val="20"/>
          <w:szCs w:val="20"/>
        </w:rPr>
        <w:t>U</w:t>
      </w:r>
      <w:r w:rsidR="00CA6E94" w:rsidRPr="004F51D2">
        <w:rPr>
          <w:rFonts w:ascii="Times New Roman" w:hAnsi="Times New Roman" w:cs="Times New Roman"/>
          <w:sz w:val="20"/>
          <w:szCs w:val="20"/>
        </w:rPr>
        <w:t xml:space="preserve">ncontrollability of </w:t>
      </w:r>
      <w:r w:rsidR="00F05052" w:rsidRPr="004F51D2">
        <w:rPr>
          <w:rFonts w:ascii="Times New Roman" w:hAnsi="Times New Roman" w:cs="Times New Roman"/>
          <w:sz w:val="20"/>
          <w:szCs w:val="20"/>
        </w:rPr>
        <w:t>O</w:t>
      </w:r>
      <w:r w:rsidR="00CA6E94" w:rsidRPr="004F51D2">
        <w:rPr>
          <w:rFonts w:ascii="Times New Roman" w:hAnsi="Times New Roman" w:cs="Times New Roman"/>
          <w:sz w:val="20"/>
          <w:szCs w:val="20"/>
        </w:rPr>
        <w:t xml:space="preserve">nline </w:t>
      </w:r>
      <w:r w:rsidR="00F05052" w:rsidRPr="004F51D2">
        <w:rPr>
          <w:rFonts w:ascii="Times New Roman" w:hAnsi="Times New Roman" w:cs="Times New Roman"/>
          <w:sz w:val="20"/>
          <w:szCs w:val="20"/>
        </w:rPr>
        <w:t>G</w:t>
      </w:r>
      <w:r w:rsidR="00CA6E94" w:rsidRPr="004F51D2">
        <w:rPr>
          <w:rFonts w:ascii="Times New Roman" w:hAnsi="Times New Roman" w:cs="Times New Roman"/>
          <w:sz w:val="20"/>
          <w:szCs w:val="20"/>
        </w:rPr>
        <w:t>aming (N-MOGU)</w:t>
      </w:r>
      <w:r w:rsidR="00F05052" w:rsidRPr="004F51D2">
        <w:rPr>
          <w:rFonts w:ascii="Times New Roman" w:hAnsi="Times New Roman" w:cs="Times New Roman"/>
          <w:sz w:val="20"/>
          <w:szCs w:val="20"/>
        </w:rPr>
        <w:t>;</w:t>
      </w:r>
      <w:r w:rsidR="00CA6E94" w:rsidRPr="004F51D2">
        <w:rPr>
          <w:rFonts w:ascii="Times New Roman" w:hAnsi="Times New Roman" w:cs="Times New Roman"/>
          <w:sz w:val="20"/>
          <w:szCs w:val="20"/>
        </w:rPr>
        <w:t xml:space="preserve"> Factor </w:t>
      </w:r>
      <w:r w:rsidR="00F05052" w:rsidRPr="004F51D2">
        <w:rPr>
          <w:rFonts w:ascii="Times New Roman" w:hAnsi="Times New Roman" w:cs="Times New Roman"/>
          <w:sz w:val="20"/>
          <w:szCs w:val="20"/>
        </w:rPr>
        <w:t>2:</w:t>
      </w:r>
      <w:r w:rsidR="00CA6E94" w:rsidRPr="004F51D2">
        <w:rPr>
          <w:rFonts w:ascii="Times New Roman" w:hAnsi="Times New Roman" w:cs="Times New Roman"/>
          <w:sz w:val="20"/>
          <w:szCs w:val="20"/>
        </w:rPr>
        <w:t xml:space="preserve"> </w:t>
      </w:r>
      <w:r w:rsidR="00F05052" w:rsidRPr="004F51D2">
        <w:rPr>
          <w:rFonts w:ascii="Times New Roman" w:hAnsi="Times New Roman" w:cs="Times New Roman"/>
          <w:sz w:val="20"/>
          <w:szCs w:val="20"/>
        </w:rPr>
        <w:t>N</w:t>
      </w:r>
      <w:r w:rsidR="00CA6E94" w:rsidRPr="004F51D2">
        <w:rPr>
          <w:rFonts w:ascii="Times New Roman" w:hAnsi="Times New Roman" w:cs="Times New Roman"/>
          <w:sz w:val="20"/>
          <w:szCs w:val="20"/>
        </w:rPr>
        <w:t xml:space="preserve">egative </w:t>
      </w:r>
      <w:r w:rsidR="00F05052" w:rsidRPr="004F51D2">
        <w:rPr>
          <w:rFonts w:ascii="Times New Roman" w:hAnsi="Times New Roman" w:cs="Times New Roman"/>
          <w:sz w:val="20"/>
          <w:szCs w:val="20"/>
        </w:rPr>
        <w:t>M</w:t>
      </w:r>
      <w:r w:rsidR="00CA6E94" w:rsidRPr="004F51D2">
        <w:rPr>
          <w:rFonts w:ascii="Times New Roman" w:hAnsi="Times New Roman" w:cs="Times New Roman"/>
          <w:sz w:val="20"/>
          <w:szCs w:val="20"/>
        </w:rPr>
        <w:t xml:space="preserve">etacognitions about </w:t>
      </w:r>
      <w:r w:rsidR="00F05052" w:rsidRPr="004F51D2">
        <w:rPr>
          <w:rFonts w:ascii="Times New Roman" w:hAnsi="Times New Roman" w:cs="Times New Roman"/>
          <w:sz w:val="20"/>
          <w:szCs w:val="20"/>
        </w:rPr>
        <w:t>D</w:t>
      </w:r>
      <w:r w:rsidR="00CA6E94" w:rsidRPr="004F51D2">
        <w:rPr>
          <w:rFonts w:ascii="Times New Roman" w:hAnsi="Times New Roman" w:cs="Times New Roman"/>
          <w:sz w:val="20"/>
          <w:szCs w:val="20"/>
        </w:rPr>
        <w:t xml:space="preserve">angers of </w:t>
      </w:r>
      <w:r w:rsidR="00F05052" w:rsidRPr="004F51D2">
        <w:rPr>
          <w:rFonts w:ascii="Times New Roman" w:hAnsi="Times New Roman" w:cs="Times New Roman"/>
          <w:sz w:val="20"/>
          <w:szCs w:val="20"/>
        </w:rPr>
        <w:t>O</w:t>
      </w:r>
      <w:r w:rsidR="00CA6E94" w:rsidRPr="004F51D2">
        <w:rPr>
          <w:rFonts w:ascii="Times New Roman" w:hAnsi="Times New Roman" w:cs="Times New Roman"/>
          <w:sz w:val="20"/>
          <w:szCs w:val="20"/>
        </w:rPr>
        <w:t xml:space="preserve">nline </w:t>
      </w:r>
      <w:r w:rsidR="00F05052" w:rsidRPr="004F51D2">
        <w:rPr>
          <w:rFonts w:ascii="Times New Roman" w:hAnsi="Times New Roman" w:cs="Times New Roman"/>
          <w:sz w:val="20"/>
          <w:szCs w:val="20"/>
        </w:rPr>
        <w:t>G</w:t>
      </w:r>
      <w:r w:rsidR="00CA6E94" w:rsidRPr="004F51D2">
        <w:rPr>
          <w:rFonts w:ascii="Times New Roman" w:hAnsi="Times New Roman" w:cs="Times New Roman"/>
          <w:sz w:val="20"/>
          <w:szCs w:val="20"/>
        </w:rPr>
        <w:t>aming (N-MOGD)</w:t>
      </w:r>
      <w:r w:rsidR="00F05052" w:rsidRPr="004F51D2">
        <w:rPr>
          <w:rFonts w:ascii="Times New Roman" w:hAnsi="Times New Roman" w:cs="Times New Roman"/>
          <w:sz w:val="20"/>
          <w:szCs w:val="20"/>
        </w:rPr>
        <w:t>;</w:t>
      </w:r>
      <w:r w:rsidR="00CA6E94" w:rsidRPr="004F51D2">
        <w:rPr>
          <w:rFonts w:ascii="Times New Roman" w:hAnsi="Times New Roman" w:cs="Times New Roman"/>
          <w:sz w:val="20"/>
          <w:szCs w:val="20"/>
        </w:rPr>
        <w:t xml:space="preserve"> Factor </w:t>
      </w:r>
      <w:r w:rsidR="00F05052" w:rsidRPr="004F51D2">
        <w:rPr>
          <w:rFonts w:ascii="Times New Roman" w:hAnsi="Times New Roman" w:cs="Times New Roman"/>
          <w:sz w:val="20"/>
          <w:szCs w:val="20"/>
        </w:rPr>
        <w:t>3:</w:t>
      </w:r>
      <w:r w:rsidR="00CA6E94" w:rsidRPr="004F51D2">
        <w:rPr>
          <w:rFonts w:ascii="Times New Roman" w:hAnsi="Times New Roman" w:cs="Times New Roman"/>
          <w:sz w:val="20"/>
          <w:szCs w:val="20"/>
        </w:rPr>
        <w:t xml:space="preserve"> </w:t>
      </w:r>
      <w:r w:rsidR="00F05052" w:rsidRPr="004F51D2">
        <w:rPr>
          <w:rFonts w:ascii="Times New Roman" w:hAnsi="Times New Roman" w:cs="Times New Roman"/>
          <w:sz w:val="20"/>
          <w:szCs w:val="20"/>
        </w:rPr>
        <w:t>P</w:t>
      </w:r>
      <w:r w:rsidR="00CA6E94" w:rsidRPr="004F51D2">
        <w:rPr>
          <w:rFonts w:ascii="Times New Roman" w:hAnsi="Times New Roman" w:cs="Times New Roman"/>
          <w:sz w:val="20"/>
          <w:szCs w:val="20"/>
        </w:rPr>
        <w:t xml:space="preserve">ositive </w:t>
      </w:r>
      <w:r w:rsidR="00F05052" w:rsidRPr="004F51D2">
        <w:rPr>
          <w:rFonts w:ascii="Times New Roman" w:hAnsi="Times New Roman" w:cs="Times New Roman"/>
          <w:sz w:val="20"/>
          <w:szCs w:val="20"/>
        </w:rPr>
        <w:t>M</w:t>
      </w:r>
      <w:r w:rsidR="00CA6E94" w:rsidRPr="004F51D2">
        <w:rPr>
          <w:rFonts w:ascii="Times New Roman" w:hAnsi="Times New Roman" w:cs="Times New Roman"/>
          <w:sz w:val="20"/>
          <w:szCs w:val="20"/>
        </w:rPr>
        <w:t xml:space="preserve">etacognitions about </w:t>
      </w:r>
      <w:r w:rsidR="00F05052" w:rsidRPr="004F51D2">
        <w:rPr>
          <w:rFonts w:ascii="Times New Roman" w:hAnsi="Times New Roman" w:cs="Times New Roman"/>
          <w:sz w:val="20"/>
          <w:szCs w:val="20"/>
        </w:rPr>
        <w:t>O</w:t>
      </w:r>
      <w:r w:rsidR="00CA6E94" w:rsidRPr="004F51D2">
        <w:rPr>
          <w:rFonts w:ascii="Times New Roman" w:hAnsi="Times New Roman" w:cs="Times New Roman"/>
          <w:sz w:val="20"/>
          <w:szCs w:val="20"/>
        </w:rPr>
        <w:t xml:space="preserve">nline </w:t>
      </w:r>
      <w:r w:rsidR="00F05052" w:rsidRPr="004F51D2">
        <w:rPr>
          <w:rFonts w:ascii="Times New Roman" w:hAnsi="Times New Roman" w:cs="Times New Roman"/>
          <w:sz w:val="20"/>
          <w:szCs w:val="20"/>
        </w:rPr>
        <w:t>G</w:t>
      </w:r>
      <w:r w:rsidR="00CA6E94" w:rsidRPr="004F51D2">
        <w:rPr>
          <w:rFonts w:ascii="Times New Roman" w:hAnsi="Times New Roman" w:cs="Times New Roman"/>
          <w:sz w:val="20"/>
          <w:szCs w:val="20"/>
        </w:rPr>
        <w:t xml:space="preserve">aming (P-MOG). </w:t>
      </w:r>
      <w:r w:rsidRPr="004F51D2">
        <w:rPr>
          <w:rFonts w:ascii="Times New Roman" w:hAnsi="Times New Roman" w:cs="Times New Roman"/>
          <w:sz w:val="20"/>
          <w:szCs w:val="20"/>
        </w:rPr>
        <w:t xml:space="preserve">Factor loadings present the factor matrix values. The values </w:t>
      </w:r>
      <w:r w:rsidR="007753A0" w:rsidRPr="004F51D2">
        <w:rPr>
          <w:rFonts w:ascii="Times New Roman" w:hAnsi="Times New Roman" w:cs="Times New Roman"/>
          <w:sz w:val="20"/>
          <w:szCs w:val="20"/>
        </w:rPr>
        <w:t xml:space="preserve">in bold </w:t>
      </w:r>
      <w:r w:rsidRPr="004F51D2">
        <w:rPr>
          <w:rFonts w:ascii="Times New Roman" w:hAnsi="Times New Roman" w:cs="Times New Roman"/>
          <w:sz w:val="20"/>
          <w:szCs w:val="20"/>
        </w:rPr>
        <w:t xml:space="preserve">indicate </w:t>
      </w:r>
      <w:r w:rsidR="001A40CF" w:rsidRPr="004F51D2">
        <w:rPr>
          <w:rFonts w:ascii="Times New Roman" w:hAnsi="Times New Roman" w:cs="Times New Roman"/>
          <w:sz w:val="20"/>
          <w:szCs w:val="20"/>
        </w:rPr>
        <w:t>the i</w:t>
      </w:r>
      <w:r w:rsidRPr="004F51D2">
        <w:rPr>
          <w:rFonts w:ascii="Times New Roman" w:hAnsi="Times New Roman" w:cs="Times New Roman"/>
          <w:sz w:val="20"/>
          <w:szCs w:val="20"/>
        </w:rPr>
        <w:t xml:space="preserve">tem loading on </w:t>
      </w:r>
      <w:r w:rsidR="001A40CF" w:rsidRPr="004F51D2">
        <w:rPr>
          <w:rFonts w:ascii="Times New Roman" w:hAnsi="Times New Roman" w:cs="Times New Roman"/>
          <w:sz w:val="20"/>
          <w:szCs w:val="20"/>
        </w:rPr>
        <w:t xml:space="preserve">each </w:t>
      </w:r>
      <w:r w:rsidRPr="004F51D2">
        <w:rPr>
          <w:rFonts w:ascii="Times New Roman" w:hAnsi="Times New Roman" w:cs="Times New Roman"/>
          <w:sz w:val="20"/>
          <w:szCs w:val="20"/>
        </w:rPr>
        <w:t>factor.</w:t>
      </w:r>
    </w:p>
    <w:p w14:paraId="251DF277" w14:textId="3F6677A5" w:rsidR="00720A93" w:rsidRPr="004F51D2" w:rsidRDefault="00720A93" w:rsidP="005657F0">
      <w:pPr>
        <w:bidi w:val="0"/>
        <w:spacing w:after="0" w:line="240" w:lineRule="auto"/>
        <w:ind w:firstLine="624"/>
        <w:jc w:val="both"/>
        <w:rPr>
          <w:rFonts w:ascii="Times New Roman" w:hAnsi="Times New Roman" w:cs="Times New Roman"/>
          <w:color w:val="000000" w:themeColor="text1"/>
          <w:sz w:val="20"/>
          <w:szCs w:val="20"/>
        </w:rPr>
      </w:pPr>
    </w:p>
    <w:p w14:paraId="2C3E7C11" w14:textId="77777777" w:rsidR="00BF3AC6" w:rsidRPr="004F51D2" w:rsidRDefault="00BF3AC6" w:rsidP="003F41C7">
      <w:pPr>
        <w:bidi w:val="0"/>
        <w:spacing w:after="0" w:line="480" w:lineRule="auto"/>
        <w:rPr>
          <w:rFonts w:ascii="Times New Roman" w:hAnsi="Times New Roman" w:cs="Times New Roman"/>
          <w:b/>
          <w:bCs/>
          <w:color w:val="000000" w:themeColor="text1"/>
        </w:rPr>
      </w:pPr>
    </w:p>
    <w:p w14:paraId="61A0BD16" w14:textId="2485B3F8" w:rsidR="00BF3AC6" w:rsidRPr="004F51D2" w:rsidRDefault="00BF3AC6" w:rsidP="00532347">
      <w:pPr>
        <w:bidi w:val="0"/>
        <w:rPr>
          <w:rFonts w:ascii="Times New Roman" w:hAnsi="Times New Roman" w:cs="Times New Roman"/>
          <w:b/>
          <w:bCs/>
          <w:color w:val="000000" w:themeColor="text1"/>
        </w:rPr>
      </w:pPr>
      <w:r w:rsidRPr="004F51D2">
        <w:rPr>
          <w:rFonts w:ascii="Times New Roman" w:hAnsi="Times New Roman" w:cs="Times New Roman"/>
          <w:b/>
          <w:bCs/>
          <w:color w:val="000000" w:themeColor="text1"/>
        </w:rPr>
        <w:br w:type="page"/>
      </w:r>
    </w:p>
    <w:p w14:paraId="41922E8E" w14:textId="18AB52EA" w:rsidR="003F41C7" w:rsidRPr="004F51D2" w:rsidRDefault="003F41C7" w:rsidP="001A40CF">
      <w:pPr>
        <w:bidi w:val="0"/>
        <w:rPr>
          <w:rFonts w:ascii="Times New Roman" w:hAnsi="Times New Roman" w:cs="Times New Roman"/>
          <w:color w:val="000000" w:themeColor="text1"/>
        </w:rPr>
      </w:pPr>
      <w:r w:rsidRPr="004F51D2">
        <w:rPr>
          <w:rFonts w:ascii="Times New Roman" w:hAnsi="Times New Roman" w:cs="Times New Roman"/>
          <w:b/>
          <w:bCs/>
          <w:color w:val="000000" w:themeColor="text1"/>
        </w:rPr>
        <w:t xml:space="preserve">Table </w:t>
      </w:r>
      <w:r w:rsidR="00CC1264" w:rsidRPr="004F51D2">
        <w:rPr>
          <w:rFonts w:ascii="Times New Roman" w:hAnsi="Times New Roman" w:cs="Times New Roman"/>
          <w:b/>
          <w:bCs/>
          <w:color w:val="000000" w:themeColor="text1"/>
        </w:rPr>
        <w:t>3</w:t>
      </w:r>
      <w:r w:rsidR="001A40CF" w:rsidRPr="004F51D2">
        <w:rPr>
          <w:rFonts w:ascii="Times New Roman" w:hAnsi="Times New Roman" w:cs="Times New Roman"/>
          <w:b/>
          <w:bCs/>
          <w:color w:val="000000" w:themeColor="text1"/>
        </w:rPr>
        <w:t xml:space="preserve">: </w:t>
      </w:r>
      <w:r w:rsidRPr="004F51D2">
        <w:rPr>
          <w:rFonts w:ascii="Times New Roman" w:hAnsi="Times New Roman" w:cs="Times New Roman"/>
          <w:color w:val="000000" w:themeColor="text1"/>
        </w:rPr>
        <w:t xml:space="preserve"> Model fit indices of confirmatory factor analysis for the Persian version of the MOGS</w:t>
      </w:r>
      <w:r w:rsidR="00057009" w:rsidRPr="004F51D2">
        <w:rPr>
          <w:rFonts w:ascii="Times New Roman" w:hAnsi="Times New Roman" w:cs="Times New Roman"/>
          <w:color w:val="000000" w:themeColor="text1"/>
        </w:rPr>
        <w:t xml:space="preserve"> (n</w:t>
      </w:r>
      <w:r w:rsidR="00120E39" w:rsidRPr="004F51D2">
        <w:rPr>
          <w:rFonts w:ascii="Times New Roman" w:hAnsi="Times New Roman" w:cs="Times New Roman"/>
          <w:color w:val="000000" w:themeColor="text1"/>
        </w:rPr>
        <w:t xml:space="preserve"> </w:t>
      </w:r>
      <w:r w:rsidR="00057009" w:rsidRPr="004F51D2">
        <w:rPr>
          <w:rFonts w:ascii="Times New Roman" w:hAnsi="Times New Roman" w:cs="Times New Roman"/>
          <w:color w:val="000000" w:themeColor="text1"/>
        </w:rPr>
        <w:t>=</w:t>
      </w:r>
      <w:r w:rsidR="00120E39" w:rsidRPr="004F51D2">
        <w:rPr>
          <w:rFonts w:ascii="Times New Roman" w:hAnsi="Times New Roman" w:cs="Times New Roman"/>
          <w:color w:val="000000" w:themeColor="text1"/>
        </w:rPr>
        <w:t xml:space="preserve"> </w:t>
      </w:r>
      <w:r w:rsidR="00057009" w:rsidRPr="004F51D2">
        <w:rPr>
          <w:rFonts w:ascii="Times New Roman" w:hAnsi="Times New Roman" w:cs="Times New Roman"/>
          <w:color w:val="000000" w:themeColor="text1"/>
        </w:rPr>
        <w:t>419)</w:t>
      </w:r>
      <w:r w:rsidRPr="004F51D2">
        <w:rPr>
          <w:rFonts w:ascii="Times New Roman" w:hAnsi="Times New Roman" w:cs="Times New Roman"/>
          <w:color w:val="000000" w:themeColor="text1"/>
        </w:rPr>
        <w:t>.</w:t>
      </w:r>
    </w:p>
    <w:tbl>
      <w:tblPr>
        <w:tblStyle w:val="TableGrid"/>
        <w:bidiVisual/>
        <w:tblW w:w="887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
        <w:gridCol w:w="910"/>
        <w:gridCol w:w="910"/>
        <w:gridCol w:w="911"/>
        <w:gridCol w:w="974"/>
        <w:gridCol w:w="1011"/>
        <w:gridCol w:w="903"/>
        <w:gridCol w:w="507"/>
        <w:gridCol w:w="866"/>
        <w:gridCol w:w="1872"/>
      </w:tblGrid>
      <w:tr w:rsidR="003F41C7" w:rsidRPr="004F51D2" w14:paraId="4AD3706C" w14:textId="77777777" w:rsidTr="00102BAC">
        <w:trPr>
          <w:gridBefore w:val="1"/>
          <w:wBefore w:w="8" w:type="dxa"/>
          <w:jc w:val="center"/>
        </w:trPr>
        <w:tc>
          <w:tcPr>
            <w:tcW w:w="910" w:type="dxa"/>
            <w:tcBorders>
              <w:top w:val="single" w:sz="4" w:space="0" w:color="000000" w:themeColor="text1"/>
              <w:bottom w:val="single" w:sz="4" w:space="0" w:color="000000" w:themeColor="text1"/>
            </w:tcBorders>
          </w:tcPr>
          <w:p w14:paraId="2010D75A" w14:textId="77777777" w:rsidR="003F41C7" w:rsidRPr="004F51D2" w:rsidRDefault="003F41C7" w:rsidP="003F41C7">
            <w:pPr>
              <w:bidi w:val="0"/>
              <w:spacing w:line="360" w:lineRule="auto"/>
              <w:jc w:val="center"/>
              <w:rPr>
                <w:rFonts w:ascii="Times New Roman" w:hAnsi="Times New Roman" w:cs="Times New Roman"/>
                <w:color w:val="000000" w:themeColor="text1"/>
                <w:sz w:val="20"/>
                <w:szCs w:val="20"/>
              </w:rPr>
            </w:pPr>
            <w:r w:rsidRPr="004F51D2">
              <w:rPr>
                <w:rFonts w:ascii="Times New Roman" w:hAnsi="Times New Roman" w:cs="Times New Roman"/>
                <w:color w:val="000000" w:themeColor="text1"/>
                <w:sz w:val="20"/>
                <w:szCs w:val="20"/>
              </w:rPr>
              <w:t>IFI</w:t>
            </w:r>
          </w:p>
        </w:tc>
        <w:tc>
          <w:tcPr>
            <w:tcW w:w="910" w:type="dxa"/>
            <w:tcBorders>
              <w:top w:val="single" w:sz="4" w:space="0" w:color="000000" w:themeColor="text1"/>
              <w:bottom w:val="single" w:sz="4" w:space="0" w:color="000000" w:themeColor="text1"/>
            </w:tcBorders>
          </w:tcPr>
          <w:p w14:paraId="41226266" w14:textId="77777777" w:rsidR="003F41C7" w:rsidRPr="004F51D2" w:rsidRDefault="003F41C7" w:rsidP="003F41C7">
            <w:pPr>
              <w:bidi w:val="0"/>
              <w:spacing w:line="360" w:lineRule="auto"/>
              <w:jc w:val="center"/>
              <w:rPr>
                <w:rFonts w:ascii="Times New Roman" w:hAnsi="Times New Roman" w:cs="Times New Roman"/>
                <w:color w:val="000000" w:themeColor="text1"/>
                <w:sz w:val="20"/>
                <w:szCs w:val="20"/>
              </w:rPr>
            </w:pPr>
            <w:r w:rsidRPr="004F51D2">
              <w:rPr>
                <w:rFonts w:ascii="Times New Roman" w:hAnsi="Times New Roman" w:cs="Times New Roman"/>
                <w:color w:val="000000" w:themeColor="text1"/>
                <w:sz w:val="20"/>
                <w:szCs w:val="20"/>
              </w:rPr>
              <w:t>CFI</w:t>
            </w:r>
          </w:p>
        </w:tc>
        <w:tc>
          <w:tcPr>
            <w:tcW w:w="911" w:type="dxa"/>
            <w:tcBorders>
              <w:top w:val="single" w:sz="4" w:space="0" w:color="000000" w:themeColor="text1"/>
              <w:bottom w:val="single" w:sz="4" w:space="0" w:color="000000" w:themeColor="text1"/>
            </w:tcBorders>
          </w:tcPr>
          <w:p w14:paraId="5F25C090" w14:textId="77777777" w:rsidR="003F41C7" w:rsidRPr="004F51D2" w:rsidRDefault="003F41C7" w:rsidP="003F41C7">
            <w:pPr>
              <w:bidi w:val="0"/>
              <w:spacing w:line="360" w:lineRule="auto"/>
              <w:jc w:val="center"/>
              <w:rPr>
                <w:rFonts w:ascii="Times New Roman" w:hAnsi="Times New Roman" w:cs="Times New Roman"/>
                <w:color w:val="000000" w:themeColor="text1"/>
                <w:sz w:val="20"/>
                <w:szCs w:val="20"/>
                <w:rtl/>
              </w:rPr>
            </w:pPr>
            <w:r w:rsidRPr="004F51D2">
              <w:rPr>
                <w:rFonts w:ascii="Times New Roman" w:hAnsi="Times New Roman" w:cs="Times New Roman"/>
                <w:color w:val="000000" w:themeColor="text1"/>
                <w:sz w:val="20"/>
                <w:szCs w:val="20"/>
              </w:rPr>
              <w:t>NFI</w:t>
            </w:r>
          </w:p>
        </w:tc>
        <w:tc>
          <w:tcPr>
            <w:tcW w:w="974" w:type="dxa"/>
            <w:tcBorders>
              <w:top w:val="single" w:sz="4" w:space="0" w:color="000000" w:themeColor="text1"/>
              <w:bottom w:val="single" w:sz="4" w:space="0" w:color="000000" w:themeColor="text1"/>
            </w:tcBorders>
          </w:tcPr>
          <w:p w14:paraId="46594887" w14:textId="77777777" w:rsidR="003F41C7" w:rsidRPr="004F51D2" w:rsidRDefault="003F41C7" w:rsidP="003F41C7">
            <w:pPr>
              <w:bidi w:val="0"/>
              <w:spacing w:line="360" w:lineRule="auto"/>
              <w:jc w:val="center"/>
              <w:rPr>
                <w:rFonts w:ascii="Times New Roman" w:hAnsi="Times New Roman" w:cs="Times New Roman"/>
                <w:color w:val="000000" w:themeColor="text1"/>
                <w:sz w:val="20"/>
                <w:szCs w:val="20"/>
                <w:rtl/>
              </w:rPr>
            </w:pPr>
            <w:r w:rsidRPr="004F51D2">
              <w:rPr>
                <w:rFonts w:ascii="Times New Roman" w:eastAsia="Times New Roman" w:hAnsi="Times New Roman" w:cs="B Mitra"/>
              </w:rPr>
              <w:t>SRMR</w:t>
            </w:r>
          </w:p>
        </w:tc>
        <w:tc>
          <w:tcPr>
            <w:tcW w:w="1011" w:type="dxa"/>
            <w:tcBorders>
              <w:top w:val="single" w:sz="4" w:space="0" w:color="000000" w:themeColor="text1"/>
              <w:bottom w:val="single" w:sz="4" w:space="0" w:color="000000" w:themeColor="text1"/>
            </w:tcBorders>
          </w:tcPr>
          <w:p w14:paraId="6A403251" w14:textId="77777777" w:rsidR="003F41C7" w:rsidRPr="004F51D2" w:rsidRDefault="003F41C7" w:rsidP="003F41C7">
            <w:pPr>
              <w:bidi w:val="0"/>
              <w:spacing w:line="360" w:lineRule="auto"/>
              <w:jc w:val="center"/>
              <w:rPr>
                <w:rFonts w:ascii="Times New Roman" w:hAnsi="Times New Roman" w:cs="Times New Roman"/>
                <w:color w:val="000000" w:themeColor="text1"/>
                <w:sz w:val="20"/>
                <w:szCs w:val="20"/>
                <w:rtl/>
              </w:rPr>
            </w:pPr>
            <w:r w:rsidRPr="004F51D2">
              <w:rPr>
                <w:rFonts w:ascii="Times New Roman" w:hAnsi="Times New Roman" w:cs="Times New Roman"/>
                <w:color w:val="000000" w:themeColor="text1"/>
                <w:sz w:val="20"/>
                <w:szCs w:val="20"/>
              </w:rPr>
              <w:t>RMSEA</w:t>
            </w:r>
          </w:p>
        </w:tc>
        <w:tc>
          <w:tcPr>
            <w:tcW w:w="903" w:type="dxa"/>
            <w:tcBorders>
              <w:top w:val="single" w:sz="4" w:space="0" w:color="000000" w:themeColor="text1"/>
              <w:bottom w:val="single" w:sz="4" w:space="0" w:color="000000" w:themeColor="text1"/>
            </w:tcBorders>
          </w:tcPr>
          <w:p w14:paraId="3BD72E02" w14:textId="77777777" w:rsidR="003F41C7" w:rsidRPr="004F51D2" w:rsidRDefault="003F41C7" w:rsidP="003F41C7">
            <w:pPr>
              <w:bidi w:val="0"/>
              <w:spacing w:line="360" w:lineRule="auto"/>
              <w:jc w:val="center"/>
              <w:rPr>
                <w:rFonts w:ascii="Times New Roman" w:hAnsi="Times New Roman" w:cs="Times New Roman"/>
                <w:color w:val="000000" w:themeColor="text1"/>
                <w:sz w:val="20"/>
                <w:szCs w:val="20"/>
                <w:rtl/>
              </w:rPr>
            </w:pPr>
            <m:oMath>
              <m:r>
                <m:rPr>
                  <m:scr m:val="script"/>
                </m:rPr>
                <w:rPr>
                  <w:rFonts w:ascii="Cambria Math" w:hAnsi="Cambria Math" w:cs="Times New Roman"/>
                  <w:color w:val="000000" w:themeColor="text1"/>
                  <w:sz w:val="20"/>
                  <w:szCs w:val="20"/>
                </w:rPr>
                <m:t>X</m:t>
              </m:r>
            </m:oMath>
            <w:r w:rsidRPr="004F51D2">
              <w:rPr>
                <w:rFonts w:ascii="Times New Roman" w:hAnsi="Times New Roman" w:cs="Times New Roman"/>
                <w:color w:val="000000" w:themeColor="text1"/>
                <w:sz w:val="20"/>
                <w:szCs w:val="20"/>
                <w:vertAlign w:val="superscript"/>
              </w:rPr>
              <w:t>2</w:t>
            </w:r>
            <w:r w:rsidRPr="004F51D2">
              <w:rPr>
                <w:rFonts w:ascii="Times New Roman" w:hAnsi="Times New Roman" w:cs="Times New Roman"/>
                <w:color w:val="000000" w:themeColor="text1"/>
                <w:sz w:val="20"/>
                <w:szCs w:val="20"/>
              </w:rPr>
              <w:t>/df</w:t>
            </w:r>
          </w:p>
        </w:tc>
        <w:tc>
          <w:tcPr>
            <w:tcW w:w="507" w:type="dxa"/>
            <w:tcBorders>
              <w:top w:val="single" w:sz="4" w:space="0" w:color="000000" w:themeColor="text1"/>
              <w:bottom w:val="single" w:sz="4" w:space="0" w:color="000000" w:themeColor="text1"/>
            </w:tcBorders>
          </w:tcPr>
          <w:p w14:paraId="490CE1BC" w14:textId="77777777" w:rsidR="003F41C7" w:rsidRPr="004F51D2" w:rsidRDefault="003F41C7" w:rsidP="003F41C7">
            <w:pPr>
              <w:bidi w:val="0"/>
              <w:spacing w:line="360" w:lineRule="auto"/>
              <w:jc w:val="both"/>
              <w:rPr>
                <w:rFonts w:ascii="Times New Roman" w:hAnsi="Times New Roman" w:cs="Times New Roman"/>
                <w:color w:val="000000" w:themeColor="text1"/>
                <w:sz w:val="20"/>
                <w:szCs w:val="20"/>
              </w:rPr>
            </w:pPr>
            <w:r w:rsidRPr="004F51D2">
              <w:rPr>
                <w:rFonts w:ascii="Times New Roman" w:hAnsi="Times New Roman" w:cs="Times New Roman"/>
                <w:color w:val="000000" w:themeColor="text1"/>
                <w:sz w:val="20"/>
                <w:szCs w:val="20"/>
              </w:rPr>
              <w:t>Df</w:t>
            </w:r>
          </w:p>
        </w:tc>
        <w:tc>
          <w:tcPr>
            <w:tcW w:w="866" w:type="dxa"/>
            <w:tcBorders>
              <w:top w:val="single" w:sz="4" w:space="0" w:color="000000" w:themeColor="text1"/>
              <w:bottom w:val="single" w:sz="4" w:space="0" w:color="000000" w:themeColor="text1"/>
            </w:tcBorders>
          </w:tcPr>
          <w:p w14:paraId="0E3CCF6D" w14:textId="77777777" w:rsidR="003F41C7" w:rsidRPr="004F51D2" w:rsidRDefault="003F41C7" w:rsidP="003F41C7">
            <w:pPr>
              <w:bidi w:val="0"/>
              <w:spacing w:line="360" w:lineRule="auto"/>
              <w:jc w:val="center"/>
              <w:rPr>
                <w:rFonts w:ascii="Times New Roman" w:hAnsi="Times New Roman" w:cs="Times New Roman"/>
                <w:color w:val="000000" w:themeColor="text1"/>
                <w:sz w:val="20"/>
                <w:szCs w:val="20"/>
                <w:rtl/>
              </w:rPr>
            </w:pPr>
            <w:r w:rsidRPr="004F51D2">
              <w:rPr>
                <w:rFonts w:ascii="Times New Roman" w:hAnsi="Times New Roman" w:cs="Times New Roman"/>
                <w:color w:val="000000" w:themeColor="text1"/>
                <w:sz w:val="20"/>
                <w:szCs w:val="20"/>
              </w:rPr>
              <w:t>χ2</w:t>
            </w:r>
          </w:p>
        </w:tc>
        <w:tc>
          <w:tcPr>
            <w:tcW w:w="1872" w:type="dxa"/>
            <w:tcBorders>
              <w:top w:val="single" w:sz="4" w:space="0" w:color="000000" w:themeColor="text1"/>
              <w:bottom w:val="single" w:sz="4" w:space="0" w:color="000000" w:themeColor="text1"/>
            </w:tcBorders>
          </w:tcPr>
          <w:p w14:paraId="4DEE522D" w14:textId="77777777" w:rsidR="003F41C7" w:rsidRPr="004F51D2" w:rsidRDefault="003F41C7" w:rsidP="003F41C7">
            <w:pPr>
              <w:bidi w:val="0"/>
              <w:spacing w:line="360" w:lineRule="auto"/>
              <w:jc w:val="both"/>
              <w:rPr>
                <w:rFonts w:ascii="Times New Roman" w:hAnsi="Times New Roman" w:cs="Times New Roman"/>
                <w:color w:val="000000" w:themeColor="text1"/>
                <w:sz w:val="20"/>
                <w:szCs w:val="20"/>
                <w:rtl/>
              </w:rPr>
            </w:pPr>
          </w:p>
        </w:tc>
      </w:tr>
      <w:tr w:rsidR="003F41C7" w:rsidRPr="004F51D2" w14:paraId="68262FB0" w14:textId="77777777" w:rsidTr="00102BAC">
        <w:trPr>
          <w:jc w:val="center"/>
        </w:trPr>
        <w:tc>
          <w:tcPr>
            <w:tcW w:w="918" w:type="dxa"/>
            <w:gridSpan w:val="2"/>
          </w:tcPr>
          <w:p w14:paraId="2C8CC48A" w14:textId="77777777" w:rsidR="003F41C7" w:rsidRPr="004F51D2" w:rsidRDefault="003F41C7" w:rsidP="003F41C7">
            <w:pPr>
              <w:bidi w:val="0"/>
              <w:spacing w:line="360" w:lineRule="auto"/>
              <w:jc w:val="center"/>
              <w:rPr>
                <w:rFonts w:ascii="Times New Roman" w:hAnsi="Times New Roman" w:cs="Times New Roman"/>
                <w:color w:val="000000" w:themeColor="text1"/>
                <w:sz w:val="20"/>
                <w:szCs w:val="20"/>
              </w:rPr>
            </w:pPr>
            <w:r w:rsidRPr="004F51D2">
              <w:rPr>
                <w:rFonts w:ascii="Times New Roman" w:hAnsi="Times New Roman" w:cs="Times New Roman"/>
                <w:color w:val="000000" w:themeColor="text1"/>
                <w:sz w:val="20"/>
                <w:szCs w:val="20"/>
              </w:rPr>
              <w:t>0.80</w:t>
            </w:r>
          </w:p>
        </w:tc>
        <w:tc>
          <w:tcPr>
            <w:tcW w:w="910" w:type="dxa"/>
          </w:tcPr>
          <w:p w14:paraId="2F5CABCA" w14:textId="77777777" w:rsidR="003F41C7" w:rsidRPr="004F51D2" w:rsidRDefault="003F41C7" w:rsidP="003F41C7">
            <w:pPr>
              <w:bidi w:val="0"/>
              <w:spacing w:line="360" w:lineRule="auto"/>
              <w:jc w:val="center"/>
              <w:rPr>
                <w:rFonts w:ascii="Times New Roman" w:hAnsi="Times New Roman" w:cs="Times New Roman"/>
                <w:color w:val="000000" w:themeColor="text1"/>
                <w:sz w:val="20"/>
                <w:szCs w:val="20"/>
              </w:rPr>
            </w:pPr>
            <w:r w:rsidRPr="004F51D2">
              <w:rPr>
                <w:rFonts w:ascii="Times New Roman" w:hAnsi="Times New Roman" w:cs="Times New Roman"/>
                <w:color w:val="000000" w:themeColor="text1"/>
                <w:sz w:val="20"/>
                <w:szCs w:val="20"/>
              </w:rPr>
              <w:t>0.81</w:t>
            </w:r>
          </w:p>
        </w:tc>
        <w:tc>
          <w:tcPr>
            <w:tcW w:w="911" w:type="dxa"/>
          </w:tcPr>
          <w:p w14:paraId="11372D11" w14:textId="77777777" w:rsidR="003F41C7" w:rsidRPr="004F51D2" w:rsidRDefault="003F41C7" w:rsidP="003F41C7">
            <w:pPr>
              <w:bidi w:val="0"/>
              <w:spacing w:line="360" w:lineRule="auto"/>
              <w:jc w:val="center"/>
              <w:rPr>
                <w:rFonts w:ascii="Times New Roman" w:hAnsi="Times New Roman" w:cs="Times New Roman"/>
                <w:color w:val="000000" w:themeColor="text1"/>
                <w:sz w:val="20"/>
                <w:szCs w:val="20"/>
              </w:rPr>
            </w:pPr>
            <w:r w:rsidRPr="004F51D2">
              <w:rPr>
                <w:rFonts w:ascii="Times New Roman" w:hAnsi="Times New Roman" w:cs="Times New Roman"/>
                <w:color w:val="000000" w:themeColor="text1"/>
                <w:sz w:val="20"/>
                <w:szCs w:val="20"/>
              </w:rPr>
              <w:t>0.80</w:t>
            </w:r>
          </w:p>
        </w:tc>
        <w:tc>
          <w:tcPr>
            <w:tcW w:w="974" w:type="dxa"/>
          </w:tcPr>
          <w:p w14:paraId="0CC89FFF" w14:textId="77777777" w:rsidR="003F41C7" w:rsidRPr="004F51D2" w:rsidRDefault="003F41C7" w:rsidP="003F41C7">
            <w:pPr>
              <w:bidi w:val="0"/>
              <w:spacing w:line="360" w:lineRule="auto"/>
              <w:jc w:val="center"/>
              <w:rPr>
                <w:rFonts w:ascii="Times New Roman" w:hAnsi="Times New Roman" w:cs="Times New Roman"/>
                <w:color w:val="000000" w:themeColor="text1"/>
                <w:sz w:val="20"/>
                <w:szCs w:val="20"/>
              </w:rPr>
            </w:pPr>
            <w:r w:rsidRPr="004F51D2">
              <w:rPr>
                <w:rFonts w:ascii="Times New Roman" w:hAnsi="Times New Roman" w:cs="Times New Roman"/>
                <w:color w:val="000000" w:themeColor="text1"/>
                <w:sz w:val="20"/>
                <w:szCs w:val="20"/>
              </w:rPr>
              <w:t>0.180</w:t>
            </w:r>
          </w:p>
        </w:tc>
        <w:tc>
          <w:tcPr>
            <w:tcW w:w="1011" w:type="dxa"/>
          </w:tcPr>
          <w:p w14:paraId="07AEC3AB" w14:textId="77777777" w:rsidR="003F41C7" w:rsidRPr="004F51D2" w:rsidRDefault="003F41C7" w:rsidP="003F41C7">
            <w:pPr>
              <w:bidi w:val="0"/>
              <w:spacing w:line="360" w:lineRule="auto"/>
              <w:jc w:val="center"/>
              <w:rPr>
                <w:rFonts w:ascii="Times New Roman" w:hAnsi="Times New Roman" w:cs="Times New Roman"/>
                <w:color w:val="000000" w:themeColor="text1"/>
                <w:sz w:val="20"/>
                <w:szCs w:val="20"/>
              </w:rPr>
            </w:pPr>
            <w:r w:rsidRPr="004F51D2">
              <w:rPr>
                <w:rFonts w:ascii="Times New Roman" w:hAnsi="Times New Roman" w:cs="Times New Roman"/>
                <w:color w:val="000000" w:themeColor="text1"/>
                <w:sz w:val="20"/>
                <w:szCs w:val="20"/>
              </w:rPr>
              <w:t>0.259</w:t>
            </w:r>
          </w:p>
        </w:tc>
        <w:tc>
          <w:tcPr>
            <w:tcW w:w="903" w:type="dxa"/>
          </w:tcPr>
          <w:p w14:paraId="56953C47" w14:textId="77777777" w:rsidR="003F41C7" w:rsidRPr="004F51D2" w:rsidRDefault="003F41C7" w:rsidP="003F41C7">
            <w:pPr>
              <w:bidi w:val="0"/>
              <w:spacing w:line="360" w:lineRule="auto"/>
              <w:jc w:val="center"/>
              <w:rPr>
                <w:rFonts w:ascii="Times New Roman" w:hAnsi="Times New Roman" w:cs="Times New Roman"/>
                <w:color w:val="000000" w:themeColor="text1"/>
                <w:sz w:val="20"/>
                <w:szCs w:val="20"/>
              </w:rPr>
            </w:pPr>
            <w:r w:rsidRPr="004F51D2">
              <w:rPr>
                <w:rFonts w:ascii="Times New Roman" w:hAnsi="Times New Roman" w:cs="Times New Roman"/>
                <w:color w:val="000000" w:themeColor="text1"/>
                <w:sz w:val="20"/>
                <w:szCs w:val="20"/>
              </w:rPr>
              <w:t>29.03</w:t>
            </w:r>
          </w:p>
        </w:tc>
        <w:tc>
          <w:tcPr>
            <w:tcW w:w="507" w:type="dxa"/>
          </w:tcPr>
          <w:p w14:paraId="363662BC" w14:textId="77777777" w:rsidR="003F41C7" w:rsidRPr="004F51D2" w:rsidRDefault="003F41C7" w:rsidP="003F41C7">
            <w:pPr>
              <w:bidi w:val="0"/>
              <w:spacing w:line="360" w:lineRule="auto"/>
              <w:jc w:val="center"/>
              <w:rPr>
                <w:rFonts w:ascii="Times New Roman" w:hAnsi="Times New Roman" w:cs="Times New Roman"/>
                <w:color w:val="000000" w:themeColor="text1"/>
                <w:sz w:val="20"/>
                <w:szCs w:val="20"/>
              </w:rPr>
            </w:pPr>
            <w:r w:rsidRPr="004F51D2">
              <w:rPr>
                <w:rFonts w:ascii="Times New Roman" w:hAnsi="Times New Roman" w:cs="Times New Roman"/>
                <w:color w:val="000000" w:themeColor="text1"/>
                <w:sz w:val="20"/>
                <w:szCs w:val="20"/>
              </w:rPr>
              <w:t>54</w:t>
            </w:r>
          </w:p>
        </w:tc>
        <w:tc>
          <w:tcPr>
            <w:tcW w:w="866" w:type="dxa"/>
          </w:tcPr>
          <w:p w14:paraId="5F769233" w14:textId="77777777" w:rsidR="003F41C7" w:rsidRPr="004F51D2" w:rsidRDefault="003F41C7" w:rsidP="003F41C7">
            <w:pPr>
              <w:bidi w:val="0"/>
              <w:spacing w:line="360" w:lineRule="auto"/>
              <w:jc w:val="center"/>
              <w:rPr>
                <w:rFonts w:ascii="Times New Roman" w:hAnsi="Times New Roman" w:cs="Times New Roman"/>
                <w:color w:val="000000" w:themeColor="text1"/>
                <w:sz w:val="20"/>
                <w:szCs w:val="20"/>
              </w:rPr>
            </w:pPr>
            <w:r w:rsidRPr="004F51D2">
              <w:rPr>
                <w:rFonts w:ascii="Times New Roman" w:hAnsi="Times New Roman" w:cs="Times New Roman"/>
                <w:color w:val="000000" w:themeColor="text1"/>
                <w:sz w:val="20"/>
                <w:szCs w:val="20"/>
              </w:rPr>
              <w:t>1568.10</w:t>
            </w:r>
          </w:p>
        </w:tc>
        <w:tc>
          <w:tcPr>
            <w:tcW w:w="1872" w:type="dxa"/>
          </w:tcPr>
          <w:p w14:paraId="62D38871" w14:textId="77777777" w:rsidR="003F41C7" w:rsidRPr="004F51D2" w:rsidRDefault="003F41C7" w:rsidP="003F41C7">
            <w:pPr>
              <w:bidi w:val="0"/>
              <w:spacing w:line="360" w:lineRule="auto"/>
              <w:jc w:val="both"/>
              <w:rPr>
                <w:rFonts w:ascii="Times New Roman" w:hAnsi="Times New Roman" w:cs="Times New Roman"/>
                <w:color w:val="000000" w:themeColor="text1"/>
                <w:sz w:val="20"/>
                <w:szCs w:val="20"/>
                <w:rtl/>
              </w:rPr>
            </w:pPr>
            <w:r w:rsidRPr="004F51D2">
              <w:rPr>
                <w:rFonts w:ascii="Times New Roman" w:hAnsi="Times New Roman" w:cs="Times New Roman"/>
                <w:color w:val="000000" w:themeColor="text1"/>
                <w:sz w:val="20"/>
                <w:szCs w:val="20"/>
              </w:rPr>
              <w:t>One-factor model</w:t>
            </w:r>
          </w:p>
        </w:tc>
      </w:tr>
      <w:tr w:rsidR="003F41C7" w:rsidRPr="004F51D2" w14:paraId="33DF1791" w14:textId="77777777" w:rsidTr="00102BAC">
        <w:trPr>
          <w:jc w:val="center"/>
        </w:trPr>
        <w:tc>
          <w:tcPr>
            <w:tcW w:w="918" w:type="dxa"/>
            <w:gridSpan w:val="2"/>
          </w:tcPr>
          <w:p w14:paraId="1C006E92" w14:textId="77777777" w:rsidR="003F41C7" w:rsidRPr="004F51D2" w:rsidRDefault="003F41C7" w:rsidP="003F41C7">
            <w:pPr>
              <w:bidi w:val="0"/>
              <w:spacing w:line="360" w:lineRule="auto"/>
              <w:jc w:val="center"/>
              <w:rPr>
                <w:rFonts w:ascii="Times New Roman" w:hAnsi="Times New Roman" w:cs="Times New Roman"/>
                <w:color w:val="000000" w:themeColor="text1"/>
                <w:sz w:val="20"/>
                <w:szCs w:val="20"/>
              </w:rPr>
            </w:pPr>
            <w:r w:rsidRPr="004F51D2">
              <w:rPr>
                <w:rFonts w:ascii="Times New Roman" w:hAnsi="Times New Roman" w:cs="Times New Roman"/>
                <w:color w:val="000000" w:themeColor="text1"/>
                <w:sz w:val="20"/>
                <w:szCs w:val="20"/>
              </w:rPr>
              <w:t>0.95</w:t>
            </w:r>
          </w:p>
        </w:tc>
        <w:tc>
          <w:tcPr>
            <w:tcW w:w="910" w:type="dxa"/>
          </w:tcPr>
          <w:p w14:paraId="579EA5A3" w14:textId="77777777" w:rsidR="003F41C7" w:rsidRPr="004F51D2" w:rsidRDefault="003F41C7" w:rsidP="003F41C7">
            <w:pPr>
              <w:bidi w:val="0"/>
              <w:spacing w:line="360" w:lineRule="auto"/>
              <w:jc w:val="center"/>
              <w:rPr>
                <w:rFonts w:ascii="Times New Roman" w:hAnsi="Times New Roman" w:cs="Times New Roman"/>
                <w:color w:val="000000" w:themeColor="text1"/>
                <w:sz w:val="20"/>
                <w:szCs w:val="20"/>
              </w:rPr>
            </w:pPr>
            <w:r w:rsidRPr="004F51D2">
              <w:rPr>
                <w:rFonts w:ascii="Times New Roman" w:hAnsi="Times New Roman" w:cs="Times New Roman"/>
                <w:color w:val="000000" w:themeColor="text1"/>
                <w:sz w:val="20"/>
                <w:szCs w:val="20"/>
              </w:rPr>
              <w:t>0.95</w:t>
            </w:r>
          </w:p>
        </w:tc>
        <w:tc>
          <w:tcPr>
            <w:tcW w:w="911" w:type="dxa"/>
          </w:tcPr>
          <w:p w14:paraId="7C454CCE" w14:textId="77777777" w:rsidR="003F41C7" w:rsidRPr="004F51D2" w:rsidRDefault="003F41C7" w:rsidP="003F41C7">
            <w:pPr>
              <w:bidi w:val="0"/>
              <w:spacing w:line="360" w:lineRule="auto"/>
              <w:jc w:val="center"/>
              <w:rPr>
                <w:rFonts w:ascii="Times New Roman" w:hAnsi="Times New Roman" w:cs="Times New Roman"/>
                <w:color w:val="000000" w:themeColor="text1"/>
                <w:sz w:val="20"/>
                <w:szCs w:val="20"/>
              </w:rPr>
            </w:pPr>
            <w:r w:rsidRPr="004F51D2">
              <w:rPr>
                <w:rFonts w:ascii="Times New Roman" w:hAnsi="Times New Roman" w:cs="Times New Roman"/>
                <w:color w:val="000000" w:themeColor="text1"/>
                <w:sz w:val="20"/>
                <w:szCs w:val="20"/>
              </w:rPr>
              <w:t>0.94</w:t>
            </w:r>
          </w:p>
        </w:tc>
        <w:tc>
          <w:tcPr>
            <w:tcW w:w="974" w:type="dxa"/>
          </w:tcPr>
          <w:p w14:paraId="09A07EF0" w14:textId="77777777" w:rsidR="003F41C7" w:rsidRPr="004F51D2" w:rsidRDefault="003F41C7" w:rsidP="003F41C7">
            <w:pPr>
              <w:bidi w:val="0"/>
              <w:spacing w:line="360" w:lineRule="auto"/>
              <w:jc w:val="center"/>
              <w:rPr>
                <w:rFonts w:ascii="Times New Roman" w:hAnsi="Times New Roman" w:cs="Times New Roman"/>
                <w:color w:val="000000" w:themeColor="text1"/>
                <w:sz w:val="20"/>
                <w:szCs w:val="20"/>
              </w:rPr>
            </w:pPr>
            <w:r w:rsidRPr="004F51D2">
              <w:rPr>
                <w:rFonts w:ascii="Times New Roman" w:hAnsi="Times New Roman" w:cs="Times New Roman"/>
                <w:color w:val="000000" w:themeColor="text1"/>
                <w:sz w:val="20"/>
                <w:szCs w:val="20"/>
              </w:rPr>
              <w:t>0.058</w:t>
            </w:r>
          </w:p>
        </w:tc>
        <w:tc>
          <w:tcPr>
            <w:tcW w:w="1011" w:type="dxa"/>
          </w:tcPr>
          <w:p w14:paraId="6D3279A7" w14:textId="77777777" w:rsidR="003F41C7" w:rsidRPr="004F51D2" w:rsidRDefault="003F41C7" w:rsidP="003F41C7">
            <w:pPr>
              <w:bidi w:val="0"/>
              <w:spacing w:line="360" w:lineRule="auto"/>
              <w:jc w:val="center"/>
              <w:rPr>
                <w:rFonts w:ascii="Times New Roman" w:hAnsi="Times New Roman" w:cs="Times New Roman"/>
                <w:color w:val="000000" w:themeColor="text1"/>
                <w:sz w:val="20"/>
                <w:szCs w:val="20"/>
              </w:rPr>
            </w:pPr>
            <w:r w:rsidRPr="004F51D2">
              <w:rPr>
                <w:rFonts w:ascii="Times New Roman" w:hAnsi="Times New Roman" w:cs="Times New Roman"/>
                <w:color w:val="000000" w:themeColor="text1"/>
                <w:sz w:val="20"/>
                <w:szCs w:val="20"/>
              </w:rPr>
              <w:t>0.116</w:t>
            </w:r>
          </w:p>
        </w:tc>
        <w:tc>
          <w:tcPr>
            <w:tcW w:w="903" w:type="dxa"/>
          </w:tcPr>
          <w:p w14:paraId="4471EBE9" w14:textId="77777777" w:rsidR="003F41C7" w:rsidRPr="004F51D2" w:rsidRDefault="003F41C7" w:rsidP="003F41C7">
            <w:pPr>
              <w:bidi w:val="0"/>
              <w:spacing w:line="360" w:lineRule="auto"/>
              <w:jc w:val="center"/>
              <w:rPr>
                <w:rFonts w:ascii="Times New Roman" w:hAnsi="Times New Roman" w:cs="Times New Roman"/>
                <w:color w:val="000000" w:themeColor="text1"/>
                <w:sz w:val="20"/>
                <w:szCs w:val="20"/>
              </w:rPr>
            </w:pPr>
            <w:r w:rsidRPr="004F51D2">
              <w:rPr>
                <w:rFonts w:ascii="Times New Roman" w:hAnsi="Times New Roman" w:cs="Times New Roman"/>
                <w:color w:val="000000" w:themeColor="text1"/>
                <w:sz w:val="20"/>
                <w:szCs w:val="20"/>
              </w:rPr>
              <w:t>6.63</w:t>
            </w:r>
          </w:p>
        </w:tc>
        <w:tc>
          <w:tcPr>
            <w:tcW w:w="507" w:type="dxa"/>
          </w:tcPr>
          <w:p w14:paraId="61742761" w14:textId="77777777" w:rsidR="003F41C7" w:rsidRPr="004F51D2" w:rsidRDefault="003F41C7" w:rsidP="003F41C7">
            <w:pPr>
              <w:bidi w:val="0"/>
              <w:spacing w:line="360" w:lineRule="auto"/>
              <w:jc w:val="center"/>
              <w:rPr>
                <w:rFonts w:ascii="Times New Roman" w:hAnsi="Times New Roman" w:cs="Times New Roman"/>
                <w:color w:val="000000" w:themeColor="text1"/>
                <w:sz w:val="20"/>
                <w:szCs w:val="20"/>
              </w:rPr>
            </w:pPr>
            <w:r w:rsidRPr="004F51D2">
              <w:rPr>
                <w:rFonts w:ascii="Times New Roman" w:hAnsi="Times New Roman" w:cs="Times New Roman"/>
                <w:color w:val="000000" w:themeColor="text1"/>
                <w:sz w:val="20"/>
                <w:szCs w:val="20"/>
              </w:rPr>
              <w:t>53</w:t>
            </w:r>
          </w:p>
        </w:tc>
        <w:tc>
          <w:tcPr>
            <w:tcW w:w="866" w:type="dxa"/>
          </w:tcPr>
          <w:p w14:paraId="401796FE" w14:textId="77777777" w:rsidR="003F41C7" w:rsidRPr="004F51D2" w:rsidRDefault="003F41C7" w:rsidP="003F41C7">
            <w:pPr>
              <w:bidi w:val="0"/>
              <w:spacing w:line="360" w:lineRule="auto"/>
              <w:jc w:val="center"/>
              <w:rPr>
                <w:rFonts w:ascii="Times New Roman" w:hAnsi="Times New Roman" w:cs="Times New Roman"/>
                <w:color w:val="000000" w:themeColor="text1"/>
                <w:sz w:val="20"/>
                <w:szCs w:val="20"/>
              </w:rPr>
            </w:pPr>
            <w:r w:rsidRPr="004F51D2">
              <w:rPr>
                <w:rFonts w:ascii="Times New Roman" w:hAnsi="Times New Roman" w:cs="Times New Roman"/>
                <w:color w:val="000000" w:themeColor="text1"/>
                <w:sz w:val="20"/>
                <w:szCs w:val="20"/>
              </w:rPr>
              <w:t>351.76</w:t>
            </w:r>
          </w:p>
        </w:tc>
        <w:tc>
          <w:tcPr>
            <w:tcW w:w="1872" w:type="dxa"/>
          </w:tcPr>
          <w:p w14:paraId="6408778C" w14:textId="63794A08" w:rsidR="003F41C7" w:rsidRPr="004F51D2" w:rsidRDefault="003F41C7" w:rsidP="003F41C7">
            <w:pPr>
              <w:bidi w:val="0"/>
              <w:spacing w:line="360" w:lineRule="auto"/>
              <w:jc w:val="both"/>
              <w:rPr>
                <w:rFonts w:ascii="Times New Roman" w:hAnsi="Times New Roman" w:cs="Times New Roman"/>
                <w:color w:val="000000" w:themeColor="text1"/>
                <w:sz w:val="20"/>
                <w:szCs w:val="20"/>
                <w:rtl/>
              </w:rPr>
            </w:pPr>
            <w:r w:rsidRPr="004F51D2">
              <w:rPr>
                <w:rFonts w:ascii="Times New Roman" w:hAnsi="Times New Roman" w:cs="Times New Roman"/>
                <w:color w:val="000000" w:themeColor="text1"/>
                <w:sz w:val="20"/>
                <w:szCs w:val="20"/>
              </w:rPr>
              <w:t>Two-factor model</w:t>
            </w:r>
          </w:p>
        </w:tc>
      </w:tr>
      <w:tr w:rsidR="003F41C7" w:rsidRPr="004F51D2" w14:paraId="78D02254" w14:textId="77777777" w:rsidTr="00102BAC">
        <w:trPr>
          <w:jc w:val="center"/>
        </w:trPr>
        <w:tc>
          <w:tcPr>
            <w:tcW w:w="918" w:type="dxa"/>
            <w:gridSpan w:val="2"/>
            <w:tcBorders>
              <w:bottom w:val="single" w:sz="4" w:space="0" w:color="000000" w:themeColor="text1"/>
            </w:tcBorders>
          </w:tcPr>
          <w:p w14:paraId="1097EA20" w14:textId="77777777" w:rsidR="003F41C7" w:rsidRPr="004F51D2" w:rsidRDefault="003F41C7" w:rsidP="003F41C7">
            <w:pPr>
              <w:bidi w:val="0"/>
              <w:spacing w:line="360" w:lineRule="auto"/>
              <w:jc w:val="center"/>
              <w:rPr>
                <w:rFonts w:ascii="Times New Roman" w:hAnsi="Times New Roman" w:cs="Times New Roman"/>
                <w:color w:val="000000" w:themeColor="text1"/>
                <w:sz w:val="20"/>
                <w:szCs w:val="20"/>
                <w:rtl/>
              </w:rPr>
            </w:pPr>
            <w:r w:rsidRPr="004F51D2">
              <w:rPr>
                <w:rFonts w:ascii="Times New Roman" w:hAnsi="Times New Roman" w:cs="Times New Roman"/>
                <w:color w:val="000000" w:themeColor="text1"/>
                <w:sz w:val="20"/>
                <w:szCs w:val="20"/>
              </w:rPr>
              <w:t>0.96</w:t>
            </w:r>
          </w:p>
        </w:tc>
        <w:tc>
          <w:tcPr>
            <w:tcW w:w="910" w:type="dxa"/>
            <w:tcBorders>
              <w:bottom w:val="single" w:sz="4" w:space="0" w:color="000000" w:themeColor="text1"/>
            </w:tcBorders>
          </w:tcPr>
          <w:p w14:paraId="2EFD75F0" w14:textId="77777777" w:rsidR="003F41C7" w:rsidRPr="004F51D2" w:rsidRDefault="003F41C7" w:rsidP="003F41C7">
            <w:pPr>
              <w:bidi w:val="0"/>
              <w:spacing w:line="360" w:lineRule="auto"/>
              <w:jc w:val="center"/>
              <w:rPr>
                <w:rFonts w:ascii="Times New Roman" w:hAnsi="Times New Roman" w:cs="Times New Roman"/>
                <w:color w:val="000000" w:themeColor="text1"/>
                <w:sz w:val="20"/>
                <w:szCs w:val="20"/>
              </w:rPr>
            </w:pPr>
            <w:r w:rsidRPr="004F51D2">
              <w:rPr>
                <w:rFonts w:ascii="Times New Roman" w:hAnsi="Times New Roman" w:cs="Times New Roman"/>
                <w:color w:val="000000" w:themeColor="text1"/>
                <w:sz w:val="20"/>
                <w:szCs w:val="20"/>
              </w:rPr>
              <w:t>0.96</w:t>
            </w:r>
          </w:p>
        </w:tc>
        <w:tc>
          <w:tcPr>
            <w:tcW w:w="911" w:type="dxa"/>
            <w:tcBorders>
              <w:bottom w:val="single" w:sz="4" w:space="0" w:color="000000" w:themeColor="text1"/>
            </w:tcBorders>
          </w:tcPr>
          <w:p w14:paraId="4CA24763" w14:textId="77777777" w:rsidR="003F41C7" w:rsidRPr="004F51D2" w:rsidRDefault="003F41C7" w:rsidP="003F41C7">
            <w:pPr>
              <w:bidi w:val="0"/>
              <w:spacing w:line="360" w:lineRule="auto"/>
              <w:jc w:val="center"/>
              <w:rPr>
                <w:rFonts w:ascii="Times New Roman" w:hAnsi="Times New Roman" w:cs="Times New Roman"/>
                <w:color w:val="000000" w:themeColor="text1"/>
                <w:sz w:val="20"/>
                <w:szCs w:val="20"/>
              </w:rPr>
            </w:pPr>
            <w:r w:rsidRPr="004F51D2">
              <w:rPr>
                <w:rFonts w:ascii="Times New Roman" w:hAnsi="Times New Roman" w:cs="Times New Roman"/>
                <w:color w:val="000000" w:themeColor="text1"/>
                <w:sz w:val="20"/>
                <w:szCs w:val="20"/>
              </w:rPr>
              <w:t>0.96</w:t>
            </w:r>
          </w:p>
        </w:tc>
        <w:tc>
          <w:tcPr>
            <w:tcW w:w="974" w:type="dxa"/>
            <w:tcBorders>
              <w:bottom w:val="single" w:sz="4" w:space="0" w:color="000000" w:themeColor="text1"/>
            </w:tcBorders>
          </w:tcPr>
          <w:p w14:paraId="08997A95" w14:textId="77777777" w:rsidR="003F41C7" w:rsidRPr="004F51D2" w:rsidRDefault="003F41C7" w:rsidP="003F41C7">
            <w:pPr>
              <w:bidi w:val="0"/>
              <w:spacing w:line="360" w:lineRule="auto"/>
              <w:jc w:val="center"/>
              <w:rPr>
                <w:rFonts w:ascii="Times New Roman" w:hAnsi="Times New Roman" w:cs="Times New Roman"/>
                <w:color w:val="000000" w:themeColor="text1"/>
                <w:sz w:val="20"/>
                <w:szCs w:val="20"/>
              </w:rPr>
            </w:pPr>
            <w:r w:rsidRPr="004F51D2">
              <w:rPr>
                <w:rFonts w:ascii="Times New Roman" w:hAnsi="Times New Roman" w:cs="Times New Roman"/>
                <w:color w:val="000000" w:themeColor="text1"/>
                <w:sz w:val="20"/>
                <w:szCs w:val="20"/>
              </w:rPr>
              <w:t>0.048</w:t>
            </w:r>
          </w:p>
        </w:tc>
        <w:tc>
          <w:tcPr>
            <w:tcW w:w="1011" w:type="dxa"/>
            <w:tcBorders>
              <w:bottom w:val="single" w:sz="4" w:space="0" w:color="000000" w:themeColor="text1"/>
            </w:tcBorders>
          </w:tcPr>
          <w:p w14:paraId="030062E6" w14:textId="77777777" w:rsidR="003F41C7" w:rsidRPr="004F51D2" w:rsidRDefault="003F41C7" w:rsidP="003F41C7">
            <w:pPr>
              <w:bidi w:val="0"/>
              <w:spacing w:line="360" w:lineRule="auto"/>
              <w:jc w:val="center"/>
              <w:rPr>
                <w:rFonts w:ascii="Times New Roman" w:hAnsi="Times New Roman" w:cs="Times New Roman"/>
                <w:color w:val="000000" w:themeColor="text1"/>
                <w:sz w:val="20"/>
                <w:szCs w:val="20"/>
              </w:rPr>
            </w:pPr>
            <w:r w:rsidRPr="004F51D2">
              <w:rPr>
                <w:rFonts w:ascii="Times New Roman" w:hAnsi="Times New Roman" w:cs="Times New Roman"/>
                <w:color w:val="000000" w:themeColor="text1"/>
                <w:sz w:val="20"/>
                <w:szCs w:val="20"/>
              </w:rPr>
              <w:t>0.076</w:t>
            </w:r>
          </w:p>
        </w:tc>
        <w:tc>
          <w:tcPr>
            <w:tcW w:w="903" w:type="dxa"/>
            <w:tcBorders>
              <w:bottom w:val="single" w:sz="4" w:space="0" w:color="000000" w:themeColor="text1"/>
            </w:tcBorders>
          </w:tcPr>
          <w:p w14:paraId="40DED0F2" w14:textId="77777777" w:rsidR="003F41C7" w:rsidRPr="004F51D2" w:rsidRDefault="003F41C7" w:rsidP="003F41C7">
            <w:pPr>
              <w:bidi w:val="0"/>
              <w:spacing w:line="360" w:lineRule="auto"/>
              <w:jc w:val="center"/>
              <w:rPr>
                <w:rFonts w:ascii="Times New Roman" w:hAnsi="Times New Roman" w:cs="Times New Roman"/>
                <w:color w:val="000000" w:themeColor="text1"/>
                <w:sz w:val="20"/>
                <w:szCs w:val="20"/>
              </w:rPr>
            </w:pPr>
            <w:r w:rsidRPr="004F51D2">
              <w:rPr>
                <w:rFonts w:ascii="Times New Roman" w:hAnsi="Times New Roman" w:cs="Times New Roman"/>
                <w:color w:val="000000" w:themeColor="text1"/>
                <w:sz w:val="20"/>
                <w:szCs w:val="20"/>
              </w:rPr>
              <w:t>5.11</w:t>
            </w:r>
          </w:p>
        </w:tc>
        <w:tc>
          <w:tcPr>
            <w:tcW w:w="507" w:type="dxa"/>
            <w:tcBorders>
              <w:bottom w:val="single" w:sz="4" w:space="0" w:color="000000" w:themeColor="text1"/>
            </w:tcBorders>
          </w:tcPr>
          <w:p w14:paraId="3F02A105" w14:textId="77777777" w:rsidR="003F41C7" w:rsidRPr="004F51D2" w:rsidRDefault="003F41C7" w:rsidP="003F41C7">
            <w:pPr>
              <w:bidi w:val="0"/>
              <w:spacing w:line="360" w:lineRule="auto"/>
              <w:jc w:val="center"/>
              <w:rPr>
                <w:rFonts w:ascii="Times New Roman" w:hAnsi="Times New Roman" w:cs="Times New Roman"/>
                <w:color w:val="000000" w:themeColor="text1"/>
                <w:sz w:val="20"/>
                <w:szCs w:val="20"/>
              </w:rPr>
            </w:pPr>
            <w:r w:rsidRPr="004F51D2">
              <w:rPr>
                <w:rFonts w:ascii="Times New Roman" w:hAnsi="Times New Roman" w:cs="Times New Roman"/>
                <w:color w:val="000000" w:themeColor="text1"/>
                <w:sz w:val="20"/>
                <w:szCs w:val="20"/>
              </w:rPr>
              <w:t>51</w:t>
            </w:r>
          </w:p>
        </w:tc>
        <w:tc>
          <w:tcPr>
            <w:tcW w:w="866" w:type="dxa"/>
            <w:tcBorders>
              <w:bottom w:val="single" w:sz="4" w:space="0" w:color="000000" w:themeColor="text1"/>
            </w:tcBorders>
          </w:tcPr>
          <w:p w14:paraId="62E803C6" w14:textId="77777777" w:rsidR="003F41C7" w:rsidRPr="004F51D2" w:rsidRDefault="003F41C7" w:rsidP="003F41C7">
            <w:pPr>
              <w:bidi w:val="0"/>
              <w:spacing w:line="360" w:lineRule="auto"/>
              <w:jc w:val="center"/>
              <w:rPr>
                <w:rFonts w:ascii="Times New Roman" w:hAnsi="Times New Roman" w:cs="Times New Roman"/>
                <w:color w:val="000000" w:themeColor="text1"/>
                <w:sz w:val="20"/>
                <w:szCs w:val="20"/>
              </w:rPr>
            </w:pPr>
            <w:r w:rsidRPr="004F51D2">
              <w:rPr>
                <w:rFonts w:ascii="Times New Roman" w:hAnsi="Times New Roman" w:cs="Times New Roman"/>
                <w:color w:val="000000" w:themeColor="text1"/>
                <w:sz w:val="20"/>
                <w:szCs w:val="20"/>
              </w:rPr>
              <w:t>261.11</w:t>
            </w:r>
          </w:p>
        </w:tc>
        <w:tc>
          <w:tcPr>
            <w:tcW w:w="1872" w:type="dxa"/>
            <w:tcBorders>
              <w:bottom w:val="single" w:sz="4" w:space="0" w:color="000000" w:themeColor="text1"/>
            </w:tcBorders>
          </w:tcPr>
          <w:p w14:paraId="79E59D4A" w14:textId="3F19FFD4" w:rsidR="003F41C7" w:rsidRPr="004F51D2" w:rsidRDefault="003F41C7" w:rsidP="003F41C7">
            <w:pPr>
              <w:bidi w:val="0"/>
              <w:spacing w:line="360" w:lineRule="auto"/>
              <w:jc w:val="both"/>
              <w:rPr>
                <w:rFonts w:ascii="Times New Roman" w:hAnsi="Times New Roman" w:cs="Times New Roman"/>
                <w:color w:val="000000" w:themeColor="text1"/>
                <w:sz w:val="20"/>
                <w:szCs w:val="20"/>
                <w:rtl/>
              </w:rPr>
            </w:pPr>
            <w:r w:rsidRPr="004F51D2">
              <w:rPr>
                <w:rFonts w:ascii="Times New Roman" w:hAnsi="Times New Roman" w:cs="Times New Roman"/>
                <w:color w:val="000000" w:themeColor="text1"/>
                <w:sz w:val="20"/>
                <w:szCs w:val="20"/>
              </w:rPr>
              <w:t>Three-factor model</w:t>
            </w:r>
          </w:p>
        </w:tc>
      </w:tr>
    </w:tbl>
    <w:p w14:paraId="63C1F9DB" w14:textId="77777777" w:rsidR="003F41C7" w:rsidRPr="004F51D2" w:rsidRDefault="003F41C7" w:rsidP="003F41C7">
      <w:pPr>
        <w:bidi w:val="0"/>
        <w:spacing w:after="0" w:line="480" w:lineRule="auto"/>
        <w:jc w:val="both"/>
        <w:rPr>
          <w:rStyle w:val="jlqj4b"/>
          <w:lang w:val="en"/>
        </w:rPr>
      </w:pPr>
    </w:p>
    <w:p w14:paraId="1744B2F5" w14:textId="77777777" w:rsidR="003F41C7" w:rsidRPr="004F51D2" w:rsidRDefault="003F41C7" w:rsidP="003F41C7">
      <w:pPr>
        <w:bidi w:val="0"/>
        <w:spacing w:after="0" w:line="480" w:lineRule="auto"/>
        <w:ind w:firstLine="624"/>
        <w:jc w:val="both"/>
        <w:rPr>
          <w:rFonts w:ascii="Times New Roman" w:hAnsi="Times New Roman" w:cs="Times New Roman"/>
          <w:color w:val="000000" w:themeColor="text1"/>
          <w:sz w:val="24"/>
          <w:szCs w:val="24"/>
        </w:rPr>
      </w:pPr>
    </w:p>
    <w:p w14:paraId="274DEFE3" w14:textId="77777777" w:rsidR="003F41C7" w:rsidRPr="004F51D2" w:rsidRDefault="003F41C7" w:rsidP="003F41C7">
      <w:pPr>
        <w:bidi w:val="0"/>
        <w:spacing w:after="0" w:line="480" w:lineRule="auto"/>
        <w:ind w:firstLine="624"/>
        <w:jc w:val="both"/>
        <w:rPr>
          <w:rFonts w:ascii="Times New Roman" w:hAnsi="Times New Roman" w:cs="Times New Roman"/>
          <w:color w:val="000000" w:themeColor="text1"/>
          <w:sz w:val="24"/>
          <w:szCs w:val="24"/>
        </w:rPr>
      </w:pPr>
    </w:p>
    <w:p w14:paraId="73F89DD2" w14:textId="77777777" w:rsidR="003F41C7" w:rsidRPr="004F51D2" w:rsidRDefault="003F41C7" w:rsidP="003F41C7">
      <w:pPr>
        <w:bidi w:val="0"/>
        <w:spacing w:after="0" w:line="480" w:lineRule="auto"/>
        <w:ind w:firstLine="624"/>
        <w:jc w:val="both"/>
        <w:rPr>
          <w:rFonts w:ascii="Times New Roman" w:hAnsi="Times New Roman" w:cs="Times New Roman"/>
          <w:color w:val="000000" w:themeColor="text1"/>
          <w:sz w:val="24"/>
          <w:szCs w:val="24"/>
        </w:rPr>
      </w:pPr>
    </w:p>
    <w:p w14:paraId="23CB70A2" w14:textId="77777777" w:rsidR="003F41C7" w:rsidRPr="004F51D2" w:rsidRDefault="003F41C7" w:rsidP="003F41C7">
      <w:pPr>
        <w:bidi w:val="0"/>
        <w:spacing w:after="0" w:line="480" w:lineRule="auto"/>
        <w:ind w:firstLine="624"/>
        <w:jc w:val="both"/>
        <w:rPr>
          <w:rFonts w:ascii="Times New Roman" w:hAnsi="Times New Roman" w:cs="Times New Roman"/>
          <w:color w:val="000000" w:themeColor="text1"/>
          <w:sz w:val="24"/>
          <w:szCs w:val="24"/>
        </w:rPr>
      </w:pPr>
    </w:p>
    <w:p w14:paraId="4EACCDB1" w14:textId="77777777" w:rsidR="003F41C7" w:rsidRPr="004F51D2" w:rsidRDefault="003F41C7" w:rsidP="003F41C7">
      <w:pPr>
        <w:bidi w:val="0"/>
        <w:spacing w:after="0" w:line="480" w:lineRule="auto"/>
        <w:ind w:firstLine="624"/>
        <w:jc w:val="both"/>
        <w:rPr>
          <w:rFonts w:ascii="Times New Roman" w:hAnsi="Times New Roman" w:cs="Times New Roman"/>
          <w:color w:val="000000" w:themeColor="text1"/>
          <w:sz w:val="24"/>
          <w:szCs w:val="24"/>
        </w:rPr>
      </w:pPr>
    </w:p>
    <w:p w14:paraId="565BED25" w14:textId="77777777" w:rsidR="003F41C7" w:rsidRPr="004F51D2" w:rsidRDefault="003F41C7" w:rsidP="003F41C7">
      <w:pPr>
        <w:bidi w:val="0"/>
        <w:spacing w:after="0" w:line="480" w:lineRule="auto"/>
        <w:ind w:firstLine="624"/>
        <w:jc w:val="both"/>
        <w:rPr>
          <w:rFonts w:ascii="Times New Roman" w:hAnsi="Times New Roman" w:cs="Times New Roman"/>
          <w:color w:val="000000" w:themeColor="text1"/>
          <w:sz w:val="24"/>
          <w:szCs w:val="24"/>
        </w:rPr>
      </w:pPr>
    </w:p>
    <w:p w14:paraId="1FA58939" w14:textId="77777777" w:rsidR="003F41C7" w:rsidRPr="004F51D2" w:rsidRDefault="003F41C7" w:rsidP="003F41C7">
      <w:pPr>
        <w:bidi w:val="0"/>
        <w:spacing w:after="0" w:line="480" w:lineRule="auto"/>
        <w:ind w:firstLine="624"/>
        <w:jc w:val="both"/>
        <w:rPr>
          <w:rFonts w:ascii="Times New Roman" w:hAnsi="Times New Roman" w:cs="Times New Roman"/>
          <w:color w:val="000000" w:themeColor="text1"/>
          <w:sz w:val="24"/>
          <w:szCs w:val="24"/>
        </w:rPr>
      </w:pPr>
    </w:p>
    <w:p w14:paraId="2C8E0EF3" w14:textId="77777777" w:rsidR="003F41C7" w:rsidRPr="004F51D2" w:rsidRDefault="003F41C7" w:rsidP="003F41C7">
      <w:pPr>
        <w:bidi w:val="0"/>
        <w:spacing w:after="0" w:line="480" w:lineRule="auto"/>
        <w:ind w:firstLine="624"/>
        <w:jc w:val="both"/>
        <w:rPr>
          <w:rFonts w:ascii="Times New Roman" w:hAnsi="Times New Roman" w:cs="Times New Roman"/>
          <w:color w:val="000000" w:themeColor="text1"/>
          <w:sz w:val="24"/>
          <w:szCs w:val="24"/>
        </w:rPr>
      </w:pPr>
    </w:p>
    <w:p w14:paraId="60E03F71" w14:textId="77777777" w:rsidR="003F41C7" w:rsidRPr="004F51D2" w:rsidRDefault="003F41C7" w:rsidP="003F41C7">
      <w:pPr>
        <w:bidi w:val="0"/>
        <w:spacing w:after="0" w:line="480" w:lineRule="auto"/>
        <w:ind w:firstLine="624"/>
        <w:jc w:val="both"/>
        <w:rPr>
          <w:rFonts w:ascii="Times New Roman" w:hAnsi="Times New Roman" w:cs="Times New Roman"/>
          <w:color w:val="000000" w:themeColor="text1"/>
          <w:sz w:val="24"/>
          <w:szCs w:val="24"/>
        </w:rPr>
      </w:pPr>
    </w:p>
    <w:p w14:paraId="15EEB09D" w14:textId="77777777" w:rsidR="003F41C7" w:rsidRPr="004F51D2" w:rsidRDefault="003F41C7" w:rsidP="003F41C7">
      <w:pPr>
        <w:bidi w:val="0"/>
        <w:spacing w:after="0" w:line="480" w:lineRule="auto"/>
        <w:ind w:firstLine="624"/>
        <w:jc w:val="both"/>
        <w:rPr>
          <w:rFonts w:ascii="Times New Roman" w:hAnsi="Times New Roman" w:cs="Times New Roman"/>
          <w:color w:val="000000" w:themeColor="text1"/>
          <w:sz w:val="24"/>
          <w:szCs w:val="24"/>
        </w:rPr>
      </w:pPr>
    </w:p>
    <w:p w14:paraId="00FA335B" w14:textId="77777777" w:rsidR="003F41C7" w:rsidRPr="004F51D2" w:rsidRDefault="003F41C7" w:rsidP="003F41C7">
      <w:pPr>
        <w:bidi w:val="0"/>
        <w:spacing w:after="0" w:line="480" w:lineRule="auto"/>
        <w:ind w:firstLine="624"/>
        <w:jc w:val="both"/>
        <w:rPr>
          <w:rFonts w:ascii="Times New Roman" w:hAnsi="Times New Roman" w:cs="Times New Roman"/>
          <w:color w:val="000000" w:themeColor="text1"/>
          <w:sz w:val="24"/>
          <w:szCs w:val="24"/>
        </w:rPr>
      </w:pPr>
    </w:p>
    <w:p w14:paraId="1990E601" w14:textId="77777777" w:rsidR="003F41C7" w:rsidRPr="004F51D2" w:rsidRDefault="003F41C7" w:rsidP="003F41C7">
      <w:pPr>
        <w:bidi w:val="0"/>
        <w:spacing w:after="0" w:line="480" w:lineRule="auto"/>
        <w:ind w:firstLine="624"/>
        <w:jc w:val="both"/>
        <w:rPr>
          <w:rFonts w:ascii="Times New Roman" w:hAnsi="Times New Roman" w:cs="Times New Roman"/>
          <w:color w:val="000000" w:themeColor="text1"/>
          <w:sz w:val="24"/>
          <w:szCs w:val="24"/>
        </w:rPr>
      </w:pPr>
    </w:p>
    <w:p w14:paraId="66D473D4" w14:textId="77777777" w:rsidR="003F41C7" w:rsidRPr="004F51D2" w:rsidRDefault="003F41C7" w:rsidP="003F41C7">
      <w:pPr>
        <w:bidi w:val="0"/>
        <w:spacing w:after="0" w:line="480" w:lineRule="auto"/>
        <w:ind w:firstLine="624"/>
        <w:jc w:val="both"/>
        <w:rPr>
          <w:rFonts w:ascii="Times New Roman" w:hAnsi="Times New Roman" w:cs="Times New Roman"/>
          <w:color w:val="000000" w:themeColor="text1"/>
          <w:sz w:val="24"/>
          <w:szCs w:val="24"/>
        </w:rPr>
      </w:pPr>
    </w:p>
    <w:p w14:paraId="7F6C6B95" w14:textId="77777777" w:rsidR="003F41C7" w:rsidRPr="004F51D2" w:rsidRDefault="003F41C7" w:rsidP="003F41C7">
      <w:pPr>
        <w:bidi w:val="0"/>
        <w:spacing w:after="0" w:line="480" w:lineRule="auto"/>
        <w:ind w:firstLine="624"/>
        <w:jc w:val="both"/>
        <w:rPr>
          <w:rFonts w:ascii="Times New Roman" w:hAnsi="Times New Roman" w:cs="Times New Roman"/>
          <w:color w:val="000000" w:themeColor="text1"/>
          <w:sz w:val="24"/>
          <w:szCs w:val="24"/>
        </w:rPr>
      </w:pPr>
    </w:p>
    <w:p w14:paraId="7D683A4C" w14:textId="77777777" w:rsidR="003F41C7" w:rsidRPr="004F51D2" w:rsidRDefault="003F41C7" w:rsidP="003F41C7">
      <w:pPr>
        <w:bidi w:val="0"/>
        <w:spacing w:after="0" w:line="480" w:lineRule="auto"/>
        <w:ind w:firstLine="624"/>
        <w:jc w:val="both"/>
        <w:rPr>
          <w:rFonts w:ascii="Times New Roman" w:hAnsi="Times New Roman" w:cs="Times New Roman"/>
          <w:color w:val="000000" w:themeColor="text1"/>
          <w:sz w:val="24"/>
          <w:szCs w:val="24"/>
        </w:rPr>
      </w:pPr>
    </w:p>
    <w:p w14:paraId="22916987" w14:textId="77777777" w:rsidR="003F41C7" w:rsidRPr="004F51D2" w:rsidRDefault="003F41C7" w:rsidP="003F41C7">
      <w:pPr>
        <w:bidi w:val="0"/>
        <w:spacing w:after="0" w:line="480" w:lineRule="auto"/>
        <w:ind w:firstLine="624"/>
        <w:jc w:val="both"/>
        <w:rPr>
          <w:rFonts w:ascii="Times New Roman" w:hAnsi="Times New Roman" w:cs="Times New Roman"/>
          <w:color w:val="000000" w:themeColor="text1"/>
          <w:sz w:val="24"/>
          <w:szCs w:val="24"/>
        </w:rPr>
      </w:pPr>
    </w:p>
    <w:p w14:paraId="3F8A1385" w14:textId="77777777" w:rsidR="003F41C7" w:rsidRPr="004F51D2" w:rsidRDefault="003F41C7" w:rsidP="003F41C7">
      <w:pPr>
        <w:bidi w:val="0"/>
        <w:spacing w:after="0" w:line="480" w:lineRule="auto"/>
        <w:ind w:firstLine="624"/>
        <w:jc w:val="both"/>
        <w:rPr>
          <w:rFonts w:ascii="Times New Roman" w:hAnsi="Times New Roman" w:cs="Times New Roman"/>
          <w:color w:val="000000" w:themeColor="text1"/>
          <w:sz w:val="24"/>
          <w:szCs w:val="24"/>
        </w:rPr>
      </w:pPr>
    </w:p>
    <w:p w14:paraId="2F1BA6FD" w14:textId="3044003C" w:rsidR="003F41C7" w:rsidRPr="004F51D2" w:rsidRDefault="003F41C7" w:rsidP="003F41C7">
      <w:pPr>
        <w:bidi w:val="0"/>
        <w:spacing w:after="0" w:line="480" w:lineRule="auto"/>
        <w:ind w:firstLine="624"/>
        <w:jc w:val="both"/>
        <w:rPr>
          <w:rFonts w:ascii="Times New Roman" w:hAnsi="Times New Roman" w:cs="Times New Roman"/>
          <w:color w:val="000000" w:themeColor="text1"/>
          <w:sz w:val="24"/>
          <w:szCs w:val="24"/>
        </w:rPr>
      </w:pPr>
    </w:p>
    <w:p w14:paraId="346D6E38" w14:textId="77777777" w:rsidR="00C244D7" w:rsidRPr="004F51D2" w:rsidRDefault="00C244D7" w:rsidP="00BF3AC6">
      <w:pPr>
        <w:bidi w:val="0"/>
        <w:spacing w:after="0" w:line="480" w:lineRule="auto"/>
        <w:jc w:val="both"/>
        <w:rPr>
          <w:rFonts w:ascii="Times New Roman" w:eastAsia="Calibri" w:hAnsi="Times New Roman" w:cs="Times New Roman"/>
          <w:b/>
          <w:bCs/>
          <w:color w:val="000000" w:themeColor="text1"/>
        </w:rPr>
        <w:sectPr w:rsidR="00C244D7" w:rsidRPr="004F51D2" w:rsidSect="00D01C0E">
          <w:footerReference w:type="default" r:id="rId13"/>
          <w:pgSz w:w="11906" w:h="16838"/>
          <w:pgMar w:top="1588" w:right="1588" w:bottom="1588" w:left="1588" w:header="709" w:footer="709" w:gutter="0"/>
          <w:cols w:space="708"/>
          <w:bidi/>
          <w:rtlGutter/>
          <w:docGrid w:linePitch="360"/>
        </w:sectPr>
      </w:pPr>
    </w:p>
    <w:tbl>
      <w:tblPr>
        <w:tblStyle w:val="TableGrid"/>
        <w:tblpPr w:leftFromText="180" w:rightFromText="180" w:vertAnchor="text" w:horzAnchor="margin" w:tblpXSpec="center" w:tblpY="476"/>
        <w:bidiVisual/>
        <w:tblW w:w="13892" w:type="dxa"/>
        <w:tblBorders>
          <w:top w:val="single" w:sz="4" w:space="0" w:color="000000" w:themeColor="text1"/>
          <w:left w:val="none" w:sz="0" w:space="0" w:color="auto"/>
          <w:bottom w:val="single" w:sz="4" w:space="0" w:color="000000" w:themeColor="text1"/>
          <w:right w:val="none" w:sz="0" w:space="0" w:color="auto"/>
        </w:tblBorders>
        <w:tblLayout w:type="fixed"/>
        <w:tblLook w:val="04A0" w:firstRow="1" w:lastRow="0" w:firstColumn="1" w:lastColumn="0" w:noHBand="0" w:noVBand="1"/>
      </w:tblPr>
      <w:tblGrid>
        <w:gridCol w:w="567"/>
        <w:gridCol w:w="709"/>
        <w:gridCol w:w="709"/>
        <w:gridCol w:w="709"/>
        <w:gridCol w:w="708"/>
        <w:gridCol w:w="709"/>
        <w:gridCol w:w="709"/>
        <w:gridCol w:w="850"/>
        <w:gridCol w:w="709"/>
        <w:gridCol w:w="709"/>
        <w:gridCol w:w="709"/>
        <w:gridCol w:w="708"/>
        <w:gridCol w:w="709"/>
        <w:gridCol w:w="710"/>
        <w:gridCol w:w="849"/>
        <w:gridCol w:w="851"/>
        <w:gridCol w:w="998"/>
        <w:gridCol w:w="1270"/>
      </w:tblGrid>
      <w:tr w:rsidR="00452B41" w:rsidRPr="004F51D2" w14:paraId="48EDAB75" w14:textId="77777777" w:rsidTr="009154D8">
        <w:trPr>
          <w:trHeight w:val="356"/>
        </w:trPr>
        <w:tc>
          <w:tcPr>
            <w:tcW w:w="567" w:type="dxa"/>
            <w:tcBorders>
              <w:top w:val="single" w:sz="4" w:space="0" w:color="000000" w:themeColor="text1"/>
              <w:bottom w:val="single" w:sz="4" w:space="0" w:color="auto"/>
              <w:right w:val="nil"/>
            </w:tcBorders>
            <w:vAlign w:val="center"/>
          </w:tcPr>
          <w:p w14:paraId="600CA17D" w14:textId="77777777" w:rsidR="00452B41" w:rsidRPr="004F51D2" w:rsidRDefault="00452B41" w:rsidP="00452B41">
            <w:pPr>
              <w:bidi w:val="0"/>
              <w:spacing w:line="480" w:lineRule="auto"/>
              <w:rPr>
                <w:rFonts w:ascii="Times New Roman" w:hAnsi="Times New Roman" w:cs="Times New Roman"/>
                <w:color w:val="000000" w:themeColor="text1"/>
                <w:sz w:val="16"/>
                <w:szCs w:val="16"/>
              </w:rPr>
            </w:pPr>
          </w:p>
        </w:tc>
        <w:tc>
          <w:tcPr>
            <w:tcW w:w="709" w:type="dxa"/>
            <w:tcBorders>
              <w:top w:val="single" w:sz="4" w:space="0" w:color="000000" w:themeColor="text1"/>
              <w:left w:val="nil"/>
              <w:bottom w:val="single" w:sz="4" w:space="0" w:color="auto"/>
              <w:right w:val="nil"/>
            </w:tcBorders>
            <w:vAlign w:val="center"/>
          </w:tcPr>
          <w:p w14:paraId="5F9C10C0" w14:textId="77777777" w:rsidR="00452B41" w:rsidRPr="004F51D2" w:rsidRDefault="00452B41" w:rsidP="00452B41">
            <w:pPr>
              <w:bidi w:val="0"/>
              <w:spacing w:line="480" w:lineRule="auto"/>
              <w:rPr>
                <w:rFonts w:ascii="Times New Roman" w:hAnsi="Times New Roman" w:cs="Times New Roman"/>
                <w:color w:val="000000" w:themeColor="text1"/>
                <w:sz w:val="16"/>
                <w:szCs w:val="16"/>
              </w:rPr>
            </w:pPr>
            <w:r w:rsidRPr="004F51D2">
              <w:rPr>
                <w:rFonts w:ascii="Times New Roman" w:hAnsi="Times New Roman" w:cs="Times New Roman"/>
                <w:color w:val="000000" w:themeColor="text1"/>
                <w:sz w:val="16"/>
                <w:szCs w:val="16"/>
              </w:rPr>
              <w:t>13</w:t>
            </w:r>
          </w:p>
        </w:tc>
        <w:tc>
          <w:tcPr>
            <w:tcW w:w="709" w:type="dxa"/>
            <w:tcBorders>
              <w:top w:val="single" w:sz="4" w:space="0" w:color="000000" w:themeColor="text1"/>
              <w:left w:val="nil"/>
              <w:bottom w:val="single" w:sz="4" w:space="0" w:color="auto"/>
              <w:right w:val="nil"/>
            </w:tcBorders>
            <w:vAlign w:val="center"/>
          </w:tcPr>
          <w:p w14:paraId="013B7583" w14:textId="77777777" w:rsidR="00452B41" w:rsidRPr="004F51D2" w:rsidRDefault="00452B41" w:rsidP="00452B41">
            <w:pPr>
              <w:bidi w:val="0"/>
              <w:spacing w:line="480" w:lineRule="auto"/>
              <w:rPr>
                <w:rFonts w:ascii="Times New Roman" w:hAnsi="Times New Roman" w:cs="Times New Roman"/>
                <w:color w:val="000000" w:themeColor="text1"/>
                <w:sz w:val="16"/>
                <w:szCs w:val="16"/>
              </w:rPr>
            </w:pPr>
            <w:r w:rsidRPr="004F51D2">
              <w:rPr>
                <w:rFonts w:ascii="Times New Roman" w:hAnsi="Times New Roman" w:cs="Times New Roman"/>
                <w:color w:val="000000" w:themeColor="text1"/>
                <w:sz w:val="16"/>
                <w:szCs w:val="16"/>
              </w:rPr>
              <w:t>12</w:t>
            </w:r>
          </w:p>
        </w:tc>
        <w:tc>
          <w:tcPr>
            <w:tcW w:w="709" w:type="dxa"/>
            <w:tcBorders>
              <w:top w:val="single" w:sz="4" w:space="0" w:color="000000" w:themeColor="text1"/>
              <w:left w:val="nil"/>
              <w:bottom w:val="single" w:sz="4" w:space="0" w:color="auto"/>
              <w:right w:val="nil"/>
            </w:tcBorders>
            <w:vAlign w:val="center"/>
          </w:tcPr>
          <w:p w14:paraId="6117DB4F" w14:textId="77777777" w:rsidR="00452B41" w:rsidRPr="004F51D2" w:rsidRDefault="00452B41" w:rsidP="00452B41">
            <w:pPr>
              <w:bidi w:val="0"/>
              <w:spacing w:line="480" w:lineRule="auto"/>
              <w:rPr>
                <w:rFonts w:ascii="Times New Roman" w:hAnsi="Times New Roman" w:cs="Times New Roman"/>
                <w:color w:val="000000" w:themeColor="text1"/>
                <w:sz w:val="16"/>
                <w:szCs w:val="16"/>
              </w:rPr>
            </w:pPr>
            <w:r w:rsidRPr="004F51D2">
              <w:rPr>
                <w:rFonts w:ascii="Times New Roman" w:hAnsi="Times New Roman" w:cs="Times New Roman"/>
                <w:color w:val="000000" w:themeColor="text1"/>
                <w:sz w:val="16"/>
                <w:szCs w:val="16"/>
              </w:rPr>
              <w:t>11</w:t>
            </w:r>
          </w:p>
        </w:tc>
        <w:tc>
          <w:tcPr>
            <w:tcW w:w="708" w:type="dxa"/>
            <w:tcBorders>
              <w:top w:val="single" w:sz="4" w:space="0" w:color="000000" w:themeColor="text1"/>
              <w:left w:val="nil"/>
              <w:bottom w:val="single" w:sz="4" w:space="0" w:color="auto"/>
              <w:right w:val="nil"/>
            </w:tcBorders>
            <w:vAlign w:val="center"/>
          </w:tcPr>
          <w:p w14:paraId="6B4552CB" w14:textId="77777777" w:rsidR="00452B41" w:rsidRPr="004F51D2" w:rsidRDefault="00452B41" w:rsidP="00452B41">
            <w:pPr>
              <w:bidi w:val="0"/>
              <w:spacing w:line="480" w:lineRule="auto"/>
              <w:rPr>
                <w:rFonts w:ascii="Times New Roman" w:hAnsi="Times New Roman" w:cs="Times New Roman"/>
                <w:color w:val="000000" w:themeColor="text1"/>
                <w:sz w:val="16"/>
                <w:szCs w:val="16"/>
              </w:rPr>
            </w:pPr>
            <w:r w:rsidRPr="004F51D2">
              <w:rPr>
                <w:rFonts w:ascii="Times New Roman" w:hAnsi="Times New Roman" w:cs="Times New Roman"/>
                <w:color w:val="000000" w:themeColor="text1"/>
                <w:sz w:val="16"/>
                <w:szCs w:val="16"/>
              </w:rPr>
              <w:t>10</w:t>
            </w:r>
          </w:p>
        </w:tc>
        <w:tc>
          <w:tcPr>
            <w:tcW w:w="709" w:type="dxa"/>
            <w:tcBorders>
              <w:top w:val="single" w:sz="4" w:space="0" w:color="000000" w:themeColor="text1"/>
              <w:left w:val="nil"/>
              <w:bottom w:val="single" w:sz="4" w:space="0" w:color="auto"/>
              <w:right w:val="nil"/>
            </w:tcBorders>
            <w:vAlign w:val="center"/>
          </w:tcPr>
          <w:p w14:paraId="5D862D08" w14:textId="77777777" w:rsidR="00452B41" w:rsidRPr="004F51D2" w:rsidRDefault="00452B41" w:rsidP="00452B41">
            <w:pPr>
              <w:bidi w:val="0"/>
              <w:spacing w:line="480" w:lineRule="auto"/>
              <w:rPr>
                <w:rFonts w:ascii="Times New Roman" w:hAnsi="Times New Roman" w:cs="Times New Roman"/>
                <w:color w:val="000000" w:themeColor="text1"/>
                <w:sz w:val="16"/>
                <w:szCs w:val="16"/>
              </w:rPr>
            </w:pPr>
            <w:r w:rsidRPr="004F51D2">
              <w:rPr>
                <w:rFonts w:ascii="Times New Roman" w:hAnsi="Times New Roman" w:cs="Times New Roman"/>
                <w:color w:val="000000" w:themeColor="text1"/>
                <w:sz w:val="16"/>
                <w:szCs w:val="16"/>
              </w:rPr>
              <w:t>9</w:t>
            </w:r>
          </w:p>
        </w:tc>
        <w:tc>
          <w:tcPr>
            <w:tcW w:w="709" w:type="dxa"/>
            <w:tcBorders>
              <w:top w:val="single" w:sz="4" w:space="0" w:color="000000" w:themeColor="text1"/>
              <w:left w:val="nil"/>
              <w:bottom w:val="single" w:sz="4" w:space="0" w:color="auto"/>
              <w:right w:val="nil"/>
            </w:tcBorders>
            <w:vAlign w:val="center"/>
          </w:tcPr>
          <w:p w14:paraId="7F7A6C56" w14:textId="77777777" w:rsidR="00452B41" w:rsidRPr="004F51D2" w:rsidRDefault="00452B41" w:rsidP="00452B41">
            <w:pPr>
              <w:bidi w:val="0"/>
              <w:spacing w:line="480" w:lineRule="auto"/>
              <w:rPr>
                <w:rFonts w:ascii="Times New Roman" w:hAnsi="Times New Roman" w:cs="Times New Roman"/>
                <w:color w:val="000000" w:themeColor="text1"/>
                <w:sz w:val="16"/>
                <w:szCs w:val="16"/>
              </w:rPr>
            </w:pPr>
            <w:r w:rsidRPr="004F51D2">
              <w:rPr>
                <w:rFonts w:ascii="Times New Roman" w:hAnsi="Times New Roman" w:cs="Times New Roman"/>
                <w:color w:val="000000" w:themeColor="text1"/>
                <w:sz w:val="16"/>
                <w:szCs w:val="16"/>
              </w:rPr>
              <w:t>8</w:t>
            </w:r>
          </w:p>
        </w:tc>
        <w:tc>
          <w:tcPr>
            <w:tcW w:w="850" w:type="dxa"/>
            <w:tcBorders>
              <w:top w:val="single" w:sz="4" w:space="0" w:color="000000" w:themeColor="text1"/>
              <w:left w:val="nil"/>
              <w:bottom w:val="single" w:sz="4" w:space="0" w:color="auto"/>
              <w:right w:val="nil"/>
            </w:tcBorders>
            <w:vAlign w:val="center"/>
          </w:tcPr>
          <w:p w14:paraId="169B16AE" w14:textId="77777777" w:rsidR="00452B41" w:rsidRPr="004F51D2" w:rsidRDefault="00452B41" w:rsidP="00452B41">
            <w:pPr>
              <w:bidi w:val="0"/>
              <w:spacing w:line="480" w:lineRule="auto"/>
              <w:rPr>
                <w:rFonts w:ascii="Times New Roman" w:hAnsi="Times New Roman" w:cs="Times New Roman"/>
                <w:color w:val="000000" w:themeColor="text1"/>
                <w:sz w:val="16"/>
                <w:szCs w:val="16"/>
              </w:rPr>
            </w:pPr>
            <w:r w:rsidRPr="004F51D2">
              <w:rPr>
                <w:rFonts w:ascii="Times New Roman" w:hAnsi="Times New Roman" w:cs="Times New Roman"/>
                <w:color w:val="000000" w:themeColor="text1"/>
                <w:sz w:val="16"/>
                <w:szCs w:val="16"/>
              </w:rPr>
              <w:t>7</w:t>
            </w:r>
          </w:p>
        </w:tc>
        <w:tc>
          <w:tcPr>
            <w:tcW w:w="709" w:type="dxa"/>
            <w:tcBorders>
              <w:top w:val="single" w:sz="4" w:space="0" w:color="000000" w:themeColor="text1"/>
              <w:left w:val="nil"/>
              <w:bottom w:val="single" w:sz="4" w:space="0" w:color="auto"/>
              <w:right w:val="nil"/>
            </w:tcBorders>
            <w:vAlign w:val="center"/>
          </w:tcPr>
          <w:p w14:paraId="56C1D95E" w14:textId="77777777" w:rsidR="00452B41" w:rsidRPr="004F51D2" w:rsidRDefault="00452B41" w:rsidP="00452B41">
            <w:pPr>
              <w:bidi w:val="0"/>
              <w:spacing w:line="480" w:lineRule="auto"/>
              <w:rPr>
                <w:rFonts w:ascii="Times New Roman" w:hAnsi="Times New Roman" w:cs="Times New Roman"/>
                <w:color w:val="000000" w:themeColor="text1"/>
                <w:sz w:val="16"/>
                <w:szCs w:val="16"/>
              </w:rPr>
            </w:pPr>
            <w:r w:rsidRPr="004F51D2">
              <w:rPr>
                <w:rFonts w:ascii="Times New Roman" w:hAnsi="Times New Roman" w:cs="Times New Roman"/>
                <w:color w:val="000000" w:themeColor="text1"/>
                <w:sz w:val="16"/>
                <w:szCs w:val="16"/>
              </w:rPr>
              <w:t>6</w:t>
            </w:r>
          </w:p>
        </w:tc>
        <w:tc>
          <w:tcPr>
            <w:tcW w:w="709" w:type="dxa"/>
            <w:tcBorders>
              <w:top w:val="single" w:sz="4" w:space="0" w:color="000000" w:themeColor="text1"/>
              <w:left w:val="nil"/>
              <w:bottom w:val="single" w:sz="4" w:space="0" w:color="auto"/>
              <w:right w:val="nil"/>
            </w:tcBorders>
            <w:vAlign w:val="center"/>
          </w:tcPr>
          <w:p w14:paraId="65BCC1EA" w14:textId="77777777" w:rsidR="00452B41" w:rsidRPr="004F51D2" w:rsidRDefault="00452B41" w:rsidP="00452B41">
            <w:pPr>
              <w:bidi w:val="0"/>
              <w:spacing w:line="480" w:lineRule="auto"/>
              <w:rPr>
                <w:rFonts w:ascii="Times New Roman" w:hAnsi="Times New Roman" w:cs="Times New Roman"/>
                <w:color w:val="000000" w:themeColor="text1"/>
                <w:sz w:val="16"/>
                <w:szCs w:val="16"/>
              </w:rPr>
            </w:pPr>
            <w:r w:rsidRPr="004F51D2">
              <w:rPr>
                <w:rFonts w:ascii="Times New Roman" w:hAnsi="Times New Roman" w:cs="Times New Roman"/>
                <w:color w:val="000000" w:themeColor="text1"/>
                <w:sz w:val="16"/>
                <w:szCs w:val="16"/>
              </w:rPr>
              <w:t>5</w:t>
            </w:r>
          </w:p>
        </w:tc>
        <w:tc>
          <w:tcPr>
            <w:tcW w:w="709" w:type="dxa"/>
            <w:tcBorders>
              <w:top w:val="single" w:sz="4" w:space="0" w:color="000000" w:themeColor="text1"/>
              <w:left w:val="nil"/>
              <w:bottom w:val="single" w:sz="4" w:space="0" w:color="auto"/>
              <w:right w:val="nil"/>
            </w:tcBorders>
            <w:vAlign w:val="center"/>
          </w:tcPr>
          <w:p w14:paraId="156814E3" w14:textId="77777777" w:rsidR="00452B41" w:rsidRPr="004F51D2" w:rsidRDefault="00452B41" w:rsidP="00452B41">
            <w:pPr>
              <w:bidi w:val="0"/>
              <w:spacing w:line="480" w:lineRule="auto"/>
              <w:rPr>
                <w:rFonts w:ascii="Times New Roman" w:hAnsi="Times New Roman" w:cs="Times New Roman"/>
                <w:color w:val="000000" w:themeColor="text1"/>
                <w:sz w:val="16"/>
                <w:szCs w:val="16"/>
              </w:rPr>
            </w:pPr>
            <w:r w:rsidRPr="004F51D2">
              <w:rPr>
                <w:rFonts w:ascii="Times New Roman" w:hAnsi="Times New Roman" w:cs="Times New Roman"/>
                <w:color w:val="000000" w:themeColor="text1"/>
                <w:sz w:val="16"/>
                <w:szCs w:val="16"/>
              </w:rPr>
              <w:t>4</w:t>
            </w:r>
          </w:p>
        </w:tc>
        <w:tc>
          <w:tcPr>
            <w:tcW w:w="708" w:type="dxa"/>
            <w:tcBorders>
              <w:top w:val="single" w:sz="4" w:space="0" w:color="000000" w:themeColor="text1"/>
              <w:left w:val="nil"/>
              <w:bottom w:val="single" w:sz="4" w:space="0" w:color="auto"/>
              <w:right w:val="nil"/>
            </w:tcBorders>
            <w:vAlign w:val="center"/>
          </w:tcPr>
          <w:p w14:paraId="54F60B00" w14:textId="77777777" w:rsidR="00452B41" w:rsidRPr="004F51D2" w:rsidRDefault="00452B41" w:rsidP="00452B41">
            <w:pPr>
              <w:bidi w:val="0"/>
              <w:spacing w:line="480" w:lineRule="auto"/>
              <w:rPr>
                <w:rFonts w:ascii="Times New Roman" w:hAnsi="Times New Roman" w:cs="Times New Roman"/>
                <w:color w:val="000000" w:themeColor="text1"/>
                <w:sz w:val="16"/>
                <w:szCs w:val="16"/>
              </w:rPr>
            </w:pPr>
            <w:r w:rsidRPr="004F51D2">
              <w:rPr>
                <w:rFonts w:ascii="Times New Roman" w:hAnsi="Times New Roman" w:cs="Times New Roman"/>
                <w:color w:val="000000" w:themeColor="text1"/>
                <w:sz w:val="16"/>
                <w:szCs w:val="16"/>
              </w:rPr>
              <w:t>3</w:t>
            </w:r>
          </w:p>
        </w:tc>
        <w:tc>
          <w:tcPr>
            <w:tcW w:w="709" w:type="dxa"/>
            <w:tcBorders>
              <w:top w:val="single" w:sz="4" w:space="0" w:color="000000" w:themeColor="text1"/>
              <w:left w:val="nil"/>
              <w:bottom w:val="single" w:sz="4" w:space="0" w:color="auto"/>
              <w:right w:val="nil"/>
            </w:tcBorders>
            <w:vAlign w:val="center"/>
          </w:tcPr>
          <w:p w14:paraId="7E10E43A" w14:textId="77777777" w:rsidR="00452B41" w:rsidRPr="004F51D2" w:rsidRDefault="00452B41" w:rsidP="00452B41">
            <w:pPr>
              <w:bidi w:val="0"/>
              <w:spacing w:line="480" w:lineRule="auto"/>
              <w:rPr>
                <w:rFonts w:ascii="Times New Roman" w:hAnsi="Times New Roman" w:cs="Times New Roman"/>
                <w:color w:val="000000" w:themeColor="text1"/>
                <w:sz w:val="16"/>
                <w:szCs w:val="16"/>
              </w:rPr>
            </w:pPr>
            <w:r w:rsidRPr="004F51D2">
              <w:rPr>
                <w:rFonts w:ascii="Times New Roman" w:hAnsi="Times New Roman" w:cs="Times New Roman"/>
                <w:color w:val="000000" w:themeColor="text1"/>
                <w:sz w:val="16"/>
                <w:szCs w:val="16"/>
              </w:rPr>
              <w:t>2</w:t>
            </w:r>
          </w:p>
        </w:tc>
        <w:tc>
          <w:tcPr>
            <w:tcW w:w="710" w:type="dxa"/>
            <w:tcBorders>
              <w:top w:val="single" w:sz="4" w:space="0" w:color="000000" w:themeColor="text1"/>
              <w:left w:val="nil"/>
              <w:bottom w:val="single" w:sz="4" w:space="0" w:color="auto"/>
              <w:right w:val="nil"/>
            </w:tcBorders>
            <w:vAlign w:val="center"/>
          </w:tcPr>
          <w:p w14:paraId="69106E1E" w14:textId="77777777" w:rsidR="00452B41" w:rsidRPr="004F51D2" w:rsidRDefault="00452B41" w:rsidP="00452B41">
            <w:pPr>
              <w:bidi w:val="0"/>
              <w:spacing w:line="480" w:lineRule="auto"/>
              <w:rPr>
                <w:rFonts w:ascii="Times New Roman" w:hAnsi="Times New Roman" w:cs="Times New Roman"/>
                <w:color w:val="000000" w:themeColor="text1"/>
                <w:sz w:val="16"/>
                <w:szCs w:val="16"/>
              </w:rPr>
            </w:pPr>
            <w:r w:rsidRPr="004F51D2">
              <w:rPr>
                <w:rFonts w:ascii="Times New Roman" w:hAnsi="Times New Roman" w:cs="Times New Roman"/>
                <w:color w:val="000000" w:themeColor="text1"/>
                <w:sz w:val="16"/>
                <w:szCs w:val="16"/>
              </w:rPr>
              <w:t>1</w:t>
            </w:r>
          </w:p>
        </w:tc>
        <w:tc>
          <w:tcPr>
            <w:tcW w:w="849" w:type="dxa"/>
            <w:tcBorders>
              <w:top w:val="single" w:sz="4" w:space="0" w:color="000000" w:themeColor="text1"/>
              <w:left w:val="nil"/>
              <w:bottom w:val="single" w:sz="4" w:space="0" w:color="auto"/>
              <w:right w:val="nil"/>
            </w:tcBorders>
          </w:tcPr>
          <w:p w14:paraId="365D6837" w14:textId="77777777" w:rsidR="00452B41" w:rsidRPr="004F51D2" w:rsidRDefault="00452B41" w:rsidP="00452B41">
            <w:pPr>
              <w:bidi w:val="0"/>
              <w:spacing w:line="480" w:lineRule="auto"/>
              <w:rPr>
                <w:rFonts w:ascii="Times New Roman" w:hAnsi="Times New Roman" w:cs="Times New Roman"/>
                <w:color w:val="000000" w:themeColor="text1"/>
                <w:sz w:val="16"/>
                <w:szCs w:val="16"/>
              </w:rPr>
            </w:pPr>
            <w:r w:rsidRPr="004F51D2">
              <w:rPr>
                <w:rFonts w:ascii="Times New Roman" w:eastAsia="Arial Unicode MS" w:hAnsi="Times New Roman" w:cs="Times New Roman"/>
                <w:sz w:val="16"/>
                <w:szCs w:val="16"/>
                <w:bdr w:val="nil"/>
              </w:rPr>
              <w:t>Skewness</w:t>
            </w:r>
          </w:p>
        </w:tc>
        <w:tc>
          <w:tcPr>
            <w:tcW w:w="851" w:type="dxa"/>
            <w:tcBorders>
              <w:top w:val="single" w:sz="4" w:space="0" w:color="000000" w:themeColor="text1"/>
              <w:left w:val="nil"/>
              <w:bottom w:val="single" w:sz="4" w:space="0" w:color="auto"/>
              <w:right w:val="nil"/>
            </w:tcBorders>
          </w:tcPr>
          <w:p w14:paraId="3873CE5D" w14:textId="77777777" w:rsidR="00452B41" w:rsidRPr="004F51D2" w:rsidRDefault="00452B41" w:rsidP="00452B41">
            <w:pPr>
              <w:bidi w:val="0"/>
              <w:spacing w:line="480" w:lineRule="auto"/>
              <w:rPr>
                <w:rFonts w:ascii="Times New Roman" w:hAnsi="Times New Roman" w:cs="Times New Roman"/>
                <w:color w:val="000000" w:themeColor="text1"/>
                <w:sz w:val="16"/>
                <w:szCs w:val="16"/>
              </w:rPr>
            </w:pPr>
            <w:r w:rsidRPr="004F51D2">
              <w:rPr>
                <w:rFonts w:ascii="Times New Roman" w:eastAsia="Arial Unicode MS" w:hAnsi="Times New Roman" w:cs="Times New Roman"/>
                <w:sz w:val="16"/>
                <w:szCs w:val="16"/>
                <w:bdr w:val="nil"/>
              </w:rPr>
              <w:t>Kurtosis</w:t>
            </w:r>
          </w:p>
        </w:tc>
        <w:tc>
          <w:tcPr>
            <w:tcW w:w="998" w:type="dxa"/>
            <w:tcBorders>
              <w:top w:val="single" w:sz="4" w:space="0" w:color="000000" w:themeColor="text1"/>
              <w:left w:val="nil"/>
              <w:bottom w:val="single" w:sz="4" w:space="0" w:color="auto"/>
              <w:right w:val="nil"/>
            </w:tcBorders>
            <w:vAlign w:val="center"/>
          </w:tcPr>
          <w:p w14:paraId="4DC08B18" w14:textId="77777777" w:rsidR="00452B41" w:rsidRPr="004F51D2" w:rsidRDefault="00452B41" w:rsidP="00452B41">
            <w:pPr>
              <w:bidi w:val="0"/>
              <w:spacing w:line="480" w:lineRule="auto"/>
              <w:rPr>
                <w:rFonts w:ascii="Times New Roman" w:hAnsi="Times New Roman" w:cs="Times New Roman"/>
                <w:color w:val="000000" w:themeColor="text1"/>
                <w:sz w:val="16"/>
                <w:szCs w:val="16"/>
              </w:rPr>
            </w:pPr>
            <w:r w:rsidRPr="004F51D2">
              <w:rPr>
                <w:rFonts w:ascii="Times New Roman" w:hAnsi="Times New Roman" w:cs="Times New Roman"/>
                <w:color w:val="000000" w:themeColor="text1"/>
                <w:sz w:val="16"/>
                <w:szCs w:val="16"/>
              </w:rPr>
              <w:t>M (SD)</w:t>
            </w:r>
          </w:p>
        </w:tc>
        <w:tc>
          <w:tcPr>
            <w:tcW w:w="1270" w:type="dxa"/>
            <w:tcBorders>
              <w:top w:val="single" w:sz="4" w:space="0" w:color="000000" w:themeColor="text1"/>
              <w:left w:val="nil"/>
              <w:bottom w:val="single" w:sz="4" w:space="0" w:color="auto"/>
            </w:tcBorders>
            <w:vAlign w:val="center"/>
          </w:tcPr>
          <w:p w14:paraId="6EA4F23B" w14:textId="77777777" w:rsidR="00452B41" w:rsidRPr="004F51D2" w:rsidRDefault="00452B41" w:rsidP="00452B41">
            <w:pPr>
              <w:bidi w:val="0"/>
              <w:spacing w:line="480" w:lineRule="auto"/>
              <w:rPr>
                <w:rFonts w:ascii="Times New Roman" w:hAnsi="Times New Roman" w:cs="Times New Roman"/>
                <w:color w:val="000000" w:themeColor="text1"/>
                <w:sz w:val="16"/>
                <w:szCs w:val="16"/>
              </w:rPr>
            </w:pPr>
            <w:r w:rsidRPr="004F51D2">
              <w:rPr>
                <w:rFonts w:ascii="Times New Roman" w:hAnsi="Times New Roman" w:cs="Times New Roman"/>
                <w:color w:val="000000" w:themeColor="text1"/>
                <w:sz w:val="16"/>
                <w:szCs w:val="16"/>
              </w:rPr>
              <w:t>Variables</w:t>
            </w:r>
          </w:p>
        </w:tc>
      </w:tr>
      <w:tr w:rsidR="00452B41" w:rsidRPr="004F51D2" w14:paraId="18079D66" w14:textId="77777777" w:rsidTr="009154D8">
        <w:tc>
          <w:tcPr>
            <w:tcW w:w="567" w:type="dxa"/>
            <w:tcBorders>
              <w:top w:val="single" w:sz="4" w:space="0" w:color="auto"/>
              <w:bottom w:val="nil"/>
              <w:right w:val="nil"/>
            </w:tcBorders>
            <w:vAlign w:val="center"/>
          </w:tcPr>
          <w:p w14:paraId="60D7823E" w14:textId="77777777" w:rsidR="00452B41" w:rsidRPr="004F51D2" w:rsidRDefault="00452B41" w:rsidP="00452B41">
            <w:pPr>
              <w:bidi w:val="0"/>
              <w:spacing w:line="480" w:lineRule="auto"/>
              <w:rPr>
                <w:rFonts w:ascii="Times New Roman" w:hAnsi="Times New Roman" w:cs="Times New Roman"/>
                <w:color w:val="000000" w:themeColor="text1"/>
                <w:sz w:val="14"/>
                <w:szCs w:val="14"/>
                <w:rtl/>
              </w:rPr>
            </w:pPr>
          </w:p>
        </w:tc>
        <w:tc>
          <w:tcPr>
            <w:tcW w:w="709" w:type="dxa"/>
            <w:tcBorders>
              <w:top w:val="single" w:sz="4" w:space="0" w:color="auto"/>
              <w:left w:val="nil"/>
              <w:bottom w:val="nil"/>
              <w:right w:val="nil"/>
            </w:tcBorders>
            <w:vAlign w:val="center"/>
          </w:tcPr>
          <w:p w14:paraId="46AC5D17" w14:textId="77777777" w:rsidR="00452B41" w:rsidRPr="004F51D2" w:rsidRDefault="00452B41" w:rsidP="00452B41">
            <w:pPr>
              <w:bidi w:val="0"/>
              <w:spacing w:line="480" w:lineRule="auto"/>
              <w:rPr>
                <w:rFonts w:ascii="Times New Roman" w:hAnsi="Times New Roman" w:cs="Times New Roman"/>
                <w:color w:val="000000" w:themeColor="text1"/>
                <w:sz w:val="14"/>
                <w:szCs w:val="14"/>
                <w:rtl/>
              </w:rPr>
            </w:pPr>
          </w:p>
        </w:tc>
        <w:tc>
          <w:tcPr>
            <w:tcW w:w="709" w:type="dxa"/>
            <w:tcBorders>
              <w:top w:val="single" w:sz="4" w:space="0" w:color="auto"/>
              <w:left w:val="nil"/>
              <w:bottom w:val="nil"/>
              <w:right w:val="nil"/>
            </w:tcBorders>
            <w:vAlign w:val="center"/>
          </w:tcPr>
          <w:p w14:paraId="5D7C09A7" w14:textId="77777777" w:rsidR="00452B41" w:rsidRPr="004F51D2" w:rsidRDefault="00452B41" w:rsidP="00452B41">
            <w:pPr>
              <w:bidi w:val="0"/>
              <w:spacing w:line="480" w:lineRule="auto"/>
              <w:rPr>
                <w:rFonts w:ascii="Times New Roman" w:hAnsi="Times New Roman" w:cs="Times New Roman"/>
                <w:color w:val="000000" w:themeColor="text1"/>
                <w:sz w:val="14"/>
                <w:szCs w:val="14"/>
                <w:rtl/>
              </w:rPr>
            </w:pPr>
          </w:p>
        </w:tc>
        <w:tc>
          <w:tcPr>
            <w:tcW w:w="709" w:type="dxa"/>
            <w:tcBorders>
              <w:top w:val="single" w:sz="4" w:space="0" w:color="auto"/>
              <w:left w:val="nil"/>
              <w:bottom w:val="nil"/>
              <w:right w:val="nil"/>
            </w:tcBorders>
            <w:vAlign w:val="center"/>
          </w:tcPr>
          <w:p w14:paraId="7A8B44C0" w14:textId="77777777" w:rsidR="00452B41" w:rsidRPr="004F51D2" w:rsidRDefault="00452B41" w:rsidP="00452B41">
            <w:pPr>
              <w:bidi w:val="0"/>
              <w:spacing w:line="480" w:lineRule="auto"/>
              <w:rPr>
                <w:rFonts w:ascii="Times New Roman" w:hAnsi="Times New Roman" w:cs="Times New Roman"/>
                <w:color w:val="000000" w:themeColor="text1"/>
                <w:sz w:val="14"/>
                <w:szCs w:val="14"/>
                <w:rtl/>
              </w:rPr>
            </w:pPr>
          </w:p>
        </w:tc>
        <w:tc>
          <w:tcPr>
            <w:tcW w:w="708" w:type="dxa"/>
            <w:tcBorders>
              <w:top w:val="single" w:sz="4" w:space="0" w:color="auto"/>
              <w:left w:val="nil"/>
              <w:bottom w:val="nil"/>
              <w:right w:val="nil"/>
            </w:tcBorders>
            <w:vAlign w:val="center"/>
          </w:tcPr>
          <w:p w14:paraId="4BD967F8" w14:textId="77777777" w:rsidR="00452B41" w:rsidRPr="004F51D2" w:rsidRDefault="00452B41" w:rsidP="00452B41">
            <w:pPr>
              <w:bidi w:val="0"/>
              <w:spacing w:line="480" w:lineRule="auto"/>
              <w:rPr>
                <w:rFonts w:ascii="Times New Roman" w:hAnsi="Times New Roman" w:cs="Times New Roman"/>
                <w:color w:val="000000" w:themeColor="text1"/>
                <w:sz w:val="14"/>
                <w:szCs w:val="14"/>
                <w:rtl/>
              </w:rPr>
            </w:pPr>
          </w:p>
        </w:tc>
        <w:tc>
          <w:tcPr>
            <w:tcW w:w="709" w:type="dxa"/>
            <w:tcBorders>
              <w:top w:val="single" w:sz="4" w:space="0" w:color="auto"/>
              <w:left w:val="nil"/>
              <w:bottom w:val="nil"/>
              <w:right w:val="nil"/>
            </w:tcBorders>
            <w:vAlign w:val="center"/>
          </w:tcPr>
          <w:p w14:paraId="6E76766C" w14:textId="77777777" w:rsidR="00452B41" w:rsidRPr="004F51D2" w:rsidRDefault="00452B41" w:rsidP="00452B41">
            <w:pPr>
              <w:bidi w:val="0"/>
              <w:spacing w:line="480" w:lineRule="auto"/>
              <w:rPr>
                <w:rFonts w:ascii="Times New Roman" w:hAnsi="Times New Roman" w:cs="Times New Roman"/>
                <w:color w:val="000000" w:themeColor="text1"/>
                <w:sz w:val="14"/>
                <w:szCs w:val="14"/>
                <w:rtl/>
              </w:rPr>
            </w:pPr>
          </w:p>
        </w:tc>
        <w:tc>
          <w:tcPr>
            <w:tcW w:w="709" w:type="dxa"/>
            <w:tcBorders>
              <w:top w:val="single" w:sz="4" w:space="0" w:color="auto"/>
              <w:left w:val="nil"/>
              <w:bottom w:val="nil"/>
              <w:right w:val="nil"/>
            </w:tcBorders>
            <w:vAlign w:val="center"/>
          </w:tcPr>
          <w:p w14:paraId="51AA0B90" w14:textId="77777777" w:rsidR="00452B41" w:rsidRPr="004F51D2" w:rsidRDefault="00452B41" w:rsidP="00452B41">
            <w:pPr>
              <w:bidi w:val="0"/>
              <w:spacing w:line="480" w:lineRule="auto"/>
              <w:rPr>
                <w:rFonts w:ascii="Times New Roman" w:hAnsi="Times New Roman" w:cs="Times New Roman"/>
                <w:color w:val="000000" w:themeColor="text1"/>
                <w:sz w:val="14"/>
                <w:szCs w:val="14"/>
                <w:rtl/>
              </w:rPr>
            </w:pPr>
          </w:p>
        </w:tc>
        <w:tc>
          <w:tcPr>
            <w:tcW w:w="850" w:type="dxa"/>
            <w:tcBorders>
              <w:top w:val="single" w:sz="4" w:space="0" w:color="auto"/>
              <w:left w:val="nil"/>
              <w:bottom w:val="nil"/>
              <w:right w:val="nil"/>
            </w:tcBorders>
            <w:vAlign w:val="center"/>
          </w:tcPr>
          <w:p w14:paraId="038A76BF" w14:textId="77777777" w:rsidR="00452B41" w:rsidRPr="004F51D2" w:rsidRDefault="00452B41" w:rsidP="00452B41">
            <w:pPr>
              <w:bidi w:val="0"/>
              <w:spacing w:line="480" w:lineRule="auto"/>
              <w:rPr>
                <w:rFonts w:ascii="Times New Roman" w:hAnsi="Times New Roman" w:cs="Times New Roman"/>
                <w:color w:val="000000" w:themeColor="text1"/>
                <w:sz w:val="14"/>
                <w:szCs w:val="14"/>
                <w:rtl/>
              </w:rPr>
            </w:pPr>
          </w:p>
        </w:tc>
        <w:tc>
          <w:tcPr>
            <w:tcW w:w="709" w:type="dxa"/>
            <w:tcBorders>
              <w:top w:val="single" w:sz="4" w:space="0" w:color="auto"/>
              <w:left w:val="nil"/>
              <w:bottom w:val="nil"/>
              <w:right w:val="nil"/>
            </w:tcBorders>
            <w:vAlign w:val="center"/>
          </w:tcPr>
          <w:p w14:paraId="71FA3249" w14:textId="77777777" w:rsidR="00452B41" w:rsidRPr="004F51D2" w:rsidRDefault="00452B41" w:rsidP="00452B41">
            <w:pPr>
              <w:bidi w:val="0"/>
              <w:spacing w:line="480" w:lineRule="auto"/>
              <w:rPr>
                <w:rFonts w:ascii="Times New Roman" w:hAnsi="Times New Roman" w:cs="Times New Roman"/>
                <w:color w:val="000000" w:themeColor="text1"/>
                <w:sz w:val="14"/>
                <w:szCs w:val="14"/>
                <w:rtl/>
              </w:rPr>
            </w:pPr>
          </w:p>
        </w:tc>
        <w:tc>
          <w:tcPr>
            <w:tcW w:w="709" w:type="dxa"/>
            <w:tcBorders>
              <w:top w:val="single" w:sz="4" w:space="0" w:color="auto"/>
              <w:left w:val="nil"/>
              <w:bottom w:val="nil"/>
              <w:right w:val="nil"/>
            </w:tcBorders>
            <w:vAlign w:val="center"/>
          </w:tcPr>
          <w:p w14:paraId="2667FD80" w14:textId="77777777" w:rsidR="00452B41" w:rsidRPr="004F51D2" w:rsidRDefault="00452B41" w:rsidP="00452B41">
            <w:pPr>
              <w:bidi w:val="0"/>
              <w:spacing w:line="480" w:lineRule="auto"/>
              <w:rPr>
                <w:rFonts w:ascii="Times New Roman" w:hAnsi="Times New Roman" w:cs="Times New Roman"/>
                <w:color w:val="000000" w:themeColor="text1"/>
                <w:sz w:val="14"/>
                <w:szCs w:val="14"/>
                <w:rtl/>
              </w:rPr>
            </w:pPr>
          </w:p>
        </w:tc>
        <w:tc>
          <w:tcPr>
            <w:tcW w:w="709" w:type="dxa"/>
            <w:tcBorders>
              <w:top w:val="single" w:sz="4" w:space="0" w:color="auto"/>
              <w:left w:val="nil"/>
              <w:bottom w:val="nil"/>
              <w:right w:val="nil"/>
            </w:tcBorders>
            <w:vAlign w:val="center"/>
          </w:tcPr>
          <w:p w14:paraId="7E74EF63" w14:textId="77777777" w:rsidR="00452B41" w:rsidRPr="004F51D2" w:rsidRDefault="00452B41" w:rsidP="00452B41">
            <w:pPr>
              <w:bidi w:val="0"/>
              <w:spacing w:line="480" w:lineRule="auto"/>
              <w:rPr>
                <w:rFonts w:ascii="Times New Roman" w:hAnsi="Times New Roman" w:cs="Times New Roman"/>
                <w:color w:val="000000" w:themeColor="text1"/>
                <w:sz w:val="14"/>
                <w:szCs w:val="14"/>
                <w:rtl/>
              </w:rPr>
            </w:pPr>
          </w:p>
        </w:tc>
        <w:tc>
          <w:tcPr>
            <w:tcW w:w="708" w:type="dxa"/>
            <w:tcBorders>
              <w:top w:val="single" w:sz="4" w:space="0" w:color="auto"/>
              <w:left w:val="nil"/>
              <w:bottom w:val="nil"/>
              <w:right w:val="nil"/>
            </w:tcBorders>
            <w:vAlign w:val="center"/>
          </w:tcPr>
          <w:p w14:paraId="6710ABA3" w14:textId="77777777" w:rsidR="00452B41" w:rsidRPr="004F51D2" w:rsidRDefault="00452B41" w:rsidP="00452B41">
            <w:pPr>
              <w:bidi w:val="0"/>
              <w:spacing w:line="480" w:lineRule="auto"/>
              <w:rPr>
                <w:rFonts w:ascii="Times New Roman" w:hAnsi="Times New Roman" w:cs="Times New Roman"/>
                <w:color w:val="000000" w:themeColor="text1"/>
                <w:sz w:val="14"/>
                <w:szCs w:val="14"/>
                <w:rtl/>
              </w:rPr>
            </w:pPr>
          </w:p>
        </w:tc>
        <w:tc>
          <w:tcPr>
            <w:tcW w:w="709" w:type="dxa"/>
            <w:tcBorders>
              <w:top w:val="single" w:sz="4" w:space="0" w:color="auto"/>
              <w:left w:val="nil"/>
              <w:bottom w:val="nil"/>
              <w:right w:val="nil"/>
            </w:tcBorders>
            <w:vAlign w:val="center"/>
          </w:tcPr>
          <w:p w14:paraId="05958407" w14:textId="77777777" w:rsidR="00452B41" w:rsidRPr="004F51D2" w:rsidRDefault="00452B41" w:rsidP="00452B41">
            <w:pPr>
              <w:bidi w:val="0"/>
              <w:spacing w:line="480" w:lineRule="auto"/>
              <w:rPr>
                <w:rFonts w:ascii="Times New Roman" w:hAnsi="Times New Roman" w:cs="Times New Roman"/>
                <w:color w:val="000000" w:themeColor="text1"/>
                <w:sz w:val="14"/>
                <w:szCs w:val="14"/>
                <w:rtl/>
              </w:rPr>
            </w:pPr>
          </w:p>
        </w:tc>
        <w:tc>
          <w:tcPr>
            <w:tcW w:w="710" w:type="dxa"/>
            <w:tcBorders>
              <w:top w:val="single" w:sz="4" w:space="0" w:color="auto"/>
              <w:left w:val="nil"/>
              <w:bottom w:val="nil"/>
              <w:right w:val="nil"/>
            </w:tcBorders>
            <w:vAlign w:val="center"/>
          </w:tcPr>
          <w:p w14:paraId="53F6C507" w14:textId="77777777" w:rsidR="00452B41" w:rsidRPr="004F51D2" w:rsidRDefault="00452B41" w:rsidP="00452B41">
            <w:pPr>
              <w:bidi w:val="0"/>
              <w:spacing w:line="480" w:lineRule="auto"/>
              <w:rPr>
                <w:rFonts w:ascii="Times New Roman" w:hAnsi="Times New Roman" w:cs="Times New Roman"/>
                <w:color w:val="000000" w:themeColor="text1"/>
                <w:sz w:val="14"/>
                <w:szCs w:val="14"/>
              </w:rPr>
            </w:pPr>
            <w:r w:rsidRPr="004F51D2">
              <w:rPr>
                <w:rFonts w:ascii="Times New Roman" w:hAnsi="Times New Roman" w:cs="Times New Roman"/>
                <w:color w:val="000000" w:themeColor="text1"/>
                <w:sz w:val="14"/>
                <w:szCs w:val="14"/>
              </w:rPr>
              <w:t>1</w:t>
            </w:r>
          </w:p>
        </w:tc>
        <w:tc>
          <w:tcPr>
            <w:tcW w:w="849" w:type="dxa"/>
            <w:tcBorders>
              <w:top w:val="single" w:sz="4" w:space="0" w:color="auto"/>
              <w:left w:val="nil"/>
              <w:bottom w:val="nil"/>
              <w:right w:val="nil"/>
            </w:tcBorders>
          </w:tcPr>
          <w:p w14:paraId="3CF17822" w14:textId="5F023B79" w:rsidR="00452B41" w:rsidRPr="004F51D2" w:rsidRDefault="00452B41" w:rsidP="00452B41">
            <w:pPr>
              <w:bidi w:val="0"/>
              <w:spacing w:line="480" w:lineRule="auto"/>
              <w:rPr>
                <w:rFonts w:ascii="Times New Roman" w:hAnsi="Times New Roman" w:cs="Times New Roman"/>
                <w:color w:val="000000" w:themeColor="text1"/>
                <w:sz w:val="14"/>
                <w:szCs w:val="14"/>
              </w:rPr>
            </w:pPr>
            <w:r w:rsidRPr="004F51D2">
              <w:rPr>
                <w:rFonts w:ascii="Times New Roman" w:eastAsia="Arial Unicode MS" w:hAnsi="Times New Roman" w:cs="Times New Roman"/>
                <w:sz w:val="14"/>
                <w:szCs w:val="14"/>
                <w:bdr w:val="nil"/>
              </w:rPr>
              <w:t>-0.39</w:t>
            </w:r>
          </w:p>
        </w:tc>
        <w:tc>
          <w:tcPr>
            <w:tcW w:w="851" w:type="dxa"/>
            <w:tcBorders>
              <w:top w:val="single" w:sz="4" w:space="0" w:color="auto"/>
              <w:left w:val="nil"/>
              <w:bottom w:val="nil"/>
              <w:right w:val="nil"/>
            </w:tcBorders>
          </w:tcPr>
          <w:p w14:paraId="169A7AFC" w14:textId="2363A76B" w:rsidR="00452B41" w:rsidRPr="004F51D2" w:rsidRDefault="00452B41" w:rsidP="00452B41">
            <w:pPr>
              <w:bidi w:val="0"/>
              <w:spacing w:line="480" w:lineRule="auto"/>
              <w:rPr>
                <w:rFonts w:ascii="Times New Roman" w:hAnsi="Times New Roman" w:cs="Times New Roman"/>
                <w:color w:val="000000" w:themeColor="text1"/>
                <w:sz w:val="14"/>
                <w:szCs w:val="14"/>
              </w:rPr>
            </w:pPr>
            <w:r w:rsidRPr="004F51D2">
              <w:rPr>
                <w:rFonts w:ascii="Times New Roman" w:eastAsia="Arial Unicode MS" w:hAnsi="Times New Roman" w:cs="Times New Roman"/>
                <w:sz w:val="14"/>
                <w:szCs w:val="14"/>
                <w:bdr w:val="nil"/>
              </w:rPr>
              <w:t>0.56</w:t>
            </w:r>
          </w:p>
        </w:tc>
        <w:tc>
          <w:tcPr>
            <w:tcW w:w="998" w:type="dxa"/>
            <w:tcBorders>
              <w:top w:val="single" w:sz="4" w:space="0" w:color="auto"/>
              <w:left w:val="nil"/>
              <w:bottom w:val="nil"/>
              <w:right w:val="nil"/>
            </w:tcBorders>
            <w:vAlign w:val="center"/>
          </w:tcPr>
          <w:p w14:paraId="3F6CC5BA" w14:textId="77777777" w:rsidR="00452B41" w:rsidRPr="004F51D2" w:rsidRDefault="00452B41" w:rsidP="00452B41">
            <w:pPr>
              <w:bidi w:val="0"/>
              <w:spacing w:line="480" w:lineRule="auto"/>
              <w:rPr>
                <w:rFonts w:ascii="Times New Roman" w:hAnsi="Times New Roman" w:cs="Times New Roman"/>
                <w:color w:val="000000" w:themeColor="text1"/>
                <w:sz w:val="14"/>
                <w:szCs w:val="14"/>
              </w:rPr>
            </w:pPr>
            <w:r w:rsidRPr="004F51D2">
              <w:rPr>
                <w:rFonts w:ascii="Times New Roman" w:hAnsi="Times New Roman" w:cs="Times New Roman"/>
                <w:color w:val="000000" w:themeColor="text1"/>
                <w:sz w:val="14"/>
                <w:szCs w:val="14"/>
              </w:rPr>
              <w:t>41.96 (15.0)</w:t>
            </w:r>
          </w:p>
        </w:tc>
        <w:tc>
          <w:tcPr>
            <w:tcW w:w="1270" w:type="dxa"/>
            <w:tcBorders>
              <w:top w:val="single" w:sz="4" w:space="0" w:color="auto"/>
              <w:left w:val="nil"/>
              <w:bottom w:val="nil"/>
            </w:tcBorders>
            <w:vAlign w:val="center"/>
          </w:tcPr>
          <w:p w14:paraId="4AEA428B" w14:textId="13A2C96B" w:rsidR="00452B41" w:rsidRPr="004F51D2" w:rsidRDefault="007C6232" w:rsidP="00452B41">
            <w:pPr>
              <w:bidi w:val="0"/>
              <w:spacing w:line="480" w:lineRule="auto"/>
              <w:rPr>
                <w:rFonts w:ascii="Times New Roman" w:hAnsi="Times New Roman" w:cs="Times New Roman"/>
                <w:color w:val="000000" w:themeColor="text1"/>
                <w:sz w:val="14"/>
                <w:szCs w:val="14"/>
              </w:rPr>
            </w:pPr>
            <w:r w:rsidRPr="004F51D2">
              <w:rPr>
                <w:rFonts w:ascii="Times New Roman" w:hAnsi="Times New Roman" w:cs="Times New Roman"/>
                <w:color w:val="000000" w:themeColor="text1"/>
                <w:sz w:val="14"/>
                <w:szCs w:val="14"/>
              </w:rPr>
              <w:t xml:space="preserve">1. </w:t>
            </w:r>
            <w:r w:rsidR="00452B41" w:rsidRPr="004F51D2">
              <w:rPr>
                <w:rFonts w:ascii="Times New Roman" w:hAnsi="Times New Roman" w:cs="Times New Roman"/>
                <w:color w:val="000000" w:themeColor="text1"/>
                <w:sz w:val="14"/>
                <w:szCs w:val="14"/>
              </w:rPr>
              <w:t>POGQ</w:t>
            </w:r>
          </w:p>
        </w:tc>
      </w:tr>
      <w:tr w:rsidR="00452B41" w:rsidRPr="004F51D2" w14:paraId="36749314" w14:textId="77777777" w:rsidTr="009154D8">
        <w:tc>
          <w:tcPr>
            <w:tcW w:w="567" w:type="dxa"/>
            <w:tcBorders>
              <w:top w:val="nil"/>
              <w:bottom w:val="nil"/>
              <w:right w:val="nil"/>
            </w:tcBorders>
            <w:vAlign w:val="center"/>
          </w:tcPr>
          <w:p w14:paraId="772E0FCB" w14:textId="77777777" w:rsidR="00452B41" w:rsidRPr="004F51D2" w:rsidRDefault="00452B41" w:rsidP="00452B41">
            <w:pPr>
              <w:bidi w:val="0"/>
              <w:spacing w:line="480" w:lineRule="auto"/>
              <w:rPr>
                <w:rFonts w:ascii="Times New Roman" w:hAnsi="Times New Roman" w:cs="Times New Roman"/>
                <w:color w:val="000000" w:themeColor="text1"/>
                <w:sz w:val="14"/>
                <w:szCs w:val="14"/>
                <w:rtl/>
              </w:rPr>
            </w:pPr>
          </w:p>
        </w:tc>
        <w:tc>
          <w:tcPr>
            <w:tcW w:w="709" w:type="dxa"/>
            <w:tcBorders>
              <w:top w:val="nil"/>
              <w:left w:val="nil"/>
              <w:bottom w:val="nil"/>
              <w:right w:val="nil"/>
            </w:tcBorders>
            <w:vAlign w:val="center"/>
          </w:tcPr>
          <w:p w14:paraId="3D20D25C" w14:textId="77777777" w:rsidR="00452B41" w:rsidRPr="004F51D2" w:rsidRDefault="00452B41" w:rsidP="00452B41">
            <w:pPr>
              <w:bidi w:val="0"/>
              <w:spacing w:line="480" w:lineRule="auto"/>
              <w:rPr>
                <w:rFonts w:ascii="Times New Roman" w:hAnsi="Times New Roman" w:cs="Times New Roman"/>
                <w:color w:val="000000" w:themeColor="text1"/>
                <w:sz w:val="14"/>
                <w:szCs w:val="14"/>
                <w:rtl/>
              </w:rPr>
            </w:pPr>
          </w:p>
        </w:tc>
        <w:tc>
          <w:tcPr>
            <w:tcW w:w="709" w:type="dxa"/>
            <w:tcBorders>
              <w:top w:val="nil"/>
              <w:left w:val="nil"/>
              <w:bottom w:val="nil"/>
              <w:right w:val="nil"/>
            </w:tcBorders>
            <w:vAlign w:val="center"/>
          </w:tcPr>
          <w:p w14:paraId="2F32F7C1" w14:textId="77777777" w:rsidR="00452B41" w:rsidRPr="004F51D2" w:rsidRDefault="00452B41" w:rsidP="00452B41">
            <w:pPr>
              <w:bidi w:val="0"/>
              <w:spacing w:line="480" w:lineRule="auto"/>
              <w:rPr>
                <w:rFonts w:ascii="Times New Roman" w:hAnsi="Times New Roman" w:cs="Times New Roman"/>
                <w:color w:val="000000" w:themeColor="text1"/>
                <w:sz w:val="14"/>
                <w:szCs w:val="14"/>
                <w:rtl/>
              </w:rPr>
            </w:pPr>
          </w:p>
        </w:tc>
        <w:tc>
          <w:tcPr>
            <w:tcW w:w="709" w:type="dxa"/>
            <w:tcBorders>
              <w:top w:val="nil"/>
              <w:left w:val="nil"/>
              <w:bottom w:val="nil"/>
              <w:right w:val="nil"/>
            </w:tcBorders>
            <w:vAlign w:val="center"/>
          </w:tcPr>
          <w:p w14:paraId="515762E8" w14:textId="77777777" w:rsidR="00452B41" w:rsidRPr="004F51D2" w:rsidRDefault="00452B41" w:rsidP="00452B41">
            <w:pPr>
              <w:bidi w:val="0"/>
              <w:spacing w:line="480" w:lineRule="auto"/>
              <w:rPr>
                <w:rFonts w:ascii="Times New Roman" w:hAnsi="Times New Roman" w:cs="Times New Roman"/>
                <w:color w:val="000000" w:themeColor="text1"/>
                <w:sz w:val="14"/>
                <w:szCs w:val="14"/>
                <w:rtl/>
              </w:rPr>
            </w:pPr>
          </w:p>
        </w:tc>
        <w:tc>
          <w:tcPr>
            <w:tcW w:w="708" w:type="dxa"/>
            <w:tcBorders>
              <w:top w:val="nil"/>
              <w:left w:val="nil"/>
              <w:bottom w:val="nil"/>
              <w:right w:val="nil"/>
            </w:tcBorders>
            <w:vAlign w:val="center"/>
          </w:tcPr>
          <w:p w14:paraId="207A362D" w14:textId="77777777" w:rsidR="00452B41" w:rsidRPr="004F51D2" w:rsidRDefault="00452B41" w:rsidP="00452B41">
            <w:pPr>
              <w:bidi w:val="0"/>
              <w:spacing w:line="480" w:lineRule="auto"/>
              <w:rPr>
                <w:rFonts w:ascii="Times New Roman" w:hAnsi="Times New Roman" w:cs="Times New Roman"/>
                <w:color w:val="000000" w:themeColor="text1"/>
                <w:sz w:val="14"/>
                <w:szCs w:val="14"/>
                <w:rtl/>
              </w:rPr>
            </w:pPr>
          </w:p>
        </w:tc>
        <w:tc>
          <w:tcPr>
            <w:tcW w:w="709" w:type="dxa"/>
            <w:tcBorders>
              <w:top w:val="nil"/>
              <w:left w:val="nil"/>
              <w:bottom w:val="nil"/>
              <w:right w:val="nil"/>
            </w:tcBorders>
            <w:vAlign w:val="center"/>
          </w:tcPr>
          <w:p w14:paraId="0B7D124D" w14:textId="77777777" w:rsidR="00452B41" w:rsidRPr="004F51D2" w:rsidRDefault="00452B41" w:rsidP="00452B41">
            <w:pPr>
              <w:bidi w:val="0"/>
              <w:spacing w:line="480" w:lineRule="auto"/>
              <w:rPr>
                <w:rFonts w:ascii="Times New Roman" w:hAnsi="Times New Roman" w:cs="Times New Roman"/>
                <w:color w:val="000000" w:themeColor="text1"/>
                <w:sz w:val="14"/>
                <w:szCs w:val="14"/>
                <w:rtl/>
              </w:rPr>
            </w:pPr>
          </w:p>
        </w:tc>
        <w:tc>
          <w:tcPr>
            <w:tcW w:w="709" w:type="dxa"/>
            <w:tcBorders>
              <w:top w:val="nil"/>
              <w:left w:val="nil"/>
              <w:bottom w:val="nil"/>
              <w:right w:val="nil"/>
            </w:tcBorders>
            <w:vAlign w:val="center"/>
          </w:tcPr>
          <w:p w14:paraId="5833BF0E" w14:textId="77777777" w:rsidR="00452B41" w:rsidRPr="004F51D2" w:rsidRDefault="00452B41" w:rsidP="00452B41">
            <w:pPr>
              <w:bidi w:val="0"/>
              <w:spacing w:line="480" w:lineRule="auto"/>
              <w:rPr>
                <w:rFonts w:ascii="Times New Roman" w:hAnsi="Times New Roman" w:cs="Times New Roman"/>
                <w:color w:val="000000" w:themeColor="text1"/>
                <w:sz w:val="14"/>
                <w:szCs w:val="14"/>
                <w:rtl/>
              </w:rPr>
            </w:pPr>
          </w:p>
        </w:tc>
        <w:tc>
          <w:tcPr>
            <w:tcW w:w="850" w:type="dxa"/>
            <w:tcBorders>
              <w:top w:val="nil"/>
              <w:left w:val="nil"/>
              <w:bottom w:val="nil"/>
              <w:right w:val="nil"/>
            </w:tcBorders>
            <w:vAlign w:val="center"/>
          </w:tcPr>
          <w:p w14:paraId="543566EF" w14:textId="77777777" w:rsidR="00452B41" w:rsidRPr="004F51D2" w:rsidRDefault="00452B41" w:rsidP="00452B41">
            <w:pPr>
              <w:bidi w:val="0"/>
              <w:spacing w:line="480" w:lineRule="auto"/>
              <w:rPr>
                <w:rFonts w:ascii="Times New Roman" w:hAnsi="Times New Roman" w:cs="Times New Roman"/>
                <w:color w:val="000000" w:themeColor="text1"/>
                <w:sz w:val="14"/>
                <w:szCs w:val="14"/>
                <w:rtl/>
              </w:rPr>
            </w:pPr>
          </w:p>
        </w:tc>
        <w:tc>
          <w:tcPr>
            <w:tcW w:w="709" w:type="dxa"/>
            <w:tcBorders>
              <w:top w:val="nil"/>
              <w:left w:val="nil"/>
              <w:bottom w:val="nil"/>
              <w:right w:val="nil"/>
            </w:tcBorders>
            <w:vAlign w:val="center"/>
          </w:tcPr>
          <w:p w14:paraId="1FBAB96A" w14:textId="77777777" w:rsidR="00452B41" w:rsidRPr="004F51D2" w:rsidRDefault="00452B41" w:rsidP="00452B41">
            <w:pPr>
              <w:bidi w:val="0"/>
              <w:spacing w:line="480" w:lineRule="auto"/>
              <w:rPr>
                <w:rFonts w:ascii="Times New Roman" w:hAnsi="Times New Roman" w:cs="Times New Roman"/>
                <w:color w:val="000000" w:themeColor="text1"/>
                <w:sz w:val="14"/>
                <w:szCs w:val="14"/>
                <w:rtl/>
              </w:rPr>
            </w:pPr>
          </w:p>
        </w:tc>
        <w:tc>
          <w:tcPr>
            <w:tcW w:w="709" w:type="dxa"/>
            <w:tcBorders>
              <w:top w:val="nil"/>
              <w:left w:val="nil"/>
              <w:bottom w:val="nil"/>
              <w:right w:val="nil"/>
            </w:tcBorders>
            <w:vAlign w:val="center"/>
          </w:tcPr>
          <w:p w14:paraId="5967E223" w14:textId="77777777" w:rsidR="00452B41" w:rsidRPr="004F51D2" w:rsidRDefault="00452B41" w:rsidP="00452B41">
            <w:pPr>
              <w:bidi w:val="0"/>
              <w:spacing w:line="480" w:lineRule="auto"/>
              <w:rPr>
                <w:rFonts w:ascii="Times New Roman" w:hAnsi="Times New Roman" w:cs="Times New Roman"/>
                <w:color w:val="000000" w:themeColor="text1"/>
                <w:sz w:val="14"/>
                <w:szCs w:val="14"/>
                <w:rtl/>
              </w:rPr>
            </w:pPr>
          </w:p>
        </w:tc>
        <w:tc>
          <w:tcPr>
            <w:tcW w:w="709" w:type="dxa"/>
            <w:tcBorders>
              <w:top w:val="nil"/>
              <w:left w:val="nil"/>
              <w:bottom w:val="nil"/>
              <w:right w:val="nil"/>
            </w:tcBorders>
            <w:vAlign w:val="center"/>
          </w:tcPr>
          <w:p w14:paraId="015B2F43" w14:textId="77777777" w:rsidR="00452B41" w:rsidRPr="004F51D2" w:rsidRDefault="00452B41" w:rsidP="00452B41">
            <w:pPr>
              <w:bidi w:val="0"/>
              <w:spacing w:line="480" w:lineRule="auto"/>
              <w:rPr>
                <w:rFonts w:ascii="Times New Roman" w:hAnsi="Times New Roman" w:cs="Times New Roman"/>
                <w:color w:val="000000" w:themeColor="text1"/>
                <w:sz w:val="14"/>
                <w:szCs w:val="14"/>
                <w:rtl/>
              </w:rPr>
            </w:pPr>
          </w:p>
        </w:tc>
        <w:tc>
          <w:tcPr>
            <w:tcW w:w="708" w:type="dxa"/>
            <w:tcBorders>
              <w:top w:val="nil"/>
              <w:left w:val="nil"/>
              <w:bottom w:val="nil"/>
              <w:right w:val="nil"/>
            </w:tcBorders>
            <w:vAlign w:val="center"/>
          </w:tcPr>
          <w:p w14:paraId="2230C8F3" w14:textId="77777777" w:rsidR="00452B41" w:rsidRPr="004F51D2" w:rsidRDefault="00452B41" w:rsidP="00452B41">
            <w:pPr>
              <w:bidi w:val="0"/>
              <w:spacing w:line="480" w:lineRule="auto"/>
              <w:rPr>
                <w:rFonts w:ascii="Times New Roman" w:hAnsi="Times New Roman" w:cs="Times New Roman"/>
                <w:color w:val="000000" w:themeColor="text1"/>
                <w:sz w:val="14"/>
                <w:szCs w:val="14"/>
                <w:rtl/>
              </w:rPr>
            </w:pPr>
          </w:p>
        </w:tc>
        <w:tc>
          <w:tcPr>
            <w:tcW w:w="709" w:type="dxa"/>
            <w:tcBorders>
              <w:top w:val="nil"/>
              <w:left w:val="nil"/>
              <w:bottom w:val="nil"/>
              <w:right w:val="nil"/>
            </w:tcBorders>
            <w:vAlign w:val="center"/>
          </w:tcPr>
          <w:p w14:paraId="4499E12E" w14:textId="77777777" w:rsidR="00452B41" w:rsidRPr="004F51D2" w:rsidRDefault="00452B41" w:rsidP="00452B41">
            <w:pPr>
              <w:bidi w:val="0"/>
              <w:spacing w:line="480" w:lineRule="auto"/>
              <w:rPr>
                <w:rFonts w:ascii="Times New Roman" w:hAnsi="Times New Roman" w:cs="Times New Roman"/>
                <w:color w:val="000000" w:themeColor="text1"/>
                <w:sz w:val="14"/>
                <w:szCs w:val="14"/>
              </w:rPr>
            </w:pPr>
            <w:r w:rsidRPr="004F51D2">
              <w:rPr>
                <w:rFonts w:ascii="Times New Roman" w:hAnsi="Times New Roman" w:cs="Times New Roman"/>
                <w:color w:val="000000" w:themeColor="text1"/>
                <w:sz w:val="14"/>
                <w:szCs w:val="14"/>
              </w:rPr>
              <w:t>1</w:t>
            </w:r>
          </w:p>
        </w:tc>
        <w:tc>
          <w:tcPr>
            <w:tcW w:w="710" w:type="dxa"/>
            <w:tcBorders>
              <w:top w:val="nil"/>
              <w:left w:val="nil"/>
              <w:bottom w:val="nil"/>
              <w:right w:val="nil"/>
            </w:tcBorders>
            <w:vAlign w:val="center"/>
          </w:tcPr>
          <w:p w14:paraId="5E606AF4" w14:textId="77777777" w:rsidR="00452B41" w:rsidRPr="004F51D2" w:rsidRDefault="00452B41" w:rsidP="00452B41">
            <w:pPr>
              <w:bidi w:val="0"/>
              <w:spacing w:line="480" w:lineRule="auto"/>
              <w:rPr>
                <w:rFonts w:ascii="Times New Roman" w:hAnsi="Times New Roman" w:cs="Times New Roman"/>
                <w:color w:val="000000" w:themeColor="text1"/>
                <w:sz w:val="14"/>
                <w:szCs w:val="14"/>
              </w:rPr>
            </w:pPr>
            <w:r w:rsidRPr="004F51D2">
              <w:rPr>
                <w:rFonts w:ascii="Times New Roman" w:hAnsi="Times New Roman" w:cs="Times New Roman"/>
                <w:color w:val="000000" w:themeColor="text1"/>
                <w:sz w:val="14"/>
                <w:szCs w:val="14"/>
              </w:rPr>
              <w:t>0.106*</w:t>
            </w:r>
          </w:p>
        </w:tc>
        <w:tc>
          <w:tcPr>
            <w:tcW w:w="849" w:type="dxa"/>
            <w:tcBorders>
              <w:top w:val="nil"/>
              <w:left w:val="nil"/>
              <w:bottom w:val="nil"/>
              <w:right w:val="nil"/>
            </w:tcBorders>
          </w:tcPr>
          <w:p w14:paraId="33F3EE81" w14:textId="57F81E20" w:rsidR="00452B41" w:rsidRPr="004F51D2" w:rsidRDefault="00452B41" w:rsidP="00452B41">
            <w:pPr>
              <w:bidi w:val="0"/>
              <w:spacing w:line="480" w:lineRule="auto"/>
              <w:rPr>
                <w:rFonts w:ascii="Times New Roman" w:hAnsi="Times New Roman" w:cs="Times New Roman"/>
                <w:color w:val="000000" w:themeColor="text1"/>
                <w:sz w:val="14"/>
                <w:szCs w:val="14"/>
              </w:rPr>
            </w:pPr>
            <w:r w:rsidRPr="004F51D2">
              <w:rPr>
                <w:rFonts w:ascii="Times New Roman" w:eastAsia="Arial Unicode MS" w:hAnsi="Times New Roman" w:cs="Times New Roman"/>
                <w:sz w:val="14"/>
                <w:szCs w:val="14"/>
                <w:bdr w:val="nil"/>
              </w:rPr>
              <w:t>0.17</w:t>
            </w:r>
          </w:p>
        </w:tc>
        <w:tc>
          <w:tcPr>
            <w:tcW w:w="851" w:type="dxa"/>
            <w:tcBorders>
              <w:top w:val="nil"/>
              <w:left w:val="nil"/>
              <w:bottom w:val="nil"/>
              <w:right w:val="nil"/>
            </w:tcBorders>
          </w:tcPr>
          <w:p w14:paraId="301198DD" w14:textId="37D82F44" w:rsidR="00452B41" w:rsidRPr="004F51D2" w:rsidRDefault="00452B41" w:rsidP="00452B41">
            <w:pPr>
              <w:bidi w:val="0"/>
              <w:spacing w:line="480" w:lineRule="auto"/>
              <w:rPr>
                <w:rFonts w:ascii="Times New Roman" w:hAnsi="Times New Roman" w:cs="Times New Roman"/>
                <w:color w:val="000000" w:themeColor="text1"/>
                <w:sz w:val="14"/>
                <w:szCs w:val="14"/>
              </w:rPr>
            </w:pPr>
            <w:r w:rsidRPr="004F51D2">
              <w:rPr>
                <w:rFonts w:ascii="Times New Roman" w:eastAsia="Arial Unicode MS" w:hAnsi="Times New Roman" w:cs="Times New Roman"/>
                <w:sz w:val="14"/>
                <w:szCs w:val="14"/>
                <w:bdr w:val="nil"/>
              </w:rPr>
              <w:t>-0.12</w:t>
            </w:r>
          </w:p>
        </w:tc>
        <w:tc>
          <w:tcPr>
            <w:tcW w:w="998" w:type="dxa"/>
            <w:tcBorders>
              <w:top w:val="nil"/>
              <w:left w:val="nil"/>
              <w:bottom w:val="nil"/>
              <w:right w:val="nil"/>
            </w:tcBorders>
            <w:vAlign w:val="center"/>
          </w:tcPr>
          <w:p w14:paraId="2E22337F" w14:textId="77777777" w:rsidR="00452B41" w:rsidRPr="004F51D2" w:rsidRDefault="00452B41" w:rsidP="00452B41">
            <w:pPr>
              <w:bidi w:val="0"/>
              <w:spacing w:line="480" w:lineRule="auto"/>
              <w:rPr>
                <w:rFonts w:ascii="Times New Roman" w:hAnsi="Times New Roman" w:cs="Times New Roman"/>
                <w:color w:val="000000" w:themeColor="text1"/>
                <w:sz w:val="14"/>
                <w:szCs w:val="14"/>
              </w:rPr>
            </w:pPr>
            <w:r w:rsidRPr="004F51D2">
              <w:rPr>
                <w:rFonts w:ascii="Times New Roman" w:hAnsi="Times New Roman" w:cs="Times New Roman"/>
                <w:color w:val="000000" w:themeColor="text1"/>
                <w:sz w:val="14"/>
                <w:szCs w:val="14"/>
              </w:rPr>
              <w:t>6.24 (1.70)</w:t>
            </w:r>
          </w:p>
        </w:tc>
        <w:tc>
          <w:tcPr>
            <w:tcW w:w="1270" w:type="dxa"/>
            <w:tcBorders>
              <w:top w:val="nil"/>
              <w:left w:val="nil"/>
              <w:bottom w:val="nil"/>
            </w:tcBorders>
          </w:tcPr>
          <w:p w14:paraId="711E6779" w14:textId="7A216B43" w:rsidR="00452B41" w:rsidRPr="004F51D2" w:rsidRDefault="007C6232" w:rsidP="009154D8">
            <w:pPr>
              <w:bidi w:val="0"/>
              <w:spacing w:line="480" w:lineRule="auto"/>
              <w:rPr>
                <w:rFonts w:ascii="Times New Roman" w:hAnsi="Times New Roman" w:cs="Times New Roman"/>
                <w:color w:val="000000" w:themeColor="text1"/>
                <w:sz w:val="14"/>
                <w:szCs w:val="14"/>
              </w:rPr>
            </w:pPr>
            <w:r w:rsidRPr="004F51D2">
              <w:rPr>
                <w:rFonts w:asciiTheme="majorBidi" w:hAnsiTheme="majorBidi" w:cstheme="majorBidi"/>
                <w:sz w:val="14"/>
                <w:szCs w:val="14"/>
              </w:rPr>
              <w:t xml:space="preserve">2. </w:t>
            </w:r>
            <w:r w:rsidR="009154D8" w:rsidRPr="004F51D2">
              <w:rPr>
                <w:rFonts w:asciiTheme="majorBidi" w:hAnsiTheme="majorBidi" w:cstheme="majorBidi"/>
                <w:sz w:val="14"/>
                <w:szCs w:val="14"/>
              </w:rPr>
              <w:t>BFI-</w:t>
            </w:r>
            <w:r w:rsidR="00452B41" w:rsidRPr="004F51D2">
              <w:rPr>
                <w:rFonts w:asciiTheme="majorBidi" w:hAnsiTheme="majorBidi" w:cstheme="majorBidi"/>
                <w:sz w:val="14"/>
                <w:szCs w:val="14"/>
              </w:rPr>
              <w:t>E</w:t>
            </w:r>
          </w:p>
        </w:tc>
      </w:tr>
      <w:tr w:rsidR="00452B41" w:rsidRPr="004F51D2" w14:paraId="58D84F98" w14:textId="77777777" w:rsidTr="009154D8">
        <w:tc>
          <w:tcPr>
            <w:tcW w:w="567" w:type="dxa"/>
            <w:tcBorders>
              <w:top w:val="nil"/>
              <w:bottom w:val="nil"/>
              <w:right w:val="nil"/>
            </w:tcBorders>
            <w:vAlign w:val="center"/>
          </w:tcPr>
          <w:p w14:paraId="313B4580" w14:textId="77777777" w:rsidR="00452B41" w:rsidRPr="004F51D2" w:rsidRDefault="00452B41" w:rsidP="00452B41">
            <w:pPr>
              <w:bidi w:val="0"/>
              <w:spacing w:line="480" w:lineRule="auto"/>
              <w:rPr>
                <w:rFonts w:ascii="Times New Roman" w:hAnsi="Times New Roman" w:cs="Times New Roman"/>
                <w:color w:val="000000" w:themeColor="text1"/>
                <w:sz w:val="14"/>
                <w:szCs w:val="14"/>
                <w:rtl/>
              </w:rPr>
            </w:pPr>
          </w:p>
        </w:tc>
        <w:tc>
          <w:tcPr>
            <w:tcW w:w="709" w:type="dxa"/>
            <w:tcBorders>
              <w:top w:val="nil"/>
              <w:left w:val="nil"/>
              <w:bottom w:val="nil"/>
              <w:right w:val="nil"/>
            </w:tcBorders>
            <w:vAlign w:val="center"/>
          </w:tcPr>
          <w:p w14:paraId="49E6142B" w14:textId="77777777" w:rsidR="00452B41" w:rsidRPr="004F51D2" w:rsidRDefault="00452B41" w:rsidP="00452B41">
            <w:pPr>
              <w:bidi w:val="0"/>
              <w:spacing w:line="480" w:lineRule="auto"/>
              <w:rPr>
                <w:rFonts w:ascii="Times New Roman" w:hAnsi="Times New Roman" w:cs="Times New Roman"/>
                <w:color w:val="000000" w:themeColor="text1"/>
                <w:sz w:val="14"/>
                <w:szCs w:val="14"/>
                <w:rtl/>
              </w:rPr>
            </w:pPr>
          </w:p>
        </w:tc>
        <w:tc>
          <w:tcPr>
            <w:tcW w:w="709" w:type="dxa"/>
            <w:tcBorders>
              <w:top w:val="nil"/>
              <w:left w:val="nil"/>
              <w:bottom w:val="nil"/>
              <w:right w:val="nil"/>
            </w:tcBorders>
            <w:vAlign w:val="center"/>
          </w:tcPr>
          <w:p w14:paraId="1AA09934" w14:textId="77777777" w:rsidR="00452B41" w:rsidRPr="004F51D2" w:rsidRDefault="00452B41" w:rsidP="00452B41">
            <w:pPr>
              <w:bidi w:val="0"/>
              <w:spacing w:line="480" w:lineRule="auto"/>
              <w:rPr>
                <w:rFonts w:ascii="Times New Roman" w:hAnsi="Times New Roman" w:cs="Times New Roman"/>
                <w:color w:val="000000" w:themeColor="text1"/>
                <w:sz w:val="14"/>
                <w:szCs w:val="14"/>
                <w:rtl/>
              </w:rPr>
            </w:pPr>
          </w:p>
        </w:tc>
        <w:tc>
          <w:tcPr>
            <w:tcW w:w="709" w:type="dxa"/>
            <w:tcBorders>
              <w:top w:val="nil"/>
              <w:left w:val="nil"/>
              <w:bottom w:val="nil"/>
              <w:right w:val="nil"/>
            </w:tcBorders>
            <w:vAlign w:val="center"/>
          </w:tcPr>
          <w:p w14:paraId="1E2222BB" w14:textId="77777777" w:rsidR="00452B41" w:rsidRPr="004F51D2" w:rsidRDefault="00452B41" w:rsidP="00452B41">
            <w:pPr>
              <w:bidi w:val="0"/>
              <w:spacing w:line="480" w:lineRule="auto"/>
              <w:rPr>
                <w:rFonts w:ascii="Times New Roman" w:hAnsi="Times New Roman" w:cs="Times New Roman"/>
                <w:color w:val="000000" w:themeColor="text1"/>
                <w:sz w:val="14"/>
                <w:szCs w:val="14"/>
                <w:rtl/>
              </w:rPr>
            </w:pPr>
          </w:p>
        </w:tc>
        <w:tc>
          <w:tcPr>
            <w:tcW w:w="708" w:type="dxa"/>
            <w:tcBorders>
              <w:top w:val="nil"/>
              <w:left w:val="nil"/>
              <w:bottom w:val="nil"/>
              <w:right w:val="nil"/>
            </w:tcBorders>
            <w:vAlign w:val="center"/>
          </w:tcPr>
          <w:p w14:paraId="1E9B1450" w14:textId="77777777" w:rsidR="00452B41" w:rsidRPr="004F51D2" w:rsidRDefault="00452B41" w:rsidP="00452B41">
            <w:pPr>
              <w:bidi w:val="0"/>
              <w:spacing w:line="480" w:lineRule="auto"/>
              <w:rPr>
                <w:rFonts w:ascii="Times New Roman" w:hAnsi="Times New Roman" w:cs="Times New Roman"/>
                <w:color w:val="000000" w:themeColor="text1"/>
                <w:sz w:val="14"/>
                <w:szCs w:val="14"/>
                <w:rtl/>
              </w:rPr>
            </w:pPr>
          </w:p>
        </w:tc>
        <w:tc>
          <w:tcPr>
            <w:tcW w:w="709" w:type="dxa"/>
            <w:tcBorders>
              <w:top w:val="nil"/>
              <w:left w:val="nil"/>
              <w:bottom w:val="nil"/>
              <w:right w:val="nil"/>
            </w:tcBorders>
            <w:vAlign w:val="center"/>
          </w:tcPr>
          <w:p w14:paraId="3E66F344" w14:textId="77777777" w:rsidR="00452B41" w:rsidRPr="004F51D2" w:rsidRDefault="00452B41" w:rsidP="00452B41">
            <w:pPr>
              <w:bidi w:val="0"/>
              <w:spacing w:line="480" w:lineRule="auto"/>
              <w:rPr>
                <w:rFonts w:ascii="Times New Roman" w:hAnsi="Times New Roman" w:cs="Times New Roman"/>
                <w:color w:val="000000" w:themeColor="text1"/>
                <w:sz w:val="14"/>
                <w:szCs w:val="14"/>
                <w:rtl/>
              </w:rPr>
            </w:pPr>
          </w:p>
        </w:tc>
        <w:tc>
          <w:tcPr>
            <w:tcW w:w="709" w:type="dxa"/>
            <w:tcBorders>
              <w:top w:val="nil"/>
              <w:left w:val="nil"/>
              <w:bottom w:val="nil"/>
              <w:right w:val="nil"/>
            </w:tcBorders>
            <w:vAlign w:val="center"/>
          </w:tcPr>
          <w:p w14:paraId="0E8F4602" w14:textId="77777777" w:rsidR="00452B41" w:rsidRPr="004F51D2" w:rsidRDefault="00452B41" w:rsidP="00452B41">
            <w:pPr>
              <w:bidi w:val="0"/>
              <w:spacing w:line="480" w:lineRule="auto"/>
              <w:rPr>
                <w:rFonts w:ascii="Times New Roman" w:hAnsi="Times New Roman" w:cs="Times New Roman"/>
                <w:color w:val="000000" w:themeColor="text1"/>
                <w:sz w:val="14"/>
                <w:szCs w:val="14"/>
                <w:rtl/>
              </w:rPr>
            </w:pPr>
          </w:p>
        </w:tc>
        <w:tc>
          <w:tcPr>
            <w:tcW w:w="850" w:type="dxa"/>
            <w:tcBorders>
              <w:top w:val="nil"/>
              <w:left w:val="nil"/>
              <w:bottom w:val="nil"/>
              <w:right w:val="nil"/>
            </w:tcBorders>
            <w:vAlign w:val="center"/>
          </w:tcPr>
          <w:p w14:paraId="297D6716" w14:textId="77777777" w:rsidR="00452B41" w:rsidRPr="004F51D2" w:rsidRDefault="00452B41" w:rsidP="00452B41">
            <w:pPr>
              <w:bidi w:val="0"/>
              <w:spacing w:line="480" w:lineRule="auto"/>
              <w:rPr>
                <w:rFonts w:ascii="Times New Roman" w:hAnsi="Times New Roman" w:cs="Times New Roman"/>
                <w:color w:val="000000" w:themeColor="text1"/>
                <w:sz w:val="14"/>
                <w:szCs w:val="14"/>
                <w:rtl/>
              </w:rPr>
            </w:pPr>
          </w:p>
        </w:tc>
        <w:tc>
          <w:tcPr>
            <w:tcW w:w="709" w:type="dxa"/>
            <w:tcBorders>
              <w:top w:val="nil"/>
              <w:left w:val="nil"/>
              <w:bottom w:val="nil"/>
              <w:right w:val="nil"/>
            </w:tcBorders>
            <w:vAlign w:val="center"/>
          </w:tcPr>
          <w:p w14:paraId="4AE87ED9" w14:textId="77777777" w:rsidR="00452B41" w:rsidRPr="004F51D2" w:rsidRDefault="00452B41" w:rsidP="00452B41">
            <w:pPr>
              <w:bidi w:val="0"/>
              <w:spacing w:line="480" w:lineRule="auto"/>
              <w:rPr>
                <w:rFonts w:ascii="Times New Roman" w:hAnsi="Times New Roman" w:cs="Times New Roman"/>
                <w:color w:val="000000" w:themeColor="text1"/>
                <w:sz w:val="14"/>
                <w:szCs w:val="14"/>
                <w:rtl/>
              </w:rPr>
            </w:pPr>
          </w:p>
        </w:tc>
        <w:tc>
          <w:tcPr>
            <w:tcW w:w="709" w:type="dxa"/>
            <w:tcBorders>
              <w:top w:val="nil"/>
              <w:left w:val="nil"/>
              <w:bottom w:val="nil"/>
              <w:right w:val="nil"/>
            </w:tcBorders>
            <w:vAlign w:val="center"/>
          </w:tcPr>
          <w:p w14:paraId="54572C17" w14:textId="77777777" w:rsidR="00452B41" w:rsidRPr="004F51D2" w:rsidRDefault="00452B41" w:rsidP="00452B41">
            <w:pPr>
              <w:bidi w:val="0"/>
              <w:spacing w:line="480" w:lineRule="auto"/>
              <w:rPr>
                <w:rFonts w:ascii="Times New Roman" w:hAnsi="Times New Roman" w:cs="Times New Roman"/>
                <w:color w:val="000000" w:themeColor="text1"/>
                <w:sz w:val="14"/>
                <w:szCs w:val="14"/>
                <w:rtl/>
              </w:rPr>
            </w:pPr>
          </w:p>
        </w:tc>
        <w:tc>
          <w:tcPr>
            <w:tcW w:w="709" w:type="dxa"/>
            <w:tcBorders>
              <w:top w:val="nil"/>
              <w:left w:val="nil"/>
              <w:bottom w:val="nil"/>
              <w:right w:val="nil"/>
            </w:tcBorders>
            <w:vAlign w:val="center"/>
          </w:tcPr>
          <w:p w14:paraId="2F433F5B" w14:textId="77777777" w:rsidR="00452B41" w:rsidRPr="004F51D2" w:rsidRDefault="00452B41" w:rsidP="00452B41">
            <w:pPr>
              <w:bidi w:val="0"/>
              <w:spacing w:line="480" w:lineRule="auto"/>
              <w:rPr>
                <w:rFonts w:ascii="Times New Roman" w:hAnsi="Times New Roman" w:cs="Times New Roman"/>
                <w:color w:val="000000" w:themeColor="text1"/>
                <w:sz w:val="14"/>
                <w:szCs w:val="14"/>
                <w:rtl/>
              </w:rPr>
            </w:pPr>
          </w:p>
        </w:tc>
        <w:tc>
          <w:tcPr>
            <w:tcW w:w="708" w:type="dxa"/>
            <w:tcBorders>
              <w:top w:val="nil"/>
              <w:left w:val="nil"/>
              <w:bottom w:val="nil"/>
              <w:right w:val="nil"/>
            </w:tcBorders>
            <w:vAlign w:val="center"/>
          </w:tcPr>
          <w:p w14:paraId="41E24719" w14:textId="77777777" w:rsidR="00452B41" w:rsidRPr="004F51D2" w:rsidRDefault="00452B41" w:rsidP="00452B41">
            <w:pPr>
              <w:bidi w:val="0"/>
              <w:spacing w:line="480" w:lineRule="auto"/>
              <w:rPr>
                <w:rFonts w:ascii="Times New Roman" w:hAnsi="Times New Roman" w:cs="Times New Roman"/>
                <w:color w:val="000000" w:themeColor="text1"/>
                <w:sz w:val="14"/>
                <w:szCs w:val="14"/>
              </w:rPr>
            </w:pPr>
            <w:r w:rsidRPr="004F51D2">
              <w:rPr>
                <w:rFonts w:ascii="Times New Roman" w:hAnsi="Times New Roman" w:cs="Times New Roman"/>
                <w:color w:val="000000" w:themeColor="text1"/>
                <w:sz w:val="14"/>
                <w:szCs w:val="14"/>
              </w:rPr>
              <w:t>1</w:t>
            </w:r>
          </w:p>
        </w:tc>
        <w:tc>
          <w:tcPr>
            <w:tcW w:w="709" w:type="dxa"/>
            <w:tcBorders>
              <w:top w:val="nil"/>
              <w:left w:val="nil"/>
              <w:bottom w:val="nil"/>
              <w:right w:val="nil"/>
            </w:tcBorders>
            <w:vAlign w:val="center"/>
          </w:tcPr>
          <w:p w14:paraId="20CE5709" w14:textId="77777777" w:rsidR="00452B41" w:rsidRPr="004F51D2" w:rsidRDefault="00452B41" w:rsidP="00452B41">
            <w:pPr>
              <w:bidi w:val="0"/>
              <w:spacing w:line="480" w:lineRule="auto"/>
              <w:rPr>
                <w:rFonts w:ascii="Times New Roman" w:hAnsi="Times New Roman" w:cs="Times New Roman"/>
                <w:color w:val="000000" w:themeColor="text1"/>
                <w:sz w:val="14"/>
                <w:szCs w:val="14"/>
              </w:rPr>
            </w:pPr>
            <w:r w:rsidRPr="004F51D2">
              <w:rPr>
                <w:rFonts w:ascii="Times New Roman" w:hAnsi="Times New Roman" w:cs="Times New Roman"/>
                <w:color w:val="000000" w:themeColor="text1"/>
                <w:sz w:val="14"/>
                <w:szCs w:val="14"/>
              </w:rPr>
              <w:t>0.225**</w:t>
            </w:r>
          </w:p>
        </w:tc>
        <w:tc>
          <w:tcPr>
            <w:tcW w:w="710" w:type="dxa"/>
            <w:tcBorders>
              <w:top w:val="nil"/>
              <w:left w:val="nil"/>
              <w:bottom w:val="nil"/>
              <w:right w:val="nil"/>
            </w:tcBorders>
            <w:vAlign w:val="center"/>
          </w:tcPr>
          <w:p w14:paraId="26EDBCA7" w14:textId="77777777" w:rsidR="00452B41" w:rsidRPr="004F51D2" w:rsidRDefault="00452B41" w:rsidP="00452B41">
            <w:pPr>
              <w:bidi w:val="0"/>
              <w:spacing w:line="480" w:lineRule="auto"/>
              <w:rPr>
                <w:rFonts w:ascii="Times New Roman" w:hAnsi="Times New Roman" w:cs="Times New Roman"/>
                <w:color w:val="000000" w:themeColor="text1"/>
                <w:sz w:val="14"/>
                <w:szCs w:val="14"/>
              </w:rPr>
            </w:pPr>
            <w:r w:rsidRPr="004F51D2">
              <w:rPr>
                <w:rFonts w:ascii="Times New Roman" w:hAnsi="Times New Roman" w:cs="Times New Roman"/>
                <w:color w:val="000000" w:themeColor="text1"/>
                <w:sz w:val="14"/>
                <w:szCs w:val="14"/>
              </w:rPr>
              <w:t>0.091</w:t>
            </w:r>
          </w:p>
        </w:tc>
        <w:tc>
          <w:tcPr>
            <w:tcW w:w="849" w:type="dxa"/>
            <w:tcBorders>
              <w:top w:val="nil"/>
              <w:left w:val="nil"/>
              <w:bottom w:val="nil"/>
              <w:right w:val="nil"/>
            </w:tcBorders>
          </w:tcPr>
          <w:p w14:paraId="096B17FB" w14:textId="146C445C" w:rsidR="00452B41" w:rsidRPr="004F51D2" w:rsidRDefault="00452B41" w:rsidP="00452B41">
            <w:pPr>
              <w:bidi w:val="0"/>
              <w:spacing w:line="480" w:lineRule="auto"/>
              <w:rPr>
                <w:rFonts w:ascii="Times New Roman" w:hAnsi="Times New Roman" w:cs="Times New Roman"/>
                <w:color w:val="000000" w:themeColor="text1"/>
                <w:sz w:val="14"/>
                <w:szCs w:val="14"/>
              </w:rPr>
            </w:pPr>
            <w:r w:rsidRPr="004F51D2">
              <w:rPr>
                <w:rFonts w:ascii="Times New Roman" w:eastAsia="Arial Unicode MS" w:hAnsi="Times New Roman" w:cs="Times New Roman"/>
                <w:sz w:val="14"/>
                <w:szCs w:val="14"/>
                <w:bdr w:val="nil"/>
              </w:rPr>
              <w:t>-0.37</w:t>
            </w:r>
          </w:p>
        </w:tc>
        <w:tc>
          <w:tcPr>
            <w:tcW w:w="851" w:type="dxa"/>
            <w:tcBorders>
              <w:top w:val="nil"/>
              <w:left w:val="nil"/>
              <w:bottom w:val="nil"/>
              <w:right w:val="nil"/>
            </w:tcBorders>
          </w:tcPr>
          <w:p w14:paraId="6C83AC55" w14:textId="31989354" w:rsidR="00452B41" w:rsidRPr="004F51D2" w:rsidRDefault="00452B41" w:rsidP="00452B41">
            <w:pPr>
              <w:bidi w:val="0"/>
              <w:spacing w:line="480" w:lineRule="auto"/>
              <w:rPr>
                <w:rFonts w:ascii="Times New Roman" w:hAnsi="Times New Roman" w:cs="Times New Roman"/>
                <w:color w:val="000000" w:themeColor="text1"/>
                <w:sz w:val="14"/>
                <w:szCs w:val="14"/>
              </w:rPr>
            </w:pPr>
            <w:r w:rsidRPr="004F51D2">
              <w:rPr>
                <w:rFonts w:ascii="Times New Roman" w:eastAsia="Arial Unicode MS" w:hAnsi="Times New Roman" w:cs="Times New Roman"/>
                <w:sz w:val="14"/>
                <w:szCs w:val="14"/>
                <w:bdr w:val="nil"/>
              </w:rPr>
              <w:t>0.19</w:t>
            </w:r>
          </w:p>
        </w:tc>
        <w:tc>
          <w:tcPr>
            <w:tcW w:w="998" w:type="dxa"/>
            <w:tcBorders>
              <w:top w:val="nil"/>
              <w:left w:val="nil"/>
              <w:bottom w:val="nil"/>
              <w:right w:val="nil"/>
            </w:tcBorders>
            <w:vAlign w:val="center"/>
          </w:tcPr>
          <w:p w14:paraId="127722E8" w14:textId="77777777" w:rsidR="00452B41" w:rsidRPr="004F51D2" w:rsidRDefault="00452B41" w:rsidP="00452B41">
            <w:pPr>
              <w:bidi w:val="0"/>
              <w:spacing w:line="480" w:lineRule="auto"/>
              <w:rPr>
                <w:rFonts w:ascii="Times New Roman" w:hAnsi="Times New Roman" w:cs="Times New Roman"/>
                <w:color w:val="000000" w:themeColor="text1"/>
                <w:sz w:val="14"/>
                <w:szCs w:val="14"/>
              </w:rPr>
            </w:pPr>
            <w:r w:rsidRPr="004F51D2">
              <w:rPr>
                <w:rFonts w:ascii="Times New Roman" w:hAnsi="Times New Roman" w:cs="Times New Roman"/>
                <w:color w:val="000000" w:themeColor="text1"/>
                <w:sz w:val="14"/>
                <w:szCs w:val="14"/>
              </w:rPr>
              <w:t>7.04 (1.43)</w:t>
            </w:r>
          </w:p>
        </w:tc>
        <w:tc>
          <w:tcPr>
            <w:tcW w:w="1270" w:type="dxa"/>
            <w:tcBorders>
              <w:top w:val="nil"/>
              <w:left w:val="nil"/>
              <w:bottom w:val="nil"/>
            </w:tcBorders>
          </w:tcPr>
          <w:p w14:paraId="7F82D2A7" w14:textId="6F1CE9EA" w:rsidR="00452B41" w:rsidRPr="004F51D2" w:rsidRDefault="007C6232" w:rsidP="009154D8">
            <w:pPr>
              <w:bidi w:val="0"/>
              <w:spacing w:line="480" w:lineRule="auto"/>
              <w:rPr>
                <w:rFonts w:ascii="Times New Roman" w:hAnsi="Times New Roman" w:cs="Times New Roman"/>
                <w:color w:val="000000" w:themeColor="text1"/>
                <w:sz w:val="14"/>
                <w:szCs w:val="14"/>
              </w:rPr>
            </w:pPr>
            <w:r w:rsidRPr="004F51D2">
              <w:rPr>
                <w:rFonts w:asciiTheme="majorBidi" w:hAnsiTheme="majorBidi" w:cstheme="majorBidi"/>
                <w:sz w:val="14"/>
                <w:szCs w:val="14"/>
              </w:rPr>
              <w:t xml:space="preserve">3. </w:t>
            </w:r>
            <w:r w:rsidR="009154D8" w:rsidRPr="004F51D2">
              <w:rPr>
                <w:rFonts w:asciiTheme="majorBidi" w:hAnsiTheme="majorBidi" w:cstheme="majorBidi"/>
                <w:sz w:val="14"/>
                <w:szCs w:val="14"/>
              </w:rPr>
              <w:t>BFI-</w:t>
            </w:r>
            <w:r w:rsidR="00452B41" w:rsidRPr="004F51D2">
              <w:rPr>
                <w:rFonts w:asciiTheme="majorBidi" w:hAnsiTheme="majorBidi" w:cstheme="majorBidi"/>
                <w:sz w:val="14"/>
                <w:szCs w:val="14"/>
              </w:rPr>
              <w:t>A</w:t>
            </w:r>
          </w:p>
        </w:tc>
      </w:tr>
      <w:tr w:rsidR="00452B41" w:rsidRPr="004F51D2" w14:paraId="0F809981" w14:textId="77777777" w:rsidTr="009154D8">
        <w:tc>
          <w:tcPr>
            <w:tcW w:w="567" w:type="dxa"/>
            <w:tcBorders>
              <w:top w:val="nil"/>
              <w:bottom w:val="nil"/>
              <w:right w:val="nil"/>
            </w:tcBorders>
            <w:vAlign w:val="center"/>
          </w:tcPr>
          <w:p w14:paraId="7D726F07" w14:textId="77777777" w:rsidR="00452B41" w:rsidRPr="004F51D2" w:rsidRDefault="00452B41" w:rsidP="00452B41">
            <w:pPr>
              <w:bidi w:val="0"/>
              <w:spacing w:line="480" w:lineRule="auto"/>
              <w:rPr>
                <w:rFonts w:ascii="Times New Roman" w:hAnsi="Times New Roman" w:cs="Times New Roman"/>
                <w:color w:val="000000" w:themeColor="text1"/>
                <w:sz w:val="14"/>
                <w:szCs w:val="14"/>
                <w:rtl/>
              </w:rPr>
            </w:pPr>
          </w:p>
        </w:tc>
        <w:tc>
          <w:tcPr>
            <w:tcW w:w="709" w:type="dxa"/>
            <w:tcBorders>
              <w:top w:val="nil"/>
              <w:left w:val="nil"/>
              <w:bottom w:val="nil"/>
              <w:right w:val="nil"/>
            </w:tcBorders>
            <w:vAlign w:val="center"/>
          </w:tcPr>
          <w:p w14:paraId="2A1A6691" w14:textId="77777777" w:rsidR="00452B41" w:rsidRPr="004F51D2" w:rsidRDefault="00452B41" w:rsidP="00452B41">
            <w:pPr>
              <w:bidi w:val="0"/>
              <w:spacing w:line="480" w:lineRule="auto"/>
              <w:rPr>
                <w:rFonts w:ascii="Times New Roman" w:hAnsi="Times New Roman" w:cs="Times New Roman"/>
                <w:color w:val="000000" w:themeColor="text1"/>
                <w:sz w:val="14"/>
                <w:szCs w:val="14"/>
                <w:rtl/>
              </w:rPr>
            </w:pPr>
          </w:p>
        </w:tc>
        <w:tc>
          <w:tcPr>
            <w:tcW w:w="709" w:type="dxa"/>
            <w:tcBorders>
              <w:top w:val="nil"/>
              <w:left w:val="nil"/>
              <w:bottom w:val="nil"/>
              <w:right w:val="nil"/>
            </w:tcBorders>
            <w:vAlign w:val="center"/>
          </w:tcPr>
          <w:p w14:paraId="51DD8870" w14:textId="77777777" w:rsidR="00452B41" w:rsidRPr="004F51D2" w:rsidRDefault="00452B41" w:rsidP="00452B41">
            <w:pPr>
              <w:bidi w:val="0"/>
              <w:spacing w:line="480" w:lineRule="auto"/>
              <w:rPr>
                <w:rFonts w:ascii="Times New Roman" w:hAnsi="Times New Roman" w:cs="Times New Roman"/>
                <w:color w:val="000000" w:themeColor="text1"/>
                <w:sz w:val="14"/>
                <w:szCs w:val="14"/>
                <w:rtl/>
              </w:rPr>
            </w:pPr>
          </w:p>
        </w:tc>
        <w:tc>
          <w:tcPr>
            <w:tcW w:w="709" w:type="dxa"/>
            <w:tcBorders>
              <w:top w:val="nil"/>
              <w:left w:val="nil"/>
              <w:bottom w:val="nil"/>
              <w:right w:val="nil"/>
            </w:tcBorders>
            <w:vAlign w:val="center"/>
          </w:tcPr>
          <w:p w14:paraId="3AC820A2" w14:textId="77777777" w:rsidR="00452B41" w:rsidRPr="004F51D2" w:rsidRDefault="00452B41" w:rsidP="00452B41">
            <w:pPr>
              <w:bidi w:val="0"/>
              <w:spacing w:line="480" w:lineRule="auto"/>
              <w:rPr>
                <w:rFonts w:ascii="Times New Roman" w:hAnsi="Times New Roman" w:cs="Times New Roman"/>
                <w:color w:val="000000" w:themeColor="text1"/>
                <w:sz w:val="14"/>
                <w:szCs w:val="14"/>
                <w:rtl/>
              </w:rPr>
            </w:pPr>
          </w:p>
        </w:tc>
        <w:tc>
          <w:tcPr>
            <w:tcW w:w="708" w:type="dxa"/>
            <w:tcBorders>
              <w:top w:val="nil"/>
              <w:left w:val="nil"/>
              <w:bottom w:val="nil"/>
              <w:right w:val="nil"/>
            </w:tcBorders>
            <w:vAlign w:val="center"/>
          </w:tcPr>
          <w:p w14:paraId="2A98A891" w14:textId="77777777" w:rsidR="00452B41" w:rsidRPr="004F51D2" w:rsidRDefault="00452B41" w:rsidP="00452B41">
            <w:pPr>
              <w:bidi w:val="0"/>
              <w:spacing w:line="480" w:lineRule="auto"/>
              <w:rPr>
                <w:rFonts w:ascii="Times New Roman" w:hAnsi="Times New Roman" w:cs="Times New Roman"/>
                <w:color w:val="000000" w:themeColor="text1"/>
                <w:sz w:val="14"/>
                <w:szCs w:val="14"/>
                <w:rtl/>
              </w:rPr>
            </w:pPr>
          </w:p>
        </w:tc>
        <w:tc>
          <w:tcPr>
            <w:tcW w:w="709" w:type="dxa"/>
            <w:tcBorders>
              <w:top w:val="nil"/>
              <w:left w:val="nil"/>
              <w:bottom w:val="nil"/>
              <w:right w:val="nil"/>
            </w:tcBorders>
            <w:vAlign w:val="center"/>
          </w:tcPr>
          <w:p w14:paraId="3D87819E" w14:textId="77777777" w:rsidR="00452B41" w:rsidRPr="004F51D2" w:rsidRDefault="00452B41" w:rsidP="00452B41">
            <w:pPr>
              <w:bidi w:val="0"/>
              <w:spacing w:line="480" w:lineRule="auto"/>
              <w:rPr>
                <w:rFonts w:ascii="Times New Roman" w:hAnsi="Times New Roman" w:cs="Times New Roman"/>
                <w:color w:val="000000" w:themeColor="text1"/>
                <w:sz w:val="14"/>
                <w:szCs w:val="14"/>
                <w:rtl/>
              </w:rPr>
            </w:pPr>
          </w:p>
        </w:tc>
        <w:tc>
          <w:tcPr>
            <w:tcW w:w="709" w:type="dxa"/>
            <w:tcBorders>
              <w:top w:val="nil"/>
              <w:left w:val="nil"/>
              <w:bottom w:val="nil"/>
              <w:right w:val="nil"/>
            </w:tcBorders>
            <w:vAlign w:val="center"/>
          </w:tcPr>
          <w:p w14:paraId="1284540E" w14:textId="77777777" w:rsidR="00452B41" w:rsidRPr="004F51D2" w:rsidRDefault="00452B41" w:rsidP="00452B41">
            <w:pPr>
              <w:bidi w:val="0"/>
              <w:spacing w:line="480" w:lineRule="auto"/>
              <w:rPr>
                <w:rFonts w:ascii="Times New Roman" w:hAnsi="Times New Roman" w:cs="Times New Roman"/>
                <w:color w:val="000000" w:themeColor="text1"/>
                <w:sz w:val="14"/>
                <w:szCs w:val="14"/>
                <w:rtl/>
              </w:rPr>
            </w:pPr>
          </w:p>
        </w:tc>
        <w:tc>
          <w:tcPr>
            <w:tcW w:w="850" w:type="dxa"/>
            <w:tcBorders>
              <w:top w:val="nil"/>
              <w:left w:val="nil"/>
              <w:bottom w:val="nil"/>
              <w:right w:val="nil"/>
            </w:tcBorders>
            <w:vAlign w:val="center"/>
          </w:tcPr>
          <w:p w14:paraId="799965C3" w14:textId="77777777" w:rsidR="00452B41" w:rsidRPr="004F51D2" w:rsidRDefault="00452B41" w:rsidP="00452B41">
            <w:pPr>
              <w:bidi w:val="0"/>
              <w:spacing w:line="480" w:lineRule="auto"/>
              <w:rPr>
                <w:rFonts w:ascii="Times New Roman" w:hAnsi="Times New Roman" w:cs="Times New Roman"/>
                <w:color w:val="000000" w:themeColor="text1"/>
                <w:sz w:val="14"/>
                <w:szCs w:val="14"/>
                <w:rtl/>
              </w:rPr>
            </w:pPr>
          </w:p>
        </w:tc>
        <w:tc>
          <w:tcPr>
            <w:tcW w:w="709" w:type="dxa"/>
            <w:tcBorders>
              <w:top w:val="nil"/>
              <w:left w:val="nil"/>
              <w:bottom w:val="nil"/>
              <w:right w:val="nil"/>
            </w:tcBorders>
            <w:vAlign w:val="center"/>
          </w:tcPr>
          <w:p w14:paraId="0CE1F163" w14:textId="77777777" w:rsidR="00452B41" w:rsidRPr="004F51D2" w:rsidRDefault="00452B41" w:rsidP="00452B41">
            <w:pPr>
              <w:bidi w:val="0"/>
              <w:spacing w:line="480" w:lineRule="auto"/>
              <w:rPr>
                <w:rFonts w:ascii="Times New Roman" w:hAnsi="Times New Roman" w:cs="Times New Roman"/>
                <w:color w:val="000000" w:themeColor="text1"/>
                <w:sz w:val="14"/>
                <w:szCs w:val="14"/>
                <w:rtl/>
              </w:rPr>
            </w:pPr>
          </w:p>
        </w:tc>
        <w:tc>
          <w:tcPr>
            <w:tcW w:w="709" w:type="dxa"/>
            <w:tcBorders>
              <w:top w:val="nil"/>
              <w:left w:val="nil"/>
              <w:bottom w:val="nil"/>
              <w:right w:val="nil"/>
            </w:tcBorders>
            <w:vAlign w:val="center"/>
          </w:tcPr>
          <w:p w14:paraId="52F62D11" w14:textId="77777777" w:rsidR="00452B41" w:rsidRPr="004F51D2" w:rsidRDefault="00452B41" w:rsidP="00452B41">
            <w:pPr>
              <w:bidi w:val="0"/>
              <w:spacing w:line="480" w:lineRule="auto"/>
              <w:rPr>
                <w:rFonts w:ascii="Times New Roman" w:hAnsi="Times New Roman" w:cs="Times New Roman"/>
                <w:color w:val="000000" w:themeColor="text1"/>
                <w:sz w:val="14"/>
                <w:szCs w:val="14"/>
                <w:rtl/>
              </w:rPr>
            </w:pPr>
          </w:p>
        </w:tc>
        <w:tc>
          <w:tcPr>
            <w:tcW w:w="709" w:type="dxa"/>
            <w:tcBorders>
              <w:top w:val="nil"/>
              <w:left w:val="nil"/>
              <w:bottom w:val="nil"/>
              <w:right w:val="nil"/>
            </w:tcBorders>
            <w:vAlign w:val="center"/>
          </w:tcPr>
          <w:p w14:paraId="492BD7AA" w14:textId="77777777" w:rsidR="00452B41" w:rsidRPr="004F51D2" w:rsidRDefault="00452B41" w:rsidP="00452B41">
            <w:pPr>
              <w:bidi w:val="0"/>
              <w:spacing w:line="480" w:lineRule="auto"/>
              <w:rPr>
                <w:rFonts w:ascii="Times New Roman" w:hAnsi="Times New Roman" w:cs="Times New Roman"/>
                <w:color w:val="000000" w:themeColor="text1"/>
                <w:sz w:val="14"/>
                <w:szCs w:val="14"/>
              </w:rPr>
            </w:pPr>
            <w:r w:rsidRPr="004F51D2">
              <w:rPr>
                <w:rFonts w:ascii="Times New Roman" w:hAnsi="Times New Roman" w:cs="Times New Roman"/>
                <w:color w:val="000000" w:themeColor="text1"/>
                <w:sz w:val="14"/>
                <w:szCs w:val="14"/>
              </w:rPr>
              <w:t>1</w:t>
            </w:r>
          </w:p>
        </w:tc>
        <w:tc>
          <w:tcPr>
            <w:tcW w:w="708" w:type="dxa"/>
            <w:tcBorders>
              <w:top w:val="nil"/>
              <w:left w:val="nil"/>
              <w:bottom w:val="nil"/>
              <w:right w:val="nil"/>
            </w:tcBorders>
            <w:vAlign w:val="center"/>
          </w:tcPr>
          <w:p w14:paraId="31FD8394" w14:textId="77777777" w:rsidR="00452B41" w:rsidRPr="004F51D2" w:rsidRDefault="00452B41" w:rsidP="00452B41">
            <w:pPr>
              <w:bidi w:val="0"/>
              <w:spacing w:line="480" w:lineRule="auto"/>
              <w:rPr>
                <w:rFonts w:ascii="Times New Roman" w:hAnsi="Times New Roman" w:cs="Times New Roman"/>
                <w:color w:val="000000" w:themeColor="text1"/>
                <w:sz w:val="14"/>
                <w:szCs w:val="14"/>
              </w:rPr>
            </w:pPr>
            <w:r w:rsidRPr="004F51D2">
              <w:rPr>
                <w:rFonts w:ascii="Times New Roman" w:hAnsi="Times New Roman" w:cs="Times New Roman"/>
                <w:color w:val="000000" w:themeColor="text1"/>
                <w:sz w:val="14"/>
                <w:szCs w:val="14"/>
              </w:rPr>
              <w:t>0.104*</w:t>
            </w:r>
          </w:p>
        </w:tc>
        <w:tc>
          <w:tcPr>
            <w:tcW w:w="709" w:type="dxa"/>
            <w:tcBorders>
              <w:top w:val="nil"/>
              <w:left w:val="nil"/>
              <w:bottom w:val="nil"/>
              <w:right w:val="nil"/>
            </w:tcBorders>
            <w:vAlign w:val="center"/>
          </w:tcPr>
          <w:p w14:paraId="65AD910A" w14:textId="77777777" w:rsidR="00452B41" w:rsidRPr="004F51D2" w:rsidRDefault="00452B41" w:rsidP="00452B41">
            <w:pPr>
              <w:bidi w:val="0"/>
              <w:spacing w:line="480" w:lineRule="auto"/>
              <w:rPr>
                <w:rFonts w:ascii="Times New Roman" w:hAnsi="Times New Roman" w:cs="Times New Roman"/>
                <w:color w:val="000000" w:themeColor="text1"/>
                <w:sz w:val="14"/>
                <w:szCs w:val="14"/>
              </w:rPr>
            </w:pPr>
            <w:r w:rsidRPr="004F51D2">
              <w:rPr>
                <w:rFonts w:ascii="Times New Roman" w:hAnsi="Times New Roman" w:cs="Times New Roman"/>
                <w:color w:val="000000" w:themeColor="text1"/>
                <w:sz w:val="14"/>
                <w:szCs w:val="14"/>
              </w:rPr>
              <w:t>0.113*</w:t>
            </w:r>
          </w:p>
        </w:tc>
        <w:tc>
          <w:tcPr>
            <w:tcW w:w="710" w:type="dxa"/>
            <w:tcBorders>
              <w:top w:val="nil"/>
              <w:left w:val="nil"/>
              <w:bottom w:val="nil"/>
              <w:right w:val="nil"/>
            </w:tcBorders>
            <w:vAlign w:val="center"/>
          </w:tcPr>
          <w:p w14:paraId="4EA22963" w14:textId="77777777" w:rsidR="00452B41" w:rsidRPr="004F51D2" w:rsidRDefault="00452B41" w:rsidP="00452B41">
            <w:pPr>
              <w:bidi w:val="0"/>
              <w:spacing w:line="480" w:lineRule="auto"/>
              <w:rPr>
                <w:rFonts w:ascii="Times New Roman" w:hAnsi="Times New Roman" w:cs="Times New Roman"/>
                <w:color w:val="000000" w:themeColor="text1"/>
                <w:sz w:val="14"/>
                <w:szCs w:val="14"/>
              </w:rPr>
            </w:pPr>
            <w:r w:rsidRPr="004F51D2">
              <w:rPr>
                <w:rFonts w:ascii="Times New Roman" w:hAnsi="Times New Roman" w:cs="Times New Roman"/>
                <w:color w:val="000000" w:themeColor="text1"/>
                <w:sz w:val="14"/>
                <w:szCs w:val="14"/>
              </w:rPr>
              <w:t>0.026</w:t>
            </w:r>
          </w:p>
        </w:tc>
        <w:tc>
          <w:tcPr>
            <w:tcW w:w="849" w:type="dxa"/>
            <w:tcBorders>
              <w:top w:val="nil"/>
              <w:left w:val="nil"/>
              <w:bottom w:val="nil"/>
              <w:right w:val="nil"/>
            </w:tcBorders>
          </w:tcPr>
          <w:p w14:paraId="3E1AA55D" w14:textId="02E9ECDC" w:rsidR="00452B41" w:rsidRPr="004F51D2" w:rsidRDefault="00452B41" w:rsidP="00452B41">
            <w:pPr>
              <w:bidi w:val="0"/>
              <w:spacing w:line="480" w:lineRule="auto"/>
              <w:rPr>
                <w:rFonts w:ascii="Times New Roman" w:hAnsi="Times New Roman" w:cs="Times New Roman"/>
                <w:color w:val="000000" w:themeColor="text1"/>
                <w:sz w:val="14"/>
                <w:szCs w:val="14"/>
              </w:rPr>
            </w:pPr>
            <w:r w:rsidRPr="004F51D2">
              <w:rPr>
                <w:rFonts w:ascii="Times New Roman" w:eastAsia="Arial Unicode MS" w:hAnsi="Times New Roman" w:cs="Times New Roman"/>
                <w:sz w:val="14"/>
                <w:szCs w:val="14"/>
                <w:bdr w:val="nil"/>
              </w:rPr>
              <w:t>-0.21</w:t>
            </w:r>
          </w:p>
        </w:tc>
        <w:tc>
          <w:tcPr>
            <w:tcW w:w="851" w:type="dxa"/>
            <w:tcBorders>
              <w:top w:val="nil"/>
              <w:left w:val="nil"/>
              <w:bottom w:val="nil"/>
              <w:right w:val="nil"/>
            </w:tcBorders>
          </w:tcPr>
          <w:p w14:paraId="1F46B7EE" w14:textId="1A330633" w:rsidR="00452B41" w:rsidRPr="004F51D2" w:rsidRDefault="00452B41" w:rsidP="00452B41">
            <w:pPr>
              <w:bidi w:val="0"/>
              <w:spacing w:line="480" w:lineRule="auto"/>
              <w:rPr>
                <w:rFonts w:ascii="Times New Roman" w:hAnsi="Times New Roman" w:cs="Times New Roman"/>
                <w:color w:val="000000" w:themeColor="text1"/>
                <w:sz w:val="14"/>
                <w:szCs w:val="14"/>
              </w:rPr>
            </w:pPr>
            <w:r w:rsidRPr="004F51D2">
              <w:rPr>
                <w:rFonts w:ascii="Times New Roman" w:eastAsia="Arial Unicode MS" w:hAnsi="Times New Roman" w:cs="Times New Roman"/>
                <w:sz w:val="14"/>
                <w:szCs w:val="14"/>
                <w:bdr w:val="nil"/>
              </w:rPr>
              <w:t>0.14</w:t>
            </w:r>
          </w:p>
        </w:tc>
        <w:tc>
          <w:tcPr>
            <w:tcW w:w="998" w:type="dxa"/>
            <w:tcBorders>
              <w:top w:val="nil"/>
              <w:left w:val="nil"/>
              <w:bottom w:val="nil"/>
              <w:right w:val="nil"/>
            </w:tcBorders>
            <w:vAlign w:val="center"/>
          </w:tcPr>
          <w:p w14:paraId="770AE273" w14:textId="77777777" w:rsidR="00452B41" w:rsidRPr="004F51D2" w:rsidRDefault="00452B41" w:rsidP="00452B41">
            <w:pPr>
              <w:bidi w:val="0"/>
              <w:spacing w:line="480" w:lineRule="auto"/>
              <w:rPr>
                <w:rFonts w:ascii="Times New Roman" w:hAnsi="Times New Roman" w:cs="Times New Roman"/>
                <w:color w:val="000000" w:themeColor="text1"/>
                <w:sz w:val="14"/>
                <w:szCs w:val="14"/>
              </w:rPr>
            </w:pPr>
            <w:r w:rsidRPr="004F51D2">
              <w:rPr>
                <w:rFonts w:ascii="Times New Roman" w:hAnsi="Times New Roman" w:cs="Times New Roman"/>
                <w:color w:val="000000" w:themeColor="text1"/>
                <w:sz w:val="14"/>
                <w:szCs w:val="14"/>
              </w:rPr>
              <w:t>7.02 (1.58)</w:t>
            </w:r>
          </w:p>
        </w:tc>
        <w:tc>
          <w:tcPr>
            <w:tcW w:w="1270" w:type="dxa"/>
            <w:tcBorders>
              <w:top w:val="nil"/>
              <w:left w:val="nil"/>
              <w:bottom w:val="nil"/>
            </w:tcBorders>
          </w:tcPr>
          <w:p w14:paraId="779E506F" w14:textId="4346AA85" w:rsidR="00452B41" w:rsidRPr="004F51D2" w:rsidRDefault="007C6232" w:rsidP="009154D8">
            <w:pPr>
              <w:bidi w:val="0"/>
              <w:spacing w:line="480" w:lineRule="auto"/>
              <w:rPr>
                <w:rFonts w:ascii="Times New Roman" w:hAnsi="Times New Roman" w:cs="Times New Roman"/>
                <w:color w:val="000000" w:themeColor="text1"/>
                <w:sz w:val="14"/>
                <w:szCs w:val="14"/>
              </w:rPr>
            </w:pPr>
            <w:r w:rsidRPr="004F51D2">
              <w:rPr>
                <w:rFonts w:asciiTheme="majorBidi" w:hAnsiTheme="majorBidi" w:cstheme="majorBidi"/>
                <w:sz w:val="14"/>
                <w:szCs w:val="14"/>
              </w:rPr>
              <w:t xml:space="preserve">4. </w:t>
            </w:r>
            <w:r w:rsidR="009154D8" w:rsidRPr="004F51D2">
              <w:rPr>
                <w:rFonts w:asciiTheme="majorBidi" w:hAnsiTheme="majorBidi" w:cstheme="majorBidi"/>
                <w:sz w:val="14"/>
                <w:szCs w:val="14"/>
              </w:rPr>
              <w:t>BFI-</w:t>
            </w:r>
            <w:r w:rsidR="00452B41" w:rsidRPr="004F51D2">
              <w:rPr>
                <w:rFonts w:asciiTheme="majorBidi" w:hAnsiTheme="majorBidi" w:cstheme="majorBidi"/>
                <w:sz w:val="14"/>
                <w:szCs w:val="14"/>
              </w:rPr>
              <w:t>C</w:t>
            </w:r>
          </w:p>
        </w:tc>
      </w:tr>
      <w:tr w:rsidR="00452B41" w:rsidRPr="004F51D2" w14:paraId="757849FD" w14:textId="77777777" w:rsidTr="009154D8">
        <w:tc>
          <w:tcPr>
            <w:tcW w:w="567" w:type="dxa"/>
            <w:tcBorders>
              <w:top w:val="nil"/>
              <w:bottom w:val="nil"/>
              <w:right w:val="nil"/>
            </w:tcBorders>
            <w:vAlign w:val="center"/>
          </w:tcPr>
          <w:p w14:paraId="538DA1FC" w14:textId="77777777" w:rsidR="00452B41" w:rsidRPr="004F51D2" w:rsidRDefault="00452B41" w:rsidP="00452B41">
            <w:pPr>
              <w:bidi w:val="0"/>
              <w:spacing w:line="480" w:lineRule="auto"/>
              <w:rPr>
                <w:rFonts w:ascii="Times New Roman" w:hAnsi="Times New Roman" w:cs="Times New Roman"/>
                <w:color w:val="000000" w:themeColor="text1"/>
                <w:sz w:val="14"/>
                <w:szCs w:val="14"/>
                <w:rtl/>
              </w:rPr>
            </w:pPr>
          </w:p>
        </w:tc>
        <w:tc>
          <w:tcPr>
            <w:tcW w:w="709" w:type="dxa"/>
            <w:tcBorders>
              <w:top w:val="nil"/>
              <w:left w:val="nil"/>
              <w:bottom w:val="nil"/>
              <w:right w:val="nil"/>
            </w:tcBorders>
            <w:vAlign w:val="center"/>
          </w:tcPr>
          <w:p w14:paraId="7B8C1C41" w14:textId="77777777" w:rsidR="00452B41" w:rsidRPr="004F51D2" w:rsidRDefault="00452B41" w:rsidP="00452B41">
            <w:pPr>
              <w:bidi w:val="0"/>
              <w:spacing w:line="480" w:lineRule="auto"/>
              <w:rPr>
                <w:rFonts w:ascii="Times New Roman" w:hAnsi="Times New Roman" w:cs="Times New Roman"/>
                <w:color w:val="000000" w:themeColor="text1"/>
                <w:sz w:val="14"/>
                <w:szCs w:val="14"/>
                <w:rtl/>
              </w:rPr>
            </w:pPr>
          </w:p>
        </w:tc>
        <w:tc>
          <w:tcPr>
            <w:tcW w:w="709" w:type="dxa"/>
            <w:tcBorders>
              <w:top w:val="nil"/>
              <w:left w:val="nil"/>
              <w:bottom w:val="nil"/>
              <w:right w:val="nil"/>
            </w:tcBorders>
            <w:vAlign w:val="center"/>
          </w:tcPr>
          <w:p w14:paraId="4924F667" w14:textId="77777777" w:rsidR="00452B41" w:rsidRPr="004F51D2" w:rsidRDefault="00452B41" w:rsidP="00452B41">
            <w:pPr>
              <w:bidi w:val="0"/>
              <w:spacing w:line="480" w:lineRule="auto"/>
              <w:rPr>
                <w:rFonts w:ascii="Times New Roman" w:hAnsi="Times New Roman" w:cs="Times New Roman"/>
                <w:color w:val="000000" w:themeColor="text1"/>
                <w:sz w:val="14"/>
                <w:szCs w:val="14"/>
                <w:rtl/>
              </w:rPr>
            </w:pPr>
          </w:p>
        </w:tc>
        <w:tc>
          <w:tcPr>
            <w:tcW w:w="709" w:type="dxa"/>
            <w:tcBorders>
              <w:top w:val="nil"/>
              <w:left w:val="nil"/>
              <w:bottom w:val="nil"/>
              <w:right w:val="nil"/>
            </w:tcBorders>
            <w:vAlign w:val="center"/>
          </w:tcPr>
          <w:p w14:paraId="2A0DB2F3" w14:textId="77777777" w:rsidR="00452B41" w:rsidRPr="004F51D2" w:rsidRDefault="00452B41" w:rsidP="00452B41">
            <w:pPr>
              <w:bidi w:val="0"/>
              <w:spacing w:line="480" w:lineRule="auto"/>
              <w:rPr>
                <w:rFonts w:ascii="Times New Roman" w:hAnsi="Times New Roman" w:cs="Times New Roman"/>
                <w:color w:val="000000" w:themeColor="text1"/>
                <w:sz w:val="14"/>
                <w:szCs w:val="14"/>
                <w:rtl/>
              </w:rPr>
            </w:pPr>
          </w:p>
        </w:tc>
        <w:tc>
          <w:tcPr>
            <w:tcW w:w="708" w:type="dxa"/>
            <w:tcBorders>
              <w:top w:val="nil"/>
              <w:left w:val="nil"/>
              <w:bottom w:val="nil"/>
              <w:right w:val="nil"/>
            </w:tcBorders>
            <w:vAlign w:val="center"/>
          </w:tcPr>
          <w:p w14:paraId="6A96CC79" w14:textId="77777777" w:rsidR="00452B41" w:rsidRPr="004F51D2" w:rsidRDefault="00452B41" w:rsidP="00452B41">
            <w:pPr>
              <w:bidi w:val="0"/>
              <w:spacing w:line="480" w:lineRule="auto"/>
              <w:rPr>
                <w:rFonts w:ascii="Times New Roman" w:hAnsi="Times New Roman" w:cs="Times New Roman"/>
                <w:color w:val="000000" w:themeColor="text1"/>
                <w:sz w:val="14"/>
                <w:szCs w:val="14"/>
                <w:rtl/>
              </w:rPr>
            </w:pPr>
          </w:p>
        </w:tc>
        <w:tc>
          <w:tcPr>
            <w:tcW w:w="709" w:type="dxa"/>
            <w:tcBorders>
              <w:top w:val="nil"/>
              <w:left w:val="nil"/>
              <w:bottom w:val="nil"/>
              <w:right w:val="nil"/>
            </w:tcBorders>
            <w:vAlign w:val="center"/>
          </w:tcPr>
          <w:p w14:paraId="362F20A3" w14:textId="77777777" w:rsidR="00452B41" w:rsidRPr="004F51D2" w:rsidRDefault="00452B41" w:rsidP="00452B41">
            <w:pPr>
              <w:bidi w:val="0"/>
              <w:spacing w:line="480" w:lineRule="auto"/>
              <w:rPr>
                <w:rFonts w:ascii="Times New Roman" w:hAnsi="Times New Roman" w:cs="Times New Roman"/>
                <w:color w:val="000000" w:themeColor="text1"/>
                <w:sz w:val="14"/>
                <w:szCs w:val="14"/>
                <w:rtl/>
              </w:rPr>
            </w:pPr>
          </w:p>
        </w:tc>
        <w:tc>
          <w:tcPr>
            <w:tcW w:w="709" w:type="dxa"/>
            <w:tcBorders>
              <w:top w:val="nil"/>
              <w:left w:val="nil"/>
              <w:bottom w:val="nil"/>
              <w:right w:val="nil"/>
            </w:tcBorders>
            <w:vAlign w:val="center"/>
          </w:tcPr>
          <w:p w14:paraId="4903EF85" w14:textId="77777777" w:rsidR="00452B41" w:rsidRPr="004F51D2" w:rsidRDefault="00452B41" w:rsidP="00452B41">
            <w:pPr>
              <w:bidi w:val="0"/>
              <w:spacing w:line="480" w:lineRule="auto"/>
              <w:rPr>
                <w:rFonts w:ascii="Times New Roman" w:hAnsi="Times New Roman" w:cs="Times New Roman"/>
                <w:color w:val="000000" w:themeColor="text1"/>
                <w:sz w:val="14"/>
                <w:szCs w:val="14"/>
                <w:rtl/>
              </w:rPr>
            </w:pPr>
          </w:p>
        </w:tc>
        <w:tc>
          <w:tcPr>
            <w:tcW w:w="850" w:type="dxa"/>
            <w:tcBorders>
              <w:top w:val="nil"/>
              <w:left w:val="nil"/>
              <w:bottom w:val="nil"/>
              <w:right w:val="nil"/>
            </w:tcBorders>
            <w:vAlign w:val="center"/>
          </w:tcPr>
          <w:p w14:paraId="3708A725" w14:textId="77777777" w:rsidR="00452B41" w:rsidRPr="004F51D2" w:rsidRDefault="00452B41" w:rsidP="00452B41">
            <w:pPr>
              <w:bidi w:val="0"/>
              <w:spacing w:line="480" w:lineRule="auto"/>
              <w:rPr>
                <w:rFonts w:ascii="Times New Roman" w:hAnsi="Times New Roman" w:cs="Times New Roman"/>
                <w:color w:val="000000" w:themeColor="text1"/>
                <w:sz w:val="14"/>
                <w:szCs w:val="14"/>
                <w:rtl/>
              </w:rPr>
            </w:pPr>
          </w:p>
        </w:tc>
        <w:tc>
          <w:tcPr>
            <w:tcW w:w="709" w:type="dxa"/>
            <w:tcBorders>
              <w:top w:val="nil"/>
              <w:left w:val="nil"/>
              <w:bottom w:val="nil"/>
              <w:right w:val="nil"/>
            </w:tcBorders>
            <w:vAlign w:val="center"/>
          </w:tcPr>
          <w:p w14:paraId="62010A82" w14:textId="77777777" w:rsidR="00452B41" w:rsidRPr="004F51D2" w:rsidRDefault="00452B41" w:rsidP="00452B41">
            <w:pPr>
              <w:bidi w:val="0"/>
              <w:spacing w:line="480" w:lineRule="auto"/>
              <w:rPr>
                <w:rFonts w:ascii="Times New Roman" w:hAnsi="Times New Roman" w:cs="Times New Roman"/>
                <w:color w:val="000000" w:themeColor="text1"/>
                <w:sz w:val="14"/>
                <w:szCs w:val="14"/>
                <w:rtl/>
              </w:rPr>
            </w:pPr>
          </w:p>
        </w:tc>
        <w:tc>
          <w:tcPr>
            <w:tcW w:w="709" w:type="dxa"/>
            <w:tcBorders>
              <w:top w:val="nil"/>
              <w:left w:val="nil"/>
              <w:bottom w:val="nil"/>
              <w:right w:val="nil"/>
            </w:tcBorders>
            <w:vAlign w:val="center"/>
          </w:tcPr>
          <w:p w14:paraId="5CFD15C9" w14:textId="77777777" w:rsidR="00452B41" w:rsidRPr="004F51D2" w:rsidRDefault="00452B41" w:rsidP="00452B41">
            <w:pPr>
              <w:bidi w:val="0"/>
              <w:spacing w:line="480" w:lineRule="auto"/>
              <w:rPr>
                <w:rFonts w:ascii="Times New Roman" w:hAnsi="Times New Roman" w:cs="Times New Roman"/>
                <w:color w:val="000000" w:themeColor="text1"/>
                <w:sz w:val="14"/>
                <w:szCs w:val="14"/>
              </w:rPr>
            </w:pPr>
            <w:r w:rsidRPr="004F51D2">
              <w:rPr>
                <w:rFonts w:ascii="Times New Roman" w:hAnsi="Times New Roman" w:cs="Times New Roman"/>
                <w:color w:val="000000" w:themeColor="text1"/>
                <w:sz w:val="14"/>
                <w:szCs w:val="14"/>
              </w:rPr>
              <w:t>1</w:t>
            </w:r>
          </w:p>
        </w:tc>
        <w:tc>
          <w:tcPr>
            <w:tcW w:w="709" w:type="dxa"/>
            <w:tcBorders>
              <w:top w:val="nil"/>
              <w:left w:val="nil"/>
              <w:bottom w:val="nil"/>
              <w:right w:val="nil"/>
            </w:tcBorders>
            <w:vAlign w:val="center"/>
          </w:tcPr>
          <w:p w14:paraId="7439A3D2" w14:textId="77777777" w:rsidR="00452B41" w:rsidRPr="004F51D2" w:rsidRDefault="00452B41" w:rsidP="00452B41">
            <w:pPr>
              <w:bidi w:val="0"/>
              <w:spacing w:line="480" w:lineRule="auto"/>
              <w:rPr>
                <w:rFonts w:ascii="Times New Roman" w:hAnsi="Times New Roman" w:cs="Times New Roman"/>
                <w:color w:val="000000" w:themeColor="text1"/>
                <w:sz w:val="14"/>
                <w:szCs w:val="14"/>
              </w:rPr>
            </w:pPr>
            <w:r w:rsidRPr="004F51D2">
              <w:rPr>
                <w:rFonts w:ascii="Times New Roman" w:hAnsi="Times New Roman" w:cs="Times New Roman"/>
                <w:color w:val="000000" w:themeColor="text1"/>
                <w:sz w:val="14"/>
                <w:szCs w:val="14"/>
              </w:rPr>
              <w:t>0.137*</w:t>
            </w:r>
          </w:p>
        </w:tc>
        <w:tc>
          <w:tcPr>
            <w:tcW w:w="708" w:type="dxa"/>
            <w:tcBorders>
              <w:top w:val="nil"/>
              <w:left w:val="nil"/>
              <w:bottom w:val="nil"/>
              <w:right w:val="nil"/>
            </w:tcBorders>
            <w:vAlign w:val="center"/>
          </w:tcPr>
          <w:p w14:paraId="624EAD64" w14:textId="77777777" w:rsidR="00452B41" w:rsidRPr="004F51D2" w:rsidRDefault="00452B41" w:rsidP="00452B41">
            <w:pPr>
              <w:bidi w:val="0"/>
              <w:spacing w:line="480" w:lineRule="auto"/>
              <w:rPr>
                <w:rFonts w:ascii="Times New Roman" w:hAnsi="Times New Roman" w:cs="Times New Roman"/>
                <w:color w:val="000000" w:themeColor="text1"/>
                <w:sz w:val="14"/>
                <w:szCs w:val="14"/>
              </w:rPr>
            </w:pPr>
            <w:r w:rsidRPr="004F51D2">
              <w:rPr>
                <w:rFonts w:ascii="Times New Roman" w:hAnsi="Times New Roman" w:cs="Times New Roman"/>
                <w:color w:val="000000" w:themeColor="text1"/>
                <w:sz w:val="14"/>
                <w:szCs w:val="14"/>
              </w:rPr>
              <w:t>0.174*</w:t>
            </w:r>
          </w:p>
        </w:tc>
        <w:tc>
          <w:tcPr>
            <w:tcW w:w="709" w:type="dxa"/>
            <w:tcBorders>
              <w:top w:val="nil"/>
              <w:left w:val="nil"/>
              <w:bottom w:val="nil"/>
              <w:right w:val="nil"/>
            </w:tcBorders>
            <w:vAlign w:val="center"/>
          </w:tcPr>
          <w:p w14:paraId="7F5ECA23" w14:textId="77777777" w:rsidR="00452B41" w:rsidRPr="004F51D2" w:rsidRDefault="00452B41" w:rsidP="00452B41">
            <w:pPr>
              <w:bidi w:val="0"/>
              <w:spacing w:line="480" w:lineRule="auto"/>
              <w:rPr>
                <w:rFonts w:ascii="Times New Roman" w:hAnsi="Times New Roman" w:cs="Times New Roman"/>
                <w:color w:val="000000" w:themeColor="text1"/>
                <w:sz w:val="14"/>
                <w:szCs w:val="14"/>
              </w:rPr>
            </w:pPr>
            <w:r w:rsidRPr="004F51D2">
              <w:rPr>
                <w:rFonts w:ascii="Times New Roman" w:hAnsi="Times New Roman" w:cs="Times New Roman"/>
                <w:color w:val="000000" w:themeColor="text1"/>
                <w:sz w:val="14"/>
                <w:szCs w:val="14"/>
              </w:rPr>
              <w:t>0.116*</w:t>
            </w:r>
          </w:p>
        </w:tc>
        <w:tc>
          <w:tcPr>
            <w:tcW w:w="710" w:type="dxa"/>
            <w:tcBorders>
              <w:top w:val="nil"/>
              <w:left w:val="nil"/>
              <w:bottom w:val="nil"/>
              <w:right w:val="nil"/>
            </w:tcBorders>
            <w:vAlign w:val="center"/>
          </w:tcPr>
          <w:p w14:paraId="727DA7BC" w14:textId="77777777" w:rsidR="00452B41" w:rsidRPr="004F51D2" w:rsidRDefault="00452B41" w:rsidP="00452B41">
            <w:pPr>
              <w:bidi w:val="0"/>
              <w:spacing w:line="480" w:lineRule="auto"/>
              <w:rPr>
                <w:rFonts w:ascii="Times New Roman" w:hAnsi="Times New Roman" w:cs="Times New Roman"/>
                <w:color w:val="000000" w:themeColor="text1"/>
                <w:sz w:val="14"/>
                <w:szCs w:val="14"/>
              </w:rPr>
            </w:pPr>
            <w:r w:rsidRPr="004F51D2">
              <w:rPr>
                <w:rFonts w:ascii="Times New Roman" w:hAnsi="Times New Roman" w:cs="Times New Roman"/>
                <w:color w:val="000000" w:themeColor="text1"/>
                <w:sz w:val="14"/>
                <w:szCs w:val="14"/>
              </w:rPr>
              <w:t>0.175*</w:t>
            </w:r>
          </w:p>
        </w:tc>
        <w:tc>
          <w:tcPr>
            <w:tcW w:w="849" w:type="dxa"/>
            <w:tcBorders>
              <w:top w:val="nil"/>
              <w:left w:val="nil"/>
              <w:bottom w:val="nil"/>
              <w:right w:val="nil"/>
            </w:tcBorders>
          </w:tcPr>
          <w:p w14:paraId="5998BD6C" w14:textId="0CD66611" w:rsidR="00452B41" w:rsidRPr="004F51D2" w:rsidRDefault="00452B41" w:rsidP="00452B41">
            <w:pPr>
              <w:bidi w:val="0"/>
              <w:spacing w:line="480" w:lineRule="auto"/>
              <w:rPr>
                <w:rFonts w:ascii="Times New Roman" w:hAnsi="Times New Roman" w:cs="Times New Roman"/>
                <w:color w:val="000000" w:themeColor="text1"/>
                <w:sz w:val="14"/>
                <w:szCs w:val="14"/>
              </w:rPr>
            </w:pPr>
            <w:r w:rsidRPr="004F51D2">
              <w:rPr>
                <w:rFonts w:ascii="Times New Roman" w:eastAsia="Arial Unicode MS" w:hAnsi="Times New Roman" w:cs="Times New Roman"/>
                <w:sz w:val="14"/>
                <w:szCs w:val="14"/>
                <w:bdr w:val="nil"/>
              </w:rPr>
              <w:t>0.24</w:t>
            </w:r>
          </w:p>
        </w:tc>
        <w:tc>
          <w:tcPr>
            <w:tcW w:w="851" w:type="dxa"/>
            <w:tcBorders>
              <w:top w:val="nil"/>
              <w:left w:val="nil"/>
              <w:bottom w:val="nil"/>
              <w:right w:val="nil"/>
            </w:tcBorders>
          </w:tcPr>
          <w:p w14:paraId="53A7C840" w14:textId="00018893" w:rsidR="00452B41" w:rsidRPr="004F51D2" w:rsidRDefault="00452B41" w:rsidP="00452B41">
            <w:pPr>
              <w:bidi w:val="0"/>
              <w:spacing w:line="480" w:lineRule="auto"/>
              <w:rPr>
                <w:rFonts w:ascii="Times New Roman" w:hAnsi="Times New Roman" w:cs="Times New Roman"/>
                <w:color w:val="000000" w:themeColor="text1"/>
                <w:sz w:val="14"/>
                <w:szCs w:val="14"/>
              </w:rPr>
            </w:pPr>
            <w:r w:rsidRPr="004F51D2">
              <w:rPr>
                <w:rFonts w:ascii="Times New Roman" w:eastAsia="Arial Unicode MS" w:hAnsi="Times New Roman" w:cs="Times New Roman"/>
                <w:sz w:val="14"/>
                <w:szCs w:val="14"/>
                <w:bdr w:val="nil"/>
              </w:rPr>
              <w:t>-0.19</w:t>
            </w:r>
          </w:p>
        </w:tc>
        <w:tc>
          <w:tcPr>
            <w:tcW w:w="998" w:type="dxa"/>
            <w:tcBorders>
              <w:top w:val="nil"/>
              <w:left w:val="nil"/>
              <w:bottom w:val="nil"/>
              <w:right w:val="nil"/>
            </w:tcBorders>
            <w:vAlign w:val="center"/>
          </w:tcPr>
          <w:p w14:paraId="66BA2E4B" w14:textId="77777777" w:rsidR="00452B41" w:rsidRPr="004F51D2" w:rsidRDefault="00452B41" w:rsidP="00452B41">
            <w:pPr>
              <w:bidi w:val="0"/>
              <w:spacing w:line="480" w:lineRule="auto"/>
              <w:rPr>
                <w:rFonts w:ascii="Times New Roman" w:hAnsi="Times New Roman" w:cs="Times New Roman"/>
                <w:color w:val="000000" w:themeColor="text1"/>
                <w:sz w:val="14"/>
                <w:szCs w:val="14"/>
              </w:rPr>
            </w:pPr>
            <w:r w:rsidRPr="004F51D2">
              <w:rPr>
                <w:rFonts w:ascii="Times New Roman" w:hAnsi="Times New Roman" w:cs="Times New Roman"/>
                <w:color w:val="000000" w:themeColor="text1"/>
                <w:sz w:val="14"/>
                <w:szCs w:val="14"/>
              </w:rPr>
              <w:t>6.36 (1.35)</w:t>
            </w:r>
          </w:p>
        </w:tc>
        <w:tc>
          <w:tcPr>
            <w:tcW w:w="1270" w:type="dxa"/>
            <w:tcBorders>
              <w:top w:val="nil"/>
              <w:left w:val="nil"/>
              <w:bottom w:val="nil"/>
            </w:tcBorders>
          </w:tcPr>
          <w:p w14:paraId="0F8ED46E" w14:textId="09089B8B" w:rsidR="00452B41" w:rsidRPr="004F51D2" w:rsidRDefault="007C6232" w:rsidP="009154D8">
            <w:pPr>
              <w:bidi w:val="0"/>
              <w:spacing w:line="480" w:lineRule="auto"/>
              <w:rPr>
                <w:rFonts w:ascii="Times New Roman" w:hAnsi="Times New Roman" w:cs="Times New Roman"/>
                <w:color w:val="000000" w:themeColor="text1"/>
                <w:sz w:val="14"/>
                <w:szCs w:val="14"/>
              </w:rPr>
            </w:pPr>
            <w:r w:rsidRPr="004F51D2">
              <w:rPr>
                <w:rFonts w:asciiTheme="majorBidi" w:hAnsiTheme="majorBidi" w:cstheme="majorBidi"/>
                <w:sz w:val="14"/>
                <w:szCs w:val="14"/>
              </w:rPr>
              <w:t xml:space="preserve">5. </w:t>
            </w:r>
            <w:r w:rsidR="009154D8" w:rsidRPr="004F51D2">
              <w:rPr>
                <w:rFonts w:asciiTheme="majorBidi" w:hAnsiTheme="majorBidi" w:cstheme="majorBidi"/>
                <w:sz w:val="14"/>
                <w:szCs w:val="14"/>
              </w:rPr>
              <w:t>BFI-</w:t>
            </w:r>
            <w:r w:rsidR="00452B41" w:rsidRPr="004F51D2">
              <w:rPr>
                <w:rFonts w:asciiTheme="majorBidi" w:hAnsiTheme="majorBidi" w:cstheme="majorBidi"/>
                <w:sz w:val="14"/>
                <w:szCs w:val="14"/>
              </w:rPr>
              <w:t>N</w:t>
            </w:r>
          </w:p>
        </w:tc>
      </w:tr>
      <w:tr w:rsidR="00452B41" w:rsidRPr="004F51D2" w14:paraId="3D268D86" w14:textId="77777777" w:rsidTr="009154D8">
        <w:tc>
          <w:tcPr>
            <w:tcW w:w="567" w:type="dxa"/>
            <w:tcBorders>
              <w:top w:val="nil"/>
              <w:bottom w:val="nil"/>
              <w:right w:val="nil"/>
            </w:tcBorders>
            <w:vAlign w:val="center"/>
          </w:tcPr>
          <w:p w14:paraId="22BB5A6F" w14:textId="77777777" w:rsidR="00452B41" w:rsidRPr="004F51D2" w:rsidRDefault="00452B41" w:rsidP="00452B41">
            <w:pPr>
              <w:bidi w:val="0"/>
              <w:spacing w:line="480" w:lineRule="auto"/>
              <w:rPr>
                <w:rFonts w:ascii="Times New Roman" w:hAnsi="Times New Roman" w:cs="Times New Roman"/>
                <w:color w:val="000000" w:themeColor="text1"/>
                <w:sz w:val="14"/>
                <w:szCs w:val="14"/>
              </w:rPr>
            </w:pPr>
          </w:p>
        </w:tc>
        <w:tc>
          <w:tcPr>
            <w:tcW w:w="709" w:type="dxa"/>
            <w:tcBorders>
              <w:top w:val="nil"/>
              <w:left w:val="nil"/>
              <w:bottom w:val="nil"/>
              <w:right w:val="nil"/>
            </w:tcBorders>
            <w:vAlign w:val="center"/>
          </w:tcPr>
          <w:p w14:paraId="088920FB" w14:textId="77777777" w:rsidR="00452B41" w:rsidRPr="004F51D2" w:rsidRDefault="00452B41" w:rsidP="00452B41">
            <w:pPr>
              <w:bidi w:val="0"/>
              <w:spacing w:line="480" w:lineRule="auto"/>
              <w:rPr>
                <w:rFonts w:ascii="Times New Roman" w:hAnsi="Times New Roman" w:cs="Times New Roman"/>
                <w:color w:val="000000" w:themeColor="text1"/>
                <w:sz w:val="14"/>
                <w:szCs w:val="14"/>
              </w:rPr>
            </w:pPr>
          </w:p>
        </w:tc>
        <w:tc>
          <w:tcPr>
            <w:tcW w:w="709" w:type="dxa"/>
            <w:tcBorders>
              <w:top w:val="nil"/>
              <w:left w:val="nil"/>
              <w:bottom w:val="nil"/>
              <w:right w:val="nil"/>
            </w:tcBorders>
            <w:vAlign w:val="center"/>
          </w:tcPr>
          <w:p w14:paraId="0FC2E9B2" w14:textId="77777777" w:rsidR="00452B41" w:rsidRPr="004F51D2" w:rsidRDefault="00452B41" w:rsidP="00452B41">
            <w:pPr>
              <w:bidi w:val="0"/>
              <w:spacing w:line="480" w:lineRule="auto"/>
              <w:rPr>
                <w:rFonts w:ascii="Times New Roman" w:hAnsi="Times New Roman" w:cs="Times New Roman"/>
                <w:color w:val="000000" w:themeColor="text1"/>
                <w:sz w:val="14"/>
                <w:szCs w:val="14"/>
              </w:rPr>
            </w:pPr>
          </w:p>
        </w:tc>
        <w:tc>
          <w:tcPr>
            <w:tcW w:w="709" w:type="dxa"/>
            <w:tcBorders>
              <w:top w:val="nil"/>
              <w:left w:val="nil"/>
              <w:bottom w:val="nil"/>
              <w:right w:val="nil"/>
            </w:tcBorders>
            <w:vAlign w:val="center"/>
          </w:tcPr>
          <w:p w14:paraId="438C0118" w14:textId="77777777" w:rsidR="00452B41" w:rsidRPr="004F51D2" w:rsidRDefault="00452B41" w:rsidP="00452B41">
            <w:pPr>
              <w:bidi w:val="0"/>
              <w:spacing w:line="480" w:lineRule="auto"/>
              <w:rPr>
                <w:rFonts w:ascii="Times New Roman" w:hAnsi="Times New Roman" w:cs="Times New Roman"/>
                <w:color w:val="000000" w:themeColor="text1"/>
                <w:sz w:val="14"/>
                <w:szCs w:val="14"/>
              </w:rPr>
            </w:pPr>
          </w:p>
        </w:tc>
        <w:tc>
          <w:tcPr>
            <w:tcW w:w="708" w:type="dxa"/>
            <w:tcBorders>
              <w:top w:val="nil"/>
              <w:left w:val="nil"/>
              <w:bottom w:val="nil"/>
              <w:right w:val="nil"/>
            </w:tcBorders>
            <w:vAlign w:val="center"/>
          </w:tcPr>
          <w:p w14:paraId="6D12CEBB" w14:textId="77777777" w:rsidR="00452B41" w:rsidRPr="004F51D2" w:rsidRDefault="00452B41" w:rsidP="00452B41">
            <w:pPr>
              <w:bidi w:val="0"/>
              <w:spacing w:line="480" w:lineRule="auto"/>
              <w:rPr>
                <w:rFonts w:ascii="Times New Roman" w:hAnsi="Times New Roman" w:cs="Times New Roman"/>
                <w:color w:val="000000" w:themeColor="text1"/>
                <w:sz w:val="14"/>
                <w:szCs w:val="14"/>
              </w:rPr>
            </w:pPr>
          </w:p>
        </w:tc>
        <w:tc>
          <w:tcPr>
            <w:tcW w:w="709" w:type="dxa"/>
            <w:tcBorders>
              <w:top w:val="nil"/>
              <w:left w:val="nil"/>
              <w:bottom w:val="nil"/>
              <w:right w:val="nil"/>
            </w:tcBorders>
            <w:vAlign w:val="center"/>
          </w:tcPr>
          <w:p w14:paraId="0591D40C" w14:textId="77777777" w:rsidR="00452B41" w:rsidRPr="004F51D2" w:rsidRDefault="00452B41" w:rsidP="00452B41">
            <w:pPr>
              <w:bidi w:val="0"/>
              <w:spacing w:line="480" w:lineRule="auto"/>
              <w:rPr>
                <w:rFonts w:ascii="Times New Roman" w:hAnsi="Times New Roman" w:cs="Times New Roman"/>
                <w:color w:val="000000" w:themeColor="text1"/>
                <w:sz w:val="14"/>
                <w:szCs w:val="14"/>
              </w:rPr>
            </w:pPr>
          </w:p>
        </w:tc>
        <w:tc>
          <w:tcPr>
            <w:tcW w:w="709" w:type="dxa"/>
            <w:tcBorders>
              <w:top w:val="nil"/>
              <w:left w:val="nil"/>
              <w:bottom w:val="nil"/>
              <w:right w:val="nil"/>
            </w:tcBorders>
            <w:vAlign w:val="center"/>
          </w:tcPr>
          <w:p w14:paraId="46808A6E" w14:textId="77777777" w:rsidR="00452B41" w:rsidRPr="004F51D2" w:rsidRDefault="00452B41" w:rsidP="00452B41">
            <w:pPr>
              <w:bidi w:val="0"/>
              <w:spacing w:line="480" w:lineRule="auto"/>
              <w:rPr>
                <w:rFonts w:ascii="Times New Roman" w:hAnsi="Times New Roman" w:cs="Times New Roman"/>
                <w:color w:val="000000" w:themeColor="text1"/>
                <w:sz w:val="14"/>
                <w:szCs w:val="14"/>
              </w:rPr>
            </w:pPr>
          </w:p>
        </w:tc>
        <w:tc>
          <w:tcPr>
            <w:tcW w:w="850" w:type="dxa"/>
            <w:tcBorders>
              <w:top w:val="nil"/>
              <w:left w:val="nil"/>
              <w:bottom w:val="nil"/>
              <w:right w:val="nil"/>
            </w:tcBorders>
            <w:vAlign w:val="center"/>
          </w:tcPr>
          <w:p w14:paraId="4C4B6F08" w14:textId="77777777" w:rsidR="00452B41" w:rsidRPr="004F51D2" w:rsidRDefault="00452B41" w:rsidP="00452B41">
            <w:pPr>
              <w:bidi w:val="0"/>
              <w:spacing w:line="480" w:lineRule="auto"/>
              <w:rPr>
                <w:rFonts w:ascii="Times New Roman" w:hAnsi="Times New Roman" w:cs="Times New Roman"/>
                <w:color w:val="000000" w:themeColor="text1"/>
                <w:sz w:val="14"/>
                <w:szCs w:val="14"/>
              </w:rPr>
            </w:pPr>
          </w:p>
        </w:tc>
        <w:tc>
          <w:tcPr>
            <w:tcW w:w="709" w:type="dxa"/>
            <w:tcBorders>
              <w:top w:val="nil"/>
              <w:left w:val="nil"/>
              <w:bottom w:val="nil"/>
              <w:right w:val="nil"/>
            </w:tcBorders>
            <w:vAlign w:val="center"/>
          </w:tcPr>
          <w:p w14:paraId="04EF7448" w14:textId="77777777" w:rsidR="00452B41" w:rsidRPr="004F51D2" w:rsidRDefault="00452B41" w:rsidP="00452B41">
            <w:pPr>
              <w:bidi w:val="0"/>
              <w:spacing w:line="480" w:lineRule="auto"/>
              <w:rPr>
                <w:rFonts w:ascii="Times New Roman" w:hAnsi="Times New Roman" w:cs="Times New Roman"/>
                <w:color w:val="000000" w:themeColor="text1"/>
                <w:sz w:val="14"/>
                <w:szCs w:val="14"/>
              </w:rPr>
            </w:pPr>
            <w:r w:rsidRPr="004F51D2">
              <w:rPr>
                <w:rFonts w:ascii="Times New Roman" w:hAnsi="Times New Roman" w:cs="Times New Roman"/>
                <w:color w:val="000000" w:themeColor="text1"/>
                <w:sz w:val="14"/>
                <w:szCs w:val="14"/>
              </w:rPr>
              <w:t>1</w:t>
            </w:r>
          </w:p>
        </w:tc>
        <w:tc>
          <w:tcPr>
            <w:tcW w:w="709" w:type="dxa"/>
            <w:tcBorders>
              <w:top w:val="nil"/>
              <w:left w:val="nil"/>
              <w:bottom w:val="nil"/>
              <w:right w:val="nil"/>
            </w:tcBorders>
            <w:vAlign w:val="center"/>
          </w:tcPr>
          <w:p w14:paraId="714C909F" w14:textId="77777777" w:rsidR="00452B41" w:rsidRPr="004F51D2" w:rsidRDefault="00452B41" w:rsidP="00452B41">
            <w:pPr>
              <w:bidi w:val="0"/>
              <w:spacing w:line="480" w:lineRule="auto"/>
              <w:rPr>
                <w:rFonts w:ascii="Times New Roman" w:hAnsi="Times New Roman" w:cs="Times New Roman"/>
                <w:color w:val="000000" w:themeColor="text1"/>
                <w:sz w:val="14"/>
                <w:szCs w:val="14"/>
              </w:rPr>
            </w:pPr>
            <w:r w:rsidRPr="004F51D2">
              <w:rPr>
                <w:rFonts w:ascii="Times New Roman" w:hAnsi="Times New Roman" w:cs="Times New Roman"/>
                <w:color w:val="000000" w:themeColor="text1"/>
                <w:sz w:val="14"/>
                <w:szCs w:val="14"/>
              </w:rPr>
              <w:t>0.187*</w:t>
            </w:r>
          </w:p>
        </w:tc>
        <w:tc>
          <w:tcPr>
            <w:tcW w:w="709" w:type="dxa"/>
            <w:tcBorders>
              <w:top w:val="nil"/>
              <w:left w:val="nil"/>
              <w:bottom w:val="nil"/>
              <w:right w:val="nil"/>
            </w:tcBorders>
            <w:vAlign w:val="center"/>
          </w:tcPr>
          <w:p w14:paraId="215512E2" w14:textId="77777777" w:rsidR="00452B41" w:rsidRPr="004F51D2" w:rsidRDefault="00452B41" w:rsidP="00452B41">
            <w:pPr>
              <w:bidi w:val="0"/>
              <w:spacing w:line="480" w:lineRule="auto"/>
              <w:rPr>
                <w:rFonts w:ascii="Times New Roman" w:hAnsi="Times New Roman" w:cs="Times New Roman"/>
                <w:color w:val="000000" w:themeColor="text1"/>
                <w:sz w:val="14"/>
                <w:szCs w:val="14"/>
              </w:rPr>
            </w:pPr>
            <w:r w:rsidRPr="004F51D2">
              <w:rPr>
                <w:rFonts w:ascii="Times New Roman" w:hAnsi="Times New Roman" w:cs="Times New Roman"/>
                <w:color w:val="000000" w:themeColor="text1"/>
                <w:sz w:val="14"/>
                <w:szCs w:val="14"/>
              </w:rPr>
              <w:t>0.079*</w:t>
            </w:r>
          </w:p>
        </w:tc>
        <w:tc>
          <w:tcPr>
            <w:tcW w:w="708" w:type="dxa"/>
            <w:tcBorders>
              <w:top w:val="nil"/>
              <w:left w:val="nil"/>
              <w:bottom w:val="nil"/>
              <w:right w:val="nil"/>
            </w:tcBorders>
            <w:vAlign w:val="center"/>
          </w:tcPr>
          <w:p w14:paraId="57C229F6" w14:textId="77777777" w:rsidR="00452B41" w:rsidRPr="004F51D2" w:rsidRDefault="00452B41" w:rsidP="00452B41">
            <w:pPr>
              <w:bidi w:val="0"/>
              <w:spacing w:line="480" w:lineRule="auto"/>
              <w:rPr>
                <w:rFonts w:ascii="Times New Roman" w:hAnsi="Times New Roman" w:cs="Times New Roman"/>
                <w:color w:val="000000" w:themeColor="text1"/>
                <w:sz w:val="14"/>
                <w:szCs w:val="14"/>
              </w:rPr>
            </w:pPr>
            <w:r w:rsidRPr="004F51D2">
              <w:rPr>
                <w:rFonts w:ascii="Times New Roman" w:hAnsi="Times New Roman" w:cs="Times New Roman"/>
                <w:color w:val="000000" w:themeColor="text1"/>
                <w:sz w:val="14"/>
                <w:szCs w:val="14"/>
              </w:rPr>
              <w:t>0.084</w:t>
            </w:r>
          </w:p>
        </w:tc>
        <w:tc>
          <w:tcPr>
            <w:tcW w:w="709" w:type="dxa"/>
            <w:tcBorders>
              <w:top w:val="nil"/>
              <w:left w:val="nil"/>
              <w:bottom w:val="nil"/>
              <w:right w:val="nil"/>
            </w:tcBorders>
            <w:vAlign w:val="center"/>
          </w:tcPr>
          <w:p w14:paraId="4ED0B59B" w14:textId="77777777" w:rsidR="00452B41" w:rsidRPr="004F51D2" w:rsidRDefault="00452B41" w:rsidP="00452B41">
            <w:pPr>
              <w:bidi w:val="0"/>
              <w:spacing w:line="480" w:lineRule="auto"/>
              <w:rPr>
                <w:rFonts w:ascii="Times New Roman" w:hAnsi="Times New Roman" w:cs="Times New Roman"/>
                <w:color w:val="000000" w:themeColor="text1"/>
                <w:sz w:val="14"/>
                <w:szCs w:val="14"/>
              </w:rPr>
            </w:pPr>
            <w:r w:rsidRPr="004F51D2">
              <w:rPr>
                <w:rFonts w:ascii="Times New Roman" w:hAnsi="Times New Roman" w:cs="Times New Roman"/>
                <w:color w:val="000000" w:themeColor="text1"/>
                <w:sz w:val="14"/>
                <w:szCs w:val="14"/>
              </w:rPr>
              <w:t>0.121*</w:t>
            </w:r>
          </w:p>
        </w:tc>
        <w:tc>
          <w:tcPr>
            <w:tcW w:w="710" w:type="dxa"/>
            <w:tcBorders>
              <w:top w:val="nil"/>
              <w:left w:val="nil"/>
              <w:bottom w:val="nil"/>
              <w:right w:val="nil"/>
            </w:tcBorders>
            <w:vAlign w:val="center"/>
          </w:tcPr>
          <w:p w14:paraId="37D3E316" w14:textId="77777777" w:rsidR="00452B41" w:rsidRPr="004F51D2" w:rsidRDefault="00452B41" w:rsidP="00452B41">
            <w:pPr>
              <w:bidi w:val="0"/>
              <w:spacing w:line="480" w:lineRule="auto"/>
              <w:rPr>
                <w:rFonts w:ascii="Times New Roman" w:hAnsi="Times New Roman" w:cs="Times New Roman"/>
                <w:color w:val="000000" w:themeColor="text1"/>
                <w:sz w:val="14"/>
                <w:szCs w:val="14"/>
              </w:rPr>
            </w:pPr>
            <w:r w:rsidRPr="004F51D2">
              <w:rPr>
                <w:rFonts w:ascii="Times New Roman" w:hAnsi="Times New Roman" w:cs="Times New Roman"/>
                <w:color w:val="000000" w:themeColor="text1"/>
                <w:sz w:val="14"/>
                <w:szCs w:val="14"/>
              </w:rPr>
              <w:t>0.114*</w:t>
            </w:r>
          </w:p>
        </w:tc>
        <w:tc>
          <w:tcPr>
            <w:tcW w:w="849" w:type="dxa"/>
            <w:tcBorders>
              <w:top w:val="nil"/>
              <w:left w:val="nil"/>
              <w:bottom w:val="nil"/>
              <w:right w:val="nil"/>
            </w:tcBorders>
          </w:tcPr>
          <w:p w14:paraId="56BB8C6C" w14:textId="51EB33C6" w:rsidR="00452B41" w:rsidRPr="004F51D2" w:rsidRDefault="00452B41" w:rsidP="00452B41">
            <w:pPr>
              <w:bidi w:val="0"/>
              <w:spacing w:line="480" w:lineRule="auto"/>
              <w:rPr>
                <w:rFonts w:ascii="Times New Roman" w:hAnsi="Times New Roman" w:cs="Times New Roman"/>
                <w:color w:val="000000" w:themeColor="text1"/>
                <w:sz w:val="14"/>
                <w:szCs w:val="14"/>
              </w:rPr>
            </w:pPr>
            <w:r w:rsidRPr="004F51D2">
              <w:rPr>
                <w:rFonts w:ascii="Times New Roman" w:eastAsia="Arial Unicode MS" w:hAnsi="Times New Roman" w:cs="Times New Roman"/>
                <w:sz w:val="14"/>
                <w:szCs w:val="14"/>
                <w:bdr w:val="nil"/>
              </w:rPr>
              <w:t>-0.11</w:t>
            </w:r>
          </w:p>
        </w:tc>
        <w:tc>
          <w:tcPr>
            <w:tcW w:w="851" w:type="dxa"/>
            <w:tcBorders>
              <w:top w:val="nil"/>
              <w:left w:val="nil"/>
              <w:bottom w:val="nil"/>
              <w:right w:val="nil"/>
            </w:tcBorders>
          </w:tcPr>
          <w:p w14:paraId="7406E55F" w14:textId="128BC584" w:rsidR="00452B41" w:rsidRPr="004F51D2" w:rsidRDefault="00452B41" w:rsidP="00452B41">
            <w:pPr>
              <w:bidi w:val="0"/>
              <w:spacing w:line="480" w:lineRule="auto"/>
              <w:rPr>
                <w:rFonts w:ascii="Times New Roman" w:hAnsi="Times New Roman" w:cs="Times New Roman"/>
                <w:color w:val="000000" w:themeColor="text1"/>
                <w:sz w:val="14"/>
                <w:szCs w:val="14"/>
              </w:rPr>
            </w:pPr>
            <w:r w:rsidRPr="004F51D2">
              <w:rPr>
                <w:rFonts w:ascii="Times New Roman" w:eastAsia="Arial Unicode MS" w:hAnsi="Times New Roman" w:cs="Times New Roman"/>
                <w:sz w:val="14"/>
                <w:szCs w:val="14"/>
                <w:bdr w:val="nil"/>
              </w:rPr>
              <w:t>0.23</w:t>
            </w:r>
          </w:p>
        </w:tc>
        <w:tc>
          <w:tcPr>
            <w:tcW w:w="998" w:type="dxa"/>
            <w:tcBorders>
              <w:top w:val="nil"/>
              <w:left w:val="nil"/>
              <w:bottom w:val="nil"/>
              <w:right w:val="nil"/>
            </w:tcBorders>
            <w:vAlign w:val="center"/>
          </w:tcPr>
          <w:p w14:paraId="479A5B0F" w14:textId="77777777" w:rsidR="00452B41" w:rsidRPr="004F51D2" w:rsidRDefault="00452B41" w:rsidP="00452B41">
            <w:pPr>
              <w:bidi w:val="0"/>
              <w:spacing w:line="480" w:lineRule="auto"/>
              <w:rPr>
                <w:rFonts w:ascii="Times New Roman" w:hAnsi="Times New Roman" w:cs="Times New Roman"/>
                <w:color w:val="000000" w:themeColor="text1"/>
                <w:sz w:val="14"/>
                <w:szCs w:val="14"/>
              </w:rPr>
            </w:pPr>
            <w:r w:rsidRPr="004F51D2">
              <w:rPr>
                <w:rFonts w:ascii="Times New Roman" w:hAnsi="Times New Roman" w:cs="Times New Roman"/>
                <w:color w:val="000000" w:themeColor="text1"/>
                <w:sz w:val="14"/>
                <w:szCs w:val="14"/>
              </w:rPr>
              <w:t>6.70 (1.67)</w:t>
            </w:r>
          </w:p>
        </w:tc>
        <w:tc>
          <w:tcPr>
            <w:tcW w:w="1270" w:type="dxa"/>
            <w:tcBorders>
              <w:top w:val="nil"/>
              <w:left w:val="nil"/>
              <w:bottom w:val="nil"/>
            </w:tcBorders>
          </w:tcPr>
          <w:p w14:paraId="07A41782" w14:textId="2A43D433" w:rsidR="00452B41" w:rsidRPr="004F51D2" w:rsidRDefault="007C6232" w:rsidP="009154D8">
            <w:pPr>
              <w:bidi w:val="0"/>
              <w:spacing w:line="480" w:lineRule="auto"/>
              <w:rPr>
                <w:rFonts w:ascii="Times New Roman" w:hAnsi="Times New Roman" w:cs="Times New Roman"/>
                <w:color w:val="000000" w:themeColor="text1"/>
                <w:sz w:val="14"/>
                <w:szCs w:val="14"/>
              </w:rPr>
            </w:pPr>
            <w:r w:rsidRPr="004F51D2">
              <w:rPr>
                <w:rFonts w:asciiTheme="majorBidi" w:hAnsiTheme="majorBidi" w:cstheme="majorBidi"/>
                <w:sz w:val="14"/>
                <w:szCs w:val="14"/>
              </w:rPr>
              <w:t xml:space="preserve">6. </w:t>
            </w:r>
            <w:r w:rsidR="009154D8" w:rsidRPr="004F51D2">
              <w:rPr>
                <w:rFonts w:asciiTheme="majorBidi" w:hAnsiTheme="majorBidi" w:cstheme="majorBidi"/>
                <w:sz w:val="14"/>
                <w:szCs w:val="14"/>
              </w:rPr>
              <w:t>BFI-</w:t>
            </w:r>
            <w:r w:rsidR="00452B41" w:rsidRPr="004F51D2">
              <w:rPr>
                <w:rFonts w:asciiTheme="majorBidi" w:hAnsiTheme="majorBidi" w:cstheme="majorBidi"/>
                <w:sz w:val="14"/>
                <w:szCs w:val="14"/>
              </w:rPr>
              <w:t>O</w:t>
            </w:r>
          </w:p>
        </w:tc>
      </w:tr>
      <w:tr w:rsidR="00452B41" w:rsidRPr="004F51D2" w14:paraId="30859235" w14:textId="77777777" w:rsidTr="009154D8">
        <w:tc>
          <w:tcPr>
            <w:tcW w:w="567" w:type="dxa"/>
            <w:tcBorders>
              <w:top w:val="nil"/>
              <w:bottom w:val="nil"/>
              <w:right w:val="nil"/>
            </w:tcBorders>
            <w:vAlign w:val="center"/>
          </w:tcPr>
          <w:p w14:paraId="0B102978" w14:textId="77777777" w:rsidR="00452B41" w:rsidRPr="004F51D2" w:rsidRDefault="00452B41" w:rsidP="00452B41">
            <w:pPr>
              <w:bidi w:val="0"/>
              <w:spacing w:line="480" w:lineRule="auto"/>
              <w:rPr>
                <w:rFonts w:ascii="Times New Roman" w:hAnsi="Times New Roman" w:cs="Times New Roman"/>
                <w:color w:val="000000" w:themeColor="text1"/>
                <w:sz w:val="14"/>
                <w:szCs w:val="14"/>
              </w:rPr>
            </w:pPr>
          </w:p>
        </w:tc>
        <w:tc>
          <w:tcPr>
            <w:tcW w:w="709" w:type="dxa"/>
            <w:tcBorders>
              <w:top w:val="nil"/>
              <w:left w:val="nil"/>
              <w:bottom w:val="nil"/>
              <w:right w:val="nil"/>
            </w:tcBorders>
            <w:vAlign w:val="center"/>
          </w:tcPr>
          <w:p w14:paraId="0613A7A1" w14:textId="77777777" w:rsidR="00452B41" w:rsidRPr="004F51D2" w:rsidRDefault="00452B41" w:rsidP="00452B41">
            <w:pPr>
              <w:bidi w:val="0"/>
              <w:spacing w:line="480" w:lineRule="auto"/>
              <w:rPr>
                <w:rFonts w:ascii="Times New Roman" w:hAnsi="Times New Roman" w:cs="Times New Roman"/>
                <w:color w:val="000000" w:themeColor="text1"/>
                <w:sz w:val="14"/>
                <w:szCs w:val="14"/>
              </w:rPr>
            </w:pPr>
          </w:p>
        </w:tc>
        <w:tc>
          <w:tcPr>
            <w:tcW w:w="709" w:type="dxa"/>
            <w:tcBorders>
              <w:top w:val="nil"/>
              <w:left w:val="nil"/>
              <w:bottom w:val="nil"/>
              <w:right w:val="nil"/>
            </w:tcBorders>
            <w:vAlign w:val="center"/>
          </w:tcPr>
          <w:p w14:paraId="3B128675" w14:textId="77777777" w:rsidR="00452B41" w:rsidRPr="004F51D2" w:rsidRDefault="00452B41" w:rsidP="00452B41">
            <w:pPr>
              <w:bidi w:val="0"/>
              <w:spacing w:line="480" w:lineRule="auto"/>
              <w:rPr>
                <w:rFonts w:ascii="Times New Roman" w:hAnsi="Times New Roman" w:cs="Times New Roman"/>
                <w:color w:val="000000" w:themeColor="text1"/>
                <w:sz w:val="14"/>
                <w:szCs w:val="14"/>
              </w:rPr>
            </w:pPr>
          </w:p>
        </w:tc>
        <w:tc>
          <w:tcPr>
            <w:tcW w:w="709" w:type="dxa"/>
            <w:tcBorders>
              <w:top w:val="nil"/>
              <w:left w:val="nil"/>
              <w:bottom w:val="nil"/>
              <w:right w:val="nil"/>
            </w:tcBorders>
            <w:vAlign w:val="center"/>
          </w:tcPr>
          <w:p w14:paraId="50BD0E78" w14:textId="77777777" w:rsidR="00452B41" w:rsidRPr="004F51D2" w:rsidRDefault="00452B41" w:rsidP="00452B41">
            <w:pPr>
              <w:bidi w:val="0"/>
              <w:spacing w:line="480" w:lineRule="auto"/>
              <w:rPr>
                <w:rFonts w:ascii="Times New Roman" w:hAnsi="Times New Roman" w:cs="Times New Roman"/>
                <w:color w:val="000000" w:themeColor="text1"/>
                <w:sz w:val="14"/>
                <w:szCs w:val="14"/>
              </w:rPr>
            </w:pPr>
          </w:p>
        </w:tc>
        <w:tc>
          <w:tcPr>
            <w:tcW w:w="708" w:type="dxa"/>
            <w:tcBorders>
              <w:top w:val="nil"/>
              <w:left w:val="nil"/>
              <w:bottom w:val="nil"/>
              <w:right w:val="nil"/>
            </w:tcBorders>
            <w:vAlign w:val="center"/>
          </w:tcPr>
          <w:p w14:paraId="7FE0F4DF" w14:textId="77777777" w:rsidR="00452B41" w:rsidRPr="004F51D2" w:rsidRDefault="00452B41" w:rsidP="00452B41">
            <w:pPr>
              <w:bidi w:val="0"/>
              <w:spacing w:line="480" w:lineRule="auto"/>
              <w:rPr>
                <w:rFonts w:ascii="Times New Roman" w:hAnsi="Times New Roman" w:cs="Times New Roman"/>
                <w:color w:val="000000" w:themeColor="text1"/>
                <w:sz w:val="14"/>
                <w:szCs w:val="14"/>
              </w:rPr>
            </w:pPr>
          </w:p>
        </w:tc>
        <w:tc>
          <w:tcPr>
            <w:tcW w:w="709" w:type="dxa"/>
            <w:tcBorders>
              <w:top w:val="nil"/>
              <w:left w:val="nil"/>
              <w:bottom w:val="nil"/>
              <w:right w:val="nil"/>
            </w:tcBorders>
            <w:vAlign w:val="center"/>
          </w:tcPr>
          <w:p w14:paraId="741F02B3" w14:textId="77777777" w:rsidR="00452B41" w:rsidRPr="004F51D2" w:rsidRDefault="00452B41" w:rsidP="00452B41">
            <w:pPr>
              <w:bidi w:val="0"/>
              <w:spacing w:line="480" w:lineRule="auto"/>
              <w:rPr>
                <w:rFonts w:ascii="Times New Roman" w:hAnsi="Times New Roman" w:cs="Times New Roman"/>
                <w:color w:val="000000" w:themeColor="text1"/>
                <w:sz w:val="14"/>
                <w:szCs w:val="14"/>
              </w:rPr>
            </w:pPr>
          </w:p>
        </w:tc>
        <w:tc>
          <w:tcPr>
            <w:tcW w:w="709" w:type="dxa"/>
            <w:tcBorders>
              <w:top w:val="nil"/>
              <w:left w:val="nil"/>
              <w:bottom w:val="nil"/>
              <w:right w:val="nil"/>
            </w:tcBorders>
            <w:vAlign w:val="center"/>
          </w:tcPr>
          <w:p w14:paraId="64B7783F" w14:textId="77777777" w:rsidR="00452B41" w:rsidRPr="004F51D2" w:rsidRDefault="00452B41" w:rsidP="00452B41">
            <w:pPr>
              <w:bidi w:val="0"/>
              <w:spacing w:line="480" w:lineRule="auto"/>
              <w:rPr>
                <w:rFonts w:ascii="Times New Roman" w:hAnsi="Times New Roman" w:cs="Times New Roman"/>
                <w:color w:val="000000" w:themeColor="text1"/>
                <w:sz w:val="14"/>
                <w:szCs w:val="14"/>
              </w:rPr>
            </w:pPr>
          </w:p>
        </w:tc>
        <w:tc>
          <w:tcPr>
            <w:tcW w:w="850" w:type="dxa"/>
            <w:tcBorders>
              <w:top w:val="nil"/>
              <w:left w:val="nil"/>
              <w:bottom w:val="nil"/>
              <w:right w:val="nil"/>
            </w:tcBorders>
            <w:vAlign w:val="center"/>
          </w:tcPr>
          <w:p w14:paraId="6D8D0664" w14:textId="77777777" w:rsidR="00452B41" w:rsidRPr="004F51D2" w:rsidRDefault="00452B41" w:rsidP="00452B41">
            <w:pPr>
              <w:bidi w:val="0"/>
              <w:spacing w:line="480" w:lineRule="auto"/>
              <w:rPr>
                <w:rFonts w:ascii="Times New Roman" w:hAnsi="Times New Roman" w:cs="Times New Roman"/>
                <w:color w:val="000000" w:themeColor="text1"/>
                <w:sz w:val="14"/>
                <w:szCs w:val="14"/>
              </w:rPr>
            </w:pPr>
            <w:r w:rsidRPr="004F51D2">
              <w:rPr>
                <w:rFonts w:ascii="Times New Roman" w:hAnsi="Times New Roman" w:cs="Times New Roman"/>
                <w:color w:val="000000" w:themeColor="text1"/>
                <w:sz w:val="14"/>
                <w:szCs w:val="14"/>
              </w:rPr>
              <w:t>1</w:t>
            </w:r>
          </w:p>
        </w:tc>
        <w:tc>
          <w:tcPr>
            <w:tcW w:w="709" w:type="dxa"/>
            <w:tcBorders>
              <w:top w:val="nil"/>
              <w:left w:val="nil"/>
              <w:bottom w:val="nil"/>
              <w:right w:val="nil"/>
            </w:tcBorders>
            <w:vAlign w:val="center"/>
          </w:tcPr>
          <w:p w14:paraId="563B0DAF" w14:textId="77777777" w:rsidR="00452B41" w:rsidRPr="004F51D2" w:rsidRDefault="00452B41" w:rsidP="00452B41">
            <w:pPr>
              <w:bidi w:val="0"/>
              <w:spacing w:line="480" w:lineRule="auto"/>
              <w:rPr>
                <w:rFonts w:ascii="Times New Roman" w:hAnsi="Times New Roman" w:cs="Times New Roman"/>
                <w:color w:val="000000" w:themeColor="text1"/>
                <w:sz w:val="14"/>
                <w:szCs w:val="14"/>
              </w:rPr>
            </w:pPr>
            <w:r w:rsidRPr="004F51D2">
              <w:rPr>
                <w:rFonts w:ascii="Times New Roman" w:hAnsi="Times New Roman" w:cs="Times New Roman"/>
                <w:color w:val="000000" w:themeColor="text1"/>
                <w:sz w:val="14"/>
                <w:szCs w:val="14"/>
              </w:rPr>
              <w:t>0.173*</w:t>
            </w:r>
          </w:p>
        </w:tc>
        <w:tc>
          <w:tcPr>
            <w:tcW w:w="709" w:type="dxa"/>
            <w:tcBorders>
              <w:top w:val="nil"/>
              <w:left w:val="nil"/>
              <w:bottom w:val="nil"/>
              <w:right w:val="nil"/>
            </w:tcBorders>
            <w:vAlign w:val="center"/>
          </w:tcPr>
          <w:p w14:paraId="3288C705" w14:textId="77777777" w:rsidR="00452B41" w:rsidRPr="004F51D2" w:rsidRDefault="00452B41" w:rsidP="00452B41">
            <w:pPr>
              <w:bidi w:val="0"/>
              <w:spacing w:line="480" w:lineRule="auto"/>
              <w:rPr>
                <w:rFonts w:ascii="Times New Roman" w:hAnsi="Times New Roman" w:cs="Times New Roman"/>
                <w:color w:val="000000" w:themeColor="text1"/>
                <w:sz w:val="14"/>
                <w:szCs w:val="14"/>
              </w:rPr>
            </w:pPr>
            <w:r w:rsidRPr="004F51D2">
              <w:rPr>
                <w:rFonts w:ascii="Times New Roman" w:hAnsi="Times New Roman" w:cs="Times New Roman"/>
                <w:color w:val="000000" w:themeColor="text1"/>
                <w:sz w:val="14"/>
                <w:szCs w:val="14"/>
              </w:rPr>
              <w:t>0.037</w:t>
            </w:r>
          </w:p>
        </w:tc>
        <w:tc>
          <w:tcPr>
            <w:tcW w:w="709" w:type="dxa"/>
            <w:tcBorders>
              <w:top w:val="nil"/>
              <w:left w:val="nil"/>
              <w:bottom w:val="nil"/>
              <w:right w:val="nil"/>
            </w:tcBorders>
            <w:vAlign w:val="center"/>
          </w:tcPr>
          <w:p w14:paraId="4447D97E" w14:textId="77777777" w:rsidR="00452B41" w:rsidRPr="004F51D2" w:rsidRDefault="00452B41" w:rsidP="00452B41">
            <w:pPr>
              <w:bidi w:val="0"/>
              <w:spacing w:line="480" w:lineRule="auto"/>
              <w:rPr>
                <w:rFonts w:ascii="Times New Roman" w:hAnsi="Times New Roman" w:cs="Times New Roman"/>
                <w:color w:val="000000" w:themeColor="text1"/>
                <w:sz w:val="14"/>
                <w:szCs w:val="14"/>
              </w:rPr>
            </w:pPr>
            <w:r w:rsidRPr="004F51D2">
              <w:rPr>
                <w:rFonts w:ascii="Times New Roman" w:hAnsi="Times New Roman" w:cs="Times New Roman"/>
                <w:color w:val="000000" w:themeColor="text1"/>
                <w:sz w:val="14"/>
                <w:szCs w:val="14"/>
              </w:rPr>
              <w:t>-0.098</w:t>
            </w:r>
          </w:p>
        </w:tc>
        <w:tc>
          <w:tcPr>
            <w:tcW w:w="708" w:type="dxa"/>
            <w:tcBorders>
              <w:top w:val="nil"/>
              <w:left w:val="nil"/>
              <w:bottom w:val="nil"/>
              <w:right w:val="nil"/>
            </w:tcBorders>
            <w:vAlign w:val="center"/>
          </w:tcPr>
          <w:p w14:paraId="136F85FA" w14:textId="77777777" w:rsidR="00452B41" w:rsidRPr="004F51D2" w:rsidRDefault="00452B41" w:rsidP="00452B41">
            <w:pPr>
              <w:bidi w:val="0"/>
              <w:spacing w:line="480" w:lineRule="auto"/>
              <w:rPr>
                <w:rFonts w:ascii="Times New Roman" w:hAnsi="Times New Roman" w:cs="Times New Roman"/>
                <w:color w:val="000000" w:themeColor="text1"/>
                <w:sz w:val="14"/>
                <w:szCs w:val="14"/>
              </w:rPr>
            </w:pPr>
            <w:r w:rsidRPr="004F51D2">
              <w:rPr>
                <w:rFonts w:ascii="Times New Roman" w:hAnsi="Times New Roman" w:cs="Times New Roman"/>
                <w:color w:val="000000" w:themeColor="text1"/>
                <w:sz w:val="14"/>
                <w:szCs w:val="14"/>
              </w:rPr>
              <w:t>0.106*</w:t>
            </w:r>
          </w:p>
        </w:tc>
        <w:tc>
          <w:tcPr>
            <w:tcW w:w="709" w:type="dxa"/>
            <w:tcBorders>
              <w:top w:val="nil"/>
              <w:left w:val="nil"/>
              <w:bottom w:val="nil"/>
              <w:right w:val="nil"/>
            </w:tcBorders>
            <w:vAlign w:val="center"/>
          </w:tcPr>
          <w:p w14:paraId="38737B12" w14:textId="77777777" w:rsidR="00452B41" w:rsidRPr="004F51D2" w:rsidRDefault="00452B41" w:rsidP="00452B41">
            <w:pPr>
              <w:bidi w:val="0"/>
              <w:spacing w:line="480" w:lineRule="auto"/>
              <w:rPr>
                <w:rFonts w:ascii="Times New Roman" w:hAnsi="Times New Roman" w:cs="Times New Roman"/>
                <w:color w:val="000000" w:themeColor="text1"/>
                <w:sz w:val="14"/>
                <w:szCs w:val="14"/>
              </w:rPr>
            </w:pPr>
            <w:r w:rsidRPr="004F51D2">
              <w:rPr>
                <w:rFonts w:ascii="Times New Roman" w:hAnsi="Times New Roman" w:cs="Times New Roman"/>
                <w:color w:val="000000" w:themeColor="text1"/>
                <w:sz w:val="14"/>
                <w:szCs w:val="14"/>
              </w:rPr>
              <w:t>0.123*</w:t>
            </w:r>
          </w:p>
        </w:tc>
        <w:tc>
          <w:tcPr>
            <w:tcW w:w="710" w:type="dxa"/>
            <w:tcBorders>
              <w:top w:val="nil"/>
              <w:left w:val="nil"/>
              <w:bottom w:val="nil"/>
              <w:right w:val="nil"/>
            </w:tcBorders>
            <w:vAlign w:val="center"/>
          </w:tcPr>
          <w:p w14:paraId="414544AB" w14:textId="77777777" w:rsidR="00452B41" w:rsidRPr="004F51D2" w:rsidRDefault="00452B41" w:rsidP="00452B41">
            <w:pPr>
              <w:bidi w:val="0"/>
              <w:spacing w:line="480" w:lineRule="auto"/>
              <w:rPr>
                <w:rFonts w:ascii="Times New Roman" w:hAnsi="Times New Roman" w:cs="Times New Roman"/>
                <w:color w:val="000000" w:themeColor="text1"/>
                <w:sz w:val="14"/>
                <w:szCs w:val="14"/>
              </w:rPr>
            </w:pPr>
            <w:r w:rsidRPr="004F51D2">
              <w:rPr>
                <w:rFonts w:ascii="Times New Roman" w:hAnsi="Times New Roman" w:cs="Times New Roman"/>
                <w:color w:val="000000" w:themeColor="text1"/>
                <w:sz w:val="14"/>
                <w:szCs w:val="14"/>
              </w:rPr>
              <w:t>0.440**</w:t>
            </w:r>
          </w:p>
        </w:tc>
        <w:tc>
          <w:tcPr>
            <w:tcW w:w="849" w:type="dxa"/>
            <w:tcBorders>
              <w:top w:val="nil"/>
              <w:left w:val="nil"/>
              <w:bottom w:val="nil"/>
              <w:right w:val="nil"/>
            </w:tcBorders>
          </w:tcPr>
          <w:p w14:paraId="196839E0" w14:textId="2537477F" w:rsidR="00452B41" w:rsidRPr="004F51D2" w:rsidRDefault="00452B41" w:rsidP="00452B41">
            <w:pPr>
              <w:bidi w:val="0"/>
              <w:spacing w:line="480" w:lineRule="auto"/>
              <w:rPr>
                <w:rFonts w:ascii="Times New Roman" w:hAnsi="Times New Roman" w:cs="Times New Roman"/>
                <w:color w:val="000000" w:themeColor="text1"/>
                <w:sz w:val="14"/>
                <w:szCs w:val="14"/>
              </w:rPr>
            </w:pPr>
            <w:r w:rsidRPr="004F51D2">
              <w:rPr>
                <w:rFonts w:ascii="Times New Roman" w:eastAsia="Arial Unicode MS" w:hAnsi="Times New Roman" w:cs="Times New Roman"/>
                <w:sz w:val="14"/>
                <w:szCs w:val="14"/>
                <w:bdr w:val="nil"/>
              </w:rPr>
              <w:t>0.17</w:t>
            </w:r>
          </w:p>
        </w:tc>
        <w:tc>
          <w:tcPr>
            <w:tcW w:w="851" w:type="dxa"/>
            <w:tcBorders>
              <w:top w:val="nil"/>
              <w:left w:val="nil"/>
              <w:bottom w:val="nil"/>
              <w:right w:val="nil"/>
            </w:tcBorders>
          </w:tcPr>
          <w:p w14:paraId="4E81137A" w14:textId="0486502B" w:rsidR="00452B41" w:rsidRPr="004F51D2" w:rsidRDefault="00452B41" w:rsidP="00452B41">
            <w:pPr>
              <w:bidi w:val="0"/>
              <w:spacing w:line="480" w:lineRule="auto"/>
              <w:rPr>
                <w:rFonts w:ascii="Times New Roman" w:hAnsi="Times New Roman" w:cs="Times New Roman"/>
                <w:color w:val="000000" w:themeColor="text1"/>
                <w:sz w:val="14"/>
                <w:szCs w:val="14"/>
              </w:rPr>
            </w:pPr>
            <w:r w:rsidRPr="004F51D2">
              <w:rPr>
                <w:rFonts w:ascii="Times New Roman" w:eastAsia="Arial Unicode MS" w:hAnsi="Times New Roman" w:cs="Times New Roman"/>
                <w:sz w:val="14"/>
                <w:szCs w:val="14"/>
                <w:bdr w:val="nil"/>
              </w:rPr>
              <w:t>-0.25</w:t>
            </w:r>
          </w:p>
        </w:tc>
        <w:tc>
          <w:tcPr>
            <w:tcW w:w="998" w:type="dxa"/>
            <w:tcBorders>
              <w:top w:val="nil"/>
              <w:left w:val="nil"/>
              <w:bottom w:val="nil"/>
              <w:right w:val="nil"/>
            </w:tcBorders>
            <w:vAlign w:val="center"/>
          </w:tcPr>
          <w:p w14:paraId="48D505A3" w14:textId="77777777" w:rsidR="00452B41" w:rsidRPr="004F51D2" w:rsidRDefault="00452B41" w:rsidP="00452B41">
            <w:pPr>
              <w:bidi w:val="0"/>
              <w:spacing w:line="480" w:lineRule="auto"/>
              <w:rPr>
                <w:rFonts w:ascii="Times New Roman" w:hAnsi="Times New Roman" w:cs="Times New Roman"/>
                <w:color w:val="000000" w:themeColor="text1"/>
                <w:sz w:val="14"/>
                <w:szCs w:val="14"/>
              </w:rPr>
            </w:pPr>
            <w:r w:rsidRPr="004F51D2">
              <w:rPr>
                <w:rFonts w:ascii="Times New Roman" w:hAnsi="Times New Roman" w:cs="Times New Roman"/>
                <w:color w:val="000000" w:themeColor="text1"/>
                <w:sz w:val="14"/>
                <w:szCs w:val="14"/>
              </w:rPr>
              <w:t>6.01 (2.02)</w:t>
            </w:r>
          </w:p>
        </w:tc>
        <w:tc>
          <w:tcPr>
            <w:tcW w:w="1270" w:type="dxa"/>
            <w:tcBorders>
              <w:top w:val="nil"/>
              <w:left w:val="nil"/>
              <w:bottom w:val="nil"/>
            </w:tcBorders>
          </w:tcPr>
          <w:p w14:paraId="2F4621A5" w14:textId="18D04CB8" w:rsidR="00452B41" w:rsidRPr="004F51D2" w:rsidRDefault="007C6232" w:rsidP="00452B41">
            <w:pPr>
              <w:bidi w:val="0"/>
              <w:spacing w:line="480" w:lineRule="auto"/>
              <w:rPr>
                <w:rFonts w:ascii="Times New Roman" w:hAnsi="Times New Roman" w:cs="Times New Roman"/>
                <w:color w:val="000000" w:themeColor="text1"/>
                <w:sz w:val="14"/>
                <w:szCs w:val="14"/>
              </w:rPr>
            </w:pPr>
            <w:r w:rsidRPr="004F51D2">
              <w:rPr>
                <w:rFonts w:ascii="Times New Roman" w:eastAsia="Calibri" w:hAnsi="Times New Roman" w:cs="Times New Roman"/>
                <w:color w:val="000000" w:themeColor="text1"/>
                <w:sz w:val="14"/>
                <w:szCs w:val="14"/>
              </w:rPr>
              <w:t xml:space="preserve">7. </w:t>
            </w:r>
            <w:r w:rsidR="00452B41" w:rsidRPr="004F51D2">
              <w:rPr>
                <w:rFonts w:ascii="Times New Roman" w:eastAsia="Calibri" w:hAnsi="Times New Roman" w:cs="Times New Roman"/>
                <w:color w:val="000000" w:themeColor="text1"/>
                <w:sz w:val="14"/>
                <w:szCs w:val="14"/>
              </w:rPr>
              <w:t>DASS</w:t>
            </w:r>
            <w:r w:rsidR="007753A0" w:rsidRPr="004F51D2">
              <w:rPr>
                <w:rFonts w:ascii="Times New Roman" w:eastAsia="Calibri" w:hAnsi="Times New Roman" w:cs="Times New Roman"/>
                <w:color w:val="000000" w:themeColor="text1"/>
                <w:sz w:val="14"/>
                <w:szCs w:val="14"/>
              </w:rPr>
              <w:t>-21</w:t>
            </w:r>
            <w:r w:rsidR="00452B41" w:rsidRPr="004F51D2">
              <w:rPr>
                <w:rFonts w:ascii="Times New Roman" w:eastAsia="Calibri" w:hAnsi="Times New Roman" w:cs="Times New Roman"/>
                <w:color w:val="000000" w:themeColor="text1"/>
                <w:sz w:val="14"/>
                <w:szCs w:val="14"/>
              </w:rPr>
              <w:t>-D</w:t>
            </w:r>
          </w:p>
        </w:tc>
      </w:tr>
      <w:tr w:rsidR="00452B41" w:rsidRPr="004F51D2" w14:paraId="2168D0B1" w14:textId="77777777" w:rsidTr="009154D8">
        <w:tc>
          <w:tcPr>
            <w:tcW w:w="567" w:type="dxa"/>
            <w:tcBorders>
              <w:top w:val="nil"/>
              <w:bottom w:val="nil"/>
              <w:right w:val="nil"/>
            </w:tcBorders>
            <w:vAlign w:val="center"/>
          </w:tcPr>
          <w:p w14:paraId="0F46B7E0" w14:textId="77777777" w:rsidR="00452B41" w:rsidRPr="004F51D2" w:rsidRDefault="00452B41" w:rsidP="00452B41">
            <w:pPr>
              <w:bidi w:val="0"/>
              <w:spacing w:line="480" w:lineRule="auto"/>
              <w:rPr>
                <w:rFonts w:ascii="Times New Roman" w:hAnsi="Times New Roman" w:cs="Times New Roman"/>
                <w:color w:val="000000" w:themeColor="text1"/>
                <w:sz w:val="14"/>
                <w:szCs w:val="14"/>
              </w:rPr>
            </w:pPr>
          </w:p>
        </w:tc>
        <w:tc>
          <w:tcPr>
            <w:tcW w:w="709" w:type="dxa"/>
            <w:tcBorders>
              <w:top w:val="nil"/>
              <w:left w:val="nil"/>
              <w:bottom w:val="nil"/>
              <w:right w:val="nil"/>
            </w:tcBorders>
            <w:vAlign w:val="center"/>
          </w:tcPr>
          <w:p w14:paraId="2708BDD4" w14:textId="77777777" w:rsidR="00452B41" w:rsidRPr="004F51D2" w:rsidRDefault="00452B41" w:rsidP="00452B41">
            <w:pPr>
              <w:bidi w:val="0"/>
              <w:spacing w:line="480" w:lineRule="auto"/>
              <w:rPr>
                <w:rFonts w:ascii="Times New Roman" w:hAnsi="Times New Roman" w:cs="Times New Roman"/>
                <w:color w:val="000000" w:themeColor="text1"/>
                <w:sz w:val="14"/>
                <w:szCs w:val="14"/>
              </w:rPr>
            </w:pPr>
          </w:p>
        </w:tc>
        <w:tc>
          <w:tcPr>
            <w:tcW w:w="709" w:type="dxa"/>
            <w:tcBorders>
              <w:top w:val="nil"/>
              <w:left w:val="nil"/>
              <w:bottom w:val="nil"/>
              <w:right w:val="nil"/>
            </w:tcBorders>
            <w:vAlign w:val="center"/>
          </w:tcPr>
          <w:p w14:paraId="1567435D" w14:textId="77777777" w:rsidR="00452B41" w:rsidRPr="004F51D2" w:rsidRDefault="00452B41" w:rsidP="00452B41">
            <w:pPr>
              <w:bidi w:val="0"/>
              <w:spacing w:line="480" w:lineRule="auto"/>
              <w:rPr>
                <w:rFonts w:ascii="Times New Roman" w:hAnsi="Times New Roman" w:cs="Times New Roman"/>
                <w:color w:val="000000" w:themeColor="text1"/>
                <w:sz w:val="14"/>
                <w:szCs w:val="14"/>
              </w:rPr>
            </w:pPr>
          </w:p>
        </w:tc>
        <w:tc>
          <w:tcPr>
            <w:tcW w:w="709" w:type="dxa"/>
            <w:tcBorders>
              <w:top w:val="nil"/>
              <w:left w:val="nil"/>
              <w:bottom w:val="nil"/>
              <w:right w:val="nil"/>
            </w:tcBorders>
            <w:vAlign w:val="center"/>
          </w:tcPr>
          <w:p w14:paraId="358FF5FE" w14:textId="77777777" w:rsidR="00452B41" w:rsidRPr="004F51D2" w:rsidRDefault="00452B41" w:rsidP="00452B41">
            <w:pPr>
              <w:bidi w:val="0"/>
              <w:spacing w:line="480" w:lineRule="auto"/>
              <w:rPr>
                <w:rFonts w:ascii="Times New Roman" w:hAnsi="Times New Roman" w:cs="Times New Roman"/>
                <w:color w:val="000000" w:themeColor="text1"/>
                <w:sz w:val="14"/>
                <w:szCs w:val="14"/>
              </w:rPr>
            </w:pPr>
          </w:p>
        </w:tc>
        <w:tc>
          <w:tcPr>
            <w:tcW w:w="708" w:type="dxa"/>
            <w:tcBorders>
              <w:top w:val="nil"/>
              <w:left w:val="nil"/>
              <w:bottom w:val="nil"/>
              <w:right w:val="nil"/>
            </w:tcBorders>
            <w:vAlign w:val="center"/>
          </w:tcPr>
          <w:p w14:paraId="6EDCD561" w14:textId="77777777" w:rsidR="00452B41" w:rsidRPr="004F51D2" w:rsidRDefault="00452B41" w:rsidP="00452B41">
            <w:pPr>
              <w:bidi w:val="0"/>
              <w:spacing w:line="480" w:lineRule="auto"/>
              <w:rPr>
                <w:rFonts w:ascii="Times New Roman" w:hAnsi="Times New Roman" w:cs="Times New Roman"/>
                <w:color w:val="000000" w:themeColor="text1"/>
                <w:sz w:val="14"/>
                <w:szCs w:val="14"/>
              </w:rPr>
            </w:pPr>
          </w:p>
        </w:tc>
        <w:tc>
          <w:tcPr>
            <w:tcW w:w="709" w:type="dxa"/>
            <w:tcBorders>
              <w:top w:val="nil"/>
              <w:left w:val="nil"/>
              <w:bottom w:val="nil"/>
              <w:right w:val="nil"/>
            </w:tcBorders>
            <w:vAlign w:val="center"/>
          </w:tcPr>
          <w:p w14:paraId="28F2EEB7" w14:textId="77777777" w:rsidR="00452B41" w:rsidRPr="004F51D2" w:rsidRDefault="00452B41" w:rsidP="00452B41">
            <w:pPr>
              <w:bidi w:val="0"/>
              <w:spacing w:line="480" w:lineRule="auto"/>
              <w:rPr>
                <w:rFonts w:ascii="Times New Roman" w:hAnsi="Times New Roman" w:cs="Times New Roman"/>
                <w:color w:val="000000" w:themeColor="text1"/>
                <w:sz w:val="14"/>
                <w:szCs w:val="14"/>
              </w:rPr>
            </w:pPr>
          </w:p>
        </w:tc>
        <w:tc>
          <w:tcPr>
            <w:tcW w:w="709" w:type="dxa"/>
            <w:tcBorders>
              <w:top w:val="nil"/>
              <w:left w:val="nil"/>
              <w:bottom w:val="nil"/>
              <w:right w:val="nil"/>
            </w:tcBorders>
            <w:vAlign w:val="center"/>
          </w:tcPr>
          <w:p w14:paraId="0ABC9B5B" w14:textId="77777777" w:rsidR="00452B41" w:rsidRPr="004F51D2" w:rsidRDefault="00452B41" w:rsidP="00452B41">
            <w:pPr>
              <w:bidi w:val="0"/>
              <w:spacing w:line="480" w:lineRule="auto"/>
              <w:rPr>
                <w:rFonts w:ascii="Times New Roman" w:hAnsi="Times New Roman" w:cs="Times New Roman"/>
                <w:color w:val="000000" w:themeColor="text1"/>
                <w:sz w:val="14"/>
                <w:szCs w:val="14"/>
              </w:rPr>
            </w:pPr>
            <w:r w:rsidRPr="004F51D2">
              <w:rPr>
                <w:rFonts w:ascii="Times New Roman" w:hAnsi="Times New Roman" w:cs="Times New Roman"/>
                <w:color w:val="000000" w:themeColor="text1"/>
                <w:sz w:val="14"/>
                <w:szCs w:val="14"/>
              </w:rPr>
              <w:t>1</w:t>
            </w:r>
          </w:p>
        </w:tc>
        <w:tc>
          <w:tcPr>
            <w:tcW w:w="850" w:type="dxa"/>
            <w:tcBorders>
              <w:top w:val="nil"/>
              <w:left w:val="nil"/>
              <w:bottom w:val="nil"/>
              <w:right w:val="nil"/>
            </w:tcBorders>
            <w:vAlign w:val="center"/>
          </w:tcPr>
          <w:p w14:paraId="00A0A05E" w14:textId="77777777" w:rsidR="00452B41" w:rsidRPr="004F51D2" w:rsidRDefault="00452B41" w:rsidP="00452B41">
            <w:pPr>
              <w:bidi w:val="0"/>
              <w:spacing w:line="480" w:lineRule="auto"/>
              <w:rPr>
                <w:rFonts w:ascii="Times New Roman" w:hAnsi="Times New Roman" w:cs="Times New Roman"/>
                <w:color w:val="000000" w:themeColor="text1"/>
                <w:sz w:val="14"/>
                <w:szCs w:val="14"/>
              </w:rPr>
            </w:pPr>
            <w:r w:rsidRPr="004F51D2">
              <w:rPr>
                <w:rFonts w:ascii="Times New Roman" w:hAnsi="Times New Roman" w:cs="Times New Roman"/>
                <w:color w:val="000000" w:themeColor="text1"/>
                <w:sz w:val="14"/>
                <w:szCs w:val="14"/>
              </w:rPr>
              <w:t>0.611**</w:t>
            </w:r>
          </w:p>
        </w:tc>
        <w:tc>
          <w:tcPr>
            <w:tcW w:w="709" w:type="dxa"/>
            <w:tcBorders>
              <w:top w:val="nil"/>
              <w:left w:val="nil"/>
              <w:bottom w:val="nil"/>
              <w:right w:val="nil"/>
            </w:tcBorders>
            <w:vAlign w:val="center"/>
          </w:tcPr>
          <w:p w14:paraId="2D34F35E" w14:textId="77777777" w:rsidR="00452B41" w:rsidRPr="004F51D2" w:rsidRDefault="00452B41" w:rsidP="00452B41">
            <w:pPr>
              <w:bidi w:val="0"/>
              <w:spacing w:line="480" w:lineRule="auto"/>
              <w:rPr>
                <w:rFonts w:ascii="Times New Roman" w:hAnsi="Times New Roman" w:cs="Times New Roman"/>
                <w:color w:val="000000" w:themeColor="text1"/>
                <w:sz w:val="14"/>
                <w:szCs w:val="14"/>
              </w:rPr>
            </w:pPr>
            <w:r w:rsidRPr="004F51D2">
              <w:rPr>
                <w:rFonts w:ascii="Times New Roman" w:hAnsi="Times New Roman" w:cs="Times New Roman"/>
                <w:color w:val="000000" w:themeColor="text1"/>
                <w:sz w:val="14"/>
                <w:szCs w:val="14"/>
              </w:rPr>
              <w:t>0.193*</w:t>
            </w:r>
          </w:p>
        </w:tc>
        <w:tc>
          <w:tcPr>
            <w:tcW w:w="709" w:type="dxa"/>
            <w:tcBorders>
              <w:top w:val="nil"/>
              <w:left w:val="nil"/>
              <w:bottom w:val="nil"/>
              <w:right w:val="nil"/>
            </w:tcBorders>
            <w:vAlign w:val="center"/>
          </w:tcPr>
          <w:p w14:paraId="63691FFC" w14:textId="77777777" w:rsidR="00452B41" w:rsidRPr="004F51D2" w:rsidRDefault="00452B41" w:rsidP="00452B41">
            <w:pPr>
              <w:bidi w:val="0"/>
              <w:spacing w:line="480" w:lineRule="auto"/>
              <w:rPr>
                <w:rFonts w:ascii="Times New Roman" w:hAnsi="Times New Roman" w:cs="Times New Roman"/>
                <w:color w:val="000000" w:themeColor="text1"/>
                <w:sz w:val="14"/>
                <w:szCs w:val="14"/>
              </w:rPr>
            </w:pPr>
            <w:r w:rsidRPr="004F51D2">
              <w:rPr>
                <w:rFonts w:ascii="Times New Roman" w:hAnsi="Times New Roman" w:cs="Times New Roman"/>
                <w:color w:val="000000" w:themeColor="text1"/>
                <w:sz w:val="14"/>
                <w:szCs w:val="14"/>
              </w:rPr>
              <w:t>0.047</w:t>
            </w:r>
          </w:p>
        </w:tc>
        <w:tc>
          <w:tcPr>
            <w:tcW w:w="709" w:type="dxa"/>
            <w:tcBorders>
              <w:top w:val="nil"/>
              <w:left w:val="nil"/>
              <w:bottom w:val="nil"/>
              <w:right w:val="nil"/>
            </w:tcBorders>
            <w:vAlign w:val="center"/>
          </w:tcPr>
          <w:p w14:paraId="52FCECC9" w14:textId="77777777" w:rsidR="00452B41" w:rsidRPr="004F51D2" w:rsidRDefault="00452B41" w:rsidP="00452B41">
            <w:pPr>
              <w:bidi w:val="0"/>
              <w:spacing w:line="480" w:lineRule="auto"/>
              <w:rPr>
                <w:rFonts w:ascii="Times New Roman" w:hAnsi="Times New Roman" w:cs="Times New Roman"/>
                <w:color w:val="000000" w:themeColor="text1"/>
                <w:sz w:val="14"/>
                <w:szCs w:val="14"/>
              </w:rPr>
            </w:pPr>
            <w:r w:rsidRPr="004F51D2">
              <w:rPr>
                <w:rFonts w:ascii="Times New Roman" w:hAnsi="Times New Roman" w:cs="Times New Roman"/>
                <w:color w:val="000000" w:themeColor="text1"/>
                <w:sz w:val="14"/>
                <w:szCs w:val="14"/>
              </w:rPr>
              <w:t>-0.070</w:t>
            </w:r>
          </w:p>
        </w:tc>
        <w:tc>
          <w:tcPr>
            <w:tcW w:w="708" w:type="dxa"/>
            <w:tcBorders>
              <w:top w:val="nil"/>
              <w:left w:val="nil"/>
              <w:bottom w:val="nil"/>
              <w:right w:val="nil"/>
            </w:tcBorders>
            <w:vAlign w:val="center"/>
          </w:tcPr>
          <w:p w14:paraId="4C14C245" w14:textId="77777777" w:rsidR="00452B41" w:rsidRPr="004F51D2" w:rsidRDefault="00452B41" w:rsidP="00452B41">
            <w:pPr>
              <w:bidi w:val="0"/>
              <w:spacing w:line="480" w:lineRule="auto"/>
              <w:rPr>
                <w:rFonts w:ascii="Times New Roman" w:hAnsi="Times New Roman" w:cs="Times New Roman"/>
                <w:color w:val="000000" w:themeColor="text1"/>
                <w:sz w:val="14"/>
                <w:szCs w:val="14"/>
              </w:rPr>
            </w:pPr>
            <w:r w:rsidRPr="004F51D2">
              <w:rPr>
                <w:rFonts w:ascii="Times New Roman" w:hAnsi="Times New Roman" w:cs="Times New Roman"/>
                <w:color w:val="000000" w:themeColor="text1"/>
                <w:sz w:val="14"/>
                <w:szCs w:val="14"/>
              </w:rPr>
              <w:t>0.157*</w:t>
            </w:r>
          </w:p>
        </w:tc>
        <w:tc>
          <w:tcPr>
            <w:tcW w:w="709" w:type="dxa"/>
            <w:tcBorders>
              <w:top w:val="nil"/>
              <w:left w:val="nil"/>
              <w:bottom w:val="nil"/>
              <w:right w:val="nil"/>
            </w:tcBorders>
            <w:vAlign w:val="center"/>
          </w:tcPr>
          <w:p w14:paraId="536DB672" w14:textId="77777777" w:rsidR="00452B41" w:rsidRPr="004F51D2" w:rsidRDefault="00452B41" w:rsidP="00452B41">
            <w:pPr>
              <w:bidi w:val="0"/>
              <w:spacing w:line="480" w:lineRule="auto"/>
              <w:rPr>
                <w:rFonts w:ascii="Times New Roman" w:hAnsi="Times New Roman" w:cs="Times New Roman"/>
                <w:color w:val="000000" w:themeColor="text1"/>
                <w:sz w:val="14"/>
                <w:szCs w:val="14"/>
              </w:rPr>
            </w:pPr>
            <w:r w:rsidRPr="004F51D2">
              <w:rPr>
                <w:rFonts w:ascii="Times New Roman" w:hAnsi="Times New Roman" w:cs="Times New Roman"/>
                <w:color w:val="000000" w:themeColor="text1"/>
                <w:sz w:val="14"/>
                <w:szCs w:val="14"/>
              </w:rPr>
              <w:t>0.199*</w:t>
            </w:r>
          </w:p>
        </w:tc>
        <w:tc>
          <w:tcPr>
            <w:tcW w:w="710" w:type="dxa"/>
            <w:tcBorders>
              <w:top w:val="nil"/>
              <w:left w:val="nil"/>
              <w:bottom w:val="nil"/>
              <w:right w:val="nil"/>
            </w:tcBorders>
            <w:vAlign w:val="center"/>
          </w:tcPr>
          <w:p w14:paraId="32FD040A" w14:textId="77777777" w:rsidR="00452B41" w:rsidRPr="004F51D2" w:rsidRDefault="00452B41" w:rsidP="00452B41">
            <w:pPr>
              <w:bidi w:val="0"/>
              <w:spacing w:line="480" w:lineRule="auto"/>
              <w:rPr>
                <w:rFonts w:ascii="Times New Roman" w:hAnsi="Times New Roman" w:cs="Times New Roman"/>
                <w:color w:val="000000" w:themeColor="text1"/>
                <w:sz w:val="14"/>
                <w:szCs w:val="14"/>
              </w:rPr>
            </w:pPr>
            <w:r w:rsidRPr="004F51D2">
              <w:rPr>
                <w:rFonts w:ascii="Times New Roman" w:hAnsi="Times New Roman" w:cs="Times New Roman"/>
                <w:color w:val="000000" w:themeColor="text1"/>
                <w:sz w:val="14"/>
                <w:szCs w:val="14"/>
              </w:rPr>
              <w:t>0.440**</w:t>
            </w:r>
          </w:p>
        </w:tc>
        <w:tc>
          <w:tcPr>
            <w:tcW w:w="849" w:type="dxa"/>
            <w:tcBorders>
              <w:top w:val="nil"/>
              <w:left w:val="nil"/>
              <w:bottom w:val="nil"/>
              <w:right w:val="nil"/>
            </w:tcBorders>
          </w:tcPr>
          <w:p w14:paraId="2F90B832" w14:textId="12F76A09" w:rsidR="00452B41" w:rsidRPr="004F51D2" w:rsidRDefault="00452B41" w:rsidP="00452B41">
            <w:pPr>
              <w:bidi w:val="0"/>
              <w:spacing w:line="480" w:lineRule="auto"/>
              <w:rPr>
                <w:rFonts w:ascii="Times New Roman" w:hAnsi="Times New Roman" w:cs="Times New Roman"/>
                <w:color w:val="000000" w:themeColor="text1"/>
                <w:sz w:val="14"/>
                <w:szCs w:val="14"/>
              </w:rPr>
            </w:pPr>
            <w:r w:rsidRPr="004F51D2">
              <w:rPr>
                <w:rFonts w:ascii="Times New Roman" w:eastAsia="Arial Unicode MS" w:hAnsi="Times New Roman" w:cs="Times New Roman"/>
                <w:sz w:val="14"/>
                <w:szCs w:val="14"/>
                <w:bdr w:val="nil"/>
              </w:rPr>
              <w:t>-0.20</w:t>
            </w:r>
          </w:p>
        </w:tc>
        <w:tc>
          <w:tcPr>
            <w:tcW w:w="851" w:type="dxa"/>
            <w:tcBorders>
              <w:top w:val="nil"/>
              <w:left w:val="nil"/>
              <w:bottom w:val="nil"/>
              <w:right w:val="nil"/>
            </w:tcBorders>
          </w:tcPr>
          <w:p w14:paraId="5DF7115B" w14:textId="7D630BE8" w:rsidR="00452B41" w:rsidRPr="004F51D2" w:rsidRDefault="00452B41" w:rsidP="00452B41">
            <w:pPr>
              <w:bidi w:val="0"/>
              <w:spacing w:line="480" w:lineRule="auto"/>
              <w:rPr>
                <w:rFonts w:ascii="Times New Roman" w:hAnsi="Times New Roman" w:cs="Times New Roman"/>
                <w:color w:val="000000" w:themeColor="text1"/>
                <w:sz w:val="14"/>
                <w:szCs w:val="14"/>
              </w:rPr>
            </w:pPr>
            <w:r w:rsidRPr="004F51D2">
              <w:rPr>
                <w:rFonts w:ascii="Times New Roman" w:eastAsia="Arial Unicode MS" w:hAnsi="Times New Roman" w:cs="Times New Roman"/>
                <w:sz w:val="14"/>
                <w:szCs w:val="14"/>
                <w:bdr w:val="nil"/>
              </w:rPr>
              <w:t>0.31</w:t>
            </w:r>
          </w:p>
        </w:tc>
        <w:tc>
          <w:tcPr>
            <w:tcW w:w="998" w:type="dxa"/>
            <w:tcBorders>
              <w:top w:val="nil"/>
              <w:left w:val="nil"/>
              <w:bottom w:val="nil"/>
              <w:right w:val="nil"/>
            </w:tcBorders>
            <w:vAlign w:val="center"/>
          </w:tcPr>
          <w:p w14:paraId="6A61BCED" w14:textId="77777777" w:rsidR="00452B41" w:rsidRPr="004F51D2" w:rsidRDefault="00452B41" w:rsidP="00452B41">
            <w:pPr>
              <w:bidi w:val="0"/>
              <w:spacing w:line="480" w:lineRule="auto"/>
              <w:rPr>
                <w:rFonts w:ascii="Times New Roman" w:hAnsi="Times New Roman" w:cs="Times New Roman"/>
                <w:color w:val="000000" w:themeColor="text1"/>
                <w:sz w:val="14"/>
                <w:szCs w:val="14"/>
              </w:rPr>
            </w:pPr>
            <w:r w:rsidRPr="004F51D2">
              <w:rPr>
                <w:rFonts w:ascii="Times New Roman" w:hAnsi="Times New Roman" w:cs="Times New Roman"/>
                <w:color w:val="000000" w:themeColor="text1"/>
                <w:sz w:val="14"/>
                <w:szCs w:val="14"/>
              </w:rPr>
              <w:t>8.66 (3.67)</w:t>
            </w:r>
          </w:p>
        </w:tc>
        <w:tc>
          <w:tcPr>
            <w:tcW w:w="1270" w:type="dxa"/>
            <w:tcBorders>
              <w:top w:val="nil"/>
              <w:left w:val="nil"/>
              <w:bottom w:val="nil"/>
            </w:tcBorders>
          </w:tcPr>
          <w:p w14:paraId="4299CD61" w14:textId="14F5126B" w:rsidR="00452B41" w:rsidRPr="004F51D2" w:rsidRDefault="007C6232" w:rsidP="00452B41">
            <w:pPr>
              <w:bidi w:val="0"/>
              <w:spacing w:line="480" w:lineRule="auto"/>
              <w:rPr>
                <w:rFonts w:ascii="Times New Roman" w:hAnsi="Times New Roman" w:cs="Times New Roman"/>
                <w:color w:val="000000" w:themeColor="text1"/>
                <w:sz w:val="14"/>
                <w:szCs w:val="14"/>
              </w:rPr>
            </w:pPr>
            <w:r w:rsidRPr="004F51D2">
              <w:rPr>
                <w:rFonts w:ascii="Times New Roman" w:eastAsia="Calibri" w:hAnsi="Times New Roman" w:cs="Times New Roman"/>
                <w:color w:val="000000" w:themeColor="text1"/>
                <w:sz w:val="14"/>
                <w:szCs w:val="14"/>
              </w:rPr>
              <w:t xml:space="preserve">8. </w:t>
            </w:r>
            <w:r w:rsidR="00452B41" w:rsidRPr="004F51D2">
              <w:rPr>
                <w:rFonts w:ascii="Times New Roman" w:eastAsia="Calibri" w:hAnsi="Times New Roman" w:cs="Times New Roman"/>
                <w:color w:val="000000" w:themeColor="text1"/>
                <w:sz w:val="14"/>
                <w:szCs w:val="14"/>
              </w:rPr>
              <w:t>DASS-</w:t>
            </w:r>
            <w:r w:rsidR="007753A0" w:rsidRPr="004F51D2">
              <w:rPr>
                <w:rFonts w:ascii="Times New Roman" w:eastAsia="Calibri" w:hAnsi="Times New Roman" w:cs="Times New Roman"/>
                <w:color w:val="000000" w:themeColor="text1"/>
                <w:sz w:val="14"/>
                <w:szCs w:val="14"/>
              </w:rPr>
              <w:t>21-</w:t>
            </w:r>
            <w:r w:rsidR="00452B41" w:rsidRPr="004F51D2">
              <w:rPr>
                <w:rFonts w:ascii="Times New Roman" w:eastAsia="Calibri" w:hAnsi="Times New Roman" w:cs="Times New Roman"/>
                <w:color w:val="000000" w:themeColor="text1"/>
                <w:sz w:val="14"/>
                <w:szCs w:val="14"/>
              </w:rPr>
              <w:t>A</w:t>
            </w:r>
          </w:p>
        </w:tc>
      </w:tr>
      <w:tr w:rsidR="00452B41" w:rsidRPr="004F51D2" w14:paraId="6BC75187" w14:textId="77777777" w:rsidTr="009154D8">
        <w:tc>
          <w:tcPr>
            <w:tcW w:w="567" w:type="dxa"/>
            <w:tcBorders>
              <w:top w:val="nil"/>
              <w:bottom w:val="nil"/>
              <w:right w:val="nil"/>
            </w:tcBorders>
            <w:vAlign w:val="center"/>
          </w:tcPr>
          <w:p w14:paraId="4D1AD098" w14:textId="77777777" w:rsidR="00452B41" w:rsidRPr="004F51D2" w:rsidRDefault="00452B41" w:rsidP="00452B41">
            <w:pPr>
              <w:bidi w:val="0"/>
              <w:spacing w:line="480" w:lineRule="auto"/>
              <w:rPr>
                <w:rFonts w:ascii="Times New Roman" w:hAnsi="Times New Roman" w:cs="Times New Roman"/>
                <w:color w:val="000000" w:themeColor="text1"/>
                <w:sz w:val="14"/>
                <w:szCs w:val="14"/>
              </w:rPr>
            </w:pPr>
          </w:p>
        </w:tc>
        <w:tc>
          <w:tcPr>
            <w:tcW w:w="709" w:type="dxa"/>
            <w:tcBorders>
              <w:top w:val="nil"/>
              <w:left w:val="nil"/>
              <w:bottom w:val="nil"/>
              <w:right w:val="nil"/>
            </w:tcBorders>
            <w:vAlign w:val="center"/>
          </w:tcPr>
          <w:p w14:paraId="18C13D33" w14:textId="77777777" w:rsidR="00452B41" w:rsidRPr="004F51D2" w:rsidRDefault="00452B41" w:rsidP="00452B41">
            <w:pPr>
              <w:bidi w:val="0"/>
              <w:spacing w:line="480" w:lineRule="auto"/>
              <w:rPr>
                <w:rFonts w:ascii="Times New Roman" w:hAnsi="Times New Roman" w:cs="Times New Roman"/>
                <w:color w:val="000000" w:themeColor="text1"/>
                <w:sz w:val="14"/>
                <w:szCs w:val="14"/>
              </w:rPr>
            </w:pPr>
          </w:p>
        </w:tc>
        <w:tc>
          <w:tcPr>
            <w:tcW w:w="709" w:type="dxa"/>
            <w:tcBorders>
              <w:top w:val="nil"/>
              <w:left w:val="nil"/>
              <w:bottom w:val="nil"/>
              <w:right w:val="nil"/>
            </w:tcBorders>
            <w:vAlign w:val="center"/>
          </w:tcPr>
          <w:p w14:paraId="4855892C" w14:textId="77777777" w:rsidR="00452B41" w:rsidRPr="004F51D2" w:rsidRDefault="00452B41" w:rsidP="00452B41">
            <w:pPr>
              <w:bidi w:val="0"/>
              <w:spacing w:line="480" w:lineRule="auto"/>
              <w:rPr>
                <w:rFonts w:ascii="Times New Roman" w:hAnsi="Times New Roman" w:cs="Times New Roman"/>
                <w:color w:val="000000" w:themeColor="text1"/>
                <w:sz w:val="14"/>
                <w:szCs w:val="14"/>
              </w:rPr>
            </w:pPr>
          </w:p>
        </w:tc>
        <w:tc>
          <w:tcPr>
            <w:tcW w:w="709" w:type="dxa"/>
            <w:tcBorders>
              <w:top w:val="nil"/>
              <w:left w:val="nil"/>
              <w:bottom w:val="nil"/>
              <w:right w:val="nil"/>
            </w:tcBorders>
            <w:vAlign w:val="center"/>
          </w:tcPr>
          <w:p w14:paraId="147C26F1" w14:textId="77777777" w:rsidR="00452B41" w:rsidRPr="004F51D2" w:rsidRDefault="00452B41" w:rsidP="00452B41">
            <w:pPr>
              <w:bidi w:val="0"/>
              <w:spacing w:line="480" w:lineRule="auto"/>
              <w:rPr>
                <w:rFonts w:ascii="Times New Roman" w:hAnsi="Times New Roman" w:cs="Times New Roman"/>
                <w:color w:val="000000" w:themeColor="text1"/>
                <w:sz w:val="14"/>
                <w:szCs w:val="14"/>
              </w:rPr>
            </w:pPr>
          </w:p>
        </w:tc>
        <w:tc>
          <w:tcPr>
            <w:tcW w:w="708" w:type="dxa"/>
            <w:tcBorders>
              <w:top w:val="nil"/>
              <w:left w:val="nil"/>
              <w:bottom w:val="nil"/>
              <w:right w:val="nil"/>
            </w:tcBorders>
            <w:vAlign w:val="center"/>
          </w:tcPr>
          <w:p w14:paraId="79EEA9BD" w14:textId="77777777" w:rsidR="00452B41" w:rsidRPr="004F51D2" w:rsidRDefault="00452B41" w:rsidP="00452B41">
            <w:pPr>
              <w:bidi w:val="0"/>
              <w:spacing w:line="480" w:lineRule="auto"/>
              <w:rPr>
                <w:rFonts w:ascii="Times New Roman" w:hAnsi="Times New Roman" w:cs="Times New Roman"/>
                <w:color w:val="000000" w:themeColor="text1"/>
                <w:sz w:val="14"/>
                <w:szCs w:val="14"/>
              </w:rPr>
            </w:pPr>
          </w:p>
        </w:tc>
        <w:tc>
          <w:tcPr>
            <w:tcW w:w="709" w:type="dxa"/>
            <w:tcBorders>
              <w:top w:val="nil"/>
              <w:left w:val="nil"/>
              <w:bottom w:val="nil"/>
              <w:right w:val="nil"/>
            </w:tcBorders>
            <w:vAlign w:val="center"/>
          </w:tcPr>
          <w:p w14:paraId="53F2AEB8" w14:textId="77777777" w:rsidR="00452B41" w:rsidRPr="004F51D2" w:rsidRDefault="00452B41" w:rsidP="00452B41">
            <w:pPr>
              <w:bidi w:val="0"/>
              <w:spacing w:line="480" w:lineRule="auto"/>
              <w:rPr>
                <w:rFonts w:ascii="Times New Roman" w:hAnsi="Times New Roman" w:cs="Times New Roman"/>
                <w:color w:val="000000" w:themeColor="text1"/>
                <w:sz w:val="14"/>
                <w:szCs w:val="14"/>
              </w:rPr>
            </w:pPr>
            <w:r w:rsidRPr="004F51D2">
              <w:rPr>
                <w:rFonts w:ascii="Times New Roman" w:hAnsi="Times New Roman" w:cs="Times New Roman"/>
                <w:color w:val="000000" w:themeColor="text1"/>
                <w:sz w:val="14"/>
                <w:szCs w:val="14"/>
              </w:rPr>
              <w:t>1</w:t>
            </w:r>
          </w:p>
        </w:tc>
        <w:tc>
          <w:tcPr>
            <w:tcW w:w="709" w:type="dxa"/>
            <w:tcBorders>
              <w:top w:val="nil"/>
              <w:left w:val="nil"/>
              <w:bottom w:val="nil"/>
              <w:right w:val="nil"/>
            </w:tcBorders>
            <w:vAlign w:val="center"/>
          </w:tcPr>
          <w:p w14:paraId="2025BAD0" w14:textId="77777777" w:rsidR="00452B41" w:rsidRPr="004F51D2" w:rsidRDefault="00452B41" w:rsidP="00452B41">
            <w:pPr>
              <w:bidi w:val="0"/>
              <w:spacing w:line="480" w:lineRule="auto"/>
              <w:rPr>
                <w:rFonts w:ascii="Times New Roman" w:hAnsi="Times New Roman" w:cs="Times New Roman"/>
                <w:color w:val="000000" w:themeColor="text1"/>
                <w:sz w:val="14"/>
                <w:szCs w:val="14"/>
              </w:rPr>
            </w:pPr>
            <w:r w:rsidRPr="004F51D2">
              <w:rPr>
                <w:rFonts w:ascii="Times New Roman" w:hAnsi="Times New Roman" w:cs="Times New Roman"/>
                <w:color w:val="000000" w:themeColor="text1"/>
                <w:sz w:val="14"/>
                <w:szCs w:val="14"/>
              </w:rPr>
              <w:t>0.724**</w:t>
            </w:r>
          </w:p>
        </w:tc>
        <w:tc>
          <w:tcPr>
            <w:tcW w:w="850" w:type="dxa"/>
            <w:tcBorders>
              <w:top w:val="nil"/>
              <w:left w:val="nil"/>
              <w:bottom w:val="nil"/>
              <w:right w:val="nil"/>
            </w:tcBorders>
            <w:vAlign w:val="center"/>
          </w:tcPr>
          <w:p w14:paraId="627C7B9A" w14:textId="77777777" w:rsidR="00452B41" w:rsidRPr="004F51D2" w:rsidRDefault="00452B41" w:rsidP="00452B41">
            <w:pPr>
              <w:bidi w:val="0"/>
              <w:spacing w:line="480" w:lineRule="auto"/>
              <w:rPr>
                <w:rFonts w:ascii="Times New Roman" w:hAnsi="Times New Roman" w:cs="Times New Roman"/>
                <w:color w:val="000000" w:themeColor="text1"/>
                <w:sz w:val="14"/>
                <w:szCs w:val="14"/>
              </w:rPr>
            </w:pPr>
            <w:r w:rsidRPr="004F51D2">
              <w:rPr>
                <w:rFonts w:ascii="Times New Roman" w:hAnsi="Times New Roman" w:cs="Times New Roman"/>
                <w:color w:val="000000" w:themeColor="text1"/>
                <w:sz w:val="14"/>
                <w:szCs w:val="14"/>
              </w:rPr>
              <w:t>0.633**</w:t>
            </w:r>
          </w:p>
        </w:tc>
        <w:tc>
          <w:tcPr>
            <w:tcW w:w="709" w:type="dxa"/>
            <w:tcBorders>
              <w:top w:val="nil"/>
              <w:left w:val="nil"/>
              <w:bottom w:val="nil"/>
              <w:right w:val="nil"/>
            </w:tcBorders>
            <w:vAlign w:val="center"/>
          </w:tcPr>
          <w:p w14:paraId="5C9EAC11" w14:textId="77777777" w:rsidR="00452B41" w:rsidRPr="004F51D2" w:rsidRDefault="00452B41" w:rsidP="00452B41">
            <w:pPr>
              <w:bidi w:val="0"/>
              <w:spacing w:line="480" w:lineRule="auto"/>
              <w:rPr>
                <w:rFonts w:ascii="Times New Roman" w:hAnsi="Times New Roman" w:cs="Times New Roman"/>
                <w:color w:val="000000" w:themeColor="text1"/>
                <w:sz w:val="14"/>
                <w:szCs w:val="14"/>
              </w:rPr>
            </w:pPr>
            <w:r w:rsidRPr="004F51D2">
              <w:rPr>
                <w:rFonts w:ascii="Times New Roman" w:hAnsi="Times New Roman" w:cs="Times New Roman"/>
                <w:color w:val="000000" w:themeColor="text1"/>
                <w:sz w:val="14"/>
                <w:szCs w:val="14"/>
              </w:rPr>
              <w:t>0.186*</w:t>
            </w:r>
          </w:p>
        </w:tc>
        <w:tc>
          <w:tcPr>
            <w:tcW w:w="709" w:type="dxa"/>
            <w:tcBorders>
              <w:top w:val="nil"/>
              <w:left w:val="nil"/>
              <w:bottom w:val="nil"/>
              <w:right w:val="nil"/>
            </w:tcBorders>
            <w:vAlign w:val="center"/>
          </w:tcPr>
          <w:p w14:paraId="4E3C024F" w14:textId="77777777" w:rsidR="00452B41" w:rsidRPr="004F51D2" w:rsidRDefault="00452B41" w:rsidP="00452B41">
            <w:pPr>
              <w:bidi w:val="0"/>
              <w:spacing w:line="480" w:lineRule="auto"/>
              <w:rPr>
                <w:rFonts w:ascii="Times New Roman" w:hAnsi="Times New Roman" w:cs="Times New Roman"/>
                <w:color w:val="000000" w:themeColor="text1"/>
                <w:sz w:val="14"/>
                <w:szCs w:val="14"/>
              </w:rPr>
            </w:pPr>
            <w:r w:rsidRPr="004F51D2">
              <w:rPr>
                <w:rFonts w:ascii="Times New Roman" w:hAnsi="Times New Roman" w:cs="Times New Roman"/>
                <w:color w:val="000000" w:themeColor="text1"/>
                <w:sz w:val="14"/>
                <w:szCs w:val="14"/>
              </w:rPr>
              <w:t>0.079</w:t>
            </w:r>
          </w:p>
        </w:tc>
        <w:tc>
          <w:tcPr>
            <w:tcW w:w="709" w:type="dxa"/>
            <w:tcBorders>
              <w:top w:val="nil"/>
              <w:left w:val="nil"/>
              <w:bottom w:val="nil"/>
              <w:right w:val="nil"/>
            </w:tcBorders>
            <w:vAlign w:val="center"/>
          </w:tcPr>
          <w:p w14:paraId="6F316D62" w14:textId="77777777" w:rsidR="00452B41" w:rsidRPr="004F51D2" w:rsidRDefault="00452B41" w:rsidP="00452B41">
            <w:pPr>
              <w:bidi w:val="0"/>
              <w:spacing w:line="480" w:lineRule="auto"/>
              <w:rPr>
                <w:rFonts w:ascii="Times New Roman" w:hAnsi="Times New Roman" w:cs="Times New Roman"/>
                <w:color w:val="000000" w:themeColor="text1"/>
                <w:sz w:val="14"/>
                <w:szCs w:val="14"/>
              </w:rPr>
            </w:pPr>
            <w:r w:rsidRPr="004F51D2">
              <w:rPr>
                <w:rFonts w:ascii="Times New Roman" w:hAnsi="Times New Roman" w:cs="Times New Roman"/>
                <w:color w:val="000000" w:themeColor="text1"/>
                <w:sz w:val="14"/>
                <w:szCs w:val="14"/>
              </w:rPr>
              <w:t>-0.143*</w:t>
            </w:r>
          </w:p>
        </w:tc>
        <w:tc>
          <w:tcPr>
            <w:tcW w:w="708" w:type="dxa"/>
            <w:tcBorders>
              <w:top w:val="nil"/>
              <w:left w:val="nil"/>
              <w:bottom w:val="nil"/>
              <w:right w:val="nil"/>
            </w:tcBorders>
            <w:vAlign w:val="center"/>
          </w:tcPr>
          <w:p w14:paraId="563E3CE4" w14:textId="77777777" w:rsidR="00452B41" w:rsidRPr="004F51D2" w:rsidRDefault="00452B41" w:rsidP="00452B41">
            <w:pPr>
              <w:bidi w:val="0"/>
              <w:spacing w:line="480" w:lineRule="auto"/>
              <w:rPr>
                <w:rFonts w:ascii="Times New Roman" w:hAnsi="Times New Roman" w:cs="Times New Roman"/>
                <w:color w:val="000000" w:themeColor="text1"/>
                <w:sz w:val="14"/>
                <w:szCs w:val="14"/>
              </w:rPr>
            </w:pPr>
            <w:r w:rsidRPr="004F51D2">
              <w:rPr>
                <w:rFonts w:ascii="Times New Roman" w:hAnsi="Times New Roman" w:cs="Times New Roman"/>
                <w:color w:val="000000" w:themeColor="text1"/>
                <w:sz w:val="14"/>
                <w:szCs w:val="14"/>
              </w:rPr>
              <w:t>0.142*</w:t>
            </w:r>
          </w:p>
        </w:tc>
        <w:tc>
          <w:tcPr>
            <w:tcW w:w="709" w:type="dxa"/>
            <w:tcBorders>
              <w:top w:val="nil"/>
              <w:left w:val="nil"/>
              <w:bottom w:val="nil"/>
              <w:right w:val="nil"/>
            </w:tcBorders>
            <w:vAlign w:val="center"/>
          </w:tcPr>
          <w:p w14:paraId="2CB2CD12" w14:textId="77777777" w:rsidR="00452B41" w:rsidRPr="004F51D2" w:rsidRDefault="00452B41" w:rsidP="00452B41">
            <w:pPr>
              <w:bidi w:val="0"/>
              <w:spacing w:line="480" w:lineRule="auto"/>
              <w:rPr>
                <w:rFonts w:ascii="Times New Roman" w:hAnsi="Times New Roman" w:cs="Times New Roman"/>
                <w:color w:val="000000" w:themeColor="text1"/>
                <w:sz w:val="14"/>
                <w:szCs w:val="14"/>
              </w:rPr>
            </w:pPr>
            <w:r w:rsidRPr="004F51D2">
              <w:rPr>
                <w:rFonts w:ascii="Times New Roman" w:hAnsi="Times New Roman" w:cs="Times New Roman"/>
                <w:color w:val="000000" w:themeColor="text1"/>
                <w:sz w:val="14"/>
                <w:szCs w:val="14"/>
              </w:rPr>
              <w:t>0.170*</w:t>
            </w:r>
          </w:p>
        </w:tc>
        <w:tc>
          <w:tcPr>
            <w:tcW w:w="710" w:type="dxa"/>
            <w:tcBorders>
              <w:top w:val="nil"/>
              <w:left w:val="nil"/>
              <w:bottom w:val="nil"/>
              <w:right w:val="nil"/>
            </w:tcBorders>
            <w:vAlign w:val="center"/>
          </w:tcPr>
          <w:p w14:paraId="62720800" w14:textId="77777777" w:rsidR="00452B41" w:rsidRPr="004F51D2" w:rsidRDefault="00452B41" w:rsidP="00452B41">
            <w:pPr>
              <w:bidi w:val="0"/>
              <w:spacing w:line="480" w:lineRule="auto"/>
              <w:rPr>
                <w:rFonts w:ascii="Times New Roman" w:hAnsi="Times New Roman" w:cs="Times New Roman"/>
                <w:color w:val="000000" w:themeColor="text1"/>
                <w:sz w:val="14"/>
                <w:szCs w:val="14"/>
              </w:rPr>
            </w:pPr>
            <w:r w:rsidRPr="004F51D2">
              <w:rPr>
                <w:rFonts w:ascii="Times New Roman" w:hAnsi="Times New Roman" w:cs="Times New Roman"/>
                <w:color w:val="000000" w:themeColor="text1"/>
                <w:sz w:val="14"/>
                <w:szCs w:val="14"/>
              </w:rPr>
              <w:t>0.376**</w:t>
            </w:r>
          </w:p>
        </w:tc>
        <w:tc>
          <w:tcPr>
            <w:tcW w:w="849" w:type="dxa"/>
            <w:tcBorders>
              <w:top w:val="nil"/>
              <w:left w:val="nil"/>
              <w:bottom w:val="nil"/>
              <w:right w:val="nil"/>
            </w:tcBorders>
          </w:tcPr>
          <w:p w14:paraId="4BA9C762" w14:textId="540EA6A5" w:rsidR="00452B41" w:rsidRPr="004F51D2" w:rsidRDefault="00452B41" w:rsidP="00452B41">
            <w:pPr>
              <w:bidi w:val="0"/>
              <w:spacing w:line="480" w:lineRule="auto"/>
              <w:rPr>
                <w:rFonts w:ascii="Times New Roman" w:hAnsi="Times New Roman" w:cs="Times New Roman"/>
                <w:color w:val="000000" w:themeColor="text1"/>
                <w:sz w:val="14"/>
                <w:szCs w:val="14"/>
              </w:rPr>
            </w:pPr>
            <w:r w:rsidRPr="004F51D2">
              <w:rPr>
                <w:rFonts w:ascii="Times New Roman" w:eastAsia="Arial Unicode MS" w:hAnsi="Times New Roman" w:cs="Times New Roman"/>
                <w:sz w:val="14"/>
                <w:szCs w:val="14"/>
                <w:bdr w:val="nil"/>
              </w:rPr>
              <w:t>-0.15</w:t>
            </w:r>
          </w:p>
        </w:tc>
        <w:tc>
          <w:tcPr>
            <w:tcW w:w="851" w:type="dxa"/>
            <w:tcBorders>
              <w:top w:val="nil"/>
              <w:left w:val="nil"/>
              <w:bottom w:val="nil"/>
              <w:right w:val="nil"/>
            </w:tcBorders>
          </w:tcPr>
          <w:p w14:paraId="4B52DD35" w14:textId="7416D89B" w:rsidR="00452B41" w:rsidRPr="004F51D2" w:rsidRDefault="00452B41" w:rsidP="00452B41">
            <w:pPr>
              <w:bidi w:val="0"/>
              <w:spacing w:line="480" w:lineRule="auto"/>
              <w:rPr>
                <w:rFonts w:ascii="Times New Roman" w:hAnsi="Times New Roman" w:cs="Times New Roman"/>
                <w:color w:val="000000" w:themeColor="text1"/>
                <w:sz w:val="14"/>
                <w:szCs w:val="14"/>
              </w:rPr>
            </w:pPr>
            <w:r w:rsidRPr="004F51D2">
              <w:rPr>
                <w:rFonts w:ascii="Times New Roman" w:eastAsia="Arial Unicode MS" w:hAnsi="Times New Roman" w:cs="Times New Roman"/>
                <w:sz w:val="14"/>
                <w:szCs w:val="14"/>
                <w:bdr w:val="nil"/>
              </w:rPr>
              <w:t>0.27</w:t>
            </w:r>
          </w:p>
        </w:tc>
        <w:tc>
          <w:tcPr>
            <w:tcW w:w="998" w:type="dxa"/>
            <w:tcBorders>
              <w:top w:val="nil"/>
              <w:left w:val="nil"/>
              <w:bottom w:val="nil"/>
              <w:right w:val="nil"/>
            </w:tcBorders>
            <w:vAlign w:val="center"/>
          </w:tcPr>
          <w:p w14:paraId="44FD1597" w14:textId="77777777" w:rsidR="00452B41" w:rsidRPr="004F51D2" w:rsidRDefault="00452B41" w:rsidP="00452B41">
            <w:pPr>
              <w:bidi w:val="0"/>
              <w:spacing w:line="480" w:lineRule="auto"/>
              <w:rPr>
                <w:rFonts w:ascii="Times New Roman" w:hAnsi="Times New Roman" w:cs="Times New Roman"/>
                <w:color w:val="000000" w:themeColor="text1"/>
                <w:sz w:val="14"/>
                <w:szCs w:val="14"/>
              </w:rPr>
            </w:pPr>
            <w:r w:rsidRPr="004F51D2">
              <w:rPr>
                <w:rFonts w:ascii="Times New Roman" w:hAnsi="Times New Roman" w:cs="Times New Roman"/>
                <w:color w:val="000000" w:themeColor="text1"/>
                <w:sz w:val="14"/>
                <w:szCs w:val="14"/>
              </w:rPr>
              <w:t>7.34 (2.05)</w:t>
            </w:r>
          </w:p>
        </w:tc>
        <w:tc>
          <w:tcPr>
            <w:tcW w:w="1270" w:type="dxa"/>
            <w:tcBorders>
              <w:top w:val="nil"/>
              <w:left w:val="nil"/>
              <w:bottom w:val="nil"/>
            </w:tcBorders>
          </w:tcPr>
          <w:p w14:paraId="3C322BCE" w14:textId="2C10A0C9" w:rsidR="00452B41" w:rsidRPr="004F51D2" w:rsidRDefault="007C6232" w:rsidP="00452B41">
            <w:pPr>
              <w:bidi w:val="0"/>
              <w:spacing w:line="480" w:lineRule="auto"/>
              <w:rPr>
                <w:rFonts w:ascii="Times New Roman" w:hAnsi="Times New Roman" w:cs="Times New Roman"/>
                <w:color w:val="000000" w:themeColor="text1"/>
                <w:sz w:val="14"/>
                <w:szCs w:val="14"/>
              </w:rPr>
            </w:pPr>
            <w:r w:rsidRPr="004F51D2">
              <w:rPr>
                <w:rFonts w:ascii="Times New Roman" w:eastAsia="Calibri" w:hAnsi="Times New Roman" w:cs="Times New Roman"/>
                <w:color w:val="000000" w:themeColor="text1"/>
                <w:sz w:val="14"/>
                <w:szCs w:val="14"/>
              </w:rPr>
              <w:t xml:space="preserve">9. </w:t>
            </w:r>
            <w:r w:rsidR="00452B41" w:rsidRPr="004F51D2">
              <w:rPr>
                <w:rFonts w:ascii="Times New Roman" w:eastAsia="Calibri" w:hAnsi="Times New Roman" w:cs="Times New Roman"/>
                <w:color w:val="000000" w:themeColor="text1"/>
                <w:sz w:val="14"/>
                <w:szCs w:val="14"/>
              </w:rPr>
              <w:t>DASS-</w:t>
            </w:r>
            <w:r w:rsidR="007753A0" w:rsidRPr="004F51D2">
              <w:rPr>
                <w:rFonts w:ascii="Times New Roman" w:eastAsia="Calibri" w:hAnsi="Times New Roman" w:cs="Times New Roman"/>
                <w:color w:val="000000" w:themeColor="text1"/>
                <w:sz w:val="14"/>
                <w:szCs w:val="14"/>
              </w:rPr>
              <w:t>21-</w:t>
            </w:r>
            <w:r w:rsidR="00452B41" w:rsidRPr="004F51D2">
              <w:rPr>
                <w:rFonts w:ascii="Times New Roman" w:eastAsia="Calibri" w:hAnsi="Times New Roman" w:cs="Times New Roman"/>
                <w:color w:val="000000" w:themeColor="text1"/>
                <w:sz w:val="14"/>
                <w:szCs w:val="14"/>
              </w:rPr>
              <w:t>S</w:t>
            </w:r>
          </w:p>
        </w:tc>
      </w:tr>
      <w:tr w:rsidR="00452B41" w:rsidRPr="004F51D2" w14:paraId="2C8448F4" w14:textId="77777777" w:rsidTr="009154D8">
        <w:tc>
          <w:tcPr>
            <w:tcW w:w="567" w:type="dxa"/>
            <w:tcBorders>
              <w:top w:val="nil"/>
              <w:bottom w:val="nil"/>
              <w:right w:val="nil"/>
            </w:tcBorders>
            <w:vAlign w:val="center"/>
          </w:tcPr>
          <w:p w14:paraId="588FA41F" w14:textId="77777777" w:rsidR="00452B41" w:rsidRPr="004F51D2" w:rsidRDefault="00452B41" w:rsidP="00452B41">
            <w:pPr>
              <w:bidi w:val="0"/>
              <w:spacing w:line="480" w:lineRule="auto"/>
              <w:rPr>
                <w:rFonts w:ascii="Times New Roman" w:hAnsi="Times New Roman" w:cs="Times New Roman"/>
                <w:color w:val="000000" w:themeColor="text1"/>
                <w:sz w:val="14"/>
                <w:szCs w:val="14"/>
              </w:rPr>
            </w:pPr>
          </w:p>
        </w:tc>
        <w:tc>
          <w:tcPr>
            <w:tcW w:w="709" w:type="dxa"/>
            <w:tcBorders>
              <w:top w:val="nil"/>
              <w:left w:val="nil"/>
              <w:bottom w:val="nil"/>
              <w:right w:val="nil"/>
            </w:tcBorders>
            <w:vAlign w:val="center"/>
          </w:tcPr>
          <w:p w14:paraId="199831AD" w14:textId="77777777" w:rsidR="00452B41" w:rsidRPr="004F51D2" w:rsidRDefault="00452B41" w:rsidP="00452B41">
            <w:pPr>
              <w:bidi w:val="0"/>
              <w:spacing w:line="480" w:lineRule="auto"/>
              <w:rPr>
                <w:rFonts w:ascii="Times New Roman" w:hAnsi="Times New Roman" w:cs="Times New Roman"/>
                <w:color w:val="000000" w:themeColor="text1"/>
                <w:sz w:val="14"/>
                <w:szCs w:val="14"/>
              </w:rPr>
            </w:pPr>
          </w:p>
        </w:tc>
        <w:tc>
          <w:tcPr>
            <w:tcW w:w="709" w:type="dxa"/>
            <w:tcBorders>
              <w:top w:val="nil"/>
              <w:left w:val="nil"/>
              <w:bottom w:val="nil"/>
              <w:right w:val="nil"/>
            </w:tcBorders>
            <w:vAlign w:val="center"/>
          </w:tcPr>
          <w:p w14:paraId="7EB66959" w14:textId="77777777" w:rsidR="00452B41" w:rsidRPr="004F51D2" w:rsidRDefault="00452B41" w:rsidP="00452B41">
            <w:pPr>
              <w:bidi w:val="0"/>
              <w:spacing w:line="480" w:lineRule="auto"/>
              <w:rPr>
                <w:rFonts w:ascii="Times New Roman" w:hAnsi="Times New Roman" w:cs="Times New Roman"/>
                <w:color w:val="000000" w:themeColor="text1"/>
                <w:sz w:val="14"/>
                <w:szCs w:val="14"/>
              </w:rPr>
            </w:pPr>
          </w:p>
        </w:tc>
        <w:tc>
          <w:tcPr>
            <w:tcW w:w="709" w:type="dxa"/>
            <w:tcBorders>
              <w:top w:val="nil"/>
              <w:left w:val="nil"/>
              <w:bottom w:val="nil"/>
              <w:right w:val="nil"/>
            </w:tcBorders>
            <w:vAlign w:val="center"/>
          </w:tcPr>
          <w:p w14:paraId="36F481AE" w14:textId="77777777" w:rsidR="00452B41" w:rsidRPr="004F51D2" w:rsidRDefault="00452B41" w:rsidP="00452B41">
            <w:pPr>
              <w:bidi w:val="0"/>
              <w:spacing w:line="480" w:lineRule="auto"/>
              <w:rPr>
                <w:rFonts w:ascii="Times New Roman" w:hAnsi="Times New Roman" w:cs="Times New Roman"/>
                <w:color w:val="000000" w:themeColor="text1"/>
                <w:sz w:val="14"/>
                <w:szCs w:val="14"/>
              </w:rPr>
            </w:pPr>
          </w:p>
        </w:tc>
        <w:tc>
          <w:tcPr>
            <w:tcW w:w="708" w:type="dxa"/>
            <w:tcBorders>
              <w:top w:val="nil"/>
              <w:left w:val="nil"/>
              <w:bottom w:val="nil"/>
              <w:right w:val="nil"/>
            </w:tcBorders>
            <w:vAlign w:val="center"/>
          </w:tcPr>
          <w:p w14:paraId="5D1FBDE9" w14:textId="77777777" w:rsidR="00452B41" w:rsidRPr="004F51D2" w:rsidRDefault="00452B41" w:rsidP="00452B41">
            <w:pPr>
              <w:bidi w:val="0"/>
              <w:spacing w:line="480" w:lineRule="auto"/>
              <w:rPr>
                <w:rFonts w:ascii="Times New Roman" w:hAnsi="Times New Roman" w:cs="Times New Roman"/>
                <w:color w:val="000000" w:themeColor="text1"/>
                <w:sz w:val="14"/>
                <w:szCs w:val="14"/>
              </w:rPr>
            </w:pPr>
            <w:r w:rsidRPr="004F51D2">
              <w:rPr>
                <w:rFonts w:ascii="Times New Roman" w:hAnsi="Times New Roman" w:cs="Times New Roman"/>
                <w:color w:val="000000" w:themeColor="text1"/>
                <w:sz w:val="14"/>
                <w:szCs w:val="14"/>
              </w:rPr>
              <w:t>1</w:t>
            </w:r>
          </w:p>
        </w:tc>
        <w:tc>
          <w:tcPr>
            <w:tcW w:w="709" w:type="dxa"/>
            <w:tcBorders>
              <w:top w:val="nil"/>
              <w:left w:val="nil"/>
              <w:bottom w:val="nil"/>
              <w:right w:val="nil"/>
            </w:tcBorders>
            <w:vAlign w:val="center"/>
          </w:tcPr>
          <w:p w14:paraId="25C57B59" w14:textId="77777777" w:rsidR="00452B41" w:rsidRPr="004F51D2" w:rsidRDefault="00452B41" w:rsidP="00452B41">
            <w:pPr>
              <w:bidi w:val="0"/>
              <w:spacing w:line="480" w:lineRule="auto"/>
              <w:rPr>
                <w:rFonts w:ascii="Times New Roman" w:hAnsi="Times New Roman" w:cs="Times New Roman"/>
                <w:color w:val="000000" w:themeColor="text1"/>
                <w:sz w:val="14"/>
                <w:szCs w:val="14"/>
              </w:rPr>
            </w:pPr>
            <w:r w:rsidRPr="004F51D2">
              <w:rPr>
                <w:rFonts w:ascii="Times New Roman" w:hAnsi="Times New Roman" w:cs="Times New Roman"/>
                <w:color w:val="000000" w:themeColor="text1"/>
                <w:sz w:val="14"/>
                <w:szCs w:val="14"/>
              </w:rPr>
              <w:t>0.433**</w:t>
            </w:r>
          </w:p>
        </w:tc>
        <w:tc>
          <w:tcPr>
            <w:tcW w:w="709" w:type="dxa"/>
            <w:tcBorders>
              <w:top w:val="nil"/>
              <w:left w:val="nil"/>
              <w:bottom w:val="nil"/>
              <w:right w:val="nil"/>
            </w:tcBorders>
            <w:vAlign w:val="center"/>
          </w:tcPr>
          <w:p w14:paraId="2419C7CC" w14:textId="77777777" w:rsidR="00452B41" w:rsidRPr="004F51D2" w:rsidRDefault="00452B41" w:rsidP="00452B41">
            <w:pPr>
              <w:bidi w:val="0"/>
              <w:spacing w:line="480" w:lineRule="auto"/>
              <w:rPr>
                <w:rFonts w:ascii="Times New Roman" w:hAnsi="Times New Roman" w:cs="Times New Roman"/>
                <w:color w:val="000000" w:themeColor="text1"/>
                <w:sz w:val="14"/>
                <w:szCs w:val="14"/>
              </w:rPr>
            </w:pPr>
            <w:r w:rsidRPr="004F51D2">
              <w:rPr>
                <w:rFonts w:ascii="Times New Roman" w:hAnsi="Times New Roman" w:cs="Times New Roman"/>
                <w:color w:val="000000" w:themeColor="text1"/>
                <w:sz w:val="14"/>
                <w:szCs w:val="14"/>
              </w:rPr>
              <w:t>0.460**</w:t>
            </w:r>
          </w:p>
        </w:tc>
        <w:tc>
          <w:tcPr>
            <w:tcW w:w="850" w:type="dxa"/>
            <w:tcBorders>
              <w:top w:val="nil"/>
              <w:left w:val="nil"/>
              <w:bottom w:val="nil"/>
              <w:right w:val="nil"/>
            </w:tcBorders>
            <w:vAlign w:val="center"/>
          </w:tcPr>
          <w:p w14:paraId="0C129502" w14:textId="77777777" w:rsidR="00452B41" w:rsidRPr="004F51D2" w:rsidRDefault="00452B41" w:rsidP="00452B41">
            <w:pPr>
              <w:bidi w:val="0"/>
              <w:spacing w:line="480" w:lineRule="auto"/>
              <w:rPr>
                <w:rFonts w:ascii="Times New Roman" w:hAnsi="Times New Roman" w:cs="Times New Roman"/>
                <w:color w:val="000000" w:themeColor="text1"/>
                <w:sz w:val="14"/>
                <w:szCs w:val="14"/>
              </w:rPr>
            </w:pPr>
            <w:r w:rsidRPr="004F51D2">
              <w:rPr>
                <w:rFonts w:ascii="Times New Roman" w:hAnsi="Times New Roman" w:cs="Times New Roman"/>
                <w:color w:val="000000" w:themeColor="text1"/>
                <w:sz w:val="14"/>
                <w:szCs w:val="14"/>
              </w:rPr>
              <w:t>0.447**</w:t>
            </w:r>
          </w:p>
        </w:tc>
        <w:tc>
          <w:tcPr>
            <w:tcW w:w="709" w:type="dxa"/>
            <w:tcBorders>
              <w:top w:val="nil"/>
              <w:left w:val="nil"/>
              <w:bottom w:val="nil"/>
              <w:right w:val="nil"/>
            </w:tcBorders>
            <w:vAlign w:val="center"/>
          </w:tcPr>
          <w:p w14:paraId="3FEB3489" w14:textId="77777777" w:rsidR="00452B41" w:rsidRPr="004F51D2" w:rsidRDefault="00452B41" w:rsidP="00452B41">
            <w:pPr>
              <w:bidi w:val="0"/>
              <w:spacing w:line="480" w:lineRule="auto"/>
              <w:rPr>
                <w:rFonts w:ascii="Times New Roman" w:hAnsi="Times New Roman" w:cs="Times New Roman"/>
                <w:color w:val="000000" w:themeColor="text1"/>
                <w:sz w:val="14"/>
                <w:szCs w:val="14"/>
              </w:rPr>
            </w:pPr>
            <w:r w:rsidRPr="004F51D2">
              <w:rPr>
                <w:rFonts w:ascii="Times New Roman" w:hAnsi="Times New Roman" w:cs="Times New Roman"/>
                <w:color w:val="000000" w:themeColor="text1"/>
                <w:sz w:val="14"/>
                <w:szCs w:val="14"/>
              </w:rPr>
              <w:t>0.184*</w:t>
            </w:r>
          </w:p>
        </w:tc>
        <w:tc>
          <w:tcPr>
            <w:tcW w:w="709" w:type="dxa"/>
            <w:tcBorders>
              <w:top w:val="nil"/>
              <w:left w:val="nil"/>
              <w:bottom w:val="nil"/>
              <w:right w:val="nil"/>
            </w:tcBorders>
            <w:vAlign w:val="center"/>
          </w:tcPr>
          <w:p w14:paraId="3D4B3832" w14:textId="77777777" w:rsidR="00452B41" w:rsidRPr="004F51D2" w:rsidRDefault="00452B41" w:rsidP="00452B41">
            <w:pPr>
              <w:bidi w:val="0"/>
              <w:spacing w:line="480" w:lineRule="auto"/>
              <w:rPr>
                <w:rFonts w:ascii="Times New Roman" w:hAnsi="Times New Roman" w:cs="Times New Roman"/>
                <w:color w:val="000000" w:themeColor="text1"/>
                <w:sz w:val="14"/>
                <w:szCs w:val="14"/>
              </w:rPr>
            </w:pPr>
            <w:r w:rsidRPr="004F51D2">
              <w:rPr>
                <w:rFonts w:ascii="Times New Roman" w:hAnsi="Times New Roman" w:cs="Times New Roman"/>
                <w:color w:val="000000" w:themeColor="text1"/>
                <w:sz w:val="14"/>
                <w:szCs w:val="14"/>
              </w:rPr>
              <w:t>0.123</w:t>
            </w:r>
          </w:p>
        </w:tc>
        <w:tc>
          <w:tcPr>
            <w:tcW w:w="709" w:type="dxa"/>
            <w:tcBorders>
              <w:top w:val="nil"/>
              <w:left w:val="nil"/>
              <w:bottom w:val="nil"/>
              <w:right w:val="nil"/>
            </w:tcBorders>
            <w:vAlign w:val="center"/>
          </w:tcPr>
          <w:p w14:paraId="09B7BA7F" w14:textId="77777777" w:rsidR="00452B41" w:rsidRPr="004F51D2" w:rsidRDefault="00452B41" w:rsidP="00452B41">
            <w:pPr>
              <w:bidi w:val="0"/>
              <w:spacing w:line="480" w:lineRule="auto"/>
              <w:rPr>
                <w:rFonts w:ascii="Times New Roman" w:hAnsi="Times New Roman" w:cs="Times New Roman"/>
                <w:color w:val="000000" w:themeColor="text1"/>
                <w:sz w:val="14"/>
                <w:szCs w:val="14"/>
              </w:rPr>
            </w:pPr>
            <w:r w:rsidRPr="004F51D2">
              <w:rPr>
                <w:rFonts w:ascii="Times New Roman" w:hAnsi="Times New Roman" w:cs="Times New Roman"/>
                <w:color w:val="000000" w:themeColor="text1"/>
                <w:sz w:val="14"/>
                <w:szCs w:val="14"/>
              </w:rPr>
              <w:t>-0.041</w:t>
            </w:r>
          </w:p>
        </w:tc>
        <w:tc>
          <w:tcPr>
            <w:tcW w:w="708" w:type="dxa"/>
            <w:tcBorders>
              <w:top w:val="nil"/>
              <w:left w:val="nil"/>
              <w:bottom w:val="nil"/>
              <w:right w:val="nil"/>
            </w:tcBorders>
            <w:vAlign w:val="center"/>
          </w:tcPr>
          <w:p w14:paraId="687A55ED" w14:textId="77777777" w:rsidR="00452B41" w:rsidRPr="004F51D2" w:rsidRDefault="00452B41" w:rsidP="00452B41">
            <w:pPr>
              <w:bidi w:val="0"/>
              <w:spacing w:line="480" w:lineRule="auto"/>
              <w:rPr>
                <w:rFonts w:ascii="Times New Roman" w:hAnsi="Times New Roman" w:cs="Times New Roman"/>
                <w:color w:val="000000" w:themeColor="text1"/>
                <w:sz w:val="14"/>
                <w:szCs w:val="14"/>
              </w:rPr>
            </w:pPr>
            <w:r w:rsidRPr="004F51D2">
              <w:rPr>
                <w:rFonts w:ascii="Times New Roman" w:hAnsi="Times New Roman" w:cs="Times New Roman"/>
                <w:color w:val="000000" w:themeColor="text1"/>
                <w:sz w:val="14"/>
                <w:szCs w:val="14"/>
              </w:rPr>
              <w:t>0.177*</w:t>
            </w:r>
          </w:p>
        </w:tc>
        <w:tc>
          <w:tcPr>
            <w:tcW w:w="709" w:type="dxa"/>
            <w:tcBorders>
              <w:top w:val="nil"/>
              <w:left w:val="nil"/>
              <w:bottom w:val="nil"/>
              <w:right w:val="nil"/>
            </w:tcBorders>
            <w:vAlign w:val="center"/>
          </w:tcPr>
          <w:p w14:paraId="383F635A" w14:textId="77777777" w:rsidR="00452B41" w:rsidRPr="004F51D2" w:rsidRDefault="00452B41" w:rsidP="00452B41">
            <w:pPr>
              <w:bidi w:val="0"/>
              <w:spacing w:line="480" w:lineRule="auto"/>
              <w:rPr>
                <w:rFonts w:ascii="Times New Roman" w:hAnsi="Times New Roman" w:cs="Times New Roman"/>
                <w:color w:val="000000" w:themeColor="text1"/>
                <w:sz w:val="14"/>
                <w:szCs w:val="14"/>
              </w:rPr>
            </w:pPr>
            <w:r w:rsidRPr="004F51D2">
              <w:rPr>
                <w:rFonts w:ascii="Times New Roman" w:hAnsi="Times New Roman" w:cs="Times New Roman"/>
                <w:color w:val="000000" w:themeColor="text1"/>
                <w:sz w:val="14"/>
                <w:szCs w:val="14"/>
              </w:rPr>
              <w:t>0.182*</w:t>
            </w:r>
          </w:p>
        </w:tc>
        <w:tc>
          <w:tcPr>
            <w:tcW w:w="710" w:type="dxa"/>
            <w:tcBorders>
              <w:top w:val="nil"/>
              <w:left w:val="nil"/>
              <w:bottom w:val="nil"/>
              <w:right w:val="nil"/>
            </w:tcBorders>
            <w:vAlign w:val="center"/>
          </w:tcPr>
          <w:p w14:paraId="72D35001" w14:textId="77777777" w:rsidR="00452B41" w:rsidRPr="004F51D2" w:rsidRDefault="00452B41" w:rsidP="00452B41">
            <w:pPr>
              <w:bidi w:val="0"/>
              <w:spacing w:line="480" w:lineRule="auto"/>
              <w:rPr>
                <w:rFonts w:ascii="Times New Roman" w:hAnsi="Times New Roman" w:cs="Times New Roman"/>
                <w:color w:val="000000" w:themeColor="text1"/>
                <w:sz w:val="14"/>
                <w:szCs w:val="14"/>
              </w:rPr>
            </w:pPr>
            <w:r w:rsidRPr="004F51D2">
              <w:rPr>
                <w:rFonts w:ascii="Times New Roman" w:hAnsi="Times New Roman" w:cs="Times New Roman"/>
                <w:color w:val="000000" w:themeColor="text1"/>
                <w:sz w:val="14"/>
                <w:szCs w:val="14"/>
              </w:rPr>
              <w:t>0.608**</w:t>
            </w:r>
          </w:p>
        </w:tc>
        <w:tc>
          <w:tcPr>
            <w:tcW w:w="849" w:type="dxa"/>
            <w:tcBorders>
              <w:top w:val="nil"/>
              <w:left w:val="nil"/>
              <w:bottom w:val="nil"/>
              <w:right w:val="nil"/>
            </w:tcBorders>
          </w:tcPr>
          <w:p w14:paraId="2FB12E2D" w14:textId="31E040BF" w:rsidR="00452B41" w:rsidRPr="004F51D2" w:rsidRDefault="00452B41" w:rsidP="00452B41">
            <w:pPr>
              <w:bidi w:val="0"/>
              <w:spacing w:line="480" w:lineRule="auto"/>
              <w:rPr>
                <w:rFonts w:ascii="Times New Roman" w:hAnsi="Times New Roman" w:cs="Times New Roman"/>
                <w:color w:val="000000" w:themeColor="text1"/>
                <w:sz w:val="14"/>
                <w:szCs w:val="14"/>
              </w:rPr>
            </w:pPr>
            <w:r w:rsidRPr="004F51D2">
              <w:rPr>
                <w:rFonts w:ascii="Times New Roman" w:eastAsia="Arial Unicode MS" w:hAnsi="Times New Roman" w:cs="Times New Roman"/>
                <w:sz w:val="14"/>
                <w:szCs w:val="14"/>
                <w:bdr w:val="nil"/>
              </w:rPr>
              <w:t>-0.48</w:t>
            </w:r>
          </w:p>
        </w:tc>
        <w:tc>
          <w:tcPr>
            <w:tcW w:w="851" w:type="dxa"/>
            <w:tcBorders>
              <w:top w:val="nil"/>
              <w:left w:val="nil"/>
              <w:bottom w:val="nil"/>
              <w:right w:val="nil"/>
            </w:tcBorders>
          </w:tcPr>
          <w:p w14:paraId="3B4538E8" w14:textId="269B1DE1" w:rsidR="00452B41" w:rsidRPr="004F51D2" w:rsidRDefault="00452B41" w:rsidP="00452B41">
            <w:pPr>
              <w:bidi w:val="0"/>
              <w:spacing w:line="480" w:lineRule="auto"/>
              <w:rPr>
                <w:rFonts w:ascii="Times New Roman" w:hAnsi="Times New Roman" w:cs="Times New Roman"/>
                <w:color w:val="000000" w:themeColor="text1"/>
                <w:sz w:val="14"/>
                <w:szCs w:val="14"/>
              </w:rPr>
            </w:pPr>
            <w:r w:rsidRPr="004F51D2">
              <w:rPr>
                <w:rFonts w:ascii="Times New Roman" w:eastAsia="Arial Unicode MS" w:hAnsi="Times New Roman" w:cs="Times New Roman"/>
                <w:sz w:val="14"/>
                <w:szCs w:val="14"/>
                <w:bdr w:val="nil"/>
              </w:rPr>
              <w:t>0.63</w:t>
            </w:r>
          </w:p>
        </w:tc>
        <w:tc>
          <w:tcPr>
            <w:tcW w:w="998" w:type="dxa"/>
            <w:tcBorders>
              <w:top w:val="nil"/>
              <w:left w:val="nil"/>
              <w:bottom w:val="nil"/>
              <w:right w:val="nil"/>
            </w:tcBorders>
            <w:vAlign w:val="center"/>
          </w:tcPr>
          <w:p w14:paraId="69A4FDD6" w14:textId="77777777" w:rsidR="00452B41" w:rsidRPr="004F51D2" w:rsidRDefault="00452B41" w:rsidP="00452B41">
            <w:pPr>
              <w:bidi w:val="0"/>
              <w:spacing w:line="480" w:lineRule="auto"/>
              <w:rPr>
                <w:rFonts w:ascii="Times New Roman" w:hAnsi="Times New Roman" w:cs="Times New Roman"/>
                <w:color w:val="000000" w:themeColor="text1"/>
                <w:sz w:val="14"/>
                <w:szCs w:val="14"/>
              </w:rPr>
            </w:pPr>
            <w:r w:rsidRPr="004F51D2">
              <w:rPr>
                <w:rFonts w:ascii="Times New Roman" w:hAnsi="Times New Roman" w:cs="Times New Roman"/>
                <w:color w:val="000000" w:themeColor="text1"/>
                <w:sz w:val="14"/>
                <w:szCs w:val="14"/>
              </w:rPr>
              <w:t>43.91 (15.5)</w:t>
            </w:r>
          </w:p>
        </w:tc>
        <w:tc>
          <w:tcPr>
            <w:tcW w:w="1270" w:type="dxa"/>
            <w:tcBorders>
              <w:top w:val="nil"/>
              <w:left w:val="nil"/>
              <w:bottom w:val="nil"/>
            </w:tcBorders>
          </w:tcPr>
          <w:p w14:paraId="79AAE79C" w14:textId="7769EF41" w:rsidR="00452B41" w:rsidRPr="004F51D2" w:rsidRDefault="007C6232" w:rsidP="00452B41">
            <w:pPr>
              <w:bidi w:val="0"/>
              <w:spacing w:line="480" w:lineRule="auto"/>
              <w:rPr>
                <w:rFonts w:ascii="Times New Roman" w:eastAsia="Calibri" w:hAnsi="Times New Roman" w:cs="Times New Roman"/>
                <w:color w:val="000000" w:themeColor="text1"/>
                <w:sz w:val="14"/>
                <w:szCs w:val="14"/>
              </w:rPr>
            </w:pPr>
            <w:r w:rsidRPr="004F51D2">
              <w:rPr>
                <w:rFonts w:ascii="Times New Roman" w:hAnsi="Times New Roman" w:cs="Times New Roman"/>
                <w:color w:val="000000" w:themeColor="text1"/>
                <w:sz w:val="14"/>
                <w:szCs w:val="14"/>
              </w:rPr>
              <w:t xml:space="preserve">10. </w:t>
            </w:r>
            <w:r w:rsidR="00452B41" w:rsidRPr="004F51D2">
              <w:rPr>
                <w:rFonts w:ascii="Times New Roman" w:hAnsi="Times New Roman" w:cs="Times New Roman"/>
                <w:color w:val="000000" w:themeColor="text1"/>
                <w:sz w:val="14"/>
                <w:szCs w:val="14"/>
              </w:rPr>
              <w:t>VGCS</w:t>
            </w:r>
          </w:p>
        </w:tc>
      </w:tr>
      <w:tr w:rsidR="00452B41" w:rsidRPr="004F51D2" w14:paraId="65957EFA" w14:textId="77777777" w:rsidTr="009154D8">
        <w:tc>
          <w:tcPr>
            <w:tcW w:w="567" w:type="dxa"/>
            <w:tcBorders>
              <w:top w:val="nil"/>
              <w:bottom w:val="nil"/>
              <w:right w:val="nil"/>
            </w:tcBorders>
            <w:vAlign w:val="center"/>
          </w:tcPr>
          <w:p w14:paraId="69EF8717" w14:textId="77777777" w:rsidR="00452B41" w:rsidRPr="004F51D2" w:rsidRDefault="00452B41" w:rsidP="00452B41">
            <w:pPr>
              <w:bidi w:val="0"/>
              <w:spacing w:line="480" w:lineRule="auto"/>
              <w:rPr>
                <w:rFonts w:ascii="Times New Roman" w:hAnsi="Times New Roman" w:cs="Times New Roman"/>
                <w:color w:val="000000" w:themeColor="text1"/>
                <w:sz w:val="14"/>
                <w:szCs w:val="14"/>
              </w:rPr>
            </w:pPr>
          </w:p>
        </w:tc>
        <w:tc>
          <w:tcPr>
            <w:tcW w:w="709" w:type="dxa"/>
            <w:tcBorders>
              <w:top w:val="nil"/>
              <w:left w:val="nil"/>
              <w:bottom w:val="nil"/>
              <w:right w:val="nil"/>
            </w:tcBorders>
            <w:vAlign w:val="center"/>
          </w:tcPr>
          <w:p w14:paraId="251E5E04" w14:textId="77777777" w:rsidR="00452B41" w:rsidRPr="004F51D2" w:rsidRDefault="00452B41" w:rsidP="00452B41">
            <w:pPr>
              <w:bidi w:val="0"/>
              <w:spacing w:line="480" w:lineRule="auto"/>
              <w:rPr>
                <w:rFonts w:ascii="Times New Roman" w:hAnsi="Times New Roman" w:cs="Times New Roman"/>
                <w:color w:val="000000" w:themeColor="text1"/>
                <w:sz w:val="14"/>
                <w:szCs w:val="14"/>
              </w:rPr>
            </w:pPr>
          </w:p>
        </w:tc>
        <w:tc>
          <w:tcPr>
            <w:tcW w:w="709" w:type="dxa"/>
            <w:tcBorders>
              <w:top w:val="nil"/>
              <w:left w:val="nil"/>
              <w:bottom w:val="nil"/>
              <w:right w:val="nil"/>
            </w:tcBorders>
            <w:vAlign w:val="center"/>
          </w:tcPr>
          <w:p w14:paraId="19097F12" w14:textId="77777777" w:rsidR="00452B41" w:rsidRPr="004F51D2" w:rsidRDefault="00452B41" w:rsidP="00452B41">
            <w:pPr>
              <w:bidi w:val="0"/>
              <w:spacing w:line="480" w:lineRule="auto"/>
              <w:rPr>
                <w:rFonts w:ascii="Times New Roman" w:hAnsi="Times New Roman" w:cs="Times New Roman"/>
                <w:color w:val="000000" w:themeColor="text1"/>
                <w:sz w:val="14"/>
                <w:szCs w:val="14"/>
              </w:rPr>
            </w:pPr>
          </w:p>
        </w:tc>
        <w:tc>
          <w:tcPr>
            <w:tcW w:w="709" w:type="dxa"/>
            <w:tcBorders>
              <w:top w:val="nil"/>
              <w:left w:val="nil"/>
              <w:bottom w:val="nil"/>
              <w:right w:val="nil"/>
            </w:tcBorders>
            <w:vAlign w:val="center"/>
          </w:tcPr>
          <w:p w14:paraId="1C5C912F" w14:textId="77777777" w:rsidR="00452B41" w:rsidRPr="004F51D2" w:rsidRDefault="00452B41" w:rsidP="00452B41">
            <w:pPr>
              <w:bidi w:val="0"/>
              <w:spacing w:line="480" w:lineRule="auto"/>
              <w:rPr>
                <w:rFonts w:ascii="Times New Roman" w:hAnsi="Times New Roman" w:cs="Times New Roman"/>
                <w:color w:val="000000" w:themeColor="text1"/>
                <w:sz w:val="14"/>
                <w:szCs w:val="14"/>
              </w:rPr>
            </w:pPr>
            <w:r w:rsidRPr="004F51D2">
              <w:rPr>
                <w:rFonts w:ascii="Times New Roman" w:hAnsi="Times New Roman" w:cs="Times New Roman"/>
                <w:color w:val="000000" w:themeColor="text1"/>
                <w:sz w:val="14"/>
                <w:szCs w:val="14"/>
              </w:rPr>
              <w:t>1</w:t>
            </w:r>
          </w:p>
        </w:tc>
        <w:tc>
          <w:tcPr>
            <w:tcW w:w="708" w:type="dxa"/>
            <w:tcBorders>
              <w:top w:val="nil"/>
              <w:left w:val="nil"/>
              <w:bottom w:val="nil"/>
              <w:right w:val="nil"/>
            </w:tcBorders>
            <w:vAlign w:val="center"/>
          </w:tcPr>
          <w:p w14:paraId="263A8208" w14:textId="77777777" w:rsidR="00452B41" w:rsidRPr="004F51D2" w:rsidRDefault="00452B41" w:rsidP="00452B41">
            <w:pPr>
              <w:bidi w:val="0"/>
              <w:spacing w:line="480" w:lineRule="auto"/>
              <w:rPr>
                <w:rFonts w:ascii="Times New Roman" w:hAnsi="Times New Roman" w:cs="Times New Roman"/>
                <w:color w:val="000000" w:themeColor="text1"/>
                <w:sz w:val="14"/>
                <w:szCs w:val="14"/>
              </w:rPr>
            </w:pPr>
            <w:r w:rsidRPr="004F51D2">
              <w:rPr>
                <w:rFonts w:ascii="Times New Roman" w:hAnsi="Times New Roman" w:cs="Times New Roman"/>
                <w:color w:val="000000" w:themeColor="text1"/>
                <w:sz w:val="14"/>
                <w:szCs w:val="14"/>
              </w:rPr>
              <w:t>0.592**</w:t>
            </w:r>
          </w:p>
        </w:tc>
        <w:tc>
          <w:tcPr>
            <w:tcW w:w="709" w:type="dxa"/>
            <w:tcBorders>
              <w:top w:val="nil"/>
              <w:left w:val="nil"/>
              <w:bottom w:val="nil"/>
              <w:right w:val="nil"/>
            </w:tcBorders>
            <w:vAlign w:val="center"/>
          </w:tcPr>
          <w:p w14:paraId="2D9B2B19" w14:textId="77777777" w:rsidR="00452B41" w:rsidRPr="004F51D2" w:rsidRDefault="00452B41" w:rsidP="00452B41">
            <w:pPr>
              <w:bidi w:val="0"/>
              <w:spacing w:line="480" w:lineRule="auto"/>
              <w:rPr>
                <w:rFonts w:ascii="Times New Roman" w:hAnsi="Times New Roman" w:cs="Times New Roman"/>
                <w:color w:val="000000" w:themeColor="text1"/>
                <w:sz w:val="14"/>
                <w:szCs w:val="14"/>
              </w:rPr>
            </w:pPr>
            <w:r w:rsidRPr="004F51D2">
              <w:rPr>
                <w:rFonts w:ascii="Times New Roman" w:hAnsi="Times New Roman" w:cs="Times New Roman"/>
                <w:color w:val="000000" w:themeColor="text1"/>
                <w:sz w:val="14"/>
                <w:szCs w:val="14"/>
              </w:rPr>
              <w:t>0.212**</w:t>
            </w:r>
          </w:p>
        </w:tc>
        <w:tc>
          <w:tcPr>
            <w:tcW w:w="709" w:type="dxa"/>
            <w:tcBorders>
              <w:top w:val="nil"/>
              <w:left w:val="nil"/>
              <w:bottom w:val="nil"/>
              <w:right w:val="nil"/>
            </w:tcBorders>
            <w:vAlign w:val="center"/>
          </w:tcPr>
          <w:p w14:paraId="34D12EC8" w14:textId="77777777" w:rsidR="00452B41" w:rsidRPr="004F51D2" w:rsidRDefault="00452B41" w:rsidP="00452B41">
            <w:pPr>
              <w:bidi w:val="0"/>
              <w:spacing w:line="480" w:lineRule="auto"/>
              <w:rPr>
                <w:rFonts w:ascii="Times New Roman" w:hAnsi="Times New Roman" w:cs="Times New Roman"/>
                <w:color w:val="000000" w:themeColor="text1"/>
                <w:sz w:val="14"/>
                <w:szCs w:val="14"/>
              </w:rPr>
            </w:pPr>
            <w:r w:rsidRPr="004F51D2">
              <w:rPr>
                <w:rFonts w:ascii="Times New Roman" w:hAnsi="Times New Roman" w:cs="Times New Roman"/>
                <w:color w:val="000000" w:themeColor="text1"/>
                <w:sz w:val="14"/>
                <w:szCs w:val="14"/>
              </w:rPr>
              <w:t>0.244**</w:t>
            </w:r>
          </w:p>
        </w:tc>
        <w:tc>
          <w:tcPr>
            <w:tcW w:w="850" w:type="dxa"/>
            <w:tcBorders>
              <w:top w:val="nil"/>
              <w:left w:val="nil"/>
              <w:bottom w:val="nil"/>
              <w:right w:val="nil"/>
            </w:tcBorders>
            <w:vAlign w:val="center"/>
          </w:tcPr>
          <w:p w14:paraId="57FC7A2F" w14:textId="77777777" w:rsidR="00452B41" w:rsidRPr="004F51D2" w:rsidRDefault="00452B41" w:rsidP="00452B41">
            <w:pPr>
              <w:bidi w:val="0"/>
              <w:spacing w:line="480" w:lineRule="auto"/>
              <w:rPr>
                <w:rFonts w:ascii="Times New Roman" w:hAnsi="Times New Roman" w:cs="Times New Roman"/>
                <w:color w:val="000000" w:themeColor="text1"/>
                <w:sz w:val="14"/>
                <w:szCs w:val="14"/>
              </w:rPr>
            </w:pPr>
            <w:r w:rsidRPr="004F51D2">
              <w:rPr>
                <w:rFonts w:ascii="Times New Roman" w:hAnsi="Times New Roman" w:cs="Times New Roman"/>
                <w:color w:val="000000" w:themeColor="text1"/>
                <w:sz w:val="14"/>
                <w:szCs w:val="14"/>
              </w:rPr>
              <w:t>0.254**</w:t>
            </w:r>
          </w:p>
        </w:tc>
        <w:tc>
          <w:tcPr>
            <w:tcW w:w="709" w:type="dxa"/>
            <w:tcBorders>
              <w:top w:val="nil"/>
              <w:left w:val="nil"/>
              <w:bottom w:val="nil"/>
              <w:right w:val="nil"/>
            </w:tcBorders>
            <w:vAlign w:val="center"/>
          </w:tcPr>
          <w:p w14:paraId="0BE83A83" w14:textId="77777777" w:rsidR="00452B41" w:rsidRPr="004F51D2" w:rsidRDefault="00452B41" w:rsidP="00452B41">
            <w:pPr>
              <w:bidi w:val="0"/>
              <w:spacing w:line="480" w:lineRule="auto"/>
              <w:rPr>
                <w:rFonts w:ascii="Times New Roman" w:hAnsi="Times New Roman" w:cs="Times New Roman"/>
                <w:color w:val="000000" w:themeColor="text1"/>
                <w:sz w:val="14"/>
                <w:szCs w:val="14"/>
              </w:rPr>
            </w:pPr>
            <w:r w:rsidRPr="004F51D2">
              <w:rPr>
                <w:rFonts w:ascii="Times New Roman" w:hAnsi="Times New Roman" w:cs="Times New Roman"/>
                <w:color w:val="000000" w:themeColor="text1"/>
                <w:sz w:val="14"/>
                <w:szCs w:val="14"/>
              </w:rPr>
              <w:t>0.070</w:t>
            </w:r>
          </w:p>
        </w:tc>
        <w:tc>
          <w:tcPr>
            <w:tcW w:w="709" w:type="dxa"/>
            <w:tcBorders>
              <w:top w:val="nil"/>
              <w:left w:val="nil"/>
              <w:bottom w:val="nil"/>
              <w:right w:val="nil"/>
            </w:tcBorders>
            <w:vAlign w:val="center"/>
          </w:tcPr>
          <w:p w14:paraId="67197A78" w14:textId="77777777" w:rsidR="00452B41" w:rsidRPr="004F51D2" w:rsidRDefault="00452B41" w:rsidP="00452B41">
            <w:pPr>
              <w:bidi w:val="0"/>
              <w:spacing w:line="480" w:lineRule="auto"/>
              <w:rPr>
                <w:rFonts w:ascii="Times New Roman" w:hAnsi="Times New Roman" w:cs="Times New Roman"/>
                <w:color w:val="000000" w:themeColor="text1"/>
                <w:sz w:val="14"/>
                <w:szCs w:val="14"/>
              </w:rPr>
            </w:pPr>
            <w:r w:rsidRPr="004F51D2">
              <w:rPr>
                <w:rFonts w:ascii="Times New Roman" w:hAnsi="Times New Roman" w:cs="Times New Roman"/>
                <w:color w:val="000000" w:themeColor="text1"/>
                <w:sz w:val="14"/>
                <w:szCs w:val="14"/>
              </w:rPr>
              <w:t>0.081</w:t>
            </w:r>
          </w:p>
        </w:tc>
        <w:tc>
          <w:tcPr>
            <w:tcW w:w="709" w:type="dxa"/>
            <w:tcBorders>
              <w:top w:val="nil"/>
              <w:left w:val="nil"/>
              <w:bottom w:val="nil"/>
              <w:right w:val="nil"/>
            </w:tcBorders>
            <w:vAlign w:val="center"/>
          </w:tcPr>
          <w:p w14:paraId="577C475A" w14:textId="77777777" w:rsidR="00452B41" w:rsidRPr="004F51D2" w:rsidRDefault="00452B41" w:rsidP="00452B41">
            <w:pPr>
              <w:bidi w:val="0"/>
              <w:spacing w:line="480" w:lineRule="auto"/>
              <w:rPr>
                <w:rFonts w:ascii="Times New Roman" w:hAnsi="Times New Roman" w:cs="Times New Roman"/>
                <w:color w:val="000000" w:themeColor="text1"/>
                <w:sz w:val="14"/>
                <w:szCs w:val="14"/>
              </w:rPr>
            </w:pPr>
            <w:r w:rsidRPr="004F51D2">
              <w:rPr>
                <w:rFonts w:ascii="Times New Roman" w:hAnsi="Times New Roman" w:cs="Times New Roman"/>
                <w:color w:val="000000" w:themeColor="text1"/>
                <w:sz w:val="14"/>
                <w:szCs w:val="14"/>
              </w:rPr>
              <w:t>-0.004</w:t>
            </w:r>
          </w:p>
        </w:tc>
        <w:tc>
          <w:tcPr>
            <w:tcW w:w="708" w:type="dxa"/>
            <w:tcBorders>
              <w:top w:val="nil"/>
              <w:left w:val="nil"/>
              <w:bottom w:val="nil"/>
              <w:right w:val="nil"/>
            </w:tcBorders>
            <w:vAlign w:val="center"/>
          </w:tcPr>
          <w:p w14:paraId="55CA27E7" w14:textId="77777777" w:rsidR="00452B41" w:rsidRPr="004F51D2" w:rsidRDefault="00452B41" w:rsidP="00452B41">
            <w:pPr>
              <w:bidi w:val="0"/>
              <w:spacing w:line="480" w:lineRule="auto"/>
              <w:rPr>
                <w:rFonts w:ascii="Times New Roman" w:hAnsi="Times New Roman" w:cs="Times New Roman"/>
                <w:color w:val="000000" w:themeColor="text1"/>
                <w:sz w:val="14"/>
                <w:szCs w:val="14"/>
              </w:rPr>
            </w:pPr>
            <w:r w:rsidRPr="004F51D2">
              <w:rPr>
                <w:rFonts w:ascii="Times New Roman" w:hAnsi="Times New Roman" w:cs="Times New Roman"/>
                <w:color w:val="000000" w:themeColor="text1"/>
                <w:sz w:val="14"/>
                <w:szCs w:val="14"/>
              </w:rPr>
              <w:t>0.098</w:t>
            </w:r>
          </w:p>
        </w:tc>
        <w:tc>
          <w:tcPr>
            <w:tcW w:w="709" w:type="dxa"/>
            <w:tcBorders>
              <w:top w:val="nil"/>
              <w:left w:val="nil"/>
              <w:bottom w:val="nil"/>
              <w:right w:val="nil"/>
            </w:tcBorders>
            <w:vAlign w:val="center"/>
          </w:tcPr>
          <w:p w14:paraId="4769AB73" w14:textId="77777777" w:rsidR="00452B41" w:rsidRPr="004F51D2" w:rsidRDefault="00452B41" w:rsidP="00452B41">
            <w:pPr>
              <w:bidi w:val="0"/>
              <w:spacing w:line="480" w:lineRule="auto"/>
              <w:rPr>
                <w:rFonts w:ascii="Times New Roman" w:hAnsi="Times New Roman" w:cs="Times New Roman"/>
                <w:color w:val="000000" w:themeColor="text1"/>
                <w:sz w:val="14"/>
                <w:szCs w:val="14"/>
              </w:rPr>
            </w:pPr>
            <w:r w:rsidRPr="004F51D2">
              <w:rPr>
                <w:rFonts w:ascii="Times New Roman" w:hAnsi="Times New Roman" w:cs="Times New Roman"/>
                <w:color w:val="000000" w:themeColor="text1"/>
                <w:sz w:val="14"/>
                <w:szCs w:val="14"/>
              </w:rPr>
              <w:t>0.017</w:t>
            </w:r>
          </w:p>
        </w:tc>
        <w:tc>
          <w:tcPr>
            <w:tcW w:w="710" w:type="dxa"/>
            <w:tcBorders>
              <w:top w:val="nil"/>
              <w:left w:val="nil"/>
              <w:bottom w:val="nil"/>
              <w:right w:val="nil"/>
            </w:tcBorders>
            <w:vAlign w:val="center"/>
          </w:tcPr>
          <w:p w14:paraId="3BE32F26" w14:textId="77777777" w:rsidR="00452B41" w:rsidRPr="004F51D2" w:rsidRDefault="00452B41" w:rsidP="00452B41">
            <w:pPr>
              <w:bidi w:val="0"/>
              <w:spacing w:line="480" w:lineRule="auto"/>
              <w:rPr>
                <w:rFonts w:ascii="Times New Roman" w:hAnsi="Times New Roman" w:cs="Times New Roman"/>
                <w:color w:val="000000" w:themeColor="text1"/>
                <w:sz w:val="14"/>
                <w:szCs w:val="14"/>
              </w:rPr>
            </w:pPr>
            <w:r w:rsidRPr="004F51D2">
              <w:rPr>
                <w:rFonts w:ascii="Times New Roman" w:hAnsi="Times New Roman" w:cs="Times New Roman"/>
                <w:color w:val="000000" w:themeColor="text1"/>
                <w:sz w:val="14"/>
                <w:szCs w:val="14"/>
              </w:rPr>
              <w:t>0.579**</w:t>
            </w:r>
          </w:p>
        </w:tc>
        <w:tc>
          <w:tcPr>
            <w:tcW w:w="849" w:type="dxa"/>
            <w:tcBorders>
              <w:top w:val="nil"/>
              <w:left w:val="nil"/>
              <w:bottom w:val="nil"/>
              <w:right w:val="nil"/>
            </w:tcBorders>
          </w:tcPr>
          <w:p w14:paraId="15948C84" w14:textId="011A5D35" w:rsidR="00452B41" w:rsidRPr="004F51D2" w:rsidRDefault="00452B41" w:rsidP="00452B41">
            <w:pPr>
              <w:bidi w:val="0"/>
              <w:spacing w:line="480" w:lineRule="auto"/>
              <w:rPr>
                <w:rFonts w:ascii="Times New Roman" w:hAnsi="Times New Roman" w:cs="Times New Roman"/>
                <w:color w:val="000000" w:themeColor="text1"/>
                <w:sz w:val="14"/>
                <w:szCs w:val="14"/>
              </w:rPr>
            </w:pPr>
            <w:r w:rsidRPr="004F51D2">
              <w:rPr>
                <w:rFonts w:ascii="Times New Roman" w:eastAsia="Arial Unicode MS" w:hAnsi="Times New Roman" w:cs="Times New Roman"/>
                <w:sz w:val="14"/>
                <w:szCs w:val="14"/>
                <w:bdr w:val="nil"/>
              </w:rPr>
              <w:t>0.58</w:t>
            </w:r>
          </w:p>
        </w:tc>
        <w:tc>
          <w:tcPr>
            <w:tcW w:w="851" w:type="dxa"/>
            <w:tcBorders>
              <w:top w:val="nil"/>
              <w:left w:val="nil"/>
              <w:bottom w:val="nil"/>
              <w:right w:val="nil"/>
            </w:tcBorders>
          </w:tcPr>
          <w:p w14:paraId="7EDF50E8" w14:textId="41A09ECB" w:rsidR="00452B41" w:rsidRPr="004F51D2" w:rsidRDefault="00452B41" w:rsidP="00452B41">
            <w:pPr>
              <w:bidi w:val="0"/>
              <w:spacing w:line="480" w:lineRule="auto"/>
              <w:rPr>
                <w:rFonts w:ascii="Times New Roman" w:hAnsi="Times New Roman" w:cs="Times New Roman"/>
                <w:color w:val="000000" w:themeColor="text1"/>
                <w:sz w:val="14"/>
                <w:szCs w:val="14"/>
              </w:rPr>
            </w:pPr>
            <w:r w:rsidRPr="004F51D2">
              <w:rPr>
                <w:rFonts w:ascii="Times New Roman" w:eastAsia="Arial Unicode MS" w:hAnsi="Times New Roman" w:cs="Times New Roman"/>
                <w:sz w:val="14"/>
                <w:szCs w:val="14"/>
                <w:bdr w:val="nil"/>
              </w:rPr>
              <w:t>-0.74</w:t>
            </w:r>
          </w:p>
        </w:tc>
        <w:tc>
          <w:tcPr>
            <w:tcW w:w="998" w:type="dxa"/>
            <w:tcBorders>
              <w:top w:val="nil"/>
              <w:left w:val="nil"/>
              <w:bottom w:val="nil"/>
              <w:right w:val="nil"/>
            </w:tcBorders>
            <w:vAlign w:val="center"/>
          </w:tcPr>
          <w:p w14:paraId="582FD3E2" w14:textId="77777777" w:rsidR="00452B41" w:rsidRPr="004F51D2" w:rsidRDefault="00452B41" w:rsidP="00452B41">
            <w:pPr>
              <w:bidi w:val="0"/>
              <w:spacing w:line="480" w:lineRule="auto"/>
              <w:rPr>
                <w:rFonts w:ascii="Times New Roman" w:hAnsi="Times New Roman" w:cs="Times New Roman"/>
                <w:color w:val="000000" w:themeColor="text1"/>
                <w:sz w:val="14"/>
                <w:szCs w:val="14"/>
              </w:rPr>
            </w:pPr>
            <w:r w:rsidRPr="004F51D2">
              <w:rPr>
                <w:rFonts w:ascii="Times New Roman" w:hAnsi="Times New Roman" w:cs="Times New Roman"/>
                <w:color w:val="000000" w:themeColor="text1"/>
                <w:sz w:val="14"/>
                <w:szCs w:val="14"/>
              </w:rPr>
              <w:t>78.15 (20.5)</w:t>
            </w:r>
          </w:p>
        </w:tc>
        <w:tc>
          <w:tcPr>
            <w:tcW w:w="1270" w:type="dxa"/>
            <w:tcBorders>
              <w:top w:val="nil"/>
              <w:left w:val="nil"/>
              <w:bottom w:val="nil"/>
            </w:tcBorders>
          </w:tcPr>
          <w:p w14:paraId="3DE06BD4" w14:textId="0A7D5991" w:rsidR="00452B41" w:rsidRPr="004F51D2" w:rsidRDefault="007C6232" w:rsidP="00452B41">
            <w:pPr>
              <w:bidi w:val="0"/>
              <w:spacing w:line="480" w:lineRule="auto"/>
              <w:rPr>
                <w:rFonts w:ascii="Times New Roman" w:hAnsi="Times New Roman" w:cs="Times New Roman"/>
                <w:color w:val="000000" w:themeColor="text1"/>
                <w:sz w:val="14"/>
                <w:szCs w:val="14"/>
              </w:rPr>
            </w:pPr>
            <w:r w:rsidRPr="004F51D2">
              <w:rPr>
                <w:rFonts w:ascii="Times New Roman" w:hAnsi="Times New Roman" w:cs="Times New Roman"/>
                <w:color w:val="000000" w:themeColor="text1"/>
                <w:sz w:val="14"/>
                <w:szCs w:val="14"/>
              </w:rPr>
              <w:t xml:space="preserve">11. </w:t>
            </w:r>
            <w:r w:rsidR="00452B41" w:rsidRPr="004F51D2">
              <w:rPr>
                <w:rFonts w:ascii="Times New Roman" w:hAnsi="Times New Roman" w:cs="Times New Roman"/>
                <w:color w:val="000000" w:themeColor="text1"/>
                <w:sz w:val="14"/>
                <w:szCs w:val="14"/>
              </w:rPr>
              <w:t>MOGQ</w:t>
            </w:r>
          </w:p>
        </w:tc>
      </w:tr>
      <w:tr w:rsidR="00452B41" w:rsidRPr="004F51D2" w14:paraId="3D6D3B63" w14:textId="77777777" w:rsidTr="009154D8">
        <w:tc>
          <w:tcPr>
            <w:tcW w:w="567" w:type="dxa"/>
            <w:tcBorders>
              <w:top w:val="nil"/>
              <w:bottom w:val="nil"/>
              <w:right w:val="nil"/>
            </w:tcBorders>
            <w:vAlign w:val="center"/>
          </w:tcPr>
          <w:p w14:paraId="33352A4B" w14:textId="77777777" w:rsidR="00452B41" w:rsidRPr="004F51D2" w:rsidRDefault="00452B41" w:rsidP="00452B41">
            <w:pPr>
              <w:bidi w:val="0"/>
              <w:spacing w:line="480" w:lineRule="auto"/>
              <w:rPr>
                <w:rFonts w:ascii="Times New Roman" w:hAnsi="Times New Roman" w:cs="Times New Roman"/>
                <w:color w:val="000000" w:themeColor="text1"/>
                <w:sz w:val="14"/>
                <w:szCs w:val="14"/>
              </w:rPr>
            </w:pPr>
          </w:p>
        </w:tc>
        <w:tc>
          <w:tcPr>
            <w:tcW w:w="709" w:type="dxa"/>
            <w:tcBorders>
              <w:top w:val="nil"/>
              <w:left w:val="nil"/>
              <w:bottom w:val="nil"/>
              <w:right w:val="nil"/>
            </w:tcBorders>
            <w:vAlign w:val="center"/>
          </w:tcPr>
          <w:p w14:paraId="19A44130" w14:textId="77777777" w:rsidR="00452B41" w:rsidRPr="004F51D2" w:rsidRDefault="00452B41" w:rsidP="00452B41">
            <w:pPr>
              <w:bidi w:val="0"/>
              <w:spacing w:line="480" w:lineRule="auto"/>
              <w:rPr>
                <w:rFonts w:ascii="Times New Roman" w:hAnsi="Times New Roman" w:cs="Times New Roman"/>
                <w:color w:val="000000" w:themeColor="text1"/>
                <w:sz w:val="14"/>
                <w:szCs w:val="14"/>
              </w:rPr>
            </w:pPr>
          </w:p>
        </w:tc>
        <w:tc>
          <w:tcPr>
            <w:tcW w:w="709" w:type="dxa"/>
            <w:tcBorders>
              <w:top w:val="nil"/>
              <w:left w:val="nil"/>
              <w:bottom w:val="nil"/>
              <w:right w:val="nil"/>
            </w:tcBorders>
            <w:vAlign w:val="center"/>
          </w:tcPr>
          <w:p w14:paraId="4D657BEB" w14:textId="77777777" w:rsidR="00452B41" w:rsidRPr="004F51D2" w:rsidRDefault="00452B41" w:rsidP="00452B41">
            <w:pPr>
              <w:bidi w:val="0"/>
              <w:spacing w:line="480" w:lineRule="auto"/>
              <w:rPr>
                <w:rFonts w:ascii="Times New Roman" w:hAnsi="Times New Roman" w:cs="Times New Roman"/>
                <w:color w:val="000000" w:themeColor="text1"/>
                <w:sz w:val="14"/>
                <w:szCs w:val="14"/>
              </w:rPr>
            </w:pPr>
            <w:r w:rsidRPr="004F51D2">
              <w:rPr>
                <w:rFonts w:ascii="Times New Roman" w:hAnsi="Times New Roman" w:cs="Times New Roman"/>
                <w:color w:val="000000" w:themeColor="text1"/>
                <w:sz w:val="14"/>
                <w:szCs w:val="14"/>
              </w:rPr>
              <w:t>1</w:t>
            </w:r>
          </w:p>
        </w:tc>
        <w:tc>
          <w:tcPr>
            <w:tcW w:w="709" w:type="dxa"/>
            <w:tcBorders>
              <w:top w:val="nil"/>
              <w:left w:val="nil"/>
              <w:bottom w:val="nil"/>
              <w:right w:val="nil"/>
            </w:tcBorders>
            <w:vAlign w:val="center"/>
          </w:tcPr>
          <w:p w14:paraId="494FCA07" w14:textId="77777777" w:rsidR="00452B41" w:rsidRPr="004F51D2" w:rsidRDefault="00452B41" w:rsidP="00452B41">
            <w:pPr>
              <w:bidi w:val="0"/>
              <w:spacing w:line="480" w:lineRule="auto"/>
              <w:rPr>
                <w:rFonts w:ascii="Times New Roman" w:hAnsi="Times New Roman" w:cs="Times New Roman"/>
                <w:color w:val="000000" w:themeColor="text1"/>
                <w:sz w:val="14"/>
                <w:szCs w:val="14"/>
              </w:rPr>
            </w:pPr>
            <w:r w:rsidRPr="004F51D2">
              <w:rPr>
                <w:rFonts w:ascii="Times New Roman" w:hAnsi="Times New Roman" w:cs="Times New Roman"/>
                <w:color w:val="000000" w:themeColor="text1"/>
                <w:sz w:val="14"/>
                <w:szCs w:val="14"/>
              </w:rPr>
              <w:t>0.388**</w:t>
            </w:r>
          </w:p>
        </w:tc>
        <w:tc>
          <w:tcPr>
            <w:tcW w:w="708" w:type="dxa"/>
            <w:tcBorders>
              <w:top w:val="nil"/>
              <w:left w:val="nil"/>
              <w:bottom w:val="nil"/>
              <w:right w:val="nil"/>
            </w:tcBorders>
            <w:vAlign w:val="center"/>
          </w:tcPr>
          <w:p w14:paraId="1506385A" w14:textId="77777777" w:rsidR="00452B41" w:rsidRPr="004F51D2" w:rsidRDefault="00452B41" w:rsidP="00452B41">
            <w:pPr>
              <w:bidi w:val="0"/>
              <w:spacing w:line="480" w:lineRule="auto"/>
              <w:rPr>
                <w:rFonts w:ascii="Times New Roman" w:hAnsi="Times New Roman" w:cs="Times New Roman"/>
                <w:color w:val="000000" w:themeColor="text1"/>
                <w:sz w:val="14"/>
                <w:szCs w:val="14"/>
              </w:rPr>
            </w:pPr>
            <w:r w:rsidRPr="004F51D2">
              <w:rPr>
                <w:rFonts w:ascii="Times New Roman" w:hAnsi="Times New Roman" w:cs="Times New Roman"/>
                <w:color w:val="000000" w:themeColor="text1"/>
                <w:sz w:val="14"/>
                <w:szCs w:val="14"/>
              </w:rPr>
              <w:t>0.635**</w:t>
            </w:r>
          </w:p>
        </w:tc>
        <w:tc>
          <w:tcPr>
            <w:tcW w:w="709" w:type="dxa"/>
            <w:tcBorders>
              <w:top w:val="nil"/>
              <w:left w:val="nil"/>
              <w:bottom w:val="nil"/>
              <w:right w:val="nil"/>
            </w:tcBorders>
            <w:vAlign w:val="center"/>
          </w:tcPr>
          <w:p w14:paraId="2AAC84F3" w14:textId="77777777" w:rsidR="00452B41" w:rsidRPr="004F51D2" w:rsidRDefault="00452B41" w:rsidP="00452B41">
            <w:pPr>
              <w:bidi w:val="0"/>
              <w:spacing w:line="480" w:lineRule="auto"/>
              <w:rPr>
                <w:rFonts w:ascii="Times New Roman" w:hAnsi="Times New Roman" w:cs="Times New Roman"/>
                <w:color w:val="000000" w:themeColor="text1"/>
                <w:sz w:val="14"/>
                <w:szCs w:val="14"/>
              </w:rPr>
            </w:pPr>
            <w:r w:rsidRPr="004F51D2">
              <w:rPr>
                <w:rFonts w:ascii="Times New Roman" w:hAnsi="Times New Roman" w:cs="Times New Roman"/>
                <w:color w:val="000000" w:themeColor="text1"/>
                <w:sz w:val="14"/>
                <w:szCs w:val="14"/>
              </w:rPr>
              <w:t>0.313**</w:t>
            </w:r>
          </w:p>
        </w:tc>
        <w:tc>
          <w:tcPr>
            <w:tcW w:w="709" w:type="dxa"/>
            <w:tcBorders>
              <w:top w:val="nil"/>
              <w:left w:val="nil"/>
              <w:bottom w:val="nil"/>
              <w:right w:val="nil"/>
            </w:tcBorders>
            <w:vAlign w:val="center"/>
          </w:tcPr>
          <w:p w14:paraId="37753738" w14:textId="77777777" w:rsidR="00452B41" w:rsidRPr="004F51D2" w:rsidRDefault="00452B41" w:rsidP="00452B41">
            <w:pPr>
              <w:bidi w:val="0"/>
              <w:spacing w:line="480" w:lineRule="auto"/>
              <w:rPr>
                <w:rFonts w:ascii="Times New Roman" w:hAnsi="Times New Roman" w:cs="Times New Roman"/>
                <w:color w:val="000000" w:themeColor="text1"/>
                <w:sz w:val="14"/>
                <w:szCs w:val="14"/>
              </w:rPr>
            </w:pPr>
            <w:r w:rsidRPr="004F51D2">
              <w:rPr>
                <w:rFonts w:ascii="Times New Roman" w:hAnsi="Times New Roman" w:cs="Times New Roman"/>
                <w:color w:val="000000" w:themeColor="text1"/>
                <w:sz w:val="14"/>
                <w:szCs w:val="14"/>
              </w:rPr>
              <w:t>0.337**</w:t>
            </w:r>
          </w:p>
        </w:tc>
        <w:tc>
          <w:tcPr>
            <w:tcW w:w="850" w:type="dxa"/>
            <w:tcBorders>
              <w:top w:val="nil"/>
              <w:left w:val="nil"/>
              <w:bottom w:val="nil"/>
              <w:right w:val="nil"/>
            </w:tcBorders>
            <w:vAlign w:val="center"/>
          </w:tcPr>
          <w:p w14:paraId="26D42A20" w14:textId="77777777" w:rsidR="00452B41" w:rsidRPr="004F51D2" w:rsidRDefault="00452B41" w:rsidP="00452B41">
            <w:pPr>
              <w:bidi w:val="0"/>
              <w:spacing w:line="480" w:lineRule="auto"/>
              <w:rPr>
                <w:rFonts w:ascii="Times New Roman" w:hAnsi="Times New Roman" w:cs="Times New Roman"/>
                <w:color w:val="000000" w:themeColor="text1"/>
                <w:sz w:val="14"/>
                <w:szCs w:val="14"/>
              </w:rPr>
            </w:pPr>
            <w:r w:rsidRPr="004F51D2">
              <w:rPr>
                <w:rFonts w:ascii="Times New Roman" w:hAnsi="Times New Roman" w:cs="Times New Roman"/>
                <w:color w:val="000000" w:themeColor="text1"/>
                <w:sz w:val="14"/>
                <w:szCs w:val="14"/>
              </w:rPr>
              <w:t>0.342**</w:t>
            </w:r>
          </w:p>
        </w:tc>
        <w:tc>
          <w:tcPr>
            <w:tcW w:w="709" w:type="dxa"/>
            <w:tcBorders>
              <w:top w:val="nil"/>
              <w:left w:val="nil"/>
              <w:bottom w:val="nil"/>
              <w:right w:val="nil"/>
            </w:tcBorders>
            <w:vAlign w:val="center"/>
          </w:tcPr>
          <w:p w14:paraId="3460CBBE" w14:textId="77777777" w:rsidR="00452B41" w:rsidRPr="004F51D2" w:rsidRDefault="00452B41" w:rsidP="00452B41">
            <w:pPr>
              <w:bidi w:val="0"/>
              <w:spacing w:line="480" w:lineRule="auto"/>
              <w:rPr>
                <w:rFonts w:ascii="Times New Roman" w:hAnsi="Times New Roman" w:cs="Times New Roman"/>
                <w:color w:val="000000" w:themeColor="text1"/>
                <w:sz w:val="14"/>
                <w:szCs w:val="14"/>
              </w:rPr>
            </w:pPr>
            <w:r w:rsidRPr="004F51D2">
              <w:rPr>
                <w:rFonts w:ascii="Times New Roman" w:hAnsi="Times New Roman" w:cs="Times New Roman"/>
                <w:color w:val="000000" w:themeColor="text1"/>
                <w:sz w:val="14"/>
                <w:szCs w:val="14"/>
              </w:rPr>
              <w:t>0.111*</w:t>
            </w:r>
          </w:p>
        </w:tc>
        <w:tc>
          <w:tcPr>
            <w:tcW w:w="709" w:type="dxa"/>
            <w:tcBorders>
              <w:top w:val="nil"/>
              <w:left w:val="nil"/>
              <w:bottom w:val="nil"/>
              <w:right w:val="nil"/>
            </w:tcBorders>
            <w:vAlign w:val="center"/>
          </w:tcPr>
          <w:p w14:paraId="007501C2" w14:textId="77777777" w:rsidR="00452B41" w:rsidRPr="004F51D2" w:rsidRDefault="00452B41" w:rsidP="00452B41">
            <w:pPr>
              <w:bidi w:val="0"/>
              <w:spacing w:line="480" w:lineRule="auto"/>
              <w:rPr>
                <w:rFonts w:ascii="Times New Roman" w:hAnsi="Times New Roman" w:cs="Times New Roman"/>
                <w:color w:val="000000" w:themeColor="text1"/>
                <w:sz w:val="14"/>
                <w:szCs w:val="14"/>
              </w:rPr>
            </w:pPr>
            <w:r w:rsidRPr="004F51D2">
              <w:rPr>
                <w:rFonts w:ascii="Times New Roman" w:hAnsi="Times New Roman" w:cs="Times New Roman"/>
                <w:color w:val="000000" w:themeColor="text1"/>
                <w:sz w:val="14"/>
                <w:szCs w:val="14"/>
              </w:rPr>
              <w:t>0.029</w:t>
            </w:r>
          </w:p>
        </w:tc>
        <w:tc>
          <w:tcPr>
            <w:tcW w:w="709" w:type="dxa"/>
            <w:tcBorders>
              <w:top w:val="nil"/>
              <w:left w:val="nil"/>
              <w:bottom w:val="nil"/>
              <w:right w:val="nil"/>
            </w:tcBorders>
            <w:vAlign w:val="center"/>
          </w:tcPr>
          <w:p w14:paraId="23D118C4" w14:textId="77777777" w:rsidR="00452B41" w:rsidRPr="004F51D2" w:rsidRDefault="00452B41" w:rsidP="00452B41">
            <w:pPr>
              <w:bidi w:val="0"/>
              <w:spacing w:line="480" w:lineRule="auto"/>
              <w:rPr>
                <w:rFonts w:ascii="Times New Roman" w:hAnsi="Times New Roman" w:cs="Times New Roman"/>
                <w:color w:val="000000" w:themeColor="text1"/>
                <w:sz w:val="14"/>
                <w:szCs w:val="14"/>
              </w:rPr>
            </w:pPr>
            <w:r w:rsidRPr="004F51D2">
              <w:rPr>
                <w:rFonts w:ascii="Times New Roman" w:hAnsi="Times New Roman" w:cs="Times New Roman"/>
                <w:color w:val="000000" w:themeColor="text1"/>
                <w:sz w:val="14"/>
                <w:szCs w:val="14"/>
              </w:rPr>
              <w:t>-0.019</w:t>
            </w:r>
          </w:p>
        </w:tc>
        <w:tc>
          <w:tcPr>
            <w:tcW w:w="708" w:type="dxa"/>
            <w:tcBorders>
              <w:top w:val="nil"/>
              <w:left w:val="nil"/>
              <w:bottom w:val="nil"/>
              <w:right w:val="nil"/>
            </w:tcBorders>
            <w:vAlign w:val="center"/>
          </w:tcPr>
          <w:p w14:paraId="27AFCDE7" w14:textId="77777777" w:rsidR="00452B41" w:rsidRPr="004F51D2" w:rsidRDefault="00452B41" w:rsidP="00452B41">
            <w:pPr>
              <w:bidi w:val="0"/>
              <w:spacing w:line="480" w:lineRule="auto"/>
              <w:rPr>
                <w:rFonts w:ascii="Times New Roman" w:hAnsi="Times New Roman" w:cs="Times New Roman"/>
                <w:color w:val="000000" w:themeColor="text1"/>
                <w:sz w:val="14"/>
                <w:szCs w:val="14"/>
              </w:rPr>
            </w:pPr>
            <w:r w:rsidRPr="004F51D2">
              <w:rPr>
                <w:rFonts w:ascii="Times New Roman" w:hAnsi="Times New Roman" w:cs="Times New Roman"/>
                <w:color w:val="000000" w:themeColor="text1"/>
                <w:sz w:val="14"/>
                <w:szCs w:val="14"/>
              </w:rPr>
              <w:t>0.181*</w:t>
            </w:r>
          </w:p>
        </w:tc>
        <w:tc>
          <w:tcPr>
            <w:tcW w:w="709" w:type="dxa"/>
            <w:tcBorders>
              <w:top w:val="nil"/>
              <w:left w:val="nil"/>
              <w:bottom w:val="nil"/>
              <w:right w:val="nil"/>
            </w:tcBorders>
            <w:vAlign w:val="center"/>
          </w:tcPr>
          <w:p w14:paraId="1E7AECD3" w14:textId="77777777" w:rsidR="00452B41" w:rsidRPr="004F51D2" w:rsidRDefault="00452B41" w:rsidP="00452B41">
            <w:pPr>
              <w:bidi w:val="0"/>
              <w:spacing w:line="480" w:lineRule="auto"/>
              <w:rPr>
                <w:rFonts w:ascii="Times New Roman" w:hAnsi="Times New Roman" w:cs="Times New Roman"/>
                <w:color w:val="000000" w:themeColor="text1"/>
                <w:sz w:val="14"/>
                <w:szCs w:val="14"/>
              </w:rPr>
            </w:pPr>
            <w:r w:rsidRPr="004F51D2">
              <w:rPr>
                <w:rFonts w:ascii="Times New Roman" w:hAnsi="Times New Roman" w:cs="Times New Roman"/>
                <w:color w:val="000000" w:themeColor="text1"/>
                <w:sz w:val="14"/>
                <w:szCs w:val="14"/>
              </w:rPr>
              <w:t>0.125*</w:t>
            </w:r>
          </w:p>
        </w:tc>
        <w:tc>
          <w:tcPr>
            <w:tcW w:w="710" w:type="dxa"/>
            <w:tcBorders>
              <w:top w:val="nil"/>
              <w:left w:val="nil"/>
              <w:bottom w:val="nil"/>
              <w:right w:val="nil"/>
            </w:tcBorders>
            <w:vAlign w:val="center"/>
          </w:tcPr>
          <w:p w14:paraId="6CDC2AF0" w14:textId="77777777" w:rsidR="00452B41" w:rsidRPr="004F51D2" w:rsidRDefault="00452B41" w:rsidP="00452B41">
            <w:pPr>
              <w:bidi w:val="0"/>
              <w:spacing w:line="480" w:lineRule="auto"/>
              <w:rPr>
                <w:rFonts w:ascii="Times New Roman" w:hAnsi="Times New Roman" w:cs="Times New Roman"/>
                <w:color w:val="000000" w:themeColor="text1"/>
                <w:sz w:val="14"/>
                <w:szCs w:val="14"/>
              </w:rPr>
            </w:pPr>
            <w:r w:rsidRPr="004F51D2">
              <w:rPr>
                <w:rFonts w:ascii="Times New Roman" w:hAnsi="Times New Roman" w:cs="Times New Roman"/>
                <w:color w:val="000000" w:themeColor="text1"/>
                <w:sz w:val="14"/>
                <w:szCs w:val="14"/>
              </w:rPr>
              <w:t>0.703**</w:t>
            </w:r>
          </w:p>
        </w:tc>
        <w:tc>
          <w:tcPr>
            <w:tcW w:w="849" w:type="dxa"/>
            <w:tcBorders>
              <w:top w:val="nil"/>
              <w:left w:val="nil"/>
              <w:bottom w:val="nil"/>
              <w:right w:val="nil"/>
            </w:tcBorders>
          </w:tcPr>
          <w:p w14:paraId="556817EF" w14:textId="0997511B" w:rsidR="00452B41" w:rsidRPr="004F51D2" w:rsidRDefault="00452B41" w:rsidP="00452B41">
            <w:pPr>
              <w:bidi w:val="0"/>
              <w:spacing w:line="480" w:lineRule="auto"/>
              <w:rPr>
                <w:rFonts w:ascii="Times New Roman" w:hAnsi="Times New Roman" w:cs="Times New Roman"/>
                <w:color w:val="000000" w:themeColor="text1"/>
                <w:sz w:val="14"/>
                <w:szCs w:val="14"/>
              </w:rPr>
            </w:pPr>
            <w:r w:rsidRPr="004F51D2">
              <w:rPr>
                <w:rFonts w:ascii="Times New Roman" w:eastAsia="Arial Unicode MS" w:hAnsi="Times New Roman" w:cs="Times New Roman"/>
                <w:sz w:val="14"/>
                <w:szCs w:val="14"/>
                <w:bdr w:val="nil"/>
              </w:rPr>
              <w:t>-0.13</w:t>
            </w:r>
          </w:p>
        </w:tc>
        <w:tc>
          <w:tcPr>
            <w:tcW w:w="851" w:type="dxa"/>
            <w:tcBorders>
              <w:top w:val="nil"/>
              <w:left w:val="nil"/>
              <w:bottom w:val="nil"/>
              <w:right w:val="nil"/>
            </w:tcBorders>
          </w:tcPr>
          <w:p w14:paraId="156B0CDC" w14:textId="0756B2DD" w:rsidR="00452B41" w:rsidRPr="004F51D2" w:rsidRDefault="00452B41" w:rsidP="00452B41">
            <w:pPr>
              <w:bidi w:val="0"/>
              <w:spacing w:line="480" w:lineRule="auto"/>
              <w:rPr>
                <w:rFonts w:ascii="Times New Roman" w:hAnsi="Times New Roman" w:cs="Times New Roman"/>
                <w:color w:val="000000" w:themeColor="text1"/>
                <w:sz w:val="14"/>
                <w:szCs w:val="14"/>
              </w:rPr>
            </w:pPr>
            <w:r w:rsidRPr="004F51D2">
              <w:rPr>
                <w:rFonts w:ascii="Times New Roman" w:eastAsia="Arial Unicode MS" w:hAnsi="Times New Roman" w:cs="Times New Roman"/>
                <w:sz w:val="14"/>
                <w:szCs w:val="14"/>
                <w:bdr w:val="nil"/>
              </w:rPr>
              <w:t>0.16</w:t>
            </w:r>
          </w:p>
        </w:tc>
        <w:tc>
          <w:tcPr>
            <w:tcW w:w="998" w:type="dxa"/>
            <w:tcBorders>
              <w:top w:val="nil"/>
              <w:left w:val="nil"/>
              <w:bottom w:val="nil"/>
              <w:right w:val="nil"/>
            </w:tcBorders>
            <w:vAlign w:val="center"/>
          </w:tcPr>
          <w:p w14:paraId="46D91004" w14:textId="77777777" w:rsidR="00452B41" w:rsidRPr="004F51D2" w:rsidRDefault="00452B41" w:rsidP="00452B41">
            <w:pPr>
              <w:bidi w:val="0"/>
              <w:spacing w:line="480" w:lineRule="auto"/>
              <w:rPr>
                <w:rFonts w:ascii="Times New Roman" w:hAnsi="Times New Roman" w:cs="Times New Roman"/>
                <w:color w:val="000000" w:themeColor="text1"/>
                <w:sz w:val="14"/>
                <w:szCs w:val="14"/>
              </w:rPr>
            </w:pPr>
            <w:r w:rsidRPr="004F51D2">
              <w:rPr>
                <w:rFonts w:ascii="Times New Roman" w:hAnsi="Times New Roman" w:cs="Times New Roman"/>
                <w:color w:val="000000" w:themeColor="text1"/>
                <w:sz w:val="14"/>
                <w:szCs w:val="14"/>
              </w:rPr>
              <w:t>5.81 (2.65)</w:t>
            </w:r>
          </w:p>
        </w:tc>
        <w:tc>
          <w:tcPr>
            <w:tcW w:w="1270" w:type="dxa"/>
            <w:tcBorders>
              <w:top w:val="nil"/>
              <w:left w:val="nil"/>
              <w:bottom w:val="nil"/>
            </w:tcBorders>
          </w:tcPr>
          <w:p w14:paraId="104836DB" w14:textId="32295629" w:rsidR="00452B41" w:rsidRPr="004F51D2" w:rsidRDefault="007C6232" w:rsidP="00452B41">
            <w:pPr>
              <w:bidi w:val="0"/>
              <w:spacing w:line="480" w:lineRule="auto"/>
              <w:rPr>
                <w:rFonts w:ascii="Times New Roman" w:hAnsi="Times New Roman" w:cs="Times New Roman"/>
                <w:color w:val="000000" w:themeColor="text1"/>
                <w:sz w:val="14"/>
                <w:szCs w:val="14"/>
              </w:rPr>
            </w:pPr>
            <w:r w:rsidRPr="004F51D2">
              <w:rPr>
                <w:rFonts w:ascii="Times New Roman" w:hAnsi="Times New Roman" w:cs="Times New Roman"/>
                <w:color w:val="000000" w:themeColor="text1"/>
                <w:sz w:val="14"/>
                <w:szCs w:val="14"/>
              </w:rPr>
              <w:t xml:space="preserve">12. </w:t>
            </w:r>
            <w:r w:rsidR="00452B41" w:rsidRPr="004F51D2">
              <w:rPr>
                <w:rFonts w:ascii="Times New Roman" w:hAnsi="Times New Roman" w:cs="Times New Roman"/>
                <w:color w:val="000000" w:themeColor="text1"/>
                <w:sz w:val="14"/>
                <w:szCs w:val="14"/>
              </w:rPr>
              <w:t>N</w:t>
            </w:r>
            <w:r w:rsidR="009154D8" w:rsidRPr="004F51D2">
              <w:rPr>
                <w:rFonts w:ascii="Times New Roman" w:hAnsi="Times New Roman" w:cs="Times New Roman"/>
                <w:color w:val="000000" w:themeColor="text1"/>
                <w:sz w:val="14"/>
                <w:szCs w:val="14"/>
              </w:rPr>
              <w:t>-</w:t>
            </w:r>
            <w:r w:rsidR="00452B41" w:rsidRPr="004F51D2">
              <w:rPr>
                <w:rFonts w:ascii="Times New Roman" w:hAnsi="Times New Roman" w:cs="Times New Roman"/>
                <w:color w:val="000000" w:themeColor="text1"/>
                <w:sz w:val="14"/>
                <w:szCs w:val="14"/>
              </w:rPr>
              <w:t>MOGU</w:t>
            </w:r>
          </w:p>
        </w:tc>
      </w:tr>
      <w:tr w:rsidR="00452B41" w:rsidRPr="004F51D2" w14:paraId="7F205BF4" w14:textId="77777777" w:rsidTr="009154D8">
        <w:tc>
          <w:tcPr>
            <w:tcW w:w="567" w:type="dxa"/>
            <w:tcBorders>
              <w:top w:val="nil"/>
              <w:bottom w:val="nil"/>
              <w:right w:val="nil"/>
            </w:tcBorders>
            <w:vAlign w:val="center"/>
          </w:tcPr>
          <w:p w14:paraId="228C17EA" w14:textId="77777777" w:rsidR="00452B41" w:rsidRPr="004F51D2" w:rsidRDefault="00452B41" w:rsidP="00452B41">
            <w:pPr>
              <w:bidi w:val="0"/>
              <w:spacing w:line="480" w:lineRule="auto"/>
              <w:rPr>
                <w:rFonts w:ascii="Times New Roman" w:hAnsi="Times New Roman" w:cs="Times New Roman"/>
                <w:color w:val="000000" w:themeColor="text1"/>
                <w:sz w:val="14"/>
                <w:szCs w:val="14"/>
              </w:rPr>
            </w:pPr>
          </w:p>
        </w:tc>
        <w:tc>
          <w:tcPr>
            <w:tcW w:w="709" w:type="dxa"/>
            <w:tcBorders>
              <w:top w:val="nil"/>
              <w:left w:val="nil"/>
              <w:bottom w:val="nil"/>
              <w:right w:val="nil"/>
            </w:tcBorders>
            <w:vAlign w:val="center"/>
          </w:tcPr>
          <w:p w14:paraId="737E2267" w14:textId="77777777" w:rsidR="00452B41" w:rsidRPr="004F51D2" w:rsidRDefault="00452B41" w:rsidP="00452B41">
            <w:pPr>
              <w:bidi w:val="0"/>
              <w:spacing w:line="480" w:lineRule="auto"/>
              <w:rPr>
                <w:rFonts w:ascii="Times New Roman" w:hAnsi="Times New Roman" w:cs="Times New Roman"/>
                <w:color w:val="000000" w:themeColor="text1"/>
                <w:sz w:val="14"/>
                <w:szCs w:val="14"/>
              </w:rPr>
            </w:pPr>
            <w:r w:rsidRPr="004F51D2">
              <w:rPr>
                <w:rFonts w:ascii="Times New Roman" w:hAnsi="Times New Roman" w:cs="Times New Roman"/>
                <w:color w:val="000000" w:themeColor="text1"/>
                <w:sz w:val="14"/>
                <w:szCs w:val="14"/>
              </w:rPr>
              <w:t>1</w:t>
            </w:r>
          </w:p>
        </w:tc>
        <w:tc>
          <w:tcPr>
            <w:tcW w:w="709" w:type="dxa"/>
            <w:tcBorders>
              <w:top w:val="nil"/>
              <w:left w:val="nil"/>
              <w:bottom w:val="nil"/>
              <w:right w:val="nil"/>
            </w:tcBorders>
            <w:vAlign w:val="center"/>
          </w:tcPr>
          <w:p w14:paraId="48FAC4AD" w14:textId="77777777" w:rsidR="00452B41" w:rsidRPr="004F51D2" w:rsidRDefault="00452B41" w:rsidP="00452B41">
            <w:pPr>
              <w:bidi w:val="0"/>
              <w:spacing w:line="480" w:lineRule="auto"/>
              <w:rPr>
                <w:rFonts w:ascii="Times New Roman" w:hAnsi="Times New Roman" w:cs="Times New Roman"/>
                <w:color w:val="000000" w:themeColor="text1"/>
                <w:sz w:val="14"/>
                <w:szCs w:val="14"/>
              </w:rPr>
            </w:pPr>
            <w:r w:rsidRPr="004F51D2">
              <w:rPr>
                <w:rFonts w:ascii="Times New Roman" w:hAnsi="Times New Roman" w:cs="Times New Roman"/>
                <w:color w:val="000000" w:themeColor="text1"/>
                <w:sz w:val="14"/>
                <w:szCs w:val="14"/>
              </w:rPr>
              <w:t>0.635**</w:t>
            </w:r>
          </w:p>
        </w:tc>
        <w:tc>
          <w:tcPr>
            <w:tcW w:w="709" w:type="dxa"/>
            <w:tcBorders>
              <w:top w:val="nil"/>
              <w:left w:val="nil"/>
              <w:bottom w:val="nil"/>
              <w:right w:val="nil"/>
            </w:tcBorders>
            <w:vAlign w:val="center"/>
          </w:tcPr>
          <w:p w14:paraId="5757F30B" w14:textId="77777777" w:rsidR="00452B41" w:rsidRPr="004F51D2" w:rsidRDefault="00452B41" w:rsidP="00452B41">
            <w:pPr>
              <w:bidi w:val="0"/>
              <w:spacing w:line="480" w:lineRule="auto"/>
              <w:rPr>
                <w:rFonts w:ascii="Times New Roman" w:hAnsi="Times New Roman" w:cs="Times New Roman"/>
                <w:color w:val="000000" w:themeColor="text1"/>
                <w:sz w:val="14"/>
                <w:szCs w:val="14"/>
              </w:rPr>
            </w:pPr>
            <w:r w:rsidRPr="004F51D2">
              <w:rPr>
                <w:rFonts w:ascii="Times New Roman" w:hAnsi="Times New Roman" w:cs="Times New Roman"/>
                <w:color w:val="000000" w:themeColor="text1"/>
                <w:sz w:val="14"/>
                <w:szCs w:val="14"/>
              </w:rPr>
              <w:t>0.328**</w:t>
            </w:r>
          </w:p>
        </w:tc>
        <w:tc>
          <w:tcPr>
            <w:tcW w:w="708" w:type="dxa"/>
            <w:tcBorders>
              <w:top w:val="nil"/>
              <w:left w:val="nil"/>
              <w:bottom w:val="nil"/>
              <w:right w:val="nil"/>
            </w:tcBorders>
            <w:vAlign w:val="center"/>
          </w:tcPr>
          <w:p w14:paraId="6413D0CC" w14:textId="77777777" w:rsidR="00452B41" w:rsidRPr="004F51D2" w:rsidRDefault="00452B41" w:rsidP="00452B41">
            <w:pPr>
              <w:bidi w:val="0"/>
              <w:spacing w:line="480" w:lineRule="auto"/>
              <w:rPr>
                <w:rFonts w:ascii="Times New Roman" w:hAnsi="Times New Roman" w:cs="Times New Roman"/>
                <w:color w:val="000000" w:themeColor="text1"/>
                <w:sz w:val="14"/>
                <w:szCs w:val="14"/>
              </w:rPr>
            </w:pPr>
            <w:r w:rsidRPr="004F51D2">
              <w:rPr>
                <w:rFonts w:ascii="Times New Roman" w:hAnsi="Times New Roman" w:cs="Times New Roman"/>
                <w:color w:val="000000" w:themeColor="text1"/>
                <w:sz w:val="14"/>
                <w:szCs w:val="14"/>
              </w:rPr>
              <w:t>0.648**</w:t>
            </w:r>
          </w:p>
        </w:tc>
        <w:tc>
          <w:tcPr>
            <w:tcW w:w="709" w:type="dxa"/>
            <w:tcBorders>
              <w:top w:val="nil"/>
              <w:left w:val="nil"/>
              <w:bottom w:val="nil"/>
              <w:right w:val="nil"/>
            </w:tcBorders>
            <w:vAlign w:val="center"/>
          </w:tcPr>
          <w:p w14:paraId="673E2036" w14:textId="77777777" w:rsidR="00452B41" w:rsidRPr="004F51D2" w:rsidRDefault="00452B41" w:rsidP="00452B41">
            <w:pPr>
              <w:bidi w:val="0"/>
              <w:spacing w:line="480" w:lineRule="auto"/>
              <w:rPr>
                <w:rFonts w:ascii="Times New Roman" w:hAnsi="Times New Roman" w:cs="Times New Roman"/>
                <w:color w:val="000000" w:themeColor="text1"/>
                <w:sz w:val="14"/>
                <w:szCs w:val="14"/>
              </w:rPr>
            </w:pPr>
            <w:r w:rsidRPr="004F51D2">
              <w:rPr>
                <w:rFonts w:ascii="Times New Roman" w:hAnsi="Times New Roman" w:cs="Times New Roman"/>
                <w:color w:val="000000" w:themeColor="text1"/>
                <w:sz w:val="14"/>
                <w:szCs w:val="14"/>
              </w:rPr>
              <w:t>0.376**</w:t>
            </w:r>
          </w:p>
        </w:tc>
        <w:tc>
          <w:tcPr>
            <w:tcW w:w="709" w:type="dxa"/>
            <w:tcBorders>
              <w:top w:val="nil"/>
              <w:left w:val="nil"/>
              <w:bottom w:val="nil"/>
              <w:right w:val="nil"/>
            </w:tcBorders>
            <w:vAlign w:val="center"/>
          </w:tcPr>
          <w:p w14:paraId="5566AC5B" w14:textId="77777777" w:rsidR="00452B41" w:rsidRPr="004F51D2" w:rsidRDefault="00452B41" w:rsidP="00452B41">
            <w:pPr>
              <w:bidi w:val="0"/>
              <w:spacing w:line="480" w:lineRule="auto"/>
              <w:rPr>
                <w:rFonts w:ascii="Times New Roman" w:hAnsi="Times New Roman" w:cs="Times New Roman"/>
                <w:color w:val="000000" w:themeColor="text1"/>
                <w:sz w:val="14"/>
                <w:szCs w:val="14"/>
              </w:rPr>
            </w:pPr>
            <w:r w:rsidRPr="004F51D2">
              <w:rPr>
                <w:rFonts w:ascii="Times New Roman" w:hAnsi="Times New Roman" w:cs="Times New Roman"/>
                <w:color w:val="000000" w:themeColor="text1"/>
                <w:sz w:val="14"/>
                <w:szCs w:val="14"/>
              </w:rPr>
              <w:t>0.433**</w:t>
            </w:r>
          </w:p>
        </w:tc>
        <w:tc>
          <w:tcPr>
            <w:tcW w:w="850" w:type="dxa"/>
            <w:tcBorders>
              <w:top w:val="nil"/>
              <w:left w:val="nil"/>
              <w:bottom w:val="nil"/>
              <w:right w:val="nil"/>
            </w:tcBorders>
            <w:vAlign w:val="center"/>
          </w:tcPr>
          <w:p w14:paraId="5EEEF8BF" w14:textId="77777777" w:rsidR="00452B41" w:rsidRPr="004F51D2" w:rsidRDefault="00452B41" w:rsidP="00452B41">
            <w:pPr>
              <w:bidi w:val="0"/>
              <w:spacing w:line="480" w:lineRule="auto"/>
              <w:rPr>
                <w:rFonts w:ascii="Times New Roman" w:hAnsi="Times New Roman" w:cs="Times New Roman"/>
                <w:color w:val="000000" w:themeColor="text1"/>
                <w:sz w:val="14"/>
                <w:szCs w:val="14"/>
              </w:rPr>
            </w:pPr>
            <w:r w:rsidRPr="004F51D2">
              <w:rPr>
                <w:rFonts w:ascii="Times New Roman" w:hAnsi="Times New Roman" w:cs="Times New Roman"/>
                <w:color w:val="000000" w:themeColor="text1"/>
                <w:sz w:val="14"/>
                <w:szCs w:val="14"/>
              </w:rPr>
              <w:t>0.435**</w:t>
            </w:r>
          </w:p>
        </w:tc>
        <w:tc>
          <w:tcPr>
            <w:tcW w:w="709" w:type="dxa"/>
            <w:tcBorders>
              <w:top w:val="nil"/>
              <w:left w:val="nil"/>
              <w:bottom w:val="nil"/>
              <w:right w:val="nil"/>
            </w:tcBorders>
            <w:vAlign w:val="center"/>
          </w:tcPr>
          <w:p w14:paraId="10C9A17D" w14:textId="77777777" w:rsidR="00452B41" w:rsidRPr="004F51D2" w:rsidRDefault="00452B41" w:rsidP="00452B41">
            <w:pPr>
              <w:bidi w:val="0"/>
              <w:spacing w:line="480" w:lineRule="auto"/>
              <w:rPr>
                <w:rFonts w:ascii="Times New Roman" w:hAnsi="Times New Roman" w:cs="Times New Roman"/>
                <w:color w:val="000000" w:themeColor="text1"/>
                <w:sz w:val="14"/>
                <w:szCs w:val="14"/>
              </w:rPr>
            </w:pPr>
            <w:r w:rsidRPr="004F51D2">
              <w:rPr>
                <w:rFonts w:ascii="Times New Roman" w:hAnsi="Times New Roman" w:cs="Times New Roman"/>
                <w:color w:val="000000" w:themeColor="text1"/>
                <w:sz w:val="14"/>
                <w:szCs w:val="14"/>
              </w:rPr>
              <w:t>0.141*</w:t>
            </w:r>
          </w:p>
        </w:tc>
        <w:tc>
          <w:tcPr>
            <w:tcW w:w="709" w:type="dxa"/>
            <w:tcBorders>
              <w:top w:val="nil"/>
              <w:left w:val="nil"/>
              <w:bottom w:val="nil"/>
              <w:right w:val="nil"/>
            </w:tcBorders>
            <w:vAlign w:val="center"/>
          </w:tcPr>
          <w:p w14:paraId="2244F3AE" w14:textId="77777777" w:rsidR="00452B41" w:rsidRPr="004F51D2" w:rsidRDefault="00452B41" w:rsidP="00452B41">
            <w:pPr>
              <w:bidi w:val="0"/>
              <w:spacing w:line="480" w:lineRule="auto"/>
              <w:rPr>
                <w:rFonts w:ascii="Times New Roman" w:hAnsi="Times New Roman" w:cs="Times New Roman"/>
                <w:color w:val="000000" w:themeColor="text1"/>
                <w:sz w:val="14"/>
                <w:szCs w:val="14"/>
              </w:rPr>
            </w:pPr>
            <w:r w:rsidRPr="004F51D2">
              <w:rPr>
                <w:rFonts w:ascii="Times New Roman" w:hAnsi="Times New Roman" w:cs="Times New Roman"/>
                <w:color w:val="000000" w:themeColor="text1"/>
                <w:sz w:val="14"/>
                <w:szCs w:val="14"/>
              </w:rPr>
              <w:t>0.045</w:t>
            </w:r>
          </w:p>
        </w:tc>
        <w:tc>
          <w:tcPr>
            <w:tcW w:w="709" w:type="dxa"/>
            <w:tcBorders>
              <w:top w:val="nil"/>
              <w:left w:val="nil"/>
              <w:bottom w:val="nil"/>
              <w:right w:val="nil"/>
            </w:tcBorders>
            <w:vAlign w:val="center"/>
          </w:tcPr>
          <w:p w14:paraId="4A4527B0" w14:textId="77777777" w:rsidR="00452B41" w:rsidRPr="004F51D2" w:rsidRDefault="00452B41" w:rsidP="00452B41">
            <w:pPr>
              <w:bidi w:val="0"/>
              <w:spacing w:line="480" w:lineRule="auto"/>
              <w:rPr>
                <w:rFonts w:ascii="Times New Roman" w:hAnsi="Times New Roman" w:cs="Times New Roman"/>
                <w:color w:val="000000" w:themeColor="text1"/>
                <w:sz w:val="14"/>
                <w:szCs w:val="14"/>
              </w:rPr>
            </w:pPr>
            <w:r w:rsidRPr="004F51D2">
              <w:rPr>
                <w:rFonts w:ascii="Times New Roman" w:hAnsi="Times New Roman" w:cs="Times New Roman"/>
                <w:color w:val="000000" w:themeColor="text1"/>
                <w:sz w:val="14"/>
                <w:szCs w:val="14"/>
              </w:rPr>
              <w:t>-0.090</w:t>
            </w:r>
          </w:p>
        </w:tc>
        <w:tc>
          <w:tcPr>
            <w:tcW w:w="708" w:type="dxa"/>
            <w:tcBorders>
              <w:top w:val="nil"/>
              <w:left w:val="nil"/>
              <w:bottom w:val="nil"/>
              <w:right w:val="nil"/>
            </w:tcBorders>
            <w:vAlign w:val="center"/>
          </w:tcPr>
          <w:p w14:paraId="5A105DBB" w14:textId="77777777" w:rsidR="00452B41" w:rsidRPr="004F51D2" w:rsidRDefault="00452B41" w:rsidP="00452B41">
            <w:pPr>
              <w:bidi w:val="0"/>
              <w:spacing w:line="480" w:lineRule="auto"/>
              <w:rPr>
                <w:rFonts w:ascii="Times New Roman" w:hAnsi="Times New Roman" w:cs="Times New Roman"/>
                <w:color w:val="000000" w:themeColor="text1"/>
                <w:sz w:val="14"/>
                <w:szCs w:val="14"/>
              </w:rPr>
            </w:pPr>
            <w:r w:rsidRPr="004F51D2">
              <w:rPr>
                <w:rFonts w:ascii="Times New Roman" w:hAnsi="Times New Roman" w:cs="Times New Roman"/>
                <w:color w:val="000000" w:themeColor="text1"/>
                <w:sz w:val="14"/>
                <w:szCs w:val="14"/>
              </w:rPr>
              <w:t>0.163*</w:t>
            </w:r>
          </w:p>
        </w:tc>
        <w:tc>
          <w:tcPr>
            <w:tcW w:w="709" w:type="dxa"/>
            <w:tcBorders>
              <w:top w:val="nil"/>
              <w:left w:val="nil"/>
              <w:bottom w:val="nil"/>
              <w:right w:val="nil"/>
            </w:tcBorders>
            <w:vAlign w:val="center"/>
          </w:tcPr>
          <w:p w14:paraId="40E8C41F" w14:textId="77777777" w:rsidR="00452B41" w:rsidRPr="004F51D2" w:rsidRDefault="00452B41" w:rsidP="00452B41">
            <w:pPr>
              <w:bidi w:val="0"/>
              <w:spacing w:line="480" w:lineRule="auto"/>
              <w:rPr>
                <w:rFonts w:ascii="Times New Roman" w:hAnsi="Times New Roman" w:cs="Times New Roman"/>
                <w:color w:val="000000" w:themeColor="text1"/>
                <w:sz w:val="14"/>
                <w:szCs w:val="14"/>
              </w:rPr>
            </w:pPr>
            <w:r w:rsidRPr="004F51D2">
              <w:rPr>
                <w:rFonts w:ascii="Times New Roman" w:hAnsi="Times New Roman" w:cs="Times New Roman"/>
                <w:color w:val="000000" w:themeColor="text1"/>
                <w:sz w:val="14"/>
                <w:szCs w:val="14"/>
              </w:rPr>
              <w:t>0.143*</w:t>
            </w:r>
          </w:p>
        </w:tc>
        <w:tc>
          <w:tcPr>
            <w:tcW w:w="710" w:type="dxa"/>
            <w:tcBorders>
              <w:top w:val="nil"/>
              <w:left w:val="nil"/>
              <w:bottom w:val="nil"/>
              <w:right w:val="nil"/>
            </w:tcBorders>
            <w:vAlign w:val="center"/>
          </w:tcPr>
          <w:p w14:paraId="3CB8B666" w14:textId="77777777" w:rsidR="00452B41" w:rsidRPr="004F51D2" w:rsidRDefault="00452B41" w:rsidP="00452B41">
            <w:pPr>
              <w:bidi w:val="0"/>
              <w:spacing w:line="480" w:lineRule="auto"/>
              <w:rPr>
                <w:rFonts w:ascii="Times New Roman" w:hAnsi="Times New Roman" w:cs="Times New Roman"/>
                <w:color w:val="000000" w:themeColor="text1"/>
                <w:sz w:val="14"/>
                <w:szCs w:val="14"/>
              </w:rPr>
            </w:pPr>
            <w:r w:rsidRPr="004F51D2">
              <w:rPr>
                <w:rFonts w:ascii="Times New Roman" w:hAnsi="Times New Roman" w:cs="Times New Roman"/>
                <w:color w:val="000000" w:themeColor="text1"/>
                <w:sz w:val="14"/>
                <w:szCs w:val="14"/>
              </w:rPr>
              <w:t>0.700**</w:t>
            </w:r>
          </w:p>
        </w:tc>
        <w:tc>
          <w:tcPr>
            <w:tcW w:w="849" w:type="dxa"/>
            <w:tcBorders>
              <w:top w:val="nil"/>
              <w:left w:val="nil"/>
              <w:bottom w:val="nil"/>
              <w:right w:val="nil"/>
            </w:tcBorders>
          </w:tcPr>
          <w:p w14:paraId="153A386E" w14:textId="3B4886DC" w:rsidR="00452B41" w:rsidRPr="004F51D2" w:rsidRDefault="007B27C0" w:rsidP="007B27C0">
            <w:pPr>
              <w:bidi w:val="0"/>
              <w:spacing w:line="480" w:lineRule="auto"/>
              <w:rPr>
                <w:rFonts w:ascii="Times New Roman" w:hAnsi="Times New Roman" w:cs="Times New Roman"/>
                <w:color w:val="000000" w:themeColor="text1"/>
                <w:sz w:val="14"/>
                <w:szCs w:val="14"/>
              </w:rPr>
            </w:pPr>
            <w:r w:rsidRPr="004F51D2">
              <w:rPr>
                <w:rFonts w:ascii="Times New Roman" w:eastAsia="Arial Unicode MS" w:hAnsi="Times New Roman" w:cs="Times New Roman"/>
                <w:sz w:val="14"/>
                <w:szCs w:val="14"/>
                <w:bdr w:val="nil"/>
              </w:rPr>
              <w:t>-</w:t>
            </w:r>
            <w:r w:rsidR="00452B41" w:rsidRPr="004F51D2">
              <w:rPr>
                <w:rFonts w:ascii="Times New Roman" w:eastAsia="Arial Unicode MS" w:hAnsi="Times New Roman" w:cs="Times New Roman"/>
                <w:sz w:val="14"/>
                <w:szCs w:val="14"/>
                <w:bdr w:val="nil"/>
              </w:rPr>
              <w:t>0.</w:t>
            </w:r>
            <w:r w:rsidRPr="004F51D2">
              <w:rPr>
                <w:rFonts w:ascii="Times New Roman" w:eastAsia="Arial Unicode MS" w:hAnsi="Times New Roman" w:cs="Times New Roman"/>
                <w:sz w:val="14"/>
                <w:szCs w:val="14"/>
                <w:bdr w:val="nil"/>
              </w:rPr>
              <w:t>15</w:t>
            </w:r>
          </w:p>
        </w:tc>
        <w:tc>
          <w:tcPr>
            <w:tcW w:w="851" w:type="dxa"/>
            <w:tcBorders>
              <w:top w:val="nil"/>
              <w:left w:val="nil"/>
              <w:bottom w:val="nil"/>
              <w:right w:val="nil"/>
            </w:tcBorders>
          </w:tcPr>
          <w:p w14:paraId="75939179" w14:textId="44750643" w:rsidR="00452B41" w:rsidRPr="004F51D2" w:rsidRDefault="00452B41" w:rsidP="007B27C0">
            <w:pPr>
              <w:bidi w:val="0"/>
              <w:spacing w:line="480" w:lineRule="auto"/>
              <w:rPr>
                <w:rFonts w:ascii="Times New Roman" w:hAnsi="Times New Roman" w:cs="Times New Roman"/>
                <w:color w:val="000000" w:themeColor="text1"/>
                <w:sz w:val="14"/>
                <w:szCs w:val="14"/>
              </w:rPr>
            </w:pPr>
            <w:r w:rsidRPr="004F51D2">
              <w:rPr>
                <w:rFonts w:ascii="Times New Roman" w:eastAsia="Arial Unicode MS" w:hAnsi="Times New Roman" w:cs="Times New Roman"/>
                <w:sz w:val="14"/>
                <w:szCs w:val="14"/>
                <w:bdr w:val="nil"/>
              </w:rPr>
              <w:t>0.</w:t>
            </w:r>
            <w:r w:rsidR="007B27C0" w:rsidRPr="004F51D2">
              <w:rPr>
                <w:rFonts w:ascii="Times New Roman" w:eastAsia="Arial Unicode MS" w:hAnsi="Times New Roman" w:cs="Times New Roman"/>
                <w:sz w:val="14"/>
                <w:szCs w:val="14"/>
                <w:bdr w:val="nil"/>
              </w:rPr>
              <w:t>24</w:t>
            </w:r>
          </w:p>
        </w:tc>
        <w:tc>
          <w:tcPr>
            <w:tcW w:w="998" w:type="dxa"/>
            <w:tcBorders>
              <w:top w:val="nil"/>
              <w:left w:val="nil"/>
              <w:bottom w:val="nil"/>
              <w:right w:val="nil"/>
            </w:tcBorders>
            <w:vAlign w:val="center"/>
          </w:tcPr>
          <w:p w14:paraId="3940D408" w14:textId="77777777" w:rsidR="00452B41" w:rsidRPr="004F51D2" w:rsidRDefault="00452B41" w:rsidP="00452B41">
            <w:pPr>
              <w:bidi w:val="0"/>
              <w:spacing w:line="480" w:lineRule="auto"/>
              <w:rPr>
                <w:rFonts w:ascii="Times New Roman" w:hAnsi="Times New Roman" w:cs="Times New Roman"/>
                <w:color w:val="000000" w:themeColor="text1"/>
                <w:sz w:val="14"/>
                <w:szCs w:val="14"/>
              </w:rPr>
            </w:pPr>
            <w:r w:rsidRPr="004F51D2">
              <w:rPr>
                <w:rFonts w:ascii="Times New Roman" w:hAnsi="Times New Roman" w:cs="Times New Roman"/>
                <w:color w:val="000000" w:themeColor="text1"/>
                <w:sz w:val="14"/>
                <w:szCs w:val="14"/>
              </w:rPr>
              <w:t>4.66 (2.24)</w:t>
            </w:r>
          </w:p>
        </w:tc>
        <w:tc>
          <w:tcPr>
            <w:tcW w:w="1270" w:type="dxa"/>
            <w:tcBorders>
              <w:top w:val="nil"/>
              <w:left w:val="nil"/>
              <w:bottom w:val="nil"/>
            </w:tcBorders>
          </w:tcPr>
          <w:p w14:paraId="0713012A" w14:textId="76DB3E87" w:rsidR="00452B41" w:rsidRPr="004F51D2" w:rsidRDefault="007C6232" w:rsidP="00452B41">
            <w:pPr>
              <w:bidi w:val="0"/>
              <w:spacing w:line="480" w:lineRule="auto"/>
              <w:rPr>
                <w:rFonts w:ascii="Times New Roman" w:hAnsi="Times New Roman" w:cs="Times New Roman"/>
                <w:color w:val="000000" w:themeColor="text1"/>
                <w:sz w:val="14"/>
                <w:szCs w:val="14"/>
              </w:rPr>
            </w:pPr>
            <w:r w:rsidRPr="004F51D2">
              <w:rPr>
                <w:rFonts w:ascii="Times New Roman" w:eastAsia="Calibri" w:hAnsi="Times New Roman" w:cs="Times New Roman"/>
                <w:color w:val="000000" w:themeColor="text1"/>
                <w:sz w:val="14"/>
                <w:szCs w:val="14"/>
              </w:rPr>
              <w:t xml:space="preserve">13. </w:t>
            </w:r>
            <w:r w:rsidR="00452B41" w:rsidRPr="004F51D2">
              <w:rPr>
                <w:rFonts w:ascii="Times New Roman" w:eastAsia="Calibri" w:hAnsi="Times New Roman" w:cs="Times New Roman"/>
                <w:color w:val="000000" w:themeColor="text1"/>
                <w:sz w:val="14"/>
                <w:szCs w:val="14"/>
              </w:rPr>
              <w:t>N</w:t>
            </w:r>
            <w:r w:rsidR="009154D8" w:rsidRPr="004F51D2">
              <w:rPr>
                <w:rFonts w:ascii="Times New Roman" w:eastAsia="Calibri" w:hAnsi="Times New Roman" w:cs="Times New Roman"/>
                <w:color w:val="000000" w:themeColor="text1"/>
                <w:sz w:val="14"/>
                <w:szCs w:val="14"/>
              </w:rPr>
              <w:t>-</w:t>
            </w:r>
            <w:r w:rsidR="00452B41" w:rsidRPr="004F51D2">
              <w:rPr>
                <w:rFonts w:ascii="Times New Roman" w:eastAsia="Calibri" w:hAnsi="Times New Roman" w:cs="Times New Roman"/>
                <w:color w:val="000000" w:themeColor="text1"/>
                <w:sz w:val="14"/>
                <w:szCs w:val="14"/>
              </w:rPr>
              <w:t>MOGD</w:t>
            </w:r>
          </w:p>
        </w:tc>
      </w:tr>
      <w:tr w:rsidR="00452B41" w:rsidRPr="004F51D2" w14:paraId="07E6E8DA" w14:textId="77777777" w:rsidTr="009154D8">
        <w:tc>
          <w:tcPr>
            <w:tcW w:w="567" w:type="dxa"/>
            <w:tcBorders>
              <w:top w:val="nil"/>
              <w:bottom w:val="single" w:sz="4" w:space="0" w:color="000000" w:themeColor="text1"/>
              <w:right w:val="nil"/>
            </w:tcBorders>
            <w:vAlign w:val="center"/>
          </w:tcPr>
          <w:p w14:paraId="1774AC95" w14:textId="77777777" w:rsidR="00452B41" w:rsidRPr="004F51D2" w:rsidRDefault="00452B41" w:rsidP="00452B41">
            <w:pPr>
              <w:bidi w:val="0"/>
              <w:spacing w:line="480" w:lineRule="auto"/>
              <w:rPr>
                <w:rFonts w:ascii="Times New Roman" w:hAnsi="Times New Roman" w:cs="Times New Roman"/>
                <w:color w:val="000000" w:themeColor="text1"/>
                <w:sz w:val="14"/>
                <w:szCs w:val="14"/>
              </w:rPr>
            </w:pPr>
            <w:r w:rsidRPr="004F51D2">
              <w:rPr>
                <w:rFonts w:ascii="Times New Roman" w:hAnsi="Times New Roman" w:cs="Times New Roman"/>
                <w:color w:val="000000" w:themeColor="text1"/>
                <w:sz w:val="14"/>
                <w:szCs w:val="14"/>
              </w:rPr>
              <w:t>1</w:t>
            </w:r>
          </w:p>
        </w:tc>
        <w:tc>
          <w:tcPr>
            <w:tcW w:w="709" w:type="dxa"/>
            <w:tcBorders>
              <w:top w:val="nil"/>
              <w:left w:val="nil"/>
              <w:bottom w:val="single" w:sz="4" w:space="0" w:color="000000" w:themeColor="text1"/>
              <w:right w:val="nil"/>
            </w:tcBorders>
            <w:vAlign w:val="center"/>
          </w:tcPr>
          <w:p w14:paraId="720D9D3A" w14:textId="77777777" w:rsidR="00452B41" w:rsidRPr="004F51D2" w:rsidRDefault="00452B41" w:rsidP="00452B41">
            <w:pPr>
              <w:bidi w:val="0"/>
              <w:spacing w:line="480" w:lineRule="auto"/>
              <w:rPr>
                <w:rFonts w:ascii="Times New Roman" w:hAnsi="Times New Roman" w:cs="Times New Roman"/>
                <w:color w:val="000000" w:themeColor="text1"/>
                <w:sz w:val="14"/>
                <w:szCs w:val="14"/>
              </w:rPr>
            </w:pPr>
            <w:r w:rsidRPr="004F51D2">
              <w:rPr>
                <w:rFonts w:ascii="Times New Roman" w:hAnsi="Times New Roman" w:cs="Times New Roman"/>
                <w:color w:val="000000" w:themeColor="text1"/>
                <w:sz w:val="14"/>
                <w:szCs w:val="14"/>
              </w:rPr>
              <w:t>0.268**</w:t>
            </w:r>
          </w:p>
        </w:tc>
        <w:tc>
          <w:tcPr>
            <w:tcW w:w="709" w:type="dxa"/>
            <w:tcBorders>
              <w:top w:val="nil"/>
              <w:left w:val="nil"/>
              <w:bottom w:val="single" w:sz="4" w:space="0" w:color="000000" w:themeColor="text1"/>
              <w:right w:val="nil"/>
            </w:tcBorders>
            <w:vAlign w:val="center"/>
          </w:tcPr>
          <w:p w14:paraId="0F55B6C1" w14:textId="77777777" w:rsidR="00452B41" w:rsidRPr="004F51D2" w:rsidRDefault="00452B41" w:rsidP="00452B41">
            <w:pPr>
              <w:bidi w:val="0"/>
              <w:spacing w:line="480" w:lineRule="auto"/>
              <w:rPr>
                <w:rFonts w:ascii="Times New Roman" w:hAnsi="Times New Roman" w:cs="Times New Roman"/>
                <w:color w:val="000000" w:themeColor="text1"/>
                <w:sz w:val="14"/>
                <w:szCs w:val="14"/>
              </w:rPr>
            </w:pPr>
            <w:r w:rsidRPr="004F51D2">
              <w:rPr>
                <w:rFonts w:ascii="Times New Roman" w:hAnsi="Times New Roman" w:cs="Times New Roman"/>
                <w:color w:val="000000" w:themeColor="text1"/>
                <w:sz w:val="14"/>
                <w:szCs w:val="14"/>
              </w:rPr>
              <w:t>0.341**</w:t>
            </w:r>
          </w:p>
        </w:tc>
        <w:tc>
          <w:tcPr>
            <w:tcW w:w="709" w:type="dxa"/>
            <w:tcBorders>
              <w:top w:val="nil"/>
              <w:left w:val="nil"/>
              <w:bottom w:val="single" w:sz="4" w:space="0" w:color="000000" w:themeColor="text1"/>
              <w:right w:val="nil"/>
            </w:tcBorders>
            <w:vAlign w:val="center"/>
          </w:tcPr>
          <w:p w14:paraId="6650C72E" w14:textId="77777777" w:rsidR="00452B41" w:rsidRPr="004F51D2" w:rsidRDefault="00452B41" w:rsidP="00452B41">
            <w:pPr>
              <w:bidi w:val="0"/>
              <w:spacing w:line="480" w:lineRule="auto"/>
              <w:rPr>
                <w:rFonts w:ascii="Times New Roman" w:hAnsi="Times New Roman" w:cs="Times New Roman"/>
                <w:color w:val="000000" w:themeColor="text1"/>
                <w:sz w:val="14"/>
                <w:szCs w:val="14"/>
              </w:rPr>
            </w:pPr>
            <w:r w:rsidRPr="004F51D2">
              <w:rPr>
                <w:rFonts w:ascii="Times New Roman" w:hAnsi="Times New Roman" w:cs="Times New Roman"/>
                <w:color w:val="000000" w:themeColor="text1"/>
                <w:sz w:val="14"/>
                <w:szCs w:val="14"/>
              </w:rPr>
              <w:t>0.649**</w:t>
            </w:r>
          </w:p>
        </w:tc>
        <w:tc>
          <w:tcPr>
            <w:tcW w:w="708" w:type="dxa"/>
            <w:tcBorders>
              <w:top w:val="nil"/>
              <w:left w:val="nil"/>
              <w:bottom w:val="single" w:sz="4" w:space="0" w:color="000000" w:themeColor="text1"/>
              <w:right w:val="nil"/>
            </w:tcBorders>
            <w:vAlign w:val="center"/>
          </w:tcPr>
          <w:p w14:paraId="43F60AF9" w14:textId="77777777" w:rsidR="00452B41" w:rsidRPr="004F51D2" w:rsidRDefault="00452B41" w:rsidP="00452B41">
            <w:pPr>
              <w:bidi w:val="0"/>
              <w:spacing w:line="480" w:lineRule="auto"/>
              <w:rPr>
                <w:rFonts w:ascii="Times New Roman" w:hAnsi="Times New Roman" w:cs="Times New Roman"/>
                <w:color w:val="000000" w:themeColor="text1"/>
                <w:sz w:val="14"/>
                <w:szCs w:val="14"/>
              </w:rPr>
            </w:pPr>
            <w:r w:rsidRPr="004F51D2">
              <w:rPr>
                <w:rFonts w:ascii="Times New Roman" w:hAnsi="Times New Roman" w:cs="Times New Roman"/>
                <w:color w:val="000000" w:themeColor="text1"/>
                <w:sz w:val="14"/>
                <w:szCs w:val="14"/>
              </w:rPr>
              <w:t>0.472**</w:t>
            </w:r>
          </w:p>
        </w:tc>
        <w:tc>
          <w:tcPr>
            <w:tcW w:w="709" w:type="dxa"/>
            <w:tcBorders>
              <w:top w:val="nil"/>
              <w:left w:val="nil"/>
              <w:bottom w:val="single" w:sz="4" w:space="0" w:color="000000" w:themeColor="text1"/>
              <w:right w:val="nil"/>
            </w:tcBorders>
            <w:vAlign w:val="center"/>
          </w:tcPr>
          <w:p w14:paraId="510FD570" w14:textId="77777777" w:rsidR="00452B41" w:rsidRPr="004F51D2" w:rsidRDefault="00452B41" w:rsidP="00452B41">
            <w:pPr>
              <w:bidi w:val="0"/>
              <w:spacing w:line="480" w:lineRule="auto"/>
              <w:rPr>
                <w:rFonts w:ascii="Times New Roman" w:hAnsi="Times New Roman" w:cs="Times New Roman"/>
                <w:color w:val="000000" w:themeColor="text1"/>
                <w:sz w:val="14"/>
                <w:szCs w:val="14"/>
              </w:rPr>
            </w:pPr>
            <w:r w:rsidRPr="004F51D2">
              <w:rPr>
                <w:rFonts w:ascii="Times New Roman" w:hAnsi="Times New Roman" w:cs="Times New Roman"/>
                <w:color w:val="000000" w:themeColor="text1"/>
                <w:sz w:val="14"/>
                <w:szCs w:val="14"/>
              </w:rPr>
              <w:t>0.241**</w:t>
            </w:r>
          </w:p>
        </w:tc>
        <w:tc>
          <w:tcPr>
            <w:tcW w:w="709" w:type="dxa"/>
            <w:tcBorders>
              <w:top w:val="nil"/>
              <w:left w:val="nil"/>
              <w:bottom w:val="single" w:sz="4" w:space="0" w:color="000000" w:themeColor="text1"/>
              <w:right w:val="nil"/>
            </w:tcBorders>
            <w:vAlign w:val="center"/>
          </w:tcPr>
          <w:p w14:paraId="677C0180" w14:textId="77777777" w:rsidR="00452B41" w:rsidRPr="004F51D2" w:rsidRDefault="00452B41" w:rsidP="00452B41">
            <w:pPr>
              <w:bidi w:val="0"/>
              <w:spacing w:line="480" w:lineRule="auto"/>
              <w:rPr>
                <w:rFonts w:ascii="Times New Roman" w:hAnsi="Times New Roman" w:cs="Times New Roman"/>
                <w:color w:val="000000" w:themeColor="text1"/>
                <w:sz w:val="14"/>
                <w:szCs w:val="14"/>
              </w:rPr>
            </w:pPr>
            <w:r w:rsidRPr="004F51D2">
              <w:rPr>
                <w:rFonts w:ascii="Times New Roman" w:hAnsi="Times New Roman" w:cs="Times New Roman"/>
                <w:color w:val="000000" w:themeColor="text1"/>
                <w:sz w:val="14"/>
                <w:szCs w:val="14"/>
              </w:rPr>
              <w:t>0.262**</w:t>
            </w:r>
          </w:p>
        </w:tc>
        <w:tc>
          <w:tcPr>
            <w:tcW w:w="850" w:type="dxa"/>
            <w:tcBorders>
              <w:top w:val="nil"/>
              <w:left w:val="nil"/>
              <w:bottom w:val="single" w:sz="4" w:space="0" w:color="000000" w:themeColor="text1"/>
              <w:right w:val="nil"/>
            </w:tcBorders>
            <w:vAlign w:val="center"/>
          </w:tcPr>
          <w:p w14:paraId="1B528736" w14:textId="77777777" w:rsidR="00452B41" w:rsidRPr="004F51D2" w:rsidRDefault="00452B41" w:rsidP="00452B41">
            <w:pPr>
              <w:bidi w:val="0"/>
              <w:spacing w:line="480" w:lineRule="auto"/>
              <w:rPr>
                <w:rFonts w:ascii="Times New Roman" w:hAnsi="Times New Roman" w:cs="Times New Roman"/>
                <w:color w:val="000000" w:themeColor="text1"/>
                <w:sz w:val="14"/>
                <w:szCs w:val="14"/>
              </w:rPr>
            </w:pPr>
            <w:r w:rsidRPr="004F51D2">
              <w:rPr>
                <w:rFonts w:ascii="Times New Roman" w:hAnsi="Times New Roman" w:cs="Times New Roman"/>
                <w:color w:val="000000" w:themeColor="text1"/>
                <w:sz w:val="14"/>
                <w:szCs w:val="14"/>
              </w:rPr>
              <w:t>0.233**</w:t>
            </w:r>
          </w:p>
        </w:tc>
        <w:tc>
          <w:tcPr>
            <w:tcW w:w="709" w:type="dxa"/>
            <w:tcBorders>
              <w:top w:val="nil"/>
              <w:left w:val="nil"/>
              <w:bottom w:val="single" w:sz="4" w:space="0" w:color="000000" w:themeColor="text1"/>
              <w:right w:val="nil"/>
            </w:tcBorders>
            <w:vAlign w:val="center"/>
          </w:tcPr>
          <w:p w14:paraId="4819D1D2" w14:textId="77777777" w:rsidR="00452B41" w:rsidRPr="004F51D2" w:rsidRDefault="00452B41" w:rsidP="00452B41">
            <w:pPr>
              <w:bidi w:val="0"/>
              <w:spacing w:line="480" w:lineRule="auto"/>
              <w:rPr>
                <w:rFonts w:ascii="Times New Roman" w:hAnsi="Times New Roman" w:cs="Times New Roman"/>
                <w:color w:val="000000" w:themeColor="text1"/>
                <w:sz w:val="14"/>
                <w:szCs w:val="14"/>
              </w:rPr>
            </w:pPr>
            <w:r w:rsidRPr="004F51D2">
              <w:rPr>
                <w:rFonts w:ascii="Times New Roman" w:hAnsi="Times New Roman" w:cs="Times New Roman"/>
                <w:color w:val="000000" w:themeColor="text1"/>
                <w:sz w:val="14"/>
                <w:szCs w:val="14"/>
              </w:rPr>
              <w:t>0.066</w:t>
            </w:r>
          </w:p>
        </w:tc>
        <w:tc>
          <w:tcPr>
            <w:tcW w:w="709" w:type="dxa"/>
            <w:tcBorders>
              <w:top w:val="nil"/>
              <w:left w:val="nil"/>
              <w:bottom w:val="single" w:sz="4" w:space="0" w:color="000000" w:themeColor="text1"/>
              <w:right w:val="nil"/>
            </w:tcBorders>
            <w:vAlign w:val="center"/>
          </w:tcPr>
          <w:p w14:paraId="21934FC4" w14:textId="77777777" w:rsidR="00452B41" w:rsidRPr="004F51D2" w:rsidRDefault="00452B41" w:rsidP="00452B41">
            <w:pPr>
              <w:bidi w:val="0"/>
              <w:spacing w:line="480" w:lineRule="auto"/>
              <w:rPr>
                <w:rFonts w:ascii="Times New Roman" w:hAnsi="Times New Roman" w:cs="Times New Roman"/>
                <w:color w:val="000000" w:themeColor="text1"/>
                <w:sz w:val="14"/>
                <w:szCs w:val="14"/>
              </w:rPr>
            </w:pPr>
            <w:r w:rsidRPr="004F51D2">
              <w:rPr>
                <w:rFonts w:ascii="Times New Roman" w:hAnsi="Times New Roman" w:cs="Times New Roman"/>
                <w:color w:val="000000" w:themeColor="text1"/>
                <w:sz w:val="14"/>
                <w:szCs w:val="14"/>
              </w:rPr>
              <w:t>0.008</w:t>
            </w:r>
          </w:p>
        </w:tc>
        <w:tc>
          <w:tcPr>
            <w:tcW w:w="709" w:type="dxa"/>
            <w:tcBorders>
              <w:top w:val="nil"/>
              <w:left w:val="nil"/>
              <w:bottom w:val="single" w:sz="4" w:space="0" w:color="000000" w:themeColor="text1"/>
              <w:right w:val="nil"/>
            </w:tcBorders>
            <w:vAlign w:val="center"/>
          </w:tcPr>
          <w:p w14:paraId="2B67C9F4" w14:textId="77777777" w:rsidR="00452B41" w:rsidRPr="004F51D2" w:rsidRDefault="00452B41" w:rsidP="00452B41">
            <w:pPr>
              <w:bidi w:val="0"/>
              <w:spacing w:line="480" w:lineRule="auto"/>
              <w:rPr>
                <w:rFonts w:ascii="Times New Roman" w:hAnsi="Times New Roman" w:cs="Times New Roman"/>
                <w:color w:val="000000" w:themeColor="text1"/>
                <w:sz w:val="14"/>
                <w:szCs w:val="14"/>
              </w:rPr>
            </w:pPr>
            <w:r w:rsidRPr="004F51D2">
              <w:rPr>
                <w:rFonts w:ascii="Times New Roman" w:hAnsi="Times New Roman" w:cs="Times New Roman"/>
                <w:color w:val="000000" w:themeColor="text1"/>
                <w:sz w:val="14"/>
                <w:szCs w:val="14"/>
              </w:rPr>
              <w:t>-0.053</w:t>
            </w:r>
          </w:p>
        </w:tc>
        <w:tc>
          <w:tcPr>
            <w:tcW w:w="708" w:type="dxa"/>
            <w:tcBorders>
              <w:top w:val="nil"/>
              <w:left w:val="nil"/>
              <w:bottom w:val="single" w:sz="4" w:space="0" w:color="000000" w:themeColor="text1"/>
              <w:right w:val="nil"/>
            </w:tcBorders>
            <w:vAlign w:val="center"/>
          </w:tcPr>
          <w:p w14:paraId="47BB4E83" w14:textId="77777777" w:rsidR="00452B41" w:rsidRPr="004F51D2" w:rsidRDefault="00452B41" w:rsidP="00452B41">
            <w:pPr>
              <w:bidi w:val="0"/>
              <w:spacing w:line="480" w:lineRule="auto"/>
              <w:rPr>
                <w:rFonts w:ascii="Times New Roman" w:hAnsi="Times New Roman" w:cs="Times New Roman"/>
                <w:color w:val="000000" w:themeColor="text1"/>
                <w:sz w:val="14"/>
                <w:szCs w:val="14"/>
              </w:rPr>
            </w:pPr>
            <w:r w:rsidRPr="004F51D2">
              <w:rPr>
                <w:rFonts w:ascii="Times New Roman" w:hAnsi="Times New Roman" w:cs="Times New Roman"/>
                <w:color w:val="000000" w:themeColor="text1"/>
                <w:sz w:val="14"/>
                <w:szCs w:val="14"/>
              </w:rPr>
              <w:t>0.096</w:t>
            </w:r>
          </w:p>
        </w:tc>
        <w:tc>
          <w:tcPr>
            <w:tcW w:w="709" w:type="dxa"/>
            <w:tcBorders>
              <w:top w:val="nil"/>
              <w:left w:val="nil"/>
              <w:bottom w:val="single" w:sz="4" w:space="0" w:color="000000" w:themeColor="text1"/>
              <w:right w:val="nil"/>
            </w:tcBorders>
            <w:vAlign w:val="center"/>
          </w:tcPr>
          <w:p w14:paraId="77BFCC41" w14:textId="77777777" w:rsidR="00452B41" w:rsidRPr="004F51D2" w:rsidRDefault="00452B41" w:rsidP="00452B41">
            <w:pPr>
              <w:bidi w:val="0"/>
              <w:spacing w:line="480" w:lineRule="auto"/>
              <w:rPr>
                <w:rFonts w:ascii="Times New Roman" w:hAnsi="Times New Roman" w:cs="Times New Roman"/>
                <w:color w:val="000000" w:themeColor="text1"/>
                <w:sz w:val="14"/>
                <w:szCs w:val="14"/>
              </w:rPr>
            </w:pPr>
            <w:r w:rsidRPr="004F51D2">
              <w:rPr>
                <w:rFonts w:ascii="Times New Roman" w:hAnsi="Times New Roman" w:cs="Times New Roman"/>
                <w:color w:val="000000" w:themeColor="text1"/>
                <w:sz w:val="14"/>
                <w:szCs w:val="14"/>
              </w:rPr>
              <w:t>0.003</w:t>
            </w:r>
          </w:p>
        </w:tc>
        <w:tc>
          <w:tcPr>
            <w:tcW w:w="710" w:type="dxa"/>
            <w:tcBorders>
              <w:top w:val="nil"/>
              <w:left w:val="nil"/>
              <w:bottom w:val="single" w:sz="4" w:space="0" w:color="000000" w:themeColor="text1"/>
              <w:right w:val="nil"/>
            </w:tcBorders>
            <w:vAlign w:val="center"/>
          </w:tcPr>
          <w:p w14:paraId="140BE38F" w14:textId="77777777" w:rsidR="00452B41" w:rsidRPr="004F51D2" w:rsidRDefault="00452B41" w:rsidP="00452B41">
            <w:pPr>
              <w:bidi w:val="0"/>
              <w:spacing w:line="480" w:lineRule="auto"/>
              <w:rPr>
                <w:rFonts w:ascii="Times New Roman" w:hAnsi="Times New Roman" w:cs="Times New Roman"/>
                <w:color w:val="000000" w:themeColor="text1"/>
                <w:sz w:val="14"/>
                <w:szCs w:val="14"/>
              </w:rPr>
            </w:pPr>
            <w:r w:rsidRPr="004F51D2">
              <w:rPr>
                <w:rFonts w:ascii="Times New Roman" w:hAnsi="Times New Roman" w:cs="Times New Roman"/>
                <w:color w:val="000000" w:themeColor="text1"/>
                <w:sz w:val="14"/>
                <w:szCs w:val="14"/>
              </w:rPr>
              <w:t>0.498**</w:t>
            </w:r>
          </w:p>
        </w:tc>
        <w:tc>
          <w:tcPr>
            <w:tcW w:w="849" w:type="dxa"/>
            <w:tcBorders>
              <w:top w:val="nil"/>
              <w:left w:val="nil"/>
              <w:bottom w:val="single" w:sz="4" w:space="0" w:color="000000" w:themeColor="text1"/>
              <w:right w:val="nil"/>
            </w:tcBorders>
          </w:tcPr>
          <w:p w14:paraId="2725A7DD" w14:textId="36660B33" w:rsidR="00452B41" w:rsidRPr="004F51D2" w:rsidRDefault="00452B41" w:rsidP="007B27C0">
            <w:pPr>
              <w:bidi w:val="0"/>
              <w:spacing w:line="480" w:lineRule="auto"/>
              <w:rPr>
                <w:rFonts w:ascii="Times New Roman" w:hAnsi="Times New Roman" w:cs="Times New Roman"/>
                <w:color w:val="000000" w:themeColor="text1"/>
                <w:sz w:val="14"/>
                <w:szCs w:val="14"/>
              </w:rPr>
            </w:pPr>
            <w:r w:rsidRPr="004F51D2">
              <w:rPr>
                <w:rFonts w:ascii="Times New Roman" w:eastAsia="Arial Unicode MS" w:hAnsi="Times New Roman" w:cs="Times New Roman"/>
                <w:sz w:val="14"/>
                <w:szCs w:val="14"/>
                <w:bdr w:val="nil"/>
              </w:rPr>
              <w:t>0.</w:t>
            </w:r>
            <w:r w:rsidR="007B27C0" w:rsidRPr="004F51D2">
              <w:rPr>
                <w:rFonts w:ascii="Times New Roman" w:eastAsia="Arial Unicode MS" w:hAnsi="Times New Roman" w:cs="Times New Roman"/>
                <w:sz w:val="14"/>
                <w:szCs w:val="14"/>
                <w:bdr w:val="nil"/>
              </w:rPr>
              <w:t>18</w:t>
            </w:r>
          </w:p>
        </w:tc>
        <w:tc>
          <w:tcPr>
            <w:tcW w:w="851" w:type="dxa"/>
            <w:tcBorders>
              <w:top w:val="nil"/>
              <w:left w:val="nil"/>
              <w:bottom w:val="single" w:sz="4" w:space="0" w:color="000000" w:themeColor="text1"/>
              <w:right w:val="nil"/>
            </w:tcBorders>
          </w:tcPr>
          <w:p w14:paraId="6AA584A0" w14:textId="22D75E47" w:rsidR="00452B41" w:rsidRPr="004F51D2" w:rsidRDefault="00452B41" w:rsidP="007B27C0">
            <w:pPr>
              <w:bidi w:val="0"/>
              <w:spacing w:line="480" w:lineRule="auto"/>
              <w:rPr>
                <w:rFonts w:ascii="Times New Roman" w:hAnsi="Times New Roman" w:cs="Times New Roman"/>
                <w:color w:val="000000" w:themeColor="text1"/>
                <w:sz w:val="14"/>
                <w:szCs w:val="14"/>
              </w:rPr>
            </w:pPr>
            <w:r w:rsidRPr="004F51D2">
              <w:rPr>
                <w:rFonts w:ascii="Times New Roman" w:eastAsia="Arial Unicode MS" w:hAnsi="Times New Roman" w:cs="Times New Roman"/>
                <w:sz w:val="14"/>
                <w:szCs w:val="14"/>
                <w:bdr w:val="nil"/>
              </w:rPr>
              <w:t>-0.</w:t>
            </w:r>
            <w:r w:rsidR="007B27C0" w:rsidRPr="004F51D2">
              <w:rPr>
                <w:rFonts w:ascii="Times New Roman" w:eastAsia="Arial Unicode MS" w:hAnsi="Times New Roman" w:cs="Times New Roman"/>
                <w:sz w:val="14"/>
                <w:szCs w:val="14"/>
                <w:bdr w:val="nil"/>
              </w:rPr>
              <w:t>23</w:t>
            </w:r>
          </w:p>
        </w:tc>
        <w:tc>
          <w:tcPr>
            <w:tcW w:w="998" w:type="dxa"/>
            <w:tcBorders>
              <w:top w:val="nil"/>
              <w:left w:val="nil"/>
              <w:bottom w:val="single" w:sz="4" w:space="0" w:color="000000" w:themeColor="text1"/>
              <w:right w:val="nil"/>
            </w:tcBorders>
            <w:vAlign w:val="center"/>
          </w:tcPr>
          <w:p w14:paraId="6ADDE8EE" w14:textId="77777777" w:rsidR="00452B41" w:rsidRPr="004F51D2" w:rsidRDefault="00452B41" w:rsidP="00452B41">
            <w:pPr>
              <w:bidi w:val="0"/>
              <w:spacing w:line="480" w:lineRule="auto"/>
              <w:rPr>
                <w:rFonts w:ascii="Times New Roman" w:hAnsi="Times New Roman" w:cs="Times New Roman"/>
                <w:color w:val="000000" w:themeColor="text1"/>
                <w:sz w:val="14"/>
                <w:szCs w:val="14"/>
              </w:rPr>
            </w:pPr>
            <w:r w:rsidRPr="004F51D2">
              <w:rPr>
                <w:rFonts w:ascii="Times New Roman" w:hAnsi="Times New Roman" w:cs="Times New Roman"/>
                <w:color w:val="000000" w:themeColor="text1"/>
                <w:sz w:val="14"/>
                <w:szCs w:val="14"/>
              </w:rPr>
              <w:t>14.97 (4.49)</w:t>
            </w:r>
          </w:p>
        </w:tc>
        <w:tc>
          <w:tcPr>
            <w:tcW w:w="1270" w:type="dxa"/>
            <w:tcBorders>
              <w:top w:val="nil"/>
              <w:left w:val="nil"/>
              <w:bottom w:val="single" w:sz="4" w:space="0" w:color="000000" w:themeColor="text1"/>
            </w:tcBorders>
          </w:tcPr>
          <w:p w14:paraId="5E3DE77F" w14:textId="53FAC6DD" w:rsidR="00452B41" w:rsidRPr="004F51D2" w:rsidRDefault="007C6232" w:rsidP="00452B41">
            <w:pPr>
              <w:bidi w:val="0"/>
              <w:spacing w:line="480" w:lineRule="auto"/>
              <w:rPr>
                <w:rFonts w:ascii="Times New Roman" w:hAnsi="Times New Roman" w:cs="Times New Roman"/>
                <w:color w:val="000000" w:themeColor="text1"/>
                <w:sz w:val="14"/>
                <w:szCs w:val="14"/>
              </w:rPr>
            </w:pPr>
            <w:r w:rsidRPr="004F51D2">
              <w:rPr>
                <w:rFonts w:ascii="Times New Roman" w:eastAsia="Calibri" w:hAnsi="Times New Roman" w:cs="Times New Roman"/>
                <w:color w:val="000000" w:themeColor="text1"/>
                <w:sz w:val="14"/>
                <w:szCs w:val="14"/>
              </w:rPr>
              <w:t xml:space="preserve">14. </w:t>
            </w:r>
            <w:r w:rsidR="00452B41" w:rsidRPr="004F51D2">
              <w:rPr>
                <w:rFonts w:ascii="Times New Roman" w:eastAsia="Calibri" w:hAnsi="Times New Roman" w:cs="Times New Roman"/>
                <w:color w:val="000000" w:themeColor="text1"/>
                <w:sz w:val="14"/>
                <w:szCs w:val="14"/>
              </w:rPr>
              <w:t>P</w:t>
            </w:r>
            <w:r w:rsidR="009154D8" w:rsidRPr="004F51D2">
              <w:rPr>
                <w:rFonts w:ascii="Times New Roman" w:eastAsia="Calibri" w:hAnsi="Times New Roman" w:cs="Times New Roman"/>
                <w:color w:val="000000" w:themeColor="text1"/>
                <w:sz w:val="14"/>
                <w:szCs w:val="14"/>
              </w:rPr>
              <w:t>-</w:t>
            </w:r>
            <w:r w:rsidR="00452B41" w:rsidRPr="004F51D2">
              <w:rPr>
                <w:rFonts w:ascii="Times New Roman" w:eastAsia="Calibri" w:hAnsi="Times New Roman" w:cs="Times New Roman"/>
                <w:color w:val="000000" w:themeColor="text1"/>
                <w:sz w:val="14"/>
                <w:szCs w:val="14"/>
              </w:rPr>
              <w:t>MOG</w:t>
            </w:r>
          </w:p>
        </w:tc>
      </w:tr>
    </w:tbl>
    <w:p w14:paraId="2844F1DD" w14:textId="5E160716" w:rsidR="00BF3AC6" w:rsidRPr="004F51D2" w:rsidRDefault="00BF3AC6" w:rsidP="009154D8">
      <w:pPr>
        <w:bidi w:val="0"/>
        <w:spacing w:after="0" w:line="480" w:lineRule="auto"/>
        <w:jc w:val="both"/>
        <w:rPr>
          <w:rFonts w:ascii="Times New Roman" w:eastAsia="Calibri" w:hAnsi="Times New Roman" w:cs="Times New Roman"/>
          <w:b/>
          <w:bCs/>
          <w:color w:val="000000" w:themeColor="text1"/>
        </w:rPr>
      </w:pPr>
      <w:r w:rsidRPr="004F51D2">
        <w:rPr>
          <w:rFonts w:ascii="Times New Roman" w:eastAsia="Calibri" w:hAnsi="Times New Roman" w:cs="Times New Roman"/>
          <w:b/>
          <w:bCs/>
          <w:color w:val="000000" w:themeColor="text1"/>
        </w:rPr>
        <w:t xml:space="preserve">Table </w:t>
      </w:r>
      <w:r w:rsidR="00CC1264" w:rsidRPr="004F51D2">
        <w:rPr>
          <w:rFonts w:ascii="Times New Roman" w:eastAsia="Calibri" w:hAnsi="Times New Roman" w:cs="Times New Roman"/>
          <w:b/>
          <w:bCs/>
          <w:color w:val="000000" w:themeColor="text1"/>
        </w:rPr>
        <w:t>4</w:t>
      </w:r>
      <w:r w:rsidR="001A40CF" w:rsidRPr="004F51D2">
        <w:rPr>
          <w:rFonts w:ascii="Times New Roman" w:eastAsia="Calibri" w:hAnsi="Times New Roman" w:cs="Times New Roman"/>
          <w:b/>
          <w:bCs/>
          <w:color w:val="000000" w:themeColor="text1"/>
        </w:rPr>
        <w:t xml:space="preserve">: </w:t>
      </w:r>
      <w:r w:rsidR="001A40CF" w:rsidRPr="004F51D2">
        <w:rPr>
          <w:rFonts w:ascii="Times New Roman" w:eastAsia="Calibri" w:hAnsi="Times New Roman" w:cs="Times New Roman"/>
          <w:color w:val="000000" w:themeColor="text1"/>
        </w:rPr>
        <w:t>Pearson correlation coefficients among variables</w:t>
      </w:r>
      <w:r w:rsidR="009154D8" w:rsidRPr="004F51D2">
        <w:rPr>
          <w:rFonts w:ascii="Times New Roman" w:eastAsia="Calibri" w:hAnsi="Times New Roman" w:cs="Times New Roman"/>
          <w:color w:val="000000" w:themeColor="text1"/>
        </w:rPr>
        <w:t xml:space="preserve"> </w:t>
      </w:r>
      <w:r w:rsidR="009154D8" w:rsidRPr="004F51D2">
        <w:rPr>
          <w:rFonts w:ascii="Times New Roman" w:hAnsi="Times New Roman" w:cs="Times New Roman"/>
        </w:rPr>
        <w:t>(n = 419)</w:t>
      </w:r>
      <w:r w:rsidR="001A40CF" w:rsidRPr="004F51D2">
        <w:rPr>
          <w:rFonts w:ascii="Times New Roman" w:eastAsia="Calibri" w:hAnsi="Times New Roman" w:cs="Times New Roman"/>
          <w:color w:val="000000" w:themeColor="text1"/>
        </w:rPr>
        <w:t>.</w:t>
      </w:r>
    </w:p>
    <w:p w14:paraId="7BABD306" w14:textId="1010258A" w:rsidR="00E805A6" w:rsidRPr="004F51D2" w:rsidRDefault="00BF3AC6" w:rsidP="00A02BB3">
      <w:pPr>
        <w:bidi w:val="0"/>
        <w:spacing w:after="0" w:line="360" w:lineRule="auto"/>
        <w:jc w:val="both"/>
        <w:rPr>
          <w:rFonts w:ascii="Times New Roman" w:hAnsi="Times New Roman" w:cs="Times New Roman"/>
          <w:color w:val="000000" w:themeColor="text1"/>
          <w:sz w:val="18"/>
          <w:szCs w:val="18"/>
        </w:rPr>
      </w:pPr>
      <w:r w:rsidRPr="004F51D2">
        <w:rPr>
          <w:rFonts w:ascii="Times New Roman" w:hAnsi="Times New Roman" w:cs="Times New Roman"/>
          <w:i/>
          <w:iCs/>
          <w:color w:val="000000" w:themeColor="text1"/>
          <w:sz w:val="20"/>
          <w:szCs w:val="20"/>
        </w:rPr>
        <w:t>Note</w:t>
      </w:r>
      <w:r w:rsidRPr="004F51D2">
        <w:rPr>
          <w:rFonts w:ascii="Times New Roman" w:hAnsi="Times New Roman" w:cs="Times New Roman"/>
          <w:color w:val="000000" w:themeColor="text1"/>
          <w:sz w:val="20"/>
          <w:szCs w:val="20"/>
        </w:rPr>
        <w:t xml:space="preserve">. *p&lt;0.05; ** p&lt;0.01; </w:t>
      </w:r>
      <w:r w:rsidR="009154D8" w:rsidRPr="004F51D2">
        <w:rPr>
          <w:rFonts w:ascii="Times New Roman" w:hAnsi="Times New Roman" w:cs="Times New Roman"/>
          <w:color w:val="000000" w:themeColor="text1"/>
          <w:sz w:val="18"/>
          <w:szCs w:val="18"/>
        </w:rPr>
        <w:t xml:space="preserve">POGQ: Problematic Online Gaming Questionnaire; BFI-E: </w:t>
      </w:r>
      <w:r w:rsidR="008644B9" w:rsidRPr="004F51D2">
        <w:rPr>
          <w:rFonts w:ascii="Times New Roman" w:hAnsi="Times New Roman" w:cs="Times New Roman"/>
          <w:color w:val="000000" w:themeColor="text1"/>
          <w:sz w:val="18"/>
          <w:szCs w:val="18"/>
        </w:rPr>
        <w:t>Big Five Inventory- Extroversion;</w:t>
      </w:r>
      <w:r w:rsidR="009154D8" w:rsidRPr="004F51D2">
        <w:rPr>
          <w:rFonts w:ascii="Times New Roman" w:hAnsi="Times New Roman" w:cs="Times New Roman"/>
          <w:color w:val="000000" w:themeColor="text1"/>
          <w:sz w:val="18"/>
          <w:szCs w:val="18"/>
        </w:rPr>
        <w:t xml:space="preserve"> BFI-A:</w:t>
      </w:r>
      <w:r w:rsidR="008644B9" w:rsidRPr="004F51D2">
        <w:rPr>
          <w:rFonts w:ascii="Times New Roman" w:hAnsi="Times New Roman" w:cs="Times New Roman"/>
          <w:color w:val="000000" w:themeColor="text1"/>
          <w:sz w:val="18"/>
          <w:szCs w:val="18"/>
        </w:rPr>
        <w:t xml:space="preserve"> Big Five Inventory-</w:t>
      </w:r>
      <w:r w:rsidR="009154D8" w:rsidRPr="004F51D2">
        <w:rPr>
          <w:rFonts w:ascii="Times New Roman" w:hAnsi="Times New Roman" w:cs="Times New Roman"/>
          <w:color w:val="000000" w:themeColor="text1"/>
          <w:sz w:val="18"/>
          <w:szCs w:val="18"/>
        </w:rPr>
        <w:t xml:space="preserve"> </w:t>
      </w:r>
      <w:r w:rsidR="008644B9" w:rsidRPr="004F51D2">
        <w:rPr>
          <w:rFonts w:ascii="Times New Roman" w:hAnsi="Times New Roman" w:cs="Times New Roman"/>
          <w:color w:val="000000" w:themeColor="text1"/>
          <w:sz w:val="18"/>
          <w:szCs w:val="18"/>
        </w:rPr>
        <w:t>A</w:t>
      </w:r>
      <w:r w:rsidR="009154D8" w:rsidRPr="004F51D2">
        <w:rPr>
          <w:rFonts w:ascii="Times New Roman" w:hAnsi="Times New Roman" w:cs="Times New Roman"/>
          <w:color w:val="000000" w:themeColor="text1"/>
          <w:sz w:val="18"/>
          <w:szCs w:val="18"/>
        </w:rPr>
        <w:t>greeableness; BFI-C:</w:t>
      </w:r>
      <w:r w:rsidR="008644B9" w:rsidRPr="004F51D2">
        <w:rPr>
          <w:rFonts w:ascii="Times New Roman" w:hAnsi="Times New Roman" w:cs="Times New Roman"/>
          <w:color w:val="000000" w:themeColor="text1"/>
          <w:sz w:val="18"/>
          <w:szCs w:val="18"/>
        </w:rPr>
        <w:t xml:space="preserve"> Big Five Inventory- Conscientiousness;</w:t>
      </w:r>
      <w:r w:rsidR="009154D8" w:rsidRPr="004F51D2">
        <w:rPr>
          <w:rFonts w:ascii="Times New Roman" w:hAnsi="Times New Roman" w:cs="Times New Roman"/>
          <w:color w:val="000000" w:themeColor="text1"/>
          <w:sz w:val="18"/>
          <w:szCs w:val="18"/>
        </w:rPr>
        <w:t xml:space="preserve"> BFI-N:</w:t>
      </w:r>
      <w:r w:rsidR="008644B9" w:rsidRPr="004F51D2">
        <w:rPr>
          <w:rFonts w:ascii="Times New Roman" w:hAnsi="Times New Roman" w:cs="Times New Roman"/>
          <w:color w:val="000000" w:themeColor="text1"/>
          <w:sz w:val="18"/>
          <w:szCs w:val="18"/>
        </w:rPr>
        <w:t xml:space="preserve"> Big Five Inventory- Neuroticism;</w:t>
      </w:r>
      <w:r w:rsidR="009154D8" w:rsidRPr="004F51D2">
        <w:rPr>
          <w:rFonts w:ascii="Times New Roman" w:hAnsi="Times New Roman" w:cs="Times New Roman"/>
          <w:color w:val="000000" w:themeColor="text1"/>
          <w:sz w:val="18"/>
          <w:szCs w:val="18"/>
        </w:rPr>
        <w:t xml:space="preserve"> BFI-O:</w:t>
      </w:r>
      <w:r w:rsidR="008644B9" w:rsidRPr="004F51D2">
        <w:rPr>
          <w:rFonts w:ascii="Times New Roman" w:hAnsi="Times New Roman" w:cs="Times New Roman"/>
          <w:color w:val="000000" w:themeColor="text1"/>
          <w:sz w:val="18"/>
          <w:szCs w:val="18"/>
        </w:rPr>
        <w:t xml:space="preserve"> Big Five Inventory- Openness;</w:t>
      </w:r>
      <w:r w:rsidR="009154D8" w:rsidRPr="004F51D2">
        <w:rPr>
          <w:rFonts w:ascii="Times New Roman" w:hAnsi="Times New Roman" w:cs="Times New Roman"/>
          <w:color w:val="000000" w:themeColor="text1"/>
          <w:sz w:val="18"/>
          <w:szCs w:val="18"/>
        </w:rPr>
        <w:t xml:space="preserve"> </w:t>
      </w:r>
      <w:r w:rsidR="00E805A6" w:rsidRPr="004F51D2">
        <w:rPr>
          <w:rFonts w:ascii="Times New Roman" w:hAnsi="Times New Roman" w:cs="Times New Roman"/>
          <w:color w:val="000000" w:themeColor="text1"/>
          <w:sz w:val="18"/>
          <w:szCs w:val="18"/>
        </w:rPr>
        <w:t>DASS</w:t>
      </w:r>
      <w:r w:rsidR="007753A0" w:rsidRPr="004F51D2">
        <w:rPr>
          <w:rFonts w:ascii="Times New Roman" w:hAnsi="Times New Roman" w:cs="Times New Roman"/>
          <w:color w:val="000000" w:themeColor="text1"/>
          <w:sz w:val="18"/>
          <w:szCs w:val="18"/>
        </w:rPr>
        <w:t>-21</w:t>
      </w:r>
      <w:r w:rsidR="00E805A6" w:rsidRPr="004F51D2">
        <w:rPr>
          <w:rFonts w:ascii="Times New Roman" w:hAnsi="Times New Roman" w:cs="Times New Roman"/>
          <w:color w:val="000000" w:themeColor="text1"/>
          <w:sz w:val="18"/>
          <w:szCs w:val="18"/>
        </w:rPr>
        <w:t xml:space="preserve">-D: Depression, Anxiety and Stress Scale </w:t>
      </w:r>
      <w:r w:rsidR="007753A0" w:rsidRPr="004F51D2">
        <w:rPr>
          <w:rFonts w:ascii="Times New Roman" w:hAnsi="Times New Roman" w:cs="Times New Roman"/>
          <w:color w:val="000000" w:themeColor="text1"/>
          <w:sz w:val="18"/>
          <w:szCs w:val="18"/>
        </w:rPr>
        <w:t xml:space="preserve">21 </w:t>
      </w:r>
      <w:r w:rsidR="00E805A6" w:rsidRPr="004F51D2">
        <w:rPr>
          <w:rFonts w:ascii="Times New Roman" w:hAnsi="Times New Roman" w:cs="Times New Roman"/>
          <w:color w:val="000000" w:themeColor="text1"/>
          <w:sz w:val="18"/>
          <w:szCs w:val="18"/>
        </w:rPr>
        <w:t xml:space="preserve">- Depression subscale; </w:t>
      </w:r>
      <w:r w:rsidR="007753A0" w:rsidRPr="004F51D2">
        <w:rPr>
          <w:rFonts w:ascii="Times New Roman" w:hAnsi="Times New Roman" w:cs="Times New Roman"/>
          <w:color w:val="000000" w:themeColor="text1"/>
          <w:sz w:val="18"/>
          <w:szCs w:val="18"/>
        </w:rPr>
        <w:t>DASS-21-A</w:t>
      </w:r>
      <w:r w:rsidR="00E805A6" w:rsidRPr="004F51D2">
        <w:rPr>
          <w:rFonts w:ascii="Times New Roman" w:hAnsi="Times New Roman" w:cs="Times New Roman"/>
          <w:color w:val="000000" w:themeColor="text1"/>
          <w:sz w:val="18"/>
          <w:szCs w:val="18"/>
        </w:rPr>
        <w:t>: Depression, Anxiety and Stress Scale</w:t>
      </w:r>
      <w:r w:rsidR="007753A0" w:rsidRPr="004F51D2">
        <w:rPr>
          <w:rFonts w:ascii="Times New Roman" w:hAnsi="Times New Roman" w:cs="Times New Roman"/>
          <w:color w:val="000000" w:themeColor="text1"/>
          <w:sz w:val="18"/>
          <w:szCs w:val="18"/>
        </w:rPr>
        <w:t xml:space="preserve"> 21</w:t>
      </w:r>
      <w:r w:rsidR="00E805A6" w:rsidRPr="004F51D2">
        <w:rPr>
          <w:rFonts w:ascii="Times New Roman" w:hAnsi="Times New Roman" w:cs="Times New Roman"/>
          <w:color w:val="000000" w:themeColor="text1"/>
          <w:sz w:val="18"/>
          <w:szCs w:val="18"/>
        </w:rPr>
        <w:t xml:space="preserve"> - Anxiety subscale; </w:t>
      </w:r>
      <w:r w:rsidR="007753A0" w:rsidRPr="004F51D2">
        <w:rPr>
          <w:rFonts w:ascii="Times New Roman" w:hAnsi="Times New Roman" w:cs="Times New Roman"/>
          <w:color w:val="000000" w:themeColor="text1"/>
          <w:sz w:val="18"/>
          <w:szCs w:val="18"/>
        </w:rPr>
        <w:t>DASS-21-</w:t>
      </w:r>
      <w:r w:rsidR="00E805A6" w:rsidRPr="004F51D2">
        <w:rPr>
          <w:rFonts w:ascii="Times New Roman" w:hAnsi="Times New Roman" w:cs="Times New Roman"/>
          <w:color w:val="000000" w:themeColor="text1"/>
          <w:sz w:val="18"/>
          <w:szCs w:val="18"/>
        </w:rPr>
        <w:t xml:space="preserve">S: Depression, Anxiety and Stress Scale </w:t>
      </w:r>
      <w:r w:rsidR="007753A0" w:rsidRPr="004F51D2">
        <w:rPr>
          <w:rFonts w:ascii="Times New Roman" w:hAnsi="Times New Roman" w:cs="Times New Roman"/>
          <w:color w:val="000000" w:themeColor="text1"/>
          <w:sz w:val="18"/>
          <w:szCs w:val="18"/>
        </w:rPr>
        <w:t xml:space="preserve">21 </w:t>
      </w:r>
      <w:r w:rsidR="00E805A6" w:rsidRPr="004F51D2">
        <w:rPr>
          <w:rFonts w:ascii="Times New Roman" w:hAnsi="Times New Roman" w:cs="Times New Roman"/>
          <w:color w:val="000000" w:themeColor="text1"/>
          <w:sz w:val="18"/>
          <w:szCs w:val="18"/>
        </w:rPr>
        <w:t>- Stress subscale; VGCS: Video-Game related Cognitions Scale; MOGQ: Motives for Online Gaming Questionnaire; N-MOGU: Negative Metacognitions about Uncontrollability of Online Gaming; N-MOGD: Negative Metacognitions about Dangers of Online Gaming; P-MOG: Positive Metacognitions about Online Gaming.</w:t>
      </w:r>
      <w:r w:rsidR="00A02BB3" w:rsidRPr="004F51D2">
        <w:rPr>
          <w:rFonts w:ascii="Times New Roman" w:hAnsi="Times New Roman" w:cs="Times New Roman"/>
          <w:color w:val="000000" w:themeColor="text1"/>
          <w:sz w:val="18"/>
          <w:szCs w:val="18"/>
        </w:rPr>
        <w:t xml:space="preserve"> </w:t>
      </w:r>
    </w:p>
    <w:p w14:paraId="462A4A97" w14:textId="2ACC537E" w:rsidR="00BF3AC6" w:rsidRPr="004F51D2" w:rsidRDefault="00BF3AC6" w:rsidP="00E805A6">
      <w:pPr>
        <w:bidi w:val="0"/>
        <w:spacing w:after="0" w:line="240" w:lineRule="auto"/>
        <w:jc w:val="both"/>
        <w:rPr>
          <w:rFonts w:ascii="Times New Roman" w:hAnsi="Times New Roman" w:cs="Times New Roman"/>
          <w:color w:val="000000" w:themeColor="text1"/>
          <w:sz w:val="20"/>
          <w:szCs w:val="20"/>
        </w:rPr>
      </w:pPr>
    </w:p>
    <w:p w14:paraId="5F7C689B" w14:textId="1971C252" w:rsidR="00BF3AC6" w:rsidRPr="004F51D2" w:rsidRDefault="00BF3AC6" w:rsidP="008644B9">
      <w:pPr>
        <w:bidi w:val="0"/>
        <w:spacing w:after="0" w:line="480" w:lineRule="auto"/>
        <w:jc w:val="both"/>
        <w:rPr>
          <w:rFonts w:ascii="Times New Roman" w:hAnsi="Times New Roman" w:cs="Times New Roman"/>
          <w:b/>
          <w:bCs/>
          <w:color w:val="000000" w:themeColor="text1"/>
          <w:sz w:val="24"/>
          <w:szCs w:val="24"/>
          <w:rtl/>
        </w:rPr>
      </w:pPr>
      <w:r w:rsidRPr="004F51D2">
        <w:rPr>
          <w:rFonts w:ascii="Times New Roman" w:hAnsi="Times New Roman" w:cs="Times New Roman"/>
          <w:color w:val="000000" w:themeColor="text1"/>
          <w:sz w:val="24"/>
          <w:szCs w:val="24"/>
        </w:rPr>
        <w:t xml:space="preserve">                                                                                   </w:t>
      </w:r>
      <w:r w:rsidR="008644B9" w:rsidRPr="004F51D2">
        <w:rPr>
          <w:rFonts w:ascii="Times New Roman" w:hAnsi="Times New Roman" w:cs="Times New Roman"/>
          <w:sz w:val="24"/>
          <w:szCs w:val="24"/>
        </w:rPr>
        <w:t xml:space="preserve"> </w:t>
      </w:r>
      <w:r w:rsidRPr="004F51D2">
        <w:rPr>
          <w:rFonts w:ascii="Times New Roman" w:hAnsi="Times New Roman" w:cs="Times New Roman"/>
          <w:color w:val="000000" w:themeColor="text1"/>
          <w:sz w:val="24"/>
          <w:szCs w:val="24"/>
        </w:rPr>
        <w:t xml:space="preserve">                 </w:t>
      </w:r>
    </w:p>
    <w:p w14:paraId="31BBA9C5" w14:textId="77777777" w:rsidR="00A469F2" w:rsidRPr="004F51D2" w:rsidRDefault="00A469F2" w:rsidP="00A469F2">
      <w:pPr>
        <w:bidi w:val="0"/>
        <w:rPr>
          <w:rFonts w:ascii="Times New Roman" w:eastAsia="Calibri" w:hAnsi="Times New Roman" w:cs="Times New Roman"/>
          <w:b/>
          <w:bCs/>
          <w:color w:val="000000" w:themeColor="text1"/>
        </w:rPr>
        <w:sectPr w:rsidR="00A469F2" w:rsidRPr="004F51D2" w:rsidSect="00A469F2">
          <w:pgSz w:w="16838" w:h="11906" w:orient="landscape"/>
          <w:pgMar w:top="1440" w:right="1440" w:bottom="1440" w:left="1440" w:header="709" w:footer="709" w:gutter="0"/>
          <w:cols w:space="708"/>
          <w:bidi/>
          <w:rtlGutter/>
          <w:docGrid w:linePitch="360"/>
        </w:sectPr>
      </w:pPr>
    </w:p>
    <w:p w14:paraId="40175C43" w14:textId="246989E7" w:rsidR="00C42534" w:rsidRPr="004F51D2" w:rsidRDefault="00BF3AC6" w:rsidP="008644B9">
      <w:pPr>
        <w:bidi w:val="0"/>
        <w:spacing w:after="0" w:line="276" w:lineRule="auto"/>
        <w:jc w:val="both"/>
        <w:rPr>
          <w:rFonts w:ascii="Times New Roman" w:eastAsia="Calibri" w:hAnsi="Times New Roman" w:cs="Times New Roman"/>
          <w:color w:val="000000" w:themeColor="text1"/>
          <w:rtl/>
        </w:rPr>
      </w:pPr>
      <w:r w:rsidRPr="004F51D2">
        <w:rPr>
          <w:rFonts w:ascii="Times New Roman" w:eastAsia="Calibri" w:hAnsi="Times New Roman" w:cs="Times New Roman"/>
          <w:b/>
          <w:bCs/>
          <w:color w:val="000000" w:themeColor="text1"/>
        </w:rPr>
        <w:t xml:space="preserve">Table </w:t>
      </w:r>
      <w:r w:rsidR="00CC1264" w:rsidRPr="004F51D2">
        <w:rPr>
          <w:rFonts w:ascii="Times New Roman" w:eastAsia="Calibri" w:hAnsi="Times New Roman" w:cs="Times New Roman"/>
          <w:b/>
          <w:bCs/>
          <w:color w:val="000000" w:themeColor="text1"/>
        </w:rPr>
        <w:t>5</w:t>
      </w:r>
      <w:r w:rsidR="001A40CF" w:rsidRPr="004F51D2">
        <w:rPr>
          <w:rFonts w:ascii="Times New Roman" w:eastAsia="Calibri" w:hAnsi="Times New Roman" w:cs="Times New Roman"/>
          <w:b/>
          <w:bCs/>
          <w:color w:val="000000" w:themeColor="text1"/>
        </w:rPr>
        <w:t xml:space="preserve">: </w:t>
      </w:r>
      <w:r w:rsidRPr="004F51D2">
        <w:rPr>
          <w:rFonts w:ascii="Times New Roman" w:eastAsia="Calibri" w:hAnsi="Times New Roman" w:cs="Times New Roman"/>
          <w:color w:val="000000" w:themeColor="text1"/>
        </w:rPr>
        <w:t xml:space="preserve">Hierarchical multiple regression statistics with </w:t>
      </w:r>
      <w:r w:rsidR="00FC6354" w:rsidRPr="004F51D2">
        <w:rPr>
          <w:rFonts w:ascii="Times New Roman" w:eastAsia="Calibri" w:hAnsi="Times New Roman" w:cs="Times New Roman"/>
          <w:color w:val="000000" w:themeColor="text1"/>
        </w:rPr>
        <w:t>POGQ</w:t>
      </w:r>
      <w:r w:rsidRPr="004F51D2">
        <w:rPr>
          <w:rFonts w:ascii="Times New Roman" w:eastAsia="Calibri" w:hAnsi="Times New Roman" w:cs="Times New Roman"/>
          <w:color w:val="000000" w:themeColor="text1"/>
        </w:rPr>
        <w:t xml:space="preserve"> as outcome variable and M</w:t>
      </w:r>
      <w:r w:rsidR="00FC6354" w:rsidRPr="004F51D2">
        <w:rPr>
          <w:rFonts w:ascii="Times New Roman" w:eastAsia="Calibri" w:hAnsi="Times New Roman" w:cs="Times New Roman"/>
          <w:color w:val="000000" w:themeColor="text1"/>
        </w:rPr>
        <w:t>OGS</w:t>
      </w:r>
      <w:r w:rsidRPr="004F51D2">
        <w:rPr>
          <w:rFonts w:ascii="Times New Roman" w:eastAsia="Calibri" w:hAnsi="Times New Roman" w:cs="Times New Roman"/>
          <w:color w:val="000000" w:themeColor="text1"/>
        </w:rPr>
        <w:t xml:space="preserve"> factors as predictor variables whilst control</w:t>
      </w:r>
      <w:r w:rsidR="0013577A" w:rsidRPr="004F51D2">
        <w:rPr>
          <w:rFonts w:ascii="Times New Roman" w:eastAsia="Calibri" w:hAnsi="Times New Roman" w:cs="Times New Roman"/>
          <w:color w:val="000000" w:themeColor="text1"/>
        </w:rPr>
        <w:t>ling</w:t>
      </w:r>
      <w:r w:rsidRPr="004F51D2">
        <w:rPr>
          <w:rFonts w:ascii="Times New Roman" w:eastAsia="Calibri" w:hAnsi="Times New Roman" w:cs="Times New Roman"/>
          <w:color w:val="000000" w:themeColor="text1"/>
        </w:rPr>
        <w:t xml:space="preserve"> </w:t>
      </w:r>
      <w:r w:rsidR="0013577A" w:rsidRPr="004F51D2">
        <w:rPr>
          <w:rFonts w:ascii="Times New Roman" w:eastAsia="Calibri" w:hAnsi="Times New Roman" w:cs="Times New Roman"/>
          <w:color w:val="000000" w:themeColor="text1"/>
        </w:rPr>
        <w:t xml:space="preserve">for </w:t>
      </w:r>
      <w:r w:rsidR="00430587" w:rsidRPr="004F51D2">
        <w:rPr>
          <w:rFonts w:ascii="Times New Roman" w:eastAsia="Calibri" w:hAnsi="Times New Roman" w:cs="Times New Roman"/>
          <w:color w:val="000000" w:themeColor="text1"/>
        </w:rPr>
        <w:t xml:space="preserve"> </w:t>
      </w:r>
      <w:r w:rsidR="00661415" w:rsidRPr="004F51D2">
        <w:rPr>
          <w:rFonts w:ascii="Times New Roman" w:eastAsia="Calibri" w:hAnsi="Times New Roman" w:cs="Times New Roman"/>
          <w:color w:val="000000" w:themeColor="text1"/>
        </w:rPr>
        <w:t>personality trait</w:t>
      </w:r>
      <w:r w:rsidR="0013577A" w:rsidRPr="004F51D2">
        <w:rPr>
          <w:rFonts w:ascii="Times New Roman" w:eastAsia="Calibri" w:hAnsi="Times New Roman" w:cs="Times New Roman"/>
          <w:color w:val="000000" w:themeColor="text1"/>
        </w:rPr>
        <w:t>s</w:t>
      </w:r>
      <w:r w:rsidR="00661415" w:rsidRPr="004F51D2">
        <w:rPr>
          <w:rFonts w:ascii="Times New Roman" w:eastAsia="Calibri" w:hAnsi="Times New Roman" w:cs="Times New Roman"/>
          <w:color w:val="000000" w:themeColor="text1"/>
        </w:rPr>
        <w:t>, anxiety, depression, stress, and cognitions and motives related to online gaming</w:t>
      </w:r>
      <w:r w:rsidR="008644B9" w:rsidRPr="004F51D2">
        <w:rPr>
          <w:rFonts w:ascii="Times New Roman" w:eastAsia="Calibri" w:hAnsi="Times New Roman" w:cs="Times New Roman"/>
          <w:color w:val="000000" w:themeColor="text1"/>
        </w:rPr>
        <w:t xml:space="preserve"> (n</w:t>
      </w:r>
      <w:r w:rsidR="007753A0" w:rsidRPr="004F51D2">
        <w:rPr>
          <w:rFonts w:ascii="Times New Roman" w:eastAsia="Calibri" w:hAnsi="Times New Roman" w:cs="Times New Roman"/>
          <w:color w:val="000000" w:themeColor="text1"/>
        </w:rPr>
        <w:t xml:space="preserve"> </w:t>
      </w:r>
      <w:r w:rsidR="008644B9" w:rsidRPr="004F51D2">
        <w:rPr>
          <w:rFonts w:ascii="Times New Roman" w:eastAsia="Calibri" w:hAnsi="Times New Roman" w:cs="Times New Roman"/>
          <w:color w:val="000000" w:themeColor="text1"/>
        </w:rPr>
        <w:t>=</w:t>
      </w:r>
      <w:r w:rsidR="007753A0" w:rsidRPr="004F51D2">
        <w:rPr>
          <w:rFonts w:ascii="Times New Roman" w:eastAsia="Calibri" w:hAnsi="Times New Roman" w:cs="Times New Roman"/>
          <w:color w:val="000000" w:themeColor="text1"/>
        </w:rPr>
        <w:t xml:space="preserve"> </w:t>
      </w:r>
      <w:r w:rsidR="008644B9" w:rsidRPr="004F51D2">
        <w:rPr>
          <w:rFonts w:ascii="Times New Roman" w:eastAsia="Calibri" w:hAnsi="Times New Roman" w:cs="Times New Roman"/>
          <w:color w:val="000000" w:themeColor="text1"/>
        </w:rPr>
        <w:t>419)</w:t>
      </w:r>
      <w:r w:rsidRPr="004F51D2">
        <w:rPr>
          <w:rFonts w:ascii="Times New Roman" w:eastAsia="Calibri" w:hAnsi="Times New Roman" w:cs="Times New Roman"/>
          <w:color w:val="000000" w:themeColor="text1"/>
        </w:rPr>
        <w:t>.</w:t>
      </w:r>
    </w:p>
    <w:tbl>
      <w:tblPr>
        <w:tblStyle w:val="TableGrid"/>
        <w:tblpPr w:leftFromText="180" w:rightFromText="180" w:vertAnchor="text" w:horzAnchor="margin" w:tblpY="151"/>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2"/>
        <w:gridCol w:w="1096"/>
        <w:gridCol w:w="879"/>
        <w:gridCol w:w="881"/>
        <w:gridCol w:w="1051"/>
        <w:gridCol w:w="1268"/>
        <w:gridCol w:w="1694"/>
        <w:gridCol w:w="985"/>
      </w:tblGrid>
      <w:tr w:rsidR="00BF3AC6" w:rsidRPr="004F51D2" w14:paraId="5237E0BA" w14:textId="77777777" w:rsidTr="00C42534">
        <w:tc>
          <w:tcPr>
            <w:tcW w:w="1172" w:type="dxa"/>
            <w:tcBorders>
              <w:top w:val="single" w:sz="4" w:space="0" w:color="000000" w:themeColor="text1"/>
              <w:bottom w:val="single" w:sz="4" w:space="0" w:color="000000" w:themeColor="text1"/>
            </w:tcBorders>
          </w:tcPr>
          <w:p w14:paraId="2721EB52" w14:textId="77777777" w:rsidR="00BF3AC6" w:rsidRPr="004F51D2" w:rsidRDefault="00BF3AC6" w:rsidP="00DC18BE">
            <w:pPr>
              <w:bidi w:val="0"/>
              <w:jc w:val="center"/>
              <w:rPr>
                <w:rFonts w:ascii="Times New Roman" w:eastAsia="Calibri" w:hAnsi="Times New Roman" w:cs="Times New Roman"/>
                <w:i/>
                <w:iCs/>
                <w:color w:val="000000" w:themeColor="text1"/>
                <w:sz w:val="18"/>
                <w:szCs w:val="18"/>
              </w:rPr>
            </w:pPr>
            <w:r w:rsidRPr="004F51D2">
              <w:rPr>
                <w:rFonts w:ascii="Times New Roman" w:eastAsia="Calibri" w:hAnsi="Times New Roman" w:cs="Times New Roman"/>
                <w:i/>
                <w:iCs/>
                <w:color w:val="000000" w:themeColor="text1"/>
                <w:sz w:val="18"/>
                <w:szCs w:val="18"/>
              </w:rPr>
              <w:t>VIF</w:t>
            </w:r>
          </w:p>
        </w:tc>
        <w:tc>
          <w:tcPr>
            <w:tcW w:w="1096" w:type="dxa"/>
            <w:tcBorders>
              <w:top w:val="single" w:sz="4" w:space="0" w:color="000000" w:themeColor="text1"/>
              <w:bottom w:val="single" w:sz="4" w:space="0" w:color="000000" w:themeColor="text1"/>
            </w:tcBorders>
          </w:tcPr>
          <w:p w14:paraId="5B4D5DB0" w14:textId="77777777" w:rsidR="00BF3AC6" w:rsidRPr="004F51D2" w:rsidRDefault="00BF3AC6" w:rsidP="00DC18BE">
            <w:pPr>
              <w:bidi w:val="0"/>
              <w:jc w:val="center"/>
              <w:rPr>
                <w:rFonts w:ascii="Times New Roman" w:eastAsia="Calibri" w:hAnsi="Times New Roman" w:cs="Times New Roman"/>
                <w:color w:val="000000" w:themeColor="text1"/>
                <w:sz w:val="18"/>
                <w:szCs w:val="18"/>
              </w:rPr>
            </w:pPr>
            <w:r w:rsidRPr="004F51D2">
              <w:rPr>
                <w:rFonts w:ascii="Times New Roman" w:eastAsia="Calibri" w:hAnsi="Times New Roman" w:cs="Times New Roman"/>
                <w:color w:val="000000" w:themeColor="text1"/>
                <w:sz w:val="18"/>
                <w:szCs w:val="18"/>
              </w:rPr>
              <w:t>Tolerance</w:t>
            </w:r>
          </w:p>
        </w:tc>
        <w:tc>
          <w:tcPr>
            <w:tcW w:w="879" w:type="dxa"/>
            <w:tcBorders>
              <w:top w:val="single" w:sz="4" w:space="0" w:color="000000" w:themeColor="text1"/>
              <w:bottom w:val="single" w:sz="4" w:space="0" w:color="000000" w:themeColor="text1"/>
            </w:tcBorders>
          </w:tcPr>
          <w:p w14:paraId="42100BEB" w14:textId="77777777" w:rsidR="00BF3AC6" w:rsidRPr="004F51D2" w:rsidRDefault="00BF3AC6" w:rsidP="00DC18BE">
            <w:pPr>
              <w:bidi w:val="0"/>
              <w:jc w:val="center"/>
              <w:rPr>
                <w:rFonts w:ascii="Times New Roman" w:eastAsia="Calibri" w:hAnsi="Times New Roman" w:cs="Times New Roman"/>
                <w:i/>
                <w:iCs/>
                <w:color w:val="000000" w:themeColor="text1"/>
                <w:sz w:val="18"/>
                <w:szCs w:val="18"/>
              </w:rPr>
            </w:pPr>
            <w:r w:rsidRPr="004F51D2">
              <w:rPr>
                <w:rFonts w:ascii="Times New Roman" w:eastAsia="Calibri" w:hAnsi="Times New Roman" w:cs="Times New Roman"/>
                <w:i/>
                <w:iCs/>
                <w:color w:val="000000" w:themeColor="text1"/>
                <w:sz w:val="18"/>
                <w:szCs w:val="18"/>
              </w:rPr>
              <w:t>P</w:t>
            </w:r>
          </w:p>
        </w:tc>
        <w:tc>
          <w:tcPr>
            <w:tcW w:w="881" w:type="dxa"/>
            <w:tcBorders>
              <w:top w:val="single" w:sz="4" w:space="0" w:color="000000" w:themeColor="text1"/>
              <w:bottom w:val="single" w:sz="4" w:space="0" w:color="000000" w:themeColor="text1"/>
            </w:tcBorders>
          </w:tcPr>
          <w:p w14:paraId="7CA60E2F" w14:textId="77777777" w:rsidR="00BF3AC6" w:rsidRPr="004F51D2" w:rsidRDefault="00BF3AC6" w:rsidP="00DC18BE">
            <w:pPr>
              <w:bidi w:val="0"/>
              <w:jc w:val="center"/>
              <w:rPr>
                <w:rFonts w:ascii="Times New Roman" w:eastAsia="Calibri" w:hAnsi="Times New Roman" w:cs="Times New Roman"/>
                <w:i/>
                <w:iCs/>
                <w:color w:val="000000" w:themeColor="text1"/>
                <w:sz w:val="18"/>
                <w:szCs w:val="18"/>
              </w:rPr>
            </w:pPr>
            <w:r w:rsidRPr="004F51D2">
              <w:rPr>
                <w:rFonts w:ascii="Times New Roman" w:eastAsia="Calibri" w:hAnsi="Times New Roman" w:cs="Times New Roman"/>
                <w:i/>
                <w:iCs/>
                <w:color w:val="000000" w:themeColor="text1"/>
                <w:sz w:val="18"/>
                <w:szCs w:val="18"/>
              </w:rPr>
              <w:t>T</w:t>
            </w:r>
          </w:p>
        </w:tc>
        <w:tc>
          <w:tcPr>
            <w:tcW w:w="1051" w:type="dxa"/>
            <w:tcBorders>
              <w:top w:val="single" w:sz="4" w:space="0" w:color="000000" w:themeColor="text1"/>
              <w:bottom w:val="single" w:sz="4" w:space="0" w:color="000000" w:themeColor="text1"/>
            </w:tcBorders>
          </w:tcPr>
          <w:p w14:paraId="097B1CC9" w14:textId="77777777" w:rsidR="00BF3AC6" w:rsidRPr="004F51D2" w:rsidRDefault="00BF3AC6" w:rsidP="00DC18BE">
            <w:pPr>
              <w:bidi w:val="0"/>
              <w:jc w:val="center"/>
              <w:rPr>
                <w:rFonts w:ascii="Times New Roman" w:eastAsia="Calibri" w:hAnsi="Times New Roman" w:cs="Times New Roman"/>
                <w:color w:val="000000" w:themeColor="text1"/>
                <w:sz w:val="18"/>
                <w:szCs w:val="18"/>
                <w:rtl/>
              </w:rPr>
            </w:pPr>
            <w:r w:rsidRPr="004F51D2">
              <w:rPr>
                <w:rFonts w:ascii="Times New Roman" w:eastAsia="Calibri" w:hAnsi="Times New Roman" w:cs="Times New Roman"/>
                <w:color w:val="000000" w:themeColor="text1"/>
                <w:sz w:val="18"/>
                <w:szCs w:val="18"/>
                <w:rtl/>
              </w:rPr>
              <w:t>β</w:t>
            </w:r>
          </w:p>
        </w:tc>
        <w:tc>
          <w:tcPr>
            <w:tcW w:w="1268" w:type="dxa"/>
            <w:tcBorders>
              <w:top w:val="single" w:sz="4" w:space="0" w:color="000000" w:themeColor="text1"/>
              <w:bottom w:val="single" w:sz="4" w:space="0" w:color="000000" w:themeColor="text1"/>
            </w:tcBorders>
          </w:tcPr>
          <w:p w14:paraId="530BFA4C" w14:textId="77777777" w:rsidR="00BF3AC6" w:rsidRPr="004F51D2" w:rsidRDefault="00BF3AC6" w:rsidP="00DC18BE">
            <w:pPr>
              <w:bidi w:val="0"/>
              <w:jc w:val="center"/>
              <w:rPr>
                <w:rFonts w:ascii="Times New Roman" w:eastAsia="Calibri" w:hAnsi="Times New Roman" w:cs="Times New Roman"/>
                <w:color w:val="000000" w:themeColor="text1"/>
                <w:sz w:val="18"/>
                <w:szCs w:val="18"/>
                <w:rtl/>
              </w:rPr>
            </w:pPr>
            <w:r w:rsidRPr="004F51D2">
              <w:rPr>
                <w:rFonts w:ascii="Times New Roman" w:eastAsia="Calibri" w:hAnsi="Times New Roman" w:cs="Times New Roman"/>
                <w:color w:val="000000" w:themeColor="text1"/>
                <w:sz w:val="18"/>
                <w:szCs w:val="18"/>
              </w:rPr>
              <w:t>R</w:t>
            </w:r>
            <w:r w:rsidRPr="004F51D2">
              <w:rPr>
                <w:rFonts w:ascii="Times New Roman" w:eastAsia="Calibri" w:hAnsi="Times New Roman" w:cs="Times New Roman"/>
                <w:color w:val="000000" w:themeColor="text1"/>
                <w:sz w:val="18"/>
                <w:szCs w:val="18"/>
                <w:vertAlign w:val="superscript"/>
              </w:rPr>
              <w:t>2</w:t>
            </w:r>
            <w:r w:rsidRPr="004F51D2">
              <w:rPr>
                <w:rFonts w:ascii="Times New Roman" w:eastAsia="Calibri" w:hAnsi="Times New Roman" w:cs="Times New Roman"/>
                <w:color w:val="000000" w:themeColor="text1"/>
                <w:sz w:val="18"/>
                <w:szCs w:val="18"/>
                <w:rtl/>
              </w:rPr>
              <w:t>Δ</w:t>
            </w:r>
          </w:p>
        </w:tc>
        <w:tc>
          <w:tcPr>
            <w:tcW w:w="1694" w:type="dxa"/>
            <w:tcBorders>
              <w:top w:val="single" w:sz="4" w:space="0" w:color="000000" w:themeColor="text1"/>
              <w:bottom w:val="single" w:sz="4" w:space="0" w:color="000000" w:themeColor="text1"/>
            </w:tcBorders>
          </w:tcPr>
          <w:p w14:paraId="0D8E270E" w14:textId="77777777" w:rsidR="00BF3AC6" w:rsidRPr="004F51D2" w:rsidRDefault="00BF3AC6" w:rsidP="00DC18BE">
            <w:pPr>
              <w:bidi w:val="0"/>
              <w:jc w:val="center"/>
              <w:rPr>
                <w:rFonts w:ascii="Times New Roman" w:eastAsia="Calibri" w:hAnsi="Times New Roman" w:cs="Times New Roman"/>
                <w:color w:val="000000" w:themeColor="text1"/>
                <w:sz w:val="18"/>
                <w:szCs w:val="18"/>
                <w:rtl/>
              </w:rPr>
            </w:pPr>
          </w:p>
        </w:tc>
        <w:tc>
          <w:tcPr>
            <w:tcW w:w="985" w:type="dxa"/>
            <w:tcBorders>
              <w:top w:val="single" w:sz="4" w:space="0" w:color="000000" w:themeColor="text1"/>
              <w:bottom w:val="single" w:sz="4" w:space="0" w:color="000000" w:themeColor="text1"/>
            </w:tcBorders>
          </w:tcPr>
          <w:p w14:paraId="217CF7B7" w14:textId="77777777" w:rsidR="00BF3AC6" w:rsidRPr="004F51D2" w:rsidRDefault="00BF3AC6" w:rsidP="00DC18BE">
            <w:pPr>
              <w:bidi w:val="0"/>
              <w:jc w:val="center"/>
              <w:rPr>
                <w:rFonts w:ascii="Times New Roman" w:eastAsia="Calibri" w:hAnsi="Times New Roman" w:cs="Times New Roman"/>
                <w:color w:val="000000" w:themeColor="text1"/>
                <w:sz w:val="18"/>
                <w:szCs w:val="18"/>
              </w:rPr>
            </w:pPr>
            <w:r w:rsidRPr="004F51D2">
              <w:rPr>
                <w:rFonts w:ascii="Times New Roman" w:eastAsia="Calibri" w:hAnsi="Times New Roman" w:cs="Times New Roman"/>
                <w:color w:val="000000" w:themeColor="text1"/>
                <w:sz w:val="18"/>
                <w:szCs w:val="18"/>
              </w:rPr>
              <w:t>Step</w:t>
            </w:r>
          </w:p>
        </w:tc>
      </w:tr>
      <w:tr w:rsidR="00BF3AC6" w:rsidRPr="004F51D2" w14:paraId="3C2F79D1" w14:textId="77777777" w:rsidTr="00C42534">
        <w:tc>
          <w:tcPr>
            <w:tcW w:w="1172" w:type="dxa"/>
            <w:tcBorders>
              <w:top w:val="single" w:sz="4" w:space="0" w:color="000000" w:themeColor="text1"/>
            </w:tcBorders>
          </w:tcPr>
          <w:p w14:paraId="44B510B8" w14:textId="77777777" w:rsidR="00BF3AC6" w:rsidRPr="004F51D2" w:rsidRDefault="00BF3AC6" w:rsidP="00DC18BE">
            <w:pPr>
              <w:bidi w:val="0"/>
              <w:jc w:val="center"/>
              <w:rPr>
                <w:rFonts w:ascii="Times New Roman" w:eastAsia="Calibri" w:hAnsi="Times New Roman" w:cs="Times New Roman"/>
                <w:color w:val="000000" w:themeColor="text1"/>
                <w:sz w:val="18"/>
                <w:szCs w:val="18"/>
                <w:rtl/>
              </w:rPr>
            </w:pPr>
          </w:p>
        </w:tc>
        <w:tc>
          <w:tcPr>
            <w:tcW w:w="1096" w:type="dxa"/>
            <w:tcBorders>
              <w:top w:val="single" w:sz="4" w:space="0" w:color="000000" w:themeColor="text1"/>
            </w:tcBorders>
          </w:tcPr>
          <w:p w14:paraId="714F31D1" w14:textId="77777777" w:rsidR="00BF3AC6" w:rsidRPr="004F51D2" w:rsidRDefault="00BF3AC6" w:rsidP="00DC18BE">
            <w:pPr>
              <w:bidi w:val="0"/>
              <w:jc w:val="center"/>
              <w:rPr>
                <w:rFonts w:ascii="Times New Roman" w:eastAsia="Calibri" w:hAnsi="Times New Roman" w:cs="Times New Roman"/>
                <w:color w:val="000000" w:themeColor="text1"/>
                <w:sz w:val="18"/>
                <w:szCs w:val="18"/>
                <w:rtl/>
              </w:rPr>
            </w:pPr>
          </w:p>
        </w:tc>
        <w:tc>
          <w:tcPr>
            <w:tcW w:w="879" w:type="dxa"/>
            <w:tcBorders>
              <w:top w:val="single" w:sz="4" w:space="0" w:color="000000" w:themeColor="text1"/>
            </w:tcBorders>
          </w:tcPr>
          <w:p w14:paraId="06370A01" w14:textId="77777777" w:rsidR="00BF3AC6" w:rsidRPr="004F51D2" w:rsidRDefault="00BF3AC6" w:rsidP="00DC18BE">
            <w:pPr>
              <w:bidi w:val="0"/>
              <w:jc w:val="center"/>
              <w:rPr>
                <w:rFonts w:ascii="Times New Roman" w:eastAsia="Calibri" w:hAnsi="Times New Roman" w:cs="Times New Roman"/>
                <w:color w:val="000000" w:themeColor="text1"/>
                <w:sz w:val="18"/>
                <w:szCs w:val="18"/>
                <w:rtl/>
              </w:rPr>
            </w:pPr>
          </w:p>
        </w:tc>
        <w:tc>
          <w:tcPr>
            <w:tcW w:w="881" w:type="dxa"/>
            <w:tcBorders>
              <w:top w:val="single" w:sz="4" w:space="0" w:color="000000" w:themeColor="text1"/>
            </w:tcBorders>
          </w:tcPr>
          <w:p w14:paraId="08876B35" w14:textId="77777777" w:rsidR="00BF3AC6" w:rsidRPr="004F51D2" w:rsidRDefault="00BF3AC6" w:rsidP="00DC18BE">
            <w:pPr>
              <w:bidi w:val="0"/>
              <w:jc w:val="center"/>
              <w:rPr>
                <w:rFonts w:ascii="Times New Roman" w:eastAsia="Calibri" w:hAnsi="Times New Roman" w:cs="Times New Roman"/>
                <w:color w:val="000000" w:themeColor="text1"/>
                <w:sz w:val="18"/>
                <w:szCs w:val="18"/>
                <w:rtl/>
              </w:rPr>
            </w:pPr>
          </w:p>
        </w:tc>
        <w:tc>
          <w:tcPr>
            <w:tcW w:w="1051" w:type="dxa"/>
            <w:tcBorders>
              <w:top w:val="single" w:sz="4" w:space="0" w:color="000000" w:themeColor="text1"/>
            </w:tcBorders>
          </w:tcPr>
          <w:p w14:paraId="4E28957D" w14:textId="77777777" w:rsidR="00BF3AC6" w:rsidRPr="004F51D2" w:rsidRDefault="00BF3AC6" w:rsidP="00DC18BE">
            <w:pPr>
              <w:bidi w:val="0"/>
              <w:jc w:val="center"/>
              <w:rPr>
                <w:rFonts w:ascii="Times New Roman" w:eastAsia="Calibri" w:hAnsi="Times New Roman" w:cs="Times New Roman"/>
                <w:color w:val="000000" w:themeColor="text1"/>
                <w:sz w:val="18"/>
                <w:szCs w:val="18"/>
                <w:rtl/>
              </w:rPr>
            </w:pPr>
          </w:p>
        </w:tc>
        <w:tc>
          <w:tcPr>
            <w:tcW w:w="1268" w:type="dxa"/>
            <w:tcBorders>
              <w:top w:val="single" w:sz="4" w:space="0" w:color="000000" w:themeColor="text1"/>
            </w:tcBorders>
          </w:tcPr>
          <w:p w14:paraId="05FBAFF6" w14:textId="532322AF" w:rsidR="00BF3AC6" w:rsidRPr="004F51D2" w:rsidRDefault="00BF3AC6" w:rsidP="00D60E0E">
            <w:pPr>
              <w:bidi w:val="0"/>
              <w:jc w:val="center"/>
              <w:rPr>
                <w:rFonts w:ascii="Times New Roman" w:eastAsia="Calibri" w:hAnsi="Times New Roman" w:cs="Times New Roman"/>
                <w:color w:val="000000" w:themeColor="text1"/>
                <w:sz w:val="18"/>
                <w:szCs w:val="18"/>
              </w:rPr>
            </w:pPr>
            <w:r w:rsidRPr="004F51D2">
              <w:rPr>
                <w:rFonts w:ascii="Times New Roman" w:eastAsia="Calibri" w:hAnsi="Times New Roman" w:cs="Times New Roman"/>
                <w:color w:val="000000" w:themeColor="text1"/>
                <w:sz w:val="18"/>
                <w:szCs w:val="18"/>
              </w:rPr>
              <w:t>0.</w:t>
            </w:r>
            <w:r w:rsidR="00D60E0E" w:rsidRPr="004F51D2">
              <w:rPr>
                <w:rFonts w:ascii="Times New Roman" w:eastAsia="Calibri" w:hAnsi="Times New Roman" w:cs="Times New Roman"/>
                <w:color w:val="000000" w:themeColor="text1"/>
                <w:sz w:val="18"/>
                <w:szCs w:val="18"/>
              </w:rPr>
              <w:t>101</w:t>
            </w:r>
            <w:r w:rsidRPr="004F51D2">
              <w:rPr>
                <w:rFonts w:ascii="Times New Roman" w:eastAsia="Calibri" w:hAnsi="Times New Roman" w:cs="Times New Roman"/>
                <w:color w:val="000000" w:themeColor="text1"/>
                <w:sz w:val="18"/>
                <w:szCs w:val="18"/>
              </w:rPr>
              <w:t>**</w:t>
            </w:r>
          </w:p>
        </w:tc>
        <w:tc>
          <w:tcPr>
            <w:tcW w:w="1694" w:type="dxa"/>
            <w:tcBorders>
              <w:top w:val="single" w:sz="4" w:space="0" w:color="000000" w:themeColor="text1"/>
            </w:tcBorders>
          </w:tcPr>
          <w:p w14:paraId="239A11CA" w14:textId="77777777" w:rsidR="00BF3AC6" w:rsidRPr="004F51D2" w:rsidRDefault="00BF3AC6" w:rsidP="00DC18BE">
            <w:pPr>
              <w:bidi w:val="0"/>
              <w:jc w:val="center"/>
              <w:rPr>
                <w:rFonts w:ascii="Times New Roman" w:eastAsia="Calibri" w:hAnsi="Times New Roman" w:cs="Times New Roman"/>
                <w:color w:val="000000" w:themeColor="text1"/>
                <w:sz w:val="18"/>
                <w:szCs w:val="18"/>
                <w:rtl/>
              </w:rPr>
            </w:pPr>
          </w:p>
        </w:tc>
        <w:tc>
          <w:tcPr>
            <w:tcW w:w="985" w:type="dxa"/>
            <w:tcBorders>
              <w:top w:val="single" w:sz="4" w:space="0" w:color="000000" w:themeColor="text1"/>
            </w:tcBorders>
          </w:tcPr>
          <w:p w14:paraId="68A9264E" w14:textId="77777777" w:rsidR="00BF3AC6" w:rsidRPr="004F51D2" w:rsidRDefault="00BF3AC6" w:rsidP="00DC18BE">
            <w:pPr>
              <w:bidi w:val="0"/>
              <w:jc w:val="center"/>
              <w:rPr>
                <w:rFonts w:ascii="Times New Roman" w:eastAsia="Calibri" w:hAnsi="Times New Roman" w:cs="Times New Roman"/>
                <w:color w:val="000000" w:themeColor="text1"/>
                <w:sz w:val="18"/>
                <w:szCs w:val="18"/>
                <w:rtl/>
              </w:rPr>
            </w:pPr>
          </w:p>
        </w:tc>
      </w:tr>
      <w:tr w:rsidR="00FE6B3F" w:rsidRPr="004F51D2" w14:paraId="02C7BC1D" w14:textId="77777777" w:rsidTr="005D078C">
        <w:tc>
          <w:tcPr>
            <w:tcW w:w="1172" w:type="dxa"/>
            <w:vAlign w:val="center"/>
          </w:tcPr>
          <w:p w14:paraId="04612DF5" w14:textId="0B7F792C" w:rsidR="00FE6B3F" w:rsidRPr="004F51D2" w:rsidRDefault="00FE6B3F" w:rsidP="008644B9">
            <w:pPr>
              <w:bidi w:val="0"/>
              <w:jc w:val="center"/>
              <w:rPr>
                <w:rFonts w:asciiTheme="majorBidi" w:eastAsia="Calibri" w:hAnsiTheme="majorBidi" w:cstheme="majorBidi"/>
                <w:color w:val="000000" w:themeColor="text1"/>
                <w:sz w:val="18"/>
                <w:szCs w:val="18"/>
              </w:rPr>
            </w:pPr>
            <w:r w:rsidRPr="004F51D2">
              <w:rPr>
                <w:rFonts w:asciiTheme="majorBidi" w:hAnsiTheme="majorBidi" w:cstheme="majorBidi"/>
                <w:color w:val="000000"/>
                <w:sz w:val="18"/>
                <w:szCs w:val="18"/>
              </w:rPr>
              <w:t>1.0</w:t>
            </w:r>
            <w:r w:rsidR="008644B9" w:rsidRPr="004F51D2">
              <w:rPr>
                <w:rFonts w:asciiTheme="majorBidi" w:hAnsiTheme="majorBidi" w:cstheme="majorBidi"/>
                <w:color w:val="000000"/>
                <w:sz w:val="18"/>
                <w:szCs w:val="18"/>
              </w:rPr>
              <w:t>2</w:t>
            </w:r>
            <w:r w:rsidRPr="004F51D2">
              <w:rPr>
                <w:rFonts w:asciiTheme="majorBidi" w:hAnsiTheme="majorBidi" w:cstheme="majorBidi"/>
                <w:color w:val="000000"/>
                <w:sz w:val="18"/>
                <w:szCs w:val="18"/>
              </w:rPr>
              <w:t>3</w:t>
            </w:r>
          </w:p>
        </w:tc>
        <w:tc>
          <w:tcPr>
            <w:tcW w:w="1096" w:type="dxa"/>
            <w:vAlign w:val="center"/>
          </w:tcPr>
          <w:p w14:paraId="1F2CBA1E" w14:textId="3C2DA86B" w:rsidR="00FE6B3F" w:rsidRPr="004F51D2" w:rsidRDefault="005D078C" w:rsidP="008644B9">
            <w:pPr>
              <w:bidi w:val="0"/>
              <w:jc w:val="center"/>
              <w:rPr>
                <w:rFonts w:asciiTheme="majorBidi" w:eastAsia="Calibri" w:hAnsiTheme="majorBidi" w:cstheme="majorBidi"/>
                <w:color w:val="000000" w:themeColor="text1"/>
                <w:sz w:val="18"/>
                <w:szCs w:val="18"/>
              </w:rPr>
            </w:pPr>
            <w:r w:rsidRPr="004F51D2">
              <w:rPr>
                <w:rFonts w:asciiTheme="majorBidi" w:hAnsiTheme="majorBidi" w:cstheme="majorBidi"/>
                <w:color w:val="000000"/>
                <w:sz w:val="18"/>
                <w:szCs w:val="18"/>
              </w:rPr>
              <w:t>0</w:t>
            </w:r>
            <w:r w:rsidR="00FE6B3F" w:rsidRPr="004F51D2">
              <w:rPr>
                <w:rFonts w:asciiTheme="majorBidi" w:hAnsiTheme="majorBidi" w:cstheme="majorBidi"/>
                <w:color w:val="000000"/>
                <w:sz w:val="18"/>
                <w:szCs w:val="18"/>
              </w:rPr>
              <w:t>.95</w:t>
            </w:r>
            <w:r w:rsidR="008644B9" w:rsidRPr="004F51D2">
              <w:rPr>
                <w:rFonts w:asciiTheme="majorBidi" w:hAnsiTheme="majorBidi" w:cstheme="majorBidi"/>
                <w:color w:val="000000"/>
                <w:sz w:val="18"/>
                <w:szCs w:val="18"/>
              </w:rPr>
              <w:t>4</w:t>
            </w:r>
          </w:p>
        </w:tc>
        <w:tc>
          <w:tcPr>
            <w:tcW w:w="879" w:type="dxa"/>
            <w:vAlign w:val="center"/>
          </w:tcPr>
          <w:p w14:paraId="11ECC786" w14:textId="53037F6A" w:rsidR="00FE6B3F" w:rsidRPr="004F51D2" w:rsidRDefault="005D078C" w:rsidP="008644B9">
            <w:pPr>
              <w:bidi w:val="0"/>
              <w:jc w:val="center"/>
              <w:rPr>
                <w:rFonts w:asciiTheme="majorBidi" w:eastAsia="Calibri" w:hAnsiTheme="majorBidi" w:cstheme="majorBidi"/>
                <w:color w:val="000000" w:themeColor="text1"/>
                <w:sz w:val="18"/>
                <w:szCs w:val="18"/>
              </w:rPr>
            </w:pPr>
            <w:r w:rsidRPr="004F51D2">
              <w:rPr>
                <w:rFonts w:asciiTheme="majorBidi" w:hAnsiTheme="majorBidi" w:cstheme="majorBidi"/>
                <w:color w:val="000000"/>
                <w:sz w:val="18"/>
                <w:szCs w:val="18"/>
              </w:rPr>
              <w:t>0</w:t>
            </w:r>
            <w:r w:rsidR="00FE6B3F" w:rsidRPr="004F51D2">
              <w:rPr>
                <w:rFonts w:asciiTheme="majorBidi" w:hAnsiTheme="majorBidi" w:cstheme="majorBidi"/>
                <w:color w:val="000000"/>
                <w:sz w:val="18"/>
                <w:szCs w:val="18"/>
              </w:rPr>
              <w:t>.00</w:t>
            </w:r>
            <w:r w:rsidR="008644B9" w:rsidRPr="004F51D2">
              <w:rPr>
                <w:rFonts w:asciiTheme="majorBidi" w:hAnsiTheme="majorBidi" w:cstheme="majorBidi"/>
                <w:color w:val="000000"/>
                <w:sz w:val="18"/>
                <w:szCs w:val="18"/>
              </w:rPr>
              <w:t>5</w:t>
            </w:r>
          </w:p>
        </w:tc>
        <w:tc>
          <w:tcPr>
            <w:tcW w:w="881" w:type="dxa"/>
            <w:vAlign w:val="center"/>
          </w:tcPr>
          <w:p w14:paraId="43AF231E" w14:textId="6152C04C" w:rsidR="00FE6B3F" w:rsidRPr="004F51D2" w:rsidRDefault="00FE6B3F" w:rsidP="008644B9">
            <w:pPr>
              <w:bidi w:val="0"/>
              <w:jc w:val="center"/>
              <w:rPr>
                <w:rFonts w:asciiTheme="majorBidi" w:eastAsia="Calibri" w:hAnsiTheme="majorBidi" w:cstheme="majorBidi"/>
                <w:color w:val="000000" w:themeColor="text1"/>
                <w:sz w:val="18"/>
                <w:szCs w:val="18"/>
              </w:rPr>
            </w:pPr>
            <w:r w:rsidRPr="004F51D2">
              <w:rPr>
                <w:rFonts w:asciiTheme="majorBidi" w:hAnsiTheme="majorBidi" w:cstheme="majorBidi"/>
                <w:color w:val="000000"/>
                <w:sz w:val="18"/>
                <w:szCs w:val="18"/>
              </w:rPr>
              <w:t>-2.</w:t>
            </w:r>
            <w:r w:rsidR="008644B9" w:rsidRPr="004F51D2">
              <w:rPr>
                <w:rFonts w:asciiTheme="majorBidi" w:hAnsiTheme="majorBidi" w:cstheme="majorBidi"/>
                <w:color w:val="000000"/>
                <w:sz w:val="18"/>
                <w:szCs w:val="18"/>
              </w:rPr>
              <w:t>811</w:t>
            </w:r>
          </w:p>
        </w:tc>
        <w:tc>
          <w:tcPr>
            <w:tcW w:w="1051" w:type="dxa"/>
            <w:vAlign w:val="center"/>
          </w:tcPr>
          <w:p w14:paraId="30E2FBA8" w14:textId="152478F5" w:rsidR="00FE6B3F" w:rsidRPr="004F51D2" w:rsidRDefault="00FE6B3F" w:rsidP="008644B9">
            <w:pPr>
              <w:bidi w:val="0"/>
              <w:jc w:val="center"/>
              <w:rPr>
                <w:rFonts w:asciiTheme="majorBidi" w:eastAsia="Calibri" w:hAnsiTheme="majorBidi" w:cstheme="majorBidi"/>
                <w:color w:val="000000" w:themeColor="text1"/>
                <w:sz w:val="18"/>
                <w:szCs w:val="18"/>
              </w:rPr>
            </w:pPr>
            <w:r w:rsidRPr="004F51D2">
              <w:rPr>
                <w:rFonts w:asciiTheme="majorBidi" w:hAnsiTheme="majorBidi" w:cstheme="majorBidi"/>
                <w:color w:val="000000"/>
                <w:sz w:val="18"/>
                <w:szCs w:val="18"/>
              </w:rPr>
              <w:t>-0.1</w:t>
            </w:r>
            <w:r w:rsidR="008644B9" w:rsidRPr="004F51D2">
              <w:rPr>
                <w:rFonts w:asciiTheme="majorBidi" w:hAnsiTheme="majorBidi" w:cstheme="majorBidi"/>
                <w:color w:val="000000"/>
                <w:sz w:val="18"/>
                <w:szCs w:val="18"/>
              </w:rPr>
              <w:t>40</w:t>
            </w:r>
          </w:p>
        </w:tc>
        <w:tc>
          <w:tcPr>
            <w:tcW w:w="1268" w:type="dxa"/>
          </w:tcPr>
          <w:p w14:paraId="0EDD39FF" w14:textId="77777777" w:rsidR="00FE6B3F" w:rsidRPr="004F51D2" w:rsidRDefault="00FE6B3F" w:rsidP="00FE6B3F">
            <w:pPr>
              <w:bidi w:val="0"/>
              <w:jc w:val="center"/>
              <w:rPr>
                <w:rFonts w:ascii="Times New Roman" w:eastAsia="Calibri" w:hAnsi="Times New Roman" w:cs="Times New Roman"/>
                <w:color w:val="000000" w:themeColor="text1"/>
                <w:sz w:val="18"/>
                <w:szCs w:val="18"/>
                <w:rtl/>
              </w:rPr>
            </w:pPr>
          </w:p>
        </w:tc>
        <w:tc>
          <w:tcPr>
            <w:tcW w:w="1694" w:type="dxa"/>
          </w:tcPr>
          <w:p w14:paraId="58069692" w14:textId="4F885C8E" w:rsidR="00FE6B3F" w:rsidRPr="004F51D2" w:rsidRDefault="00395F85" w:rsidP="00FE6B3F">
            <w:pPr>
              <w:bidi w:val="0"/>
              <w:rPr>
                <w:rFonts w:ascii="Times New Roman" w:eastAsia="Calibri" w:hAnsi="Times New Roman" w:cs="Times New Roman"/>
                <w:color w:val="000000" w:themeColor="text1"/>
                <w:sz w:val="18"/>
                <w:szCs w:val="18"/>
              </w:rPr>
            </w:pPr>
            <w:r w:rsidRPr="004F51D2">
              <w:rPr>
                <w:rFonts w:ascii="Times New Roman" w:hAnsi="Times New Roman" w:cs="Times New Roman"/>
                <w:color w:val="000000" w:themeColor="text1"/>
                <w:sz w:val="18"/>
                <w:szCs w:val="18"/>
              </w:rPr>
              <w:t>BFI-E</w:t>
            </w:r>
          </w:p>
        </w:tc>
        <w:tc>
          <w:tcPr>
            <w:tcW w:w="985" w:type="dxa"/>
          </w:tcPr>
          <w:p w14:paraId="0FCB3BF4" w14:textId="77777777" w:rsidR="00FE6B3F" w:rsidRPr="004F51D2" w:rsidRDefault="00FE6B3F" w:rsidP="00FE6B3F">
            <w:pPr>
              <w:bidi w:val="0"/>
              <w:jc w:val="center"/>
              <w:rPr>
                <w:rFonts w:ascii="Times New Roman" w:eastAsia="Calibri" w:hAnsi="Times New Roman" w:cs="Times New Roman"/>
                <w:color w:val="000000" w:themeColor="text1"/>
                <w:sz w:val="18"/>
                <w:szCs w:val="18"/>
              </w:rPr>
            </w:pPr>
            <w:r w:rsidRPr="004F51D2">
              <w:rPr>
                <w:rFonts w:ascii="Times New Roman" w:eastAsia="Calibri" w:hAnsi="Times New Roman" w:cs="Times New Roman"/>
                <w:color w:val="000000" w:themeColor="text1"/>
                <w:sz w:val="18"/>
                <w:szCs w:val="18"/>
              </w:rPr>
              <w:t>Step 1</w:t>
            </w:r>
          </w:p>
        </w:tc>
      </w:tr>
      <w:tr w:rsidR="00FE6B3F" w:rsidRPr="004F51D2" w14:paraId="48F09188" w14:textId="77777777" w:rsidTr="005D078C">
        <w:tc>
          <w:tcPr>
            <w:tcW w:w="1172" w:type="dxa"/>
            <w:vAlign w:val="center"/>
          </w:tcPr>
          <w:p w14:paraId="4388480D" w14:textId="1E0E5577" w:rsidR="00FE6B3F" w:rsidRPr="004F51D2" w:rsidRDefault="00FE6B3F" w:rsidP="008644B9">
            <w:pPr>
              <w:bidi w:val="0"/>
              <w:jc w:val="center"/>
              <w:rPr>
                <w:rFonts w:asciiTheme="majorBidi" w:eastAsia="Calibri" w:hAnsiTheme="majorBidi" w:cstheme="majorBidi"/>
                <w:color w:val="000000" w:themeColor="text1"/>
                <w:sz w:val="18"/>
                <w:szCs w:val="18"/>
              </w:rPr>
            </w:pPr>
            <w:r w:rsidRPr="004F51D2">
              <w:rPr>
                <w:rFonts w:asciiTheme="majorBidi" w:hAnsiTheme="majorBidi" w:cstheme="majorBidi"/>
                <w:color w:val="000000"/>
                <w:sz w:val="18"/>
                <w:szCs w:val="18"/>
              </w:rPr>
              <w:t>1.0</w:t>
            </w:r>
            <w:r w:rsidR="008644B9" w:rsidRPr="004F51D2">
              <w:rPr>
                <w:rFonts w:asciiTheme="majorBidi" w:hAnsiTheme="majorBidi" w:cstheme="majorBidi"/>
                <w:color w:val="000000"/>
                <w:sz w:val="18"/>
                <w:szCs w:val="18"/>
              </w:rPr>
              <w:t>34</w:t>
            </w:r>
          </w:p>
        </w:tc>
        <w:tc>
          <w:tcPr>
            <w:tcW w:w="1096" w:type="dxa"/>
            <w:vAlign w:val="center"/>
          </w:tcPr>
          <w:p w14:paraId="5E40F84F" w14:textId="0A276466" w:rsidR="00FE6B3F" w:rsidRPr="004F51D2" w:rsidRDefault="005D078C" w:rsidP="008644B9">
            <w:pPr>
              <w:bidi w:val="0"/>
              <w:jc w:val="center"/>
              <w:rPr>
                <w:rFonts w:asciiTheme="majorBidi" w:eastAsia="Calibri" w:hAnsiTheme="majorBidi" w:cstheme="majorBidi"/>
                <w:color w:val="000000" w:themeColor="text1"/>
                <w:sz w:val="18"/>
                <w:szCs w:val="18"/>
              </w:rPr>
            </w:pPr>
            <w:r w:rsidRPr="004F51D2">
              <w:rPr>
                <w:rFonts w:asciiTheme="majorBidi" w:hAnsiTheme="majorBidi" w:cstheme="majorBidi"/>
                <w:color w:val="000000"/>
                <w:sz w:val="18"/>
                <w:szCs w:val="18"/>
              </w:rPr>
              <w:t>0</w:t>
            </w:r>
            <w:r w:rsidR="00FE6B3F" w:rsidRPr="004F51D2">
              <w:rPr>
                <w:rFonts w:asciiTheme="majorBidi" w:hAnsiTheme="majorBidi" w:cstheme="majorBidi"/>
                <w:color w:val="000000"/>
                <w:sz w:val="18"/>
                <w:szCs w:val="18"/>
              </w:rPr>
              <w:t>.95</w:t>
            </w:r>
            <w:r w:rsidR="008644B9" w:rsidRPr="004F51D2">
              <w:rPr>
                <w:rFonts w:asciiTheme="majorBidi" w:hAnsiTheme="majorBidi" w:cstheme="majorBidi"/>
                <w:color w:val="000000"/>
                <w:sz w:val="18"/>
                <w:szCs w:val="18"/>
              </w:rPr>
              <w:t>1</w:t>
            </w:r>
          </w:p>
        </w:tc>
        <w:tc>
          <w:tcPr>
            <w:tcW w:w="879" w:type="dxa"/>
            <w:vAlign w:val="center"/>
          </w:tcPr>
          <w:p w14:paraId="7D82DA85" w14:textId="3DA5537D" w:rsidR="00FE6B3F" w:rsidRPr="004F51D2" w:rsidRDefault="00FE6B3F" w:rsidP="00FE6B3F">
            <w:pPr>
              <w:bidi w:val="0"/>
              <w:jc w:val="center"/>
              <w:rPr>
                <w:rFonts w:asciiTheme="majorBidi" w:eastAsia="Calibri" w:hAnsiTheme="majorBidi" w:cstheme="majorBidi"/>
                <w:color w:val="000000" w:themeColor="text1"/>
                <w:sz w:val="18"/>
                <w:szCs w:val="18"/>
              </w:rPr>
            </w:pPr>
            <w:r w:rsidRPr="004F51D2">
              <w:rPr>
                <w:rFonts w:asciiTheme="majorBidi" w:hAnsiTheme="majorBidi" w:cstheme="majorBidi"/>
                <w:color w:val="000000"/>
                <w:sz w:val="18"/>
                <w:szCs w:val="18"/>
              </w:rPr>
              <w:t>0.000</w:t>
            </w:r>
          </w:p>
        </w:tc>
        <w:tc>
          <w:tcPr>
            <w:tcW w:w="881" w:type="dxa"/>
            <w:vAlign w:val="center"/>
          </w:tcPr>
          <w:p w14:paraId="200608C5" w14:textId="7B2CD167" w:rsidR="00FE6B3F" w:rsidRPr="004F51D2" w:rsidRDefault="00FE6B3F" w:rsidP="008644B9">
            <w:pPr>
              <w:bidi w:val="0"/>
              <w:jc w:val="center"/>
              <w:rPr>
                <w:rFonts w:asciiTheme="majorBidi" w:eastAsia="Calibri" w:hAnsiTheme="majorBidi" w:cstheme="majorBidi"/>
                <w:color w:val="000000" w:themeColor="text1"/>
                <w:sz w:val="18"/>
                <w:szCs w:val="18"/>
              </w:rPr>
            </w:pPr>
            <w:r w:rsidRPr="004F51D2">
              <w:rPr>
                <w:rFonts w:asciiTheme="majorBidi" w:hAnsiTheme="majorBidi" w:cstheme="majorBidi"/>
                <w:color w:val="000000"/>
                <w:sz w:val="18"/>
                <w:szCs w:val="18"/>
              </w:rPr>
              <w:t>-3.</w:t>
            </w:r>
            <w:r w:rsidR="008644B9" w:rsidRPr="004F51D2">
              <w:rPr>
                <w:rFonts w:asciiTheme="majorBidi" w:hAnsiTheme="majorBidi" w:cstheme="majorBidi"/>
                <w:color w:val="000000"/>
                <w:sz w:val="18"/>
                <w:szCs w:val="18"/>
              </w:rPr>
              <w:t>714</w:t>
            </w:r>
          </w:p>
        </w:tc>
        <w:tc>
          <w:tcPr>
            <w:tcW w:w="1051" w:type="dxa"/>
            <w:vAlign w:val="center"/>
          </w:tcPr>
          <w:p w14:paraId="228B2923" w14:textId="790D7D84" w:rsidR="00FE6B3F" w:rsidRPr="004F51D2" w:rsidRDefault="00FE6B3F" w:rsidP="008644B9">
            <w:pPr>
              <w:bidi w:val="0"/>
              <w:jc w:val="center"/>
              <w:rPr>
                <w:rFonts w:asciiTheme="majorBidi" w:eastAsia="Calibri" w:hAnsiTheme="majorBidi" w:cstheme="majorBidi"/>
                <w:color w:val="000000" w:themeColor="text1"/>
                <w:sz w:val="18"/>
                <w:szCs w:val="18"/>
              </w:rPr>
            </w:pPr>
            <w:r w:rsidRPr="004F51D2">
              <w:rPr>
                <w:rFonts w:asciiTheme="majorBidi" w:hAnsiTheme="majorBidi" w:cstheme="majorBidi"/>
                <w:color w:val="000000"/>
                <w:sz w:val="18"/>
                <w:szCs w:val="18"/>
              </w:rPr>
              <w:t>-0.1</w:t>
            </w:r>
            <w:r w:rsidR="008644B9" w:rsidRPr="004F51D2">
              <w:rPr>
                <w:rFonts w:asciiTheme="majorBidi" w:hAnsiTheme="majorBidi" w:cstheme="majorBidi"/>
                <w:color w:val="000000"/>
                <w:sz w:val="18"/>
                <w:szCs w:val="18"/>
              </w:rPr>
              <w:t>83</w:t>
            </w:r>
          </w:p>
        </w:tc>
        <w:tc>
          <w:tcPr>
            <w:tcW w:w="1268" w:type="dxa"/>
          </w:tcPr>
          <w:p w14:paraId="4FB5E6B3" w14:textId="77777777" w:rsidR="00FE6B3F" w:rsidRPr="004F51D2" w:rsidRDefault="00FE6B3F" w:rsidP="00FE6B3F">
            <w:pPr>
              <w:bidi w:val="0"/>
              <w:jc w:val="center"/>
              <w:rPr>
                <w:rFonts w:ascii="Times New Roman" w:eastAsia="Calibri" w:hAnsi="Times New Roman" w:cs="Times New Roman"/>
                <w:color w:val="000000" w:themeColor="text1"/>
                <w:sz w:val="18"/>
                <w:szCs w:val="18"/>
                <w:rtl/>
              </w:rPr>
            </w:pPr>
          </w:p>
        </w:tc>
        <w:tc>
          <w:tcPr>
            <w:tcW w:w="1694" w:type="dxa"/>
          </w:tcPr>
          <w:p w14:paraId="106049B5" w14:textId="649485D1" w:rsidR="00FE6B3F" w:rsidRPr="004F51D2" w:rsidRDefault="00395F85" w:rsidP="00395F85">
            <w:pPr>
              <w:bidi w:val="0"/>
              <w:rPr>
                <w:rFonts w:ascii="Times New Roman" w:hAnsi="Times New Roman" w:cs="Times New Roman"/>
                <w:color w:val="000000" w:themeColor="text1"/>
                <w:sz w:val="18"/>
                <w:szCs w:val="18"/>
              </w:rPr>
            </w:pPr>
            <w:r w:rsidRPr="004F51D2">
              <w:rPr>
                <w:rFonts w:ascii="Times New Roman" w:hAnsi="Times New Roman" w:cs="Times New Roman"/>
                <w:color w:val="000000" w:themeColor="text1"/>
                <w:sz w:val="18"/>
                <w:szCs w:val="18"/>
              </w:rPr>
              <w:t>BFI-A</w:t>
            </w:r>
          </w:p>
        </w:tc>
        <w:tc>
          <w:tcPr>
            <w:tcW w:w="985" w:type="dxa"/>
          </w:tcPr>
          <w:p w14:paraId="58F84EB6" w14:textId="77777777" w:rsidR="00FE6B3F" w:rsidRPr="004F51D2" w:rsidRDefault="00FE6B3F" w:rsidP="00FE6B3F">
            <w:pPr>
              <w:bidi w:val="0"/>
              <w:jc w:val="center"/>
              <w:rPr>
                <w:rFonts w:ascii="Times New Roman" w:eastAsia="Calibri" w:hAnsi="Times New Roman" w:cs="Times New Roman"/>
                <w:color w:val="000000" w:themeColor="text1"/>
                <w:sz w:val="18"/>
                <w:szCs w:val="18"/>
                <w:rtl/>
              </w:rPr>
            </w:pPr>
          </w:p>
        </w:tc>
      </w:tr>
      <w:tr w:rsidR="00395F85" w:rsidRPr="004F51D2" w14:paraId="7EA3931E" w14:textId="77777777" w:rsidTr="005D078C">
        <w:tc>
          <w:tcPr>
            <w:tcW w:w="1172" w:type="dxa"/>
            <w:tcBorders>
              <w:bottom w:val="single" w:sz="4" w:space="0" w:color="000000" w:themeColor="text1"/>
            </w:tcBorders>
            <w:vAlign w:val="center"/>
          </w:tcPr>
          <w:p w14:paraId="370C201A" w14:textId="6D5A55A3" w:rsidR="00395F85" w:rsidRPr="004F51D2" w:rsidRDefault="00395F85" w:rsidP="00395F85">
            <w:pPr>
              <w:bidi w:val="0"/>
              <w:jc w:val="center"/>
              <w:rPr>
                <w:rFonts w:asciiTheme="majorBidi" w:eastAsia="Calibri" w:hAnsiTheme="majorBidi" w:cstheme="majorBidi"/>
                <w:color w:val="000000" w:themeColor="text1"/>
                <w:sz w:val="18"/>
                <w:szCs w:val="18"/>
              </w:rPr>
            </w:pPr>
            <w:r w:rsidRPr="004F51D2">
              <w:rPr>
                <w:rFonts w:asciiTheme="majorBidi" w:hAnsiTheme="majorBidi" w:cstheme="majorBidi"/>
                <w:color w:val="000000"/>
                <w:sz w:val="18"/>
                <w:szCs w:val="18"/>
              </w:rPr>
              <w:t>1.012</w:t>
            </w:r>
          </w:p>
        </w:tc>
        <w:tc>
          <w:tcPr>
            <w:tcW w:w="1096" w:type="dxa"/>
            <w:tcBorders>
              <w:bottom w:val="single" w:sz="4" w:space="0" w:color="000000" w:themeColor="text1"/>
            </w:tcBorders>
            <w:vAlign w:val="center"/>
          </w:tcPr>
          <w:p w14:paraId="673866ED" w14:textId="444A5087" w:rsidR="00395F85" w:rsidRPr="004F51D2" w:rsidRDefault="00395F85" w:rsidP="00395F85">
            <w:pPr>
              <w:bidi w:val="0"/>
              <w:jc w:val="center"/>
              <w:rPr>
                <w:rFonts w:asciiTheme="majorBidi" w:eastAsia="Calibri" w:hAnsiTheme="majorBidi" w:cstheme="majorBidi"/>
                <w:color w:val="000000" w:themeColor="text1"/>
                <w:sz w:val="18"/>
                <w:szCs w:val="18"/>
              </w:rPr>
            </w:pPr>
            <w:r w:rsidRPr="004F51D2">
              <w:rPr>
                <w:rFonts w:asciiTheme="majorBidi" w:hAnsiTheme="majorBidi" w:cstheme="majorBidi"/>
                <w:color w:val="000000"/>
                <w:sz w:val="18"/>
                <w:szCs w:val="18"/>
              </w:rPr>
              <w:t>0.980</w:t>
            </w:r>
          </w:p>
        </w:tc>
        <w:tc>
          <w:tcPr>
            <w:tcW w:w="879" w:type="dxa"/>
            <w:tcBorders>
              <w:bottom w:val="single" w:sz="4" w:space="0" w:color="000000" w:themeColor="text1"/>
            </w:tcBorders>
            <w:vAlign w:val="center"/>
          </w:tcPr>
          <w:p w14:paraId="79D177FF" w14:textId="06D98F0E" w:rsidR="00395F85" w:rsidRPr="004F51D2" w:rsidRDefault="00395F85" w:rsidP="00395F85">
            <w:pPr>
              <w:bidi w:val="0"/>
              <w:jc w:val="center"/>
              <w:rPr>
                <w:rFonts w:asciiTheme="majorBidi" w:eastAsia="Calibri" w:hAnsiTheme="majorBidi" w:cstheme="majorBidi"/>
                <w:color w:val="000000" w:themeColor="text1"/>
                <w:sz w:val="18"/>
                <w:szCs w:val="18"/>
              </w:rPr>
            </w:pPr>
            <w:r w:rsidRPr="004F51D2">
              <w:rPr>
                <w:rFonts w:asciiTheme="majorBidi" w:hAnsiTheme="majorBidi" w:cstheme="majorBidi"/>
                <w:color w:val="000000"/>
                <w:sz w:val="18"/>
                <w:szCs w:val="18"/>
              </w:rPr>
              <w:t>0.501</w:t>
            </w:r>
          </w:p>
        </w:tc>
        <w:tc>
          <w:tcPr>
            <w:tcW w:w="881" w:type="dxa"/>
            <w:tcBorders>
              <w:bottom w:val="single" w:sz="4" w:space="0" w:color="000000" w:themeColor="text1"/>
            </w:tcBorders>
            <w:vAlign w:val="center"/>
          </w:tcPr>
          <w:p w14:paraId="73F57309" w14:textId="5E626D60" w:rsidR="00395F85" w:rsidRPr="004F51D2" w:rsidRDefault="00395F85" w:rsidP="00395F85">
            <w:pPr>
              <w:bidi w:val="0"/>
              <w:jc w:val="center"/>
              <w:rPr>
                <w:rFonts w:asciiTheme="majorBidi" w:eastAsia="Calibri" w:hAnsiTheme="majorBidi" w:cstheme="majorBidi"/>
                <w:color w:val="000000" w:themeColor="text1"/>
                <w:sz w:val="18"/>
                <w:szCs w:val="18"/>
              </w:rPr>
            </w:pPr>
            <w:r w:rsidRPr="004F51D2">
              <w:rPr>
                <w:rFonts w:asciiTheme="majorBidi" w:hAnsiTheme="majorBidi" w:cstheme="majorBidi"/>
                <w:color w:val="000000"/>
                <w:sz w:val="18"/>
                <w:szCs w:val="18"/>
              </w:rPr>
              <w:t>-0.573</w:t>
            </w:r>
          </w:p>
        </w:tc>
        <w:tc>
          <w:tcPr>
            <w:tcW w:w="1051" w:type="dxa"/>
            <w:tcBorders>
              <w:bottom w:val="single" w:sz="4" w:space="0" w:color="000000" w:themeColor="text1"/>
            </w:tcBorders>
            <w:vAlign w:val="center"/>
          </w:tcPr>
          <w:p w14:paraId="2A4B14C9" w14:textId="77ED7005" w:rsidR="00395F85" w:rsidRPr="004F51D2" w:rsidRDefault="00395F85" w:rsidP="00395F85">
            <w:pPr>
              <w:bidi w:val="0"/>
              <w:jc w:val="center"/>
              <w:rPr>
                <w:rFonts w:asciiTheme="majorBidi" w:eastAsia="Calibri" w:hAnsiTheme="majorBidi" w:cstheme="majorBidi"/>
                <w:color w:val="000000" w:themeColor="text1"/>
                <w:sz w:val="18"/>
                <w:szCs w:val="18"/>
              </w:rPr>
            </w:pPr>
            <w:r w:rsidRPr="004F51D2">
              <w:rPr>
                <w:rFonts w:asciiTheme="majorBidi" w:hAnsiTheme="majorBidi" w:cstheme="majorBidi"/>
                <w:color w:val="000000"/>
                <w:sz w:val="18"/>
                <w:szCs w:val="18"/>
              </w:rPr>
              <w:t>-0.031</w:t>
            </w:r>
          </w:p>
        </w:tc>
        <w:tc>
          <w:tcPr>
            <w:tcW w:w="1268" w:type="dxa"/>
            <w:tcBorders>
              <w:bottom w:val="single" w:sz="4" w:space="0" w:color="000000" w:themeColor="text1"/>
            </w:tcBorders>
          </w:tcPr>
          <w:p w14:paraId="1D6927E2" w14:textId="77777777" w:rsidR="00395F85" w:rsidRPr="004F51D2" w:rsidRDefault="00395F85" w:rsidP="00395F85">
            <w:pPr>
              <w:bidi w:val="0"/>
              <w:jc w:val="center"/>
              <w:rPr>
                <w:rFonts w:ascii="Times New Roman" w:eastAsia="Calibri" w:hAnsi="Times New Roman" w:cs="Times New Roman"/>
                <w:color w:val="000000" w:themeColor="text1"/>
                <w:sz w:val="18"/>
                <w:szCs w:val="18"/>
                <w:rtl/>
              </w:rPr>
            </w:pPr>
          </w:p>
        </w:tc>
        <w:tc>
          <w:tcPr>
            <w:tcW w:w="1694" w:type="dxa"/>
            <w:tcBorders>
              <w:bottom w:val="single" w:sz="4" w:space="0" w:color="000000" w:themeColor="text1"/>
            </w:tcBorders>
          </w:tcPr>
          <w:p w14:paraId="662BB9CE" w14:textId="2408D4DB" w:rsidR="00395F85" w:rsidRPr="004F51D2" w:rsidRDefault="00395F85" w:rsidP="00395F85">
            <w:pPr>
              <w:bidi w:val="0"/>
              <w:rPr>
                <w:rFonts w:ascii="Times New Roman" w:hAnsi="Times New Roman" w:cs="Times New Roman"/>
                <w:color w:val="000000" w:themeColor="text1"/>
                <w:sz w:val="18"/>
                <w:szCs w:val="18"/>
              </w:rPr>
            </w:pPr>
            <w:r w:rsidRPr="004F51D2">
              <w:rPr>
                <w:rFonts w:ascii="Times New Roman" w:hAnsi="Times New Roman" w:cs="Times New Roman"/>
                <w:color w:val="000000" w:themeColor="text1"/>
                <w:sz w:val="18"/>
                <w:szCs w:val="18"/>
              </w:rPr>
              <w:t>BFI-O</w:t>
            </w:r>
          </w:p>
        </w:tc>
        <w:tc>
          <w:tcPr>
            <w:tcW w:w="985" w:type="dxa"/>
            <w:tcBorders>
              <w:bottom w:val="single" w:sz="4" w:space="0" w:color="000000" w:themeColor="text1"/>
            </w:tcBorders>
          </w:tcPr>
          <w:p w14:paraId="3683F039" w14:textId="77777777" w:rsidR="00395F85" w:rsidRPr="004F51D2" w:rsidRDefault="00395F85" w:rsidP="00395F85">
            <w:pPr>
              <w:bidi w:val="0"/>
              <w:jc w:val="center"/>
              <w:rPr>
                <w:rFonts w:ascii="Times New Roman" w:eastAsia="Calibri" w:hAnsi="Times New Roman" w:cs="Times New Roman"/>
                <w:color w:val="000000" w:themeColor="text1"/>
                <w:sz w:val="18"/>
                <w:szCs w:val="18"/>
                <w:rtl/>
              </w:rPr>
            </w:pPr>
          </w:p>
        </w:tc>
      </w:tr>
      <w:tr w:rsidR="00BF3AC6" w:rsidRPr="004F51D2" w14:paraId="2214BE26" w14:textId="77777777" w:rsidTr="00C42534">
        <w:tc>
          <w:tcPr>
            <w:tcW w:w="1172" w:type="dxa"/>
            <w:tcBorders>
              <w:top w:val="single" w:sz="4" w:space="0" w:color="000000" w:themeColor="text1"/>
            </w:tcBorders>
          </w:tcPr>
          <w:p w14:paraId="500BDA15" w14:textId="77777777" w:rsidR="00BF3AC6" w:rsidRPr="004F51D2" w:rsidRDefault="00BF3AC6" w:rsidP="00DC18BE">
            <w:pPr>
              <w:bidi w:val="0"/>
              <w:jc w:val="center"/>
              <w:rPr>
                <w:rFonts w:asciiTheme="majorBidi" w:eastAsia="Calibri" w:hAnsiTheme="majorBidi" w:cstheme="majorBidi"/>
                <w:color w:val="000000" w:themeColor="text1"/>
                <w:sz w:val="18"/>
                <w:szCs w:val="18"/>
                <w:rtl/>
              </w:rPr>
            </w:pPr>
          </w:p>
        </w:tc>
        <w:tc>
          <w:tcPr>
            <w:tcW w:w="1096" w:type="dxa"/>
            <w:tcBorders>
              <w:top w:val="single" w:sz="4" w:space="0" w:color="000000" w:themeColor="text1"/>
            </w:tcBorders>
          </w:tcPr>
          <w:p w14:paraId="71BA4300" w14:textId="77777777" w:rsidR="00BF3AC6" w:rsidRPr="004F51D2" w:rsidRDefault="00BF3AC6" w:rsidP="00DC18BE">
            <w:pPr>
              <w:bidi w:val="0"/>
              <w:jc w:val="center"/>
              <w:rPr>
                <w:rFonts w:asciiTheme="majorBidi" w:eastAsia="Calibri" w:hAnsiTheme="majorBidi" w:cstheme="majorBidi"/>
                <w:color w:val="000000" w:themeColor="text1"/>
                <w:sz w:val="18"/>
                <w:szCs w:val="18"/>
                <w:rtl/>
              </w:rPr>
            </w:pPr>
          </w:p>
        </w:tc>
        <w:tc>
          <w:tcPr>
            <w:tcW w:w="879" w:type="dxa"/>
            <w:tcBorders>
              <w:top w:val="single" w:sz="4" w:space="0" w:color="000000" w:themeColor="text1"/>
            </w:tcBorders>
          </w:tcPr>
          <w:p w14:paraId="11A93C02" w14:textId="77777777" w:rsidR="00BF3AC6" w:rsidRPr="004F51D2" w:rsidRDefault="00BF3AC6" w:rsidP="00DC18BE">
            <w:pPr>
              <w:bidi w:val="0"/>
              <w:jc w:val="center"/>
              <w:rPr>
                <w:rFonts w:asciiTheme="majorBidi" w:eastAsia="Calibri" w:hAnsiTheme="majorBidi" w:cstheme="majorBidi"/>
                <w:color w:val="000000" w:themeColor="text1"/>
                <w:sz w:val="18"/>
                <w:szCs w:val="18"/>
                <w:rtl/>
              </w:rPr>
            </w:pPr>
          </w:p>
        </w:tc>
        <w:tc>
          <w:tcPr>
            <w:tcW w:w="881" w:type="dxa"/>
            <w:tcBorders>
              <w:top w:val="single" w:sz="4" w:space="0" w:color="000000" w:themeColor="text1"/>
            </w:tcBorders>
          </w:tcPr>
          <w:p w14:paraId="246FC682" w14:textId="77777777" w:rsidR="00BF3AC6" w:rsidRPr="004F51D2" w:rsidRDefault="00BF3AC6" w:rsidP="00DC18BE">
            <w:pPr>
              <w:bidi w:val="0"/>
              <w:jc w:val="center"/>
              <w:rPr>
                <w:rFonts w:asciiTheme="majorBidi" w:eastAsia="Calibri" w:hAnsiTheme="majorBidi" w:cstheme="majorBidi"/>
                <w:color w:val="000000" w:themeColor="text1"/>
                <w:sz w:val="18"/>
                <w:szCs w:val="18"/>
                <w:rtl/>
              </w:rPr>
            </w:pPr>
          </w:p>
        </w:tc>
        <w:tc>
          <w:tcPr>
            <w:tcW w:w="1051" w:type="dxa"/>
            <w:tcBorders>
              <w:top w:val="single" w:sz="4" w:space="0" w:color="000000" w:themeColor="text1"/>
            </w:tcBorders>
          </w:tcPr>
          <w:p w14:paraId="6F1F4264" w14:textId="77777777" w:rsidR="00BF3AC6" w:rsidRPr="004F51D2" w:rsidRDefault="00BF3AC6" w:rsidP="00DC18BE">
            <w:pPr>
              <w:bidi w:val="0"/>
              <w:jc w:val="center"/>
              <w:rPr>
                <w:rFonts w:asciiTheme="majorBidi" w:eastAsia="Calibri" w:hAnsiTheme="majorBidi" w:cstheme="majorBidi"/>
                <w:color w:val="000000" w:themeColor="text1"/>
                <w:sz w:val="18"/>
                <w:szCs w:val="18"/>
                <w:rtl/>
              </w:rPr>
            </w:pPr>
          </w:p>
        </w:tc>
        <w:tc>
          <w:tcPr>
            <w:tcW w:w="1268" w:type="dxa"/>
            <w:tcBorders>
              <w:top w:val="single" w:sz="4" w:space="0" w:color="000000" w:themeColor="text1"/>
            </w:tcBorders>
          </w:tcPr>
          <w:p w14:paraId="1D42D604" w14:textId="20BE5C45" w:rsidR="00BF3AC6" w:rsidRPr="004F51D2" w:rsidRDefault="00BF3AC6" w:rsidP="00D60E0E">
            <w:pPr>
              <w:bidi w:val="0"/>
              <w:jc w:val="center"/>
              <w:rPr>
                <w:rFonts w:ascii="Times New Roman" w:eastAsia="Calibri" w:hAnsi="Times New Roman" w:cs="Times New Roman"/>
                <w:color w:val="000000" w:themeColor="text1"/>
                <w:sz w:val="18"/>
                <w:szCs w:val="18"/>
              </w:rPr>
            </w:pPr>
            <w:r w:rsidRPr="004F51D2">
              <w:rPr>
                <w:rFonts w:ascii="Times New Roman" w:eastAsia="Calibri" w:hAnsi="Times New Roman" w:cs="Times New Roman"/>
                <w:color w:val="000000" w:themeColor="text1"/>
                <w:sz w:val="18"/>
                <w:szCs w:val="18"/>
              </w:rPr>
              <w:t>0.</w:t>
            </w:r>
            <w:r w:rsidR="00CD12F6" w:rsidRPr="004F51D2">
              <w:rPr>
                <w:rFonts w:ascii="Times New Roman" w:eastAsia="Calibri" w:hAnsi="Times New Roman" w:cs="Times New Roman"/>
                <w:color w:val="000000" w:themeColor="text1"/>
                <w:sz w:val="18"/>
                <w:szCs w:val="18"/>
              </w:rPr>
              <w:t>1</w:t>
            </w:r>
            <w:r w:rsidR="00D60E0E" w:rsidRPr="004F51D2">
              <w:rPr>
                <w:rFonts w:ascii="Times New Roman" w:eastAsia="Calibri" w:hAnsi="Times New Roman" w:cs="Times New Roman"/>
                <w:color w:val="000000" w:themeColor="text1"/>
                <w:sz w:val="18"/>
                <w:szCs w:val="18"/>
              </w:rPr>
              <w:t>41</w:t>
            </w:r>
            <w:r w:rsidRPr="004F51D2">
              <w:rPr>
                <w:rFonts w:ascii="Times New Roman" w:eastAsia="Calibri" w:hAnsi="Times New Roman" w:cs="Times New Roman"/>
                <w:color w:val="000000" w:themeColor="text1"/>
                <w:sz w:val="18"/>
                <w:szCs w:val="18"/>
              </w:rPr>
              <w:t>**</w:t>
            </w:r>
          </w:p>
        </w:tc>
        <w:tc>
          <w:tcPr>
            <w:tcW w:w="1694" w:type="dxa"/>
            <w:tcBorders>
              <w:top w:val="single" w:sz="4" w:space="0" w:color="000000" w:themeColor="text1"/>
            </w:tcBorders>
          </w:tcPr>
          <w:p w14:paraId="28190948" w14:textId="77777777" w:rsidR="00BF3AC6" w:rsidRPr="004F51D2" w:rsidRDefault="00BF3AC6" w:rsidP="00DC18BE">
            <w:pPr>
              <w:bidi w:val="0"/>
              <w:jc w:val="center"/>
              <w:rPr>
                <w:rFonts w:ascii="Times New Roman" w:eastAsia="Calibri" w:hAnsi="Times New Roman" w:cs="Times New Roman"/>
                <w:color w:val="000000" w:themeColor="text1"/>
                <w:sz w:val="18"/>
                <w:szCs w:val="18"/>
                <w:rtl/>
              </w:rPr>
            </w:pPr>
          </w:p>
        </w:tc>
        <w:tc>
          <w:tcPr>
            <w:tcW w:w="985" w:type="dxa"/>
            <w:tcBorders>
              <w:top w:val="single" w:sz="4" w:space="0" w:color="000000" w:themeColor="text1"/>
            </w:tcBorders>
          </w:tcPr>
          <w:p w14:paraId="6385E0FA" w14:textId="77777777" w:rsidR="00BF3AC6" w:rsidRPr="004F51D2" w:rsidRDefault="00BF3AC6" w:rsidP="00DC18BE">
            <w:pPr>
              <w:bidi w:val="0"/>
              <w:jc w:val="center"/>
              <w:rPr>
                <w:rFonts w:ascii="Times New Roman" w:eastAsia="Calibri" w:hAnsi="Times New Roman" w:cs="Times New Roman"/>
                <w:color w:val="000000" w:themeColor="text1"/>
                <w:sz w:val="18"/>
                <w:szCs w:val="18"/>
                <w:rtl/>
              </w:rPr>
            </w:pPr>
          </w:p>
        </w:tc>
      </w:tr>
      <w:tr w:rsidR="00395F85" w:rsidRPr="004F51D2" w14:paraId="6D35C24B" w14:textId="77777777" w:rsidTr="005D078C">
        <w:tc>
          <w:tcPr>
            <w:tcW w:w="1172" w:type="dxa"/>
            <w:vAlign w:val="center"/>
          </w:tcPr>
          <w:p w14:paraId="10CF7DCA" w14:textId="64C3A0D3" w:rsidR="00395F85" w:rsidRPr="004F51D2" w:rsidRDefault="00395F85" w:rsidP="00395F85">
            <w:pPr>
              <w:bidi w:val="0"/>
              <w:jc w:val="center"/>
              <w:rPr>
                <w:rFonts w:asciiTheme="majorBidi" w:eastAsia="Calibri" w:hAnsiTheme="majorBidi" w:cstheme="majorBidi"/>
                <w:color w:val="000000" w:themeColor="text1"/>
                <w:sz w:val="18"/>
                <w:szCs w:val="18"/>
              </w:rPr>
            </w:pPr>
            <w:r w:rsidRPr="004F51D2">
              <w:rPr>
                <w:rFonts w:asciiTheme="majorBidi" w:hAnsiTheme="majorBidi" w:cstheme="majorBidi"/>
                <w:color w:val="000000"/>
                <w:sz w:val="18"/>
                <w:szCs w:val="18"/>
              </w:rPr>
              <w:t>1.093</w:t>
            </w:r>
          </w:p>
        </w:tc>
        <w:tc>
          <w:tcPr>
            <w:tcW w:w="1096" w:type="dxa"/>
            <w:vAlign w:val="center"/>
          </w:tcPr>
          <w:p w14:paraId="03197AE3" w14:textId="4DCD7F64" w:rsidR="00395F85" w:rsidRPr="004F51D2" w:rsidRDefault="00395F85" w:rsidP="00395F85">
            <w:pPr>
              <w:bidi w:val="0"/>
              <w:jc w:val="center"/>
              <w:rPr>
                <w:rFonts w:asciiTheme="majorBidi" w:eastAsia="Calibri" w:hAnsiTheme="majorBidi" w:cstheme="majorBidi"/>
                <w:color w:val="000000" w:themeColor="text1"/>
                <w:sz w:val="18"/>
                <w:szCs w:val="18"/>
              </w:rPr>
            </w:pPr>
            <w:r w:rsidRPr="004F51D2">
              <w:rPr>
                <w:rFonts w:asciiTheme="majorBidi" w:hAnsiTheme="majorBidi" w:cstheme="majorBidi"/>
                <w:color w:val="000000"/>
                <w:sz w:val="18"/>
                <w:szCs w:val="18"/>
              </w:rPr>
              <w:t>0.909</w:t>
            </w:r>
          </w:p>
        </w:tc>
        <w:tc>
          <w:tcPr>
            <w:tcW w:w="879" w:type="dxa"/>
            <w:vAlign w:val="center"/>
          </w:tcPr>
          <w:p w14:paraId="038C1B67" w14:textId="77E2B2C3" w:rsidR="00395F85" w:rsidRPr="004F51D2" w:rsidRDefault="00395F85" w:rsidP="00395F85">
            <w:pPr>
              <w:bidi w:val="0"/>
              <w:jc w:val="center"/>
              <w:rPr>
                <w:rFonts w:asciiTheme="majorBidi" w:eastAsia="Calibri" w:hAnsiTheme="majorBidi" w:cstheme="majorBidi"/>
                <w:color w:val="000000" w:themeColor="text1"/>
                <w:sz w:val="18"/>
                <w:szCs w:val="18"/>
              </w:rPr>
            </w:pPr>
            <w:r w:rsidRPr="004F51D2">
              <w:rPr>
                <w:rFonts w:asciiTheme="majorBidi" w:hAnsiTheme="majorBidi" w:cstheme="majorBidi"/>
                <w:color w:val="000000"/>
                <w:sz w:val="18"/>
                <w:szCs w:val="18"/>
              </w:rPr>
              <w:t>0.252</w:t>
            </w:r>
          </w:p>
        </w:tc>
        <w:tc>
          <w:tcPr>
            <w:tcW w:w="881" w:type="dxa"/>
            <w:vAlign w:val="center"/>
          </w:tcPr>
          <w:p w14:paraId="3103F618" w14:textId="0BB435BB" w:rsidR="00395F85" w:rsidRPr="004F51D2" w:rsidRDefault="00395F85" w:rsidP="00395F85">
            <w:pPr>
              <w:bidi w:val="0"/>
              <w:jc w:val="center"/>
              <w:rPr>
                <w:rFonts w:asciiTheme="majorBidi" w:eastAsia="Calibri" w:hAnsiTheme="majorBidi" w:cstheme="majorBidi"/>
                <w:color w:val="000000" w:themeColor="text1"/>
                <w:sz w:val="18"/>
                <w:szCs w:val="18"/>
              </w:rPr>
            </w:pPr>
            <w:r w:rsidRPr="004F51D2">
              <w:rPr>
                <w:rFonts w:asciiTheme="majorBidi" w:hAnsiTheme="majorBidi" w:cstheme="majorBidi"/>
                <w:color w:val="000000"/>
                <w:sz w:val="18"/>
                <w:szCs w:val="18"/>
              </w:rPr>
              <w:t>-1.056</w:t>
            </w:r>
          </w:p>
        </w:tc>
        <w:tc>
          <w:tcPr>
            <w:tcW w:w="1051" w:type="dxa"/>
            <w:vAlign w:val="center"/>
          </w:tcPr>
          <w:p w14:paraId="0004BF9E" w14:textId="0F633C6E" w:rsidR="00395F85" w:rsidRPr="004F51D2" w:rsidRDefault="00395F85" w:rsidP="00395F85">
            <w:pPr>
              <w:bidi w:val="0"/>
              <w:jc w:val="center"/>
              <w:rPr>
                <w:rFonts w:asciiTheme="majorBidi" w:eastAsia="Calibri" w:hAnsiTheme="majorBidi" w:cstheme="majorBidi"/>
                <w:color w:val="000000" w:themeColor="text1"/>
                <w:sz w:val="18"/>
                <w:szCs w:val="18"/>
              </w:rPr>
            </w:pPr>
            <w:r w:rsidRPr="004F51D2">
              <w:rPr>
                <w:rFonts w:asciiTheme="majorBidi" w:hAnsiTheme="majorBidi" w:cstheme="majorBidi"/>
                <w:color w:val="000000"/>
                <w:sz w:val="18"/>
                <w:szCs w:val="18"/>
              </w:rPr>
              <w:t>-0.049</w:t>
            </w:r>
          </w:p>
        </w:tc>
        <w:tc>
          <w:tcPr>
            <w:tcW w:w="1268" w:type="dxa"/>
          </w:tcPr>
          <w:p w14:paraId="5137D0E0" w14:textId="77777777" w:rsidR="00395F85" w:rsidRPr="004F51D2" w:rsidRDefault="00395F85" w:rsidP="00395F85">
            <w:pPr>
              <w:bidi w:val="0"/>
              <w:jc w:val="center"/>
              <w:rPr>
                <w:rFonts w:ascii="Times New Roman" w:eastAsia="Calibri" w:hAnsi="Times New Roman" w:cs="Times New Roman"/>
                <w:color w:val="000000" w:themeColor="text1"/>
                <w:sz w:val="18"/>
                <w:szCs w:val="18"/>
                <w:rtl/>
              </w:rPr>
            </w:pPr>
          </w:p>
        </w:tc>
        <w:tc>
          <w:tcPr>
            <w:tcW w:w="1694" w:type="dxa"/>
          </w:tcPr>
          <w:p w14:paraId="6554F39C" w14:textId="76E28FEF" w:rsidR="00395F85" w:rsidRPr="004F51D2" w:rsidRDefault="00395F85" w:rsidP="00395F85">
            <w:pPr>
              <w:bidi w:val="0"/>
              <w:rPr>
                <w:rFonts w:ascii="Times New Roman" w:eastAsia="Calibri" w:hAnsi="Times New Roman" w:cs="Times New Roman"/>
                <w:color w:val="000000" w:themeColor="text1"/>
                <w:sz w:val="18"/>
                <w:szCs w:val="18"/>
                <w:rtl/>
              </w:rPr>
            </w:pPr>
            <w:r w:rsidRPr="004F51D2">
              <w:rPr>
                <w:rFonts w:ascii="Times New Roman" w:hAnsi="Times New Roman" w:cs="Times New Roman"/>
                <w:color w:val="000000" w:themeColor="text1"/>
                <w:sz w:val="18"/>
                <w:szCs w:val="18"/>
              </w:rPr>
              <w:t>BFI-E</w:t>
            </w:r>
          </w:p>
        </w:tc>
        <w:tc>
          <w:tcPr>
            <w:tcW w:w="985" w:type="dxa"/>
          </w:tcPr>
          <w:p w14:paraId="0712899B" w14:textId="4EDFE11F" w:rsidR="00395F85" w:rsidRPr="004F51D2" w:rsidRDefault="00395F85" w:rsidP="00395F85">
            <w:pPr>
              <w:bidi w:val="0"/>
              <w:jc w:val="center"/>
              <w:rPr>
                <w:rFonts w:ascii="Times New Roman" w:eastAsia="Calibri" w:hAnsi="Times New Roman" w:cs="Times New Roman"/>
                <w:color w:val="000000" w:themeColor="text1"/>
                <w:sz w:val="18"/>
                <w:szCs w:val="18"/>
                <w:rtl/>
              </w:rPr>
            </w:pPr>
            <w:r w:rsidRPr="004F51D2">
              <w:rPr>
                <w:rFonts w:ascii="Times New Roman" w:eastAsia="Calibri" w:hAnsi="Times New Roman" w:cs="Times New Roman"/>
                <w:color w:val="000000" w:themeColor="text1"/>
                <w:sz w:val="18"/>
                <w:szCs w:val="18"/>
              </w:rPr>
              <w:t>Step 2</w:t>
            </w:r>
          </w:p>
        </w:tc>
      </w:tr>
      <w:tr w:rsidR="00395F85" w:rsidRPr="004F51D2" w14:paraId="371D749A" w14:textId="77777777" w:rsidTr="005D078C">
        <w:tc>
          <w:tcPr>
            <w:tcW w:w="1172" w:type="dxa"/>
            <w:vAlign w:val="center"/>
          </w:tcPr>
          <w:p w14:paraId="426B9FEC" w14:textId="47394F94" w:rsidR="00395F85" w:rsidRPr="004F51D2" w:rsidRDefault="00395F85" w:rsidP="00395F85">
            <w:pPr>
              <w:bidi w:val="0"/>
              <w:jc w:val="center"/>
              <w:rPr>
                <w:rFonts w:asciiTheme="majorBidi" w:eastAsia="Calibri" w:hAnsiTheme="majorBidi" w:cstheme="majorBidi"/>
                <w:color w:val="000000" w:themeColor="text1"/>
                <w:sz w:val="18"/>
                <w:szCs w:val="18"/>
              </w:rPr>
            </w:pPr>
            <w:r w:rsidRPr="004F51D2">
              <w:rPr>
                <w:rFonts w:asciiTheme="majorBidi" w:hAnsiTheme="majorBidi" w:cstheme="majorBidi"/>
                <w:color w:val="000000"/>
                <w:sz w:val="18"/>
                <w:szCs w:val="18"/>
              </w:rPr>
              <w:t>1.092</w:t>
            </w:r>
          </w:p>
        </w:tc>
        <w:tc>
          <w:tcPr>
            <w:tcW w:w="1096" w:type="dxa"/>
            <w:vAlign w:val="center"/>
          </w:tcPr>
          <w:p w14:paraId="35E2F122" w14:textId="0B3AC5D5" w:rsidR="00395F85" w:rsidRPr="004F51D2" w:rsidRDefault="00395F85" w:rsidP="00395F85">
            <w:pPr>
              <w:bidi w:val="0"/>
              <w:jc w:val="center"/>
              <w:rPr>
                <w:rFonts w:asciiTheme="majorBidi" w:eastAsia="Calibri" w:hAnsiTheme="majorBidi" w:cstheme="majorBidi"/>
                <w:color w:val="000000" w:themeColor="text1"/>
                <w:sz w:val="18"/>
                <w:szCs w:val="18"/>
              </w:rPr>
            </w:pPr>
            <w:r w:rsidRPr="004F51D2">
              <w:rPr>
                <w:rFonts w:asciiTheme="majorBidi" w:hAnsiTheme="majorBidi" w:cstheme="majorBidi"/>
                <w:color w:val="000000"/>
                <w:sz w:val="18"/>
                <w:szCs w:val="18"/>
              </w:rPr>
              <w:t>0.907</w:t>
            </w:r>
          </w:p>
        </w:tc>
        <w:tc>
          <w:tcPr>
            <w:tcW w:w="879" w:type="dxa"/>
            <w:vAlign w:val="center"/>
          </w:tcPr>
          <w:p w14:paraId="5E497B5E" w14:textId="0FA3ECED" w:rsidR="00395F85" w:rsidRPr="004F51D2" w:rsidRDefault="00395F85" w:rsidP="00395F85">
            <w:pPr>
              <w:bidi w:val="0"/>
              <w:jc w:val="center"/>
              <w:rPr>
                <w:rFonts w:asciiTheme="majorBidi" w:eastAsia="Calibri" w:hAnsiTheme="majorBidi" w:cstheme="majorBidi"/>
                <w:color w:val="000000" w:themeColor="text1"/>
                <w:sz w:val="18"/>
                <w:szCs w:val="18"/>
              </w:rPr>
            </w:pPr>
            <w:r w:rsidRPr="004F51D2">
              <w:rPr>
                <w:rFonts w:asciiTheme="majorBidi" w:hAnsiTheme="majorBidi" w:cstheme="majorBidi"/>
                <w:color w:val="000000"/>
                <w:sz w:val="18"/>
                <w:szCs w:val="18"/>
              </w:rPr>
              <w:t>0.019</w:t>
            </w:r>
          </w:p>
        </w:tc>
        <w:tc>
          <w:tcPr>
            <w:tcW w:w="881" w:type="dxa"/>
            <w:vAlign w:val="center"/>
          </w:tcPr>
          <w:p w14:paraId="440EB311" w14:textId="0DDBA73E" w:rsidR="00395F85" w:rsidRPr="004F51D2" w:rsidRDefault="00395F85" w:rsidP="00395F85">
            <w:pPr>
              <w:bidi w:val="0"/>
              <w:jc w:val="center"/>
              <w:rPr>
                <w:rFonts w:asciiTheme="majorBidi" w:eastAsia="Calibri" w:hAnsiTheme="majorBidi" w:cstheme="majorBidi"/>
                <w:color w:val="000000" w:themeColor="text1"/>
                <w:sz w:val="18"/>
                <w:szCs w:val="18"/>
              </w:rPr>
            </w:pPr>
            <w:r w:rsidRPr="004F51D2">
              <w:rPr>
                <w:rFonts w:asciiTheme="majorBidi" w:hAnsiTheme="majorBidi" w:cstheme="majorBidi"/>
                <w:color w:val="000000"/>
                <w:sz w:val="18"/>
                <w:szCs w:val="18"/>
              </w:rPr>
              <w:t>-2.251</w:t>
            </w:r>
          </w:p>
        </w:tc>
        <w:tc>
          <w:tcPr>
            <w:tcW w:w="1051" w:type="dxa"/>
            <w:vAlign w:val="center"/>
          </w:tcPr>
          <w:p w14:paraId="02F87EED" w14:textId="2F7B680D" w:rsidR="00395F85" w:rsidRPr="004F51D2" w:rsidRDefault="00395F85" w:rsidP="00395F85">
            <w:pPr>
              <w:bidi w:val="0"/>
              <w:jc w:val="center"/>
              <w:rPr>
                <w:rFonts w:asciiTheme="majorBidi" w:eastAsia="Calibri" w:hAnsiTheme="majorBidi" w:cstheme="majorBidi"/>
                <w:color w:val="000000" w:themeColor="text1"/>
                <w:sz w:val="18"/>
                <w:szCs w:val="18"/>
              </w:rPr>
            </w:pPr>
            <w:r w:rsidRPr="004F51D2">
              <w:rPr>
                <w:rFonts w:asciiTheme="majorBidi" w:hAnsiTheme="majorBidi" w:cstheme="majorBidi"/>
                <w:color w:val="000000"/>
                <w:sz w:val="18"/>
                <w:szCs w:val="18"/>
              </w:rPr>
              <w:t>-0.113</w:t>
            </w:r>
          </w:p>
        </w:tc>
        <w:tc>
          <w:tcPr>
            <w:tcW w:w="1268" w:type="dxa"/>
          </w:tcPr>
          <w:p w14:paraId="122A0538" w14:textId="77777777" w:rsidR="00395F85" w:rsidRPr="004F51D2" w:rsidRDefault="00395F85" w:rsidP="00395F85">
            <w:pPr>
              <w:bidi w:val="0"/>
              <w:jc w:val="center"/>
              <w:rPr>
                <w:rFonts w:ascii="Times New Roman" w:eastAsia="Calibri" w:hAnsi="Times New Roman" w:cs="Times New Roman"/>
                <w:color w:val="000000" w:themeColor="text1"/>
                <w:sz w:val="18"/>
                <w:szCs w:val="18"/>
                <w:rtl/>
              </w:rPr>
            </w:pPr>
          </w:p>
        </w:tc>
        <w:tc>
          <w:tcPr>
            <w:tcW w:w="1694" w:type="dxa"/>
          </w:tcPr>
          <w:p w14:paraId="7116F4E2" w14:textId="067BDB59" w:rsidR="00395F85" w:rsidRPr="004F51D2" w:rsidRDefault="00395F85" w:rsidP="00395F85">
            <w:pPr>
              <w:bidi w:val="0"/>
              <w:rPr>
                <w:rFonts w:ascii="Times New Roman" w:eastAsia="Calibri" w:hAnsi="Times New Roman" w:cs="Times New Roman"/>
                <w:color w:val="000000" w:themeColor="text1"/>
                <w:sz w:val="18"/>
                <w:szCs w:val="18"/>
                <w:rtl/>
              </w:rPr>
            </w:pPr>
            <w:r w:rsidRPr="004F51D2">
              <w:rPr>
                <w:rFonts w:ascii="Times New Roman" w:hAnsi="Times New Roman" w:cs="Times New Roman"/>
                <w:color w:val="000000" w:themeColor="text1"/>
                <w:sz w:val="18"/>
                <w:szCs w:val="18"/>
              </w:rPr>
              <w:t>BFI-A</w:t>
            </w:r>
          </w:p>
        </w:tc>
        <w:tc>
          <w:tcPr>
            <w:tcW w:w="985" w:type="dxa"/>
          </w:tcPr>
          <w:p w14:paraId="18BD7425" w14:textId="60FFC2C5" w:rsidR="00395F85" w:rsidRPr="004F51D2" w:rsidRDefault="00395F85" w:rsidP="00395F85">
            <w:pPr>
              <w:bidi w:val="0"/>
              <w:jc w:val="center"/>
              <w:rPr>
                <w:rFonts w:ascii="Times New Roman" w:eastAsia="Calibri" w:hAnsi="Times New Roman" w:cs="Times New Roman"/>
                <w:color w:val="000000" w:themeColor="text1"/>
                <w:sz w:val="18"/>
                <w:szCs w:val="18"/>
              </w:rPr>
            </w:pPr>
          </w:p>
        </w:tc>
      </w:tr>
      <w:tr w:rsidR="00395F85" w:rsidRPr="004F51D2" w14:paraId="07637AFE" w14:textId="77777777" w:rsidTr="005D078C">
        <w:tc>
          <w:tcPr>
            <w:tcW w:w="1172" w:type="dxa"/>
            <w:vAlign w:val="center"/>
          </w:tcPr>
          <w:p w14:paraId="688B5DEB" w14:textId="02989FDE" w:rsidR="00395F85" w:rsidRPr="004F51D2" w:rsidRDefault="00395F85" w:rsidP="00395F85">
            <w:pPr>
              <w:bidi w:val="0"/>
              <w:jc w:val="center"/>
              <w:rPr>
                <w:rFonts w:asciiTheme="majorBidi" w:eastAsia="Calibri" w:hAnsiTheme="majorBidi" w:cstheme="majorBidi"/>
                <w:color w:val="000000" w:themeColor="text1"/>
                <w:sz w:val="18"/>
                <w:szCs w:val="18"/>
              </w:rPr>
            </w:pPr>
            <w:r w:rsidRPr="004F51D2">
              <w:rPr>
                <w:rFonts w:asciiTheme="majorBidi" w:hAnsiTheme="majorBidi" w:cstheme="majorBidi"/>
                <w:color w:val="000000"/>
                <w:sz w:val="18"/>
                <w:szCs w:val="18"/>
              </w:rPr>
              <w:t>1.022</w:t>
            </w:r>
          </w:p>
        </w:tc>
        <w:tc>
          <w:tcPr>
            <w:tcW w:w="1096" w:type="dxa"/>
            <w:vAlign w:val="center"/>
          </w:tcPr>
          <w:p w14:paraId="459EFA94" w14:textId="26B339E7" w:rsidR="00395F85" w:rsidRPr="004F51D2" w:rsidRDefault="00395F85" w:rsidP="00395F85">
            <w:pPr>
              <w:bidi w:val="0"/>
              <w:jc w:val="center"/>
              <w:rPr>
                <w:rFonts w:asciiTheme="majorBidi" w:eastAsia="Calibri" w:hAnsiTheme="majorBidi" w:cstheme="majorBidi"/>
                <w:color w:val="000000" w:themeColor="text1"/>
                <w:sz w:val="18"/>
                <w:szCs w:val="18"/>
              </w:rPr>
            </w:pPr>
            <w:r w:rsidRPr="004F51D2">
              <w:rPr>
                <w:rFonts w:asciiTheme="majorBidi" w:hAnsiTheme="majorBidi" w:cstheme="majorBidi"/>
                <w:color w:val="000000"/>
                <w:sz w:val="18"/>
                <w:szCs w:val="18"/>
              </w:rPr>
              <w:t>0.967</w:t>
            </w:r>
          </w:p>
        </w:tc>
        <w:tc>
          <w:tcPr>
            <w:tcW w:w="879" w:type="dxa"/>
            <w:vAlign w:val="center"/>
          </w:tcPr>
          <w:p w14:paraId="7EFFE36B" w14:textId="07B23E32" w:rsidR="00395F85" w:rsidRPr="004F51D2" w:rsidRDefault="00395F85" w:rsidP="00395F85">
            <w:pPr>
              <w:bidi w:val="0"/>
              <w:jc w:val="center"/>
              <w:rPr>
                <w:rFonts w:asciiTheme="majorBidi" w:eastAsia="Calibri" w:hAnsiTheme="majorBidi" w:cstheme="majorBidi"/>
                <w:color w:val="000000" w:themeColor="text1"/>
                <w:sz w:val="18"/>
                <w:szCs w:val="18"/>
              </w:rPr>
            </w:pPr>
            <w:r w:rsidRPr="004F51D2">
              <w:rPr>
                <w:rFonts w:asciiTheme="majorBidi" w:hAnsiTheme="majorBidi" w:cstheme="majorBidi"/>
                <w:color w:val="000000"/>
                <w:sz w:val="18"/>
                <w:szCs w:val="18"/>
              </w:rPr>
              <w:t>0.771</w:t>
            </w:r>
          </w:p>
        </w:tc>
        <w:tc>
          <w:tcPr>
            <w:tcW w:w="881" w:type="dxa"/>
            <w:vAlign w:val="center"/>
          </w:tcPr>
          <w:p w14:paraId="39C4700A" w14:textId="766D3309" w:rsidR="00395F85" w:rsidRPr="004F51D2" w:rsidRDefault="00395F85" w:rsidP="00395F85">
            <w:pPr>
              <w:bidi w:val="0"/>
              <w:jc w:val="center"/>
              <w:rPr>
                <w:rFonts w:asciiTheme="majorBidi" w:eastAsia="Calibri" w:hAnsiTheme="majorBidi" w:cstheme="majorBidi"/>
                <w:color w:val="000000" w:themeColor="text1"/>
                <w:sz w:val="18"/>
                <w:szCs w:val="18"/>
              </w:rPr>
            </w:pPr>
            <w:r w:rsidRPr="004F51D2">
              <w:rPr>
                <w:rFonts w:asciiTheme="majorBidi" w:hAnsiTheme="majorBidi" w:cstheme="majorBidi"/>
                <w:color w:val="000000"/>
                <w:sz w:val="18"/>
                <w:szCs w:val="18"/>
              </w:rPr>
              <w:t>-0.263</w:t>
            </w:r>
          </w:p>
        </w:tc>
        <w:tc>
          <w:tcPr>
            <w:tcW w:w="1051" w:type="dxa"/>
            <w:vAlign w:val="center"/>
          </w:tcPr>
          <w:p w14:paraId="400B0653" w14:textId="05520A30" w:rsidR="00395F85" w:rsidRPr="004F51D2" w:rsidRDefault="00395F85" w:rsidP="00395F85">
            <w:pPr>
              <w:bidi w:val="0"/>
              <w:jc w:val="center"/>
              <w:rPr>
                <w:rFonts w:asciiTheme="majorBidi" w:eastAsia="Calibri" w:hAnsiTheme="majorBidi" w:cstheme="majorBidi"/>
                <w:color w:val="000000" w:themeColor="text1"/>
                <w:sz w:val="18"/>
                <w:szCs w:val="18"/>
              </w:rPr>
            </w:pPr>
            <w:r w:rsidRPr="004F51D2">
              <w:rPr>
                <w:rFonts w:asciiTheme="majorBidi" w:hAnsiTheme="majorBidi" w:cstheme="majorBidi"/>
                <w:color w:val="000000"/>
                <w:sz w:val="18"/>
                <w:szCs w:val="18"/>
              </w:rPr>
              <w:t>-0.021</w:t>
            </w:r>
          </w:p>
        </w:tc>
        <w:tc>
          <w:tcPr>
            <w:tcW w:w="1268" w:type="dxa"/>
          </w:tcPr>
          <w:p w14:paraId="01FE7E11" w14:textId="77777777" w:rsidR="00395F85" w:rsidRPr="004F51D2" w:rsidRDefault="00395F85" w:rsidP="00395F85">
            <w:pPr>
              <w:bidi w:val="0"/>
              <w:jc w:val="center"/>
              <w:rPr>
                <w:rFonts w:ascii="Times New Roman" w:eastAsia="Calibri" w:hAnsi="Times New Roman" w:cs="Times New Roman"/>
                <w:color w:val="000000" w:themeColor="text1"/>
                <w:sz w:val="18"/>
                <w:szCs w:val="18"/>
                <w:rtl/>
              </w:rPr>
            </w:pPr>
          </w:p>
        </w:tc>
        <w:tc>
          <w:tcPr>
            <w:tcW w:w="1694" w:type="dxa"/>
          </w:tcPr>
          <w:p w14:paraId="1B36F279" w14:textId="3C1EE34E" w:rsidR="00395F85" w:rsidRPr="004F51D2" w:rsidRDefault="00395F85" w:rsidP="00395F85">
            <w:pPr>
              <w:bidi w:val="0"/>
              <w:rPr>
                <w:rFonts w:ascii="Times New Roman" w:eastAsia="Calibri" w:hAnsi="Times New Roman" w:cs="Times New Roman"/>
                <w:color w:val="000000" w:themeColor="text1"/>
                <w:sz w:val="18"/>
                <w:szCs w:val="18"/>
              </w:rPr>
            </w:pPr>
            <w:r w:rsidRPr="004F51D2">
              <w:rPr>
                <w:rFonts w:ascii="Times New Roman" w:hAnsi="Times New Roman" w:cs="Times New Roman"/>
                <w:color w:val="000000" w:themeColor="text1"/>
                <w:sz w:val="18"/>
                <w:szCs w:val="18"/>
              </w:rPr>
              <w:t>BFI-O</w:t>
            </w:r>
          </w:p>
        </w:tc>
        <w:tc>
          <w:tcPr>
            <w:tcW w:w="985" w:type="dxa"/>
          </w:tcPr>
          <w:p w14:paraId="2600CA74" w14:textId="77777777" w:rsidR="00395F85" w:rsidRPr="004F51D2" w:rsidRDefault="00395F85" w:rsidP="00395F85">
            <w:pPr>
              <w:bidi w:val="0"/>
              <w:jc w:val="center"/>
              <w:rPr>
                <w:rFonts w:ascii="Times New Roman" w:eastAsia="Calibri" w:hAnsi="Times New Roman" w:cs="Times New Roman"/>
                <w:color w:val="000000" w:themeColor="text1"/>
                <w:sz w:val="18"/>
                <w:szCs w:val="18"/>
                <w:rtl/>
              </w:rPr>
            </w:pPr>
          </w:p>
        </w:tc>
      </w:tr>
      <w:tr w:rsidR="00FE6B3F" w:rsidRPr="004F51D2" w14:paraId="5FB85514" w14:textId="77777777" w:rsidTr="005D078C">
        <w:tc>
          <w:tcPr>
            <w:tcW w:w="1172" w:type="dxa"/>
            <w:vAlign w:val="center"/>
          </w:tcPr>
          <w:p w14:paraId="1A93F4D0" w14:textId="7A6C9957" w:rsidR="00FE6B3F" w:rsidRPr="004F51D2" w:rsidRDefault="00FE6B3F" w:rsidP="0039306C">
            <w:pPr>
              <w:bidi w:val="0"/>
              <w:jc w:val="center"/>
              <w:rPr>
                <w:rFonts w:asciiTheme="majorBidi" w:eastAsia="Calibri" w:hAnsiTheme="majorBidi" w:cstheme="majorBidi"/>
                <w:color w:val="000000" w:themeColor="text1"/>
                <w:sz w:val="18"/>
                <w:szCs w:val="18"/>
              </w:rPr>
            </w:pPr>
            <w:r w:rsidRPr="004F51D2">
              <w:rPr>
                <w:rFonts w:asciiTheme="majorBidi" w:hAnsiTheme="majorBidi" w:cstheme="majorBidi"/>
                <w:color w:val="000000"/>
                <w:sz w:val="18"/>
                <w:szCs w:val="18"/>
              </w:rPr>
              <w:t>2.64</w:t>
            </w:r>
            <w:r w:rsidR="0039306C" w:rsidRPr="004F51D2">
              <w:rPr>
                <w:rFonts w:asciiTheme="majorBidi" w:hAnsiTheme="majorBidi" w:cstheme="majorBidi"/>
                <w:color w:val="000000"/>
                <w:sz w:val="18"/>
                <w:szCs w:val="18"/>
              </w:rPr>
              <w:t>2</w:t>
            </w:r>
          </w:p>
        </w:tc>
        <w:tc>
          <w:tcPr>
            <w:tcW w:w="1096" w:type="dxa"/>
            <w:vAlign w:val="center"/>
          </w:tcPr>
          <w:p w14:paraId="39239998" w14:textId="2ECC77C3" w:rsidR="00FE6B3F" w:rsidRPr="004F51D2" w:rsidRDefault="005D078C" w:rsidP="0039306C">
            <w:pPr>
              <w:bidi w:val="0"/>
              <w:jc w:val="center"/>
              <w:rPr>
                <w:rFonts w:asciiTheme="majorBidi" w:eastAsia="Calibri" w:hAnsiTheme="majorBidi" w:cstheme="majorBidi"/>
                <w:color w:val="000000" w:themeColor="text1"/>
                <w:sz w:val="18"/>
                <w:szCs w:val="18"/>
              </w:rPr>
            </w:pPr>
            <w:r w:rsidRPr="004F51D2">
              <w:rPr>
                <w:rFonts w:asciiTheme="majorBidi" w:hAnsiTheme="majorBidi" w:cstheme="majorBidi"/>
                <w:color w:val="000000"/>
                <w:sz w:val="18"/>
                <w:szCs w:val="18"/>
              </w:rPr>
              <w:t>0</w:t>
            </w:r>
            <w:r w:rsidR="00FE6B3F" w:rsidRPr="004F51D2">
              <w:rPr>
                <w:rFonts w:asciiTheme="majorBidi" w:hAnsiTheme="majorBidi" w:cstheme="majorBidi"/>
                <w:color w:val="000000"/>
                <w:sz w:val="18"/>
                <w:szCs w:val="18"/>
              </w:rPr>
              <w:t>.37</w:t>
            </w:r>
            <w:r w:rsidR="0039306C" w:rsidRPr="004F51D2">
              <w:rPr>
                <w:rFonts w:asciiTheme="majorBidi" w:hAnsiTheme="majorBidi" w:cstheme="majorBidi"/>
                <w:color w:val="000000"/>
                <w:sz w:val="18"/>
                <w:szCs w:val="18"/>
              </w:rPr>
              <w:t>7</w:t>
            </w:r>
          </w:p>
        </w:tc>
        <w:tc>
          <w:tcPr>
            <w:tcW w:w="879" w:type="dxa"/>
            <w:vAlign w:val="center"/>
          </w:tcPr>
          <w:p w14:paraId="25C82161" w14:textId="03C0A96F" w:rsidR="00FE6B3F" w:rsidRPr="004F51D2" w:rsidRDefault="005D078C" w:rsidP="0039306C">
            <w:pPr>
              <w:bidi w:val="0"/>
              <w:jc w:val="center"/>
              <w:rPr>
                <w:rFonts w:asciiTheme="majorBidi" w:eastAsia="Calibri" w:hAnsiTheme="majorBidi" w:cstheme="majorBidi"/>
                <w:color w:val="000000" w:themeColor="text1"/>
                <w:sz w:val="18"/>
                <w:szCs w:val="18"/>
              </w:rPr>
            </w:pPr>
            <w:r w:rsidRPr="004F51D2">
              <w:rPr>
                <w:rFonts w:asciiTheme="majorBidi" w:hAnsiTheme="majorBidi" w:cstheme="majorBidi"/>
                <w:color w:val="000000"/>
                <w:sz w:val="18"/>
                <w:szCs w:val="18"/>
              </w:rPr>
              <w:t>0</w:t>
            </w:r>
            <w:r w:rsidR="00FE6B3F" w:rsidRPr="004F51D2">
              <w:rPr>
                <w:rFonts w:asciiTheme="majorBidi" w:hAnsiTheme="majorBidi" w:cstheme="majorBidi"/>
                <w:color w:val="000000"/>
                <w:sz w:val="18"/>
                <w:szCs w:val="18"/>
              </w:rPr>
              <w:t>.00</w:t>
            </w:r>
            <w:r w:rsidR="0039306C" w:rsidRPr="004F51D2">
              <w:rPr>
                <w:rFonts w:asciiTheme="majorBidi" w:hAnsiTheme="majorBidi" w:cstheme="majorBidi"/>
                <w:color w:val="000000"/>
                <w:sz w:val="18"/>
                <w:szCs w:val="18"/>
              </w:rPr>
              <w:t>5</w:t>
            </w:r>
          </w:p>
        </w:tc>
        <w:tc>
          <w:tcPr>
            <w:tcW w:w="881" w:type="dxa"/>
            <w:vAlign w:val="center"/>
          </w:tcPr>
          <w:p w14:paraId="09B552D2" w14:textId="6600938E" w:rsidR="00FE6B3F" w:rsidRPr="004F51D2" w:rsidRDefault="00FE6B3F" w:rsidP="0039306C">
            <w:pPr>
              <w:bidi w:val="0"/>
              <w:jc w:val="center"/>
              <w:rPr>
                <w:rFonts w:asciiTheme="majorBidi" w:eastAsia="Calibri" w:hAnsiTheme="majorBidi" w:cstheme="majorBidi"/>
                <w:color w:val="000000" w:themeColor="text1"/>
                <w:sz w:val="18"/>
                <w:szCs w:val="18"/>
              </w:rPr>
            </w:pPr>
            <w:r w:rsidRPr="004F51D2">
              <w:rPr>
                <w:rFonts w:asciiTheme="majorBidi" w:hAnsiTheme="majorBidi" w:cstheme="majorBidi"/>
                <w:color w:val="000000"/>
                <w:sz w:val="18"/>
                <w:szCs w:val="18"/>
              </w:rPr>
              <w:t>2.7</w:t>
            </w:r>
            <w:r w:rsidR="0039306C" w:rsidRPr="004F51D2">
              <w:rPr>
                <w:rFonts w:asciiTheme="majorBidi" w:hAnsiTheme="majorBidi" w:cstheme="majorBidi"/>
                <w:color w:val="000000"/>
                <w:sz w:val="18"/>
                <w:szCs w:val="18"/>
              </w:rPr>
              <w:t>80</w:t>
            </w:r>
          </w:p>
        </w:tc>
        <w:tc>
          <w:tcPr>
            <w:tcW w:w="1051" w:type="dxa"/>
            <w:vAlign w:val="center"/>
          </w:tcPr>
          <w:p w14:paraId="0C36E7D5" w14:textId="7BF77E38" w:rsidR="00FE6B3F" w:rsidRPr="004F51D2" w:rsidRDefault="00FE6B3F" w:rsidP="0039306C">
            <w:pPr>
              <w:bidi w:val="0"/>
              <w:jc w:val="center"/>
              <w:rPr>
                <w:rFonts w:asciiTheme="majorBidi" w:eastAsia="Calibri" w:hAnsiTheme="majorBidi" w:cstheme="majorBidi"/>
                <w:color w:val="000000" w:themeColor="text1"/>
                <w:sz w:val="18"/>
                <w:szCs w:val="18"/>
              </w:rPr>
            </w:pPr>
            <w:r w:rsidRPr="004F51D2">
              <w:rPr>
                <w:rFonts w:asciiTheme="majorBidi" w:hAnsiTheme="majorBidi" w:cstheme="majorBidi"/>
                <w:color w:val="000000"/>
                <w:sz w:val="18"/>
                <w:szCs w:val="18"/>
              </w:rPr>
              <w:t>0.19</w:t>
            </w:r>
            <w:r w:rsidR="0039306C" w:rsidRPr="004F51D2">
              <w:rPr>
                <w:rFonts w:asciiTheme="majorBidi" w:hAnsiTheme="majorBidi" w:cstheme="majorBidi"/>
                <w:color w:val="000000"/>
                <w:sz w:val="18"/>
                <w:szCs w:val="18"/>
              </w:rPr>
              <w:t>2</w:t>
            </w:r>
          </w:p>
        </w:tc>
        <w:tc>
          <w:tcPr>
            <w:tcW w:w="1268" w:type="dxa"/>
          </w:tcPr>
          <w:p w14:paraId="316889EE" w14:textId="77777777" w:rsidR="00FE6B3F" w:rsidRPr="004F51D2" w:rsidRDefault="00FE6B3F" w:rsidP="00FE6B3F">
            <w:pPr>
              <w:bidi w:val="0"/>
              <w:jc w:val="center"/>
              <w:rPr>
                <w:rFonts w:ascii="Times New Roman" w:eastAsia="Calibri" w:hAnsi="Times New Roman" w:cs="Times New Roman"/>
                <w:color w:val="000000" w:themeColor="text1"/>
                <w:sz w:val="18"/>
                <w:szCs w:val="18"/>
                <w:rtl/>
              </w:rPr>
            </w:pPr>
          </w:p>
        </w:tc>
        <w:tc>
          <w:tcPr>
            <w:tcW w:w="1694" w:type="dxa"/>
          </w:tcPr>
          <w:p w14:paraId="1280481B" w14:textId="6A1BC439" w:rsidR="00FE6B3F" w:rsidRPr="004F51D2" w:rsidRDefault="00FE6B3F" w:rsidP="00FE6B3F">
            <w:pPr>
              <w:bidi w:val="0"/>
              <w:rPr>
                <w:rFonts w:ascii="Times New Roman" w:eastAsia="Calibri" w:hAnsi="Times New Roman" w:cs="Times New Roman"/>
                <w:color w:val="000000" w:themeColor="text1"/>
                <w:sz w:val="18"/>
                <w:szCs w:val="18"/>
              </w:rPr>
            </w:pPr>
            <w:r w:rsidRPr="004F51D2">
              <w:rPr>
                <w:rFonts w:ascii="Times New Roman" w:eastAsia="Calibri" w:hAnsi="Times New Roman" w:cs="Times New Roman"/>
                <w:color w:val="000000" w:themeColor="text1"/>
                <w:sz w:val="18"/>
                <w:szCs w:val="18"/>
              </w:rPr>
              <w:t>HADS- D</w:t>
            </w:r>
          </w:p>
        </w:tc>
        <w:tc>
          <w:tcPr>
            <w:tcW w:w="985" w:type="dxa"/>
          </w:tcPr>
          <w:p w14:paraId="5E5AE2B6" w14:textId="77777777" w:rsidR="00FE6B3F" w:rsidRPr="004F51D2" w:rsidRDefault="00FE6B3F" w:rsidP="00FE6B3F">
            <w:pPr>
              <w:bidi w:val="0"/>
              <w:jc w:val="center"/>
              <w:rPr>
                <w:rFonts w:ascii="Times New Roman" w:eastAsia="Calibri" w:hAnsi="Times New Roman" w:cs="Times New Roman"/>
                <w:color w:val="000000" w:themeColor="text1"/>
                <w:sz w:val="18"/>
                <w:szCs w:val="18"/>
                <w:rtl/>
              </w:rPr>
            </w:pPr>
          </w:p>
        </w:tc>
      </w:tr>
      <w:tr w:rsidR="00FE6B3F" w:rsidRPr="004F51D2" w14:paraId="1BFD2371" w14:textId="77777777" w:rsidTr="005D078C">
        <w:tc>
          <w:tcPr>
            <w:tcW w:w="1172" w:type="dxa"/>
            <w:vAlign w:val="center"/>
          </w:tcPr>
          <w:p w14:paraId="3DA4CEDC" w14:textId="3F3419EB" w:rsidR="00FE6B3F" w:rsidRPr="004F51D2" w:rsidRDefault="00FE6B3F" w:rsidP="0039306C">
            <w:pPr>
              <w:bidi w:val="0"/>
              <w:jc w:val="center"/>
              <w:rPr>
                <w:rFonts w:asciiTheme="majorBidi" w:eastAsia="Calibri" w:hAnsiTheme="majorBidi" w:cstheme="majorBidi"/>
                <w:color w:val="000000" w:themeColor="text1"/>
                <w:sz w:val="18"/>
                <w:szCs w:val="18"/>
              </w:rPr>
            </w:pPr>
            <w:r w:rsidRPr="004F51D2">
              <w:rPr>
                <w:rFonts w:asciiTheme="majorBidi" w:hAnsiTheme="majorBidi" w:cstheme="majorBidi"/>
                <w:color w:val="000000"/>
                <w:sz w:val="18"/>
                <w:szCs w:val="18"/>
              </w:rPr>
              <w:t>4.0</w:t>
            </w:r>
            <w:r w:rsidR="0039306C" w:rsidRPr="004F51D2">
              <w:rPr>
                <w:rFonts w:asciiTheme="majorBidi" w:hAnsiTheme="majorBidi" w:cstheme="majorBidi"/>
                <w:color w:val="000000"/>
                <w:sz w:val="18"/>
                <w:szCs w:val="18"/>
              </w:rPr>
              <w:t>54</w:t>
            </w:r>
          </w:p>
        </w:tc>
        <w:tc>
          <w:tcPr>
            <w:tcW w:w="1096" w:type="dxa"/>
            <w:vAlign w:val="center"/>
          </w:tcPr>
          <w:p w14:paraId="76A0ABA7" w14:textId="40665117" w:rsidR="00FE6B3F" w:rsidRPr="004F51D2" w:rsidRDefault="005D078C" w:rsidP="0039306C">
            <w:pPr>
              <w:bidi w:val="0"/>
              <w:jc w:val="center"/>
              <w:rPr>
                <w:rFonts w:asciiTheme="majorBidi" w:eastAsia="Calibri" w:hAnsiTheme="majorBidi" w:cstheme="majorBidi"/>
                <w:color w:val="000000" w:themeColor="text1"/>
                <w:sz w:val="18"/>
                <w:szCs w:val="18"/>
              </w:rPr>
            </w:pPr>
            <w:r w:rsidRPr="004F51D2">
              <w:rPr>
                <w:rFonts w:asciiTheme="majorBidi" w:hAnsiTheme="majorBidi" w:cstheme="majorBidi"/>
                <w:color w:val="000000"/>
                <w:sz w:val="18"/>
                <w:szCs w:val="18"/>
              </w:rPr>
              <w:t>0</w:t>
            </w:r>
            <w:r w:rsidR="00FE6B3F" w:rsidRPr="004F51D2">
              <w:rPr>
                <w:rFonts w:asciiTheme="majorBidi" w:hAnsiTheme="majorBidi" w:cstheme="majorBidi"/>
                <w:color w:val="000000"/>
                <w:sz w:val="18"/>
                <w:szCs w:val="18"/>
              </w:rPr>
              <w:t>.24</w:t>
            </w:r>
            <w:r w:rsidR="0039306C" w:rsidRPr="004F51D2">
              <w:rPr>
                <w:rFonts w:asciiTheme="majorBidi" w:hAnsiTheme="majorBidi" w:cstheme="majorBidi"/>
                <w:color w:val="000000"/>
                <w:sz w:val="18"/>
                <w:szCs w:val="18"/>
              </w:rPr>
              <w:t>2</w:t>
            </w:r>
          </w:p>
        </w:tc>
        <w:tc>
          <w:tcPr>
            <w:tcW w:w="879" w:type="dxa"/>
            <w:vAlign w:val="center"/>
          </w:tcPr>
          <w:p w14:paraId="0CE62ECA" w14:textId="499BB963" w:rsidR="00FE6B3F" w:rsidRPr="004F51D2" w:rsidRDefault="005D078C" w:rsidP="0039306C">
            <w:pPr>
              <w:bidi w:val="0"/>
              <w:jc w:val="center"/>
              <w:rPr>
                <w:rFonts w:asciiTheme="majorBidi" w:eastAsia="Calibri" w:hAnsiTheme="majorBidi" w:cstheme="majorBidi"/>
                <w:color w:val="000000" w:themeColor="text1"/>
                <w:sz w:val="18"/>
                <w:szCs w:val="18"/>
              </w:rPr>
            </w:pPr>
            <w:r w:rsidRPr="004F51D2">
              <w:rPr>
                <w:rFonts w:asciiTheme="majorBidi" w:hAnsiTheme="majorBidi" w:cstheme="majorBidi"/>
                <w:color w:val="000000"/>
                <w:sz w:val="18"/>
                <w:szCs w:val="18"/>
              </w:rPr>
              <w:t>0</w:t>
            </w:r>
            <w:r w:rsidR="00FE6B3F" w:rsidRPr="004F51D2">
              <w:rPr>
                <w:rFonts w:asciiTheme="majorBidi" w:hAnsiTheme="majorBidi" w:cstheme="majorBidi"/>
                <w:color w:val="000000"/>
                <w:sz w:val="18"/>
                <w:szCs w:val="18"/>
              </w:rPr>
              <w:t>.2</w:t>
            </w:r>
            <w:r w:rsidR="0039306C" w:rsidRPr="004F51D2">
              <w:rPr>
                <w:rFonts w:asciiTheme="majorBidi" w:hAnsiTheme="majorBidi" w:cstheme="majorBidi"/>
                <w:color w:val="000000"/>
                <w:sz w:val="18"/>
                <w:szCs w:val="18"/>
              </w:rPr>
              <w:t>23</w:t>
            </w:r>
          </w:p>
        </w:tc>
        <w:tc>
          <w:tcPr>
            <w:tcW w:w="881" w:type="dxa"/>
            <w:vAlign w:val="center"/>
          </w:tcPr>
          <w:p w14:paraId="759DBE71" w14:textId="3B7CC011" w:rsidR="00FE6B3F" w:rsidRPr="004F51D2" w:rsidRDefault="00FE6B3F" w:rsidP="0039306C">
            <w:pPr>
              <w:bidi w:val="0"/>
              <w:jc w:val="center"/>
              <w:rPr>
                <w:rFonts w:asciiTheme="majorBidi" w:eastAsia="Calibri" w:hAnsiTheme="majorBidi" w:cstheme="majorBidi"/>
                <w:color w:val="000000" w:themeColor="text1"/>
                <w:sz w:val="18"/>
                <w:szCs w:val="18"/>
              </w:rPr>
            </w:pPr>
            <w:r w:rsidRPr="004F51D2">
              <w:rPr>
                <w:rFonts w:asciiTheme="majorBidi" w:hAnsiTheme="majorBidi" w:cstheme="majorBidi"/>
                <w:color w:val="000000"/>
                <w:sz w:val="18"/>
                <w:szCs w:val="18"/>
              </w:rPr>
              <w:t>1.</w:t>
            </w:r>
            <w:r w:rsidR="0039306C" w:rsidRPr="004F51D2">
              <w:rPr>
                <w:rFonts w:asciiTheme="majorBidi" w:hAnsiTheme="majorBidi" w:cstheme="majorBidi"/>
                <w:color w:val="000000"/>
                <w:sz w:val="18"/>
                <w:szCs w:val="18"/>
              </w:rPr>
              <w:t>192</w:t>
            </w:r>
          </w:p>
        </w:tc>
        <w:tc>
          <w:tcPr>
            <w:tcW w:w="1051" w:type="dxa"/>
            <w:vAlign w:val="center"/>
          </w:tcPr>
          <w:p w14:paraId="3F9FE4B2" w14:textId="2DB83E57" w:rsidR="00FE6B3F" w:rsidRPr="004F51D2" w:rsidRDefault="00FE6B3F" w:rsidP="0039306C">
            <w:pPr>
              <w:bidi w:val="0"/>
              <w:jc w:val="center"/>
              <w:rPr>
                <w:rFonts w:asciiTheme="majorBidi" w:eastAsia="Calibri" w:hAnsiTheme="majorBidi" w:cstheme="majorBidi"/>
                <w:color w:val="000000" w:themeColor="text1"/>
                <w:sz w:val="18"/>
                <w:szCs w:val="18"/>
              </w:rPr>
            </w:pPr>
            <w:r w:rsidRPr="004F51D2">
              <w:rPr>
                <w:rFonts w:asciiTheme="majorBidi" w:hAnsiTheme="majorBidi" w:cstheme="majorBidi"/>
                <w:color w:val="000000"/>
                <w:sz w:val="18"/>
                <w:szCs w:val="18"/>
              </w:rPr>
              <w:t>0.10</w:t>
            </w:r>
            <w:r w:rsidR="0039306C" w:rsidRPr="004F51D2">
              <w:rPr>
                <w:rFonts w:asciiTheme="majorBidi" w:hAnsiTheme="majorBidi" w:cstheme="majorBidi"/>
                <w:color w:val="000000"/>
                <w:sz w:val="18"/>
                <w:szCs w:val="18"/>
              </w:rPr>
              <w:t>4</w:t>
            </w:r>
          </w:p>
        </w:tc>
        <w:tc>
          <w:tcPr>
            <w:tcW w:w="1268" w:type="dxa"/>
          </w:tcPr>
          <w:p w14:paraId="74154D03" w14:textId="77777777" w:rsidR="00FE6B3F" w:rsidRPr="004F51D2" w:rsidRDefault="00FE6B3F" w:rsidP="00FE6B3F">
            <w:pPr>
              <w:bidi w:val="0"/>
              <w:jc w:val="center"/>
              <w:rPr>
                <w:rFonts w:ascii="Times New Roman" w:eastAsia="Calibri" w:hAnsi="Times New Roman" w:cs="Times New Roman"/>
                <w:color w:val="000000" w:themeColor="text1"/>
                <w:sz w:val="18"/>
                <w:szCs w:val="18"/>
                <w:rtl/>
              </w:rPr>
            </w:pPr>
          </w:p>
        </w:tc>
        <w:tc>
          <w:tcPr>
            <w:tcW w:w="1694" w:type="dxa"/>
          </w:tcPr>
          <w:p w14:paraId="70386FD0" w14:textId="2DD4FB47" w:rsidR="00FE6B3F" w:rsidRPr="004F51D2" w:rsidRDefault="00FE6B3F" w:rsidP="00FE6B3F">
            <w:pPr>
              <w:bidi w:val="0"/>
              <w:rPr>
                <w:rFonts w:ascii="Times New Roman" w:eastAsia="Calibri" w:hAnsi="Times New Roman" w:cs="Times New Roman"/>
                <w:color w:val="000000" w:themeColor="text1"/>
                <w:sz w:val="18"/>
                <w:szCs w:val="18"/>
              </w:rPr>
            </w:pPr>
            <w:r w:rsidRPr="004F51D2">
              <w:rPr>
                <w:rFonts w:ascii="Times New Roman" w:eastAsia="Calibri" w:hAnsi="Times New Roman" w:cs="Times New Roman"/>
                <w:color w:val="000000" w:themeColor="text1"/>
                <w:sz w:val="18"/>
                <w:szCs w:val="18"/>
              </w:rPr>
              <w:t>HADS- A</w:t>
            </w:r>
          </w:p>
        </w:tc>
        <w:tc>
          <w:tcPr>
            <w:tcW w:w="985" w:type="dxa"/>
          </w:tcPr>
          <w:p w14:paraId="402664FD" w14:textId="77777777" w:rsidR="00FE6B3F" w:rsidRPr="004F51D2" w:rsidRDefault="00FE6B3F" w:rsidP="00FE6B3F">
            <w:pPr>
              <w:bidi w:val="0"/>
              <w:jc w:val="center"/>
              <w:rPr>
                <w:rFonts w:ascii="Times New Roman" w:eastAsia="Calibri" w:hAnsi="Times New Roman" w:cs="Times New Roman"/>
                <w:color w:val="000000" w:themeColor="text1"/>
                <w:sz w:val="18"/>
                <w:szCs w:val="18"/>
                <w:rtl/>
              </w:rPr>
            </w:pPr>
          </w:p>
        </w:tc>
      </w:tr>
      <w:tr w:rsidR="00FE6B3F" w:rsidRPr="004F51D2" w14:paraId="3B73186C" w14:textId="77777777" w:rsidTr="005D078C">
        <w:tc>
          <w:tcPr>
            <w:tcW w:w="1172" w:type="dxa"/>
            <w:vAlign w:val="center"/>
          </w:tcPr>
          <w:p w14:paraId="06C68983" w14:textId="0CF36315" w:rsidR="00FE6B3F" w:rsidRPr="004F51D2" w:rsidRDefault="00FE6B3F" w:rsidP="0039306C">
            <w:pPr>
              <w:bidi w:val="0"/>
              <w:jc w:val="center"/>
              <w:rPr>
                <w:rFonts w:asciiTheme="majorBidi" w:eastAsia="Calibri" w:hAnsiTheme="majorBidi" w:cstheme="majorBidi"/>
                <w:color w:val="000000" w:themeColor="text1"/>
                <w:sz w:val="18"/>
                <w:szCs w:val="18"/>
              </w:rPr>
            </w:pPr>
            <w:r w:rsidRPr="004F51D2">
              <w:rPr>
                <w:rFonts w:asciiTheme="majorBidi" w:hAnsiTheme="majorBidi" w:cstheme="majorBidi"/>
                <w:color w:val="000000"/>
                <w:sz w:val="18"/>
                <w:szCs w:val="18"/>
              </w:rPr>
              <w:t>3.5</w:t>
            </w:r>
            <w:r w:rsidR="0039306C" w:rsidRPr="004F51D2">
              <w:rPr>
                <w:rFonts w:asciiTheme="majorBidi" w:hAnsiTheme="majorBidi" w:cstheme="majorBidi"/>
                <w:color w:val="000000"/>
                <w:sz w:val="18"/>
                <w:szCs w:val="18"/>
              </w:rPr>
              <w:t>03</w:t>
            </w:r>
          </w:p>
        </w:tc>
        <w:tc>
          <w:tcPr>
            <w:tcW w:w="1096" w:type="dxa"/>
            <w:vAlign w:val="center"/>
          </w:tcPr>
          <w:p w14:paraId="0996271B" w14:textId="3AB711BB" w:rsidR="00FE6B3F" w:rsidRPr="004F51D2" w:rsidRDefault="005D078C" w:rsidP="0039306C">
            <w:pPr>
              <w:bidi w:val="0"/>
              <w:jc w:val="center"/>
              <w:rPr>
                <w:rFonts w:asciiTheme="majorBidi" w:eastAsia="Calibri" w:hAnsiTheme="majorBidi" w:cstheme="majorBidi"/>
                <w:color w:val="000000" w:themeColor="text1"/>
                <w:sz w:val="18"/>
                <w:szCs w:val="18"/>
              </w:rPr>
            </w:pPr>
            <w:r w:rsidRPr="004F51D2">
              <w:rPr>
                <w:rFonts w:asciiTheme="majorBidi" w:hAnsiTheme="majorBidi" w:cstheme="majorBidi"/>
                <w:color w:val="000000"/>
                <w:sz w:val="18"/>
                <w:szCs w:val="18"/>
              </w:rPr>
              <w:t>0</w:t>
            </w:r>
            <w:r w:rsidR="00FE6B3F" w:rsidRPr="004F51D2">
              <w:rPr>
                <w:rFonts w:asciiTheme="majorBidi" w:hAnsiTheme="majorBidi" w:cstheme="majorBidi"/>
                <w:color w:val="000000"/>
                <w:sz w:val="18"/>
                <w:szCs w:val="18"/>
              </w:rPr>
              <w:t>.28</w:t>
            </w:r>
            <w:r w:rsidR="0039306C" w:rsidRPr="004F51D2">
              <w:rPr>
                <w:rFonts w:asciiTheme="majorBidi" w:hAnsiTheme="majorBidi" w:cstheme="majorBidi"/>
                <w:color w:val="000000"/>
                <w:sz w:val="18"/>
                <w:szCs w:val="18"/>
              </w:rPr>
              <w:t>2</w:t>
            </w:r>
          </w:p>
        </w:tc>
        <w:tc>
          <w:tcPr>
            <w:tcW w:w="879" w:type="dxa"/>
            <w:vAlign w:val="center"/>
          </w:tcPr>
          <w:p w14:paraId="6066F958" w14:textId="69FE566A" w:rsidR="00FE6B3F" w:rsidRPr="004F51D2" w:rsidRDefault="005D078C" w:rsidP="00FE6B3F">
            <w:pPr>
              <w:bidi w:val="0"/>
              <w:jc w:val="center"/>
              <w:rPr>
                <w:rFonts w:asciiTheme="majorBidi" w:eastAsia="Calibri" w:hAnsiTheme="majorBidi" w:cstheme="majorBidi"/>
                <w:color w:val="000000" w:themeColor="text1"/>
                <w:sz w:val="18"/>
                <w:szCs w:val="18"/>
              </w:rPr>
            </w:pPr>
            <w:r w:rsidRPr="004F51D2">
              <w:rPr>
                <w:rFonts w:asciiTheme="majorBidi" w:hAnsiTheme="majorBidi" w:cstheme="majorBidi"/>
                <w:color w:val="000000"/>
                <w:sz w:val="18"/>
                <w:szCs w:val="18"/>
              </w:rPr>
              <w:t>0</w:t>
            </w:r>
            <w:r w:rsidR="00FE6B3F" w:rsidRPr="004F51D2">
              <w:rPr>
                <w:rFonts w:asciiTheme="majorBidi" w:hAnsiTheme="majorBidi" w:cstheme="majorBidi"/>
                <w:color w:val="000000"/>
                <w:sz w:val="18"/>
                <w:szCs w:val="18"/>
              </w:rPr>
              <w:t>.001</w:t>
            </w:r>
          </w:p>
        </w:tc>
        <w:tc>
          <w:tcPr>
            <w:tcW w:w="881" w:type="dxa"/>
            <w:vAlign w:val="center"/>
          </w:tcPr>
          <w:p w14:paraId="69788A32" w14:textId="463767BD" w:rsidR="00FE6B3F" w:rsidRPr="004F51D2" w:rsidRDefault="00FE6B3F" w:rsidP="0039306C">
            <w:pPr>
              <w:bidi w:val="0"/>
              <w:jc w:val="center"/>
              <w:rPr>
                <w:rFonts w:asciiTheme="majorBidi" w:eastAsia="Calibri" w:hAnsiTheme="majorBidi" w:cstheme="majorBidi"/>
                <w:color w:val="000000" w:themeColor="text1"/>
                <w:sz w:val="18"/>
                <w:szCs w:val="18"/>
              </w:rPr>
            </w:pPr>
            <w:r w:rsidRPr="004F51D2">
              <w:rPr>
                <w:rFonts w:asciiTheme="majorBidi" w:hAnsiTheme="majorBidi" w:cstheme="majorBidi"/>
                <w:color w:val="000000"/>
                <w:sz w:val="18"/>
                <w:szCs w:val="18"/>
              </w:rPr>
              <w:t>3.27</w:t>
            </w:r>
            <w:r w:rsidR="0039306C" w:rsidRPr="004F51D2">
              <w:rPr>
                <w:rFonts w:asciiTheme="majorBidi" w:hAnsiTheme="majorBidi" w:cstheme="majorBidi"/>
                <w:color w:val="000000"/>
                <w:sz w:val="18"/>
                <w:szCs w:val="18"/>
              </w:rPr>
              <w:t>5</w:t>
            </w:r>
          </w:p>
        </w:tc>
        <w:tc>
          <w:tcPr>
            <w:tcW w:w="1051" w:type="dxa"/>
            <w:vAlign w:val="center"/>
          </w:tcPr>
          <w:p w14:paraId="505A8936" w14:textId="75CECCCD" w:rsidR="00FE6B3F" w:rsidRPr="004F51D2" w:rsidRDefault="00FE6B3F" w:rsidP="0039306C">
            <w:pPr>
              <w:bidi w:val="0"/>
              <w:jc w:val="center"/>
              <w:rPr>
                <w:rFonts w:asciiTheme="majorBidi" w:eastAsia="Calibri" w:hAnsiTheme="majorBidi" w:cstheme="majorBidi"/>
                <w:color w:val="000000" w:themeColor="text1"/>
                <w:sz w:val="18"/>
                <w:szCs w:val="18"/>
              </w:rPr>
            </w:pPr>
            <w:r w:rsidRPr="004F51D2">
              <w:rPr>
                <w:rFonts w:asciiTheme="majorBidi" w:hAnsiTheme="majorBidi" w:cstheme="majorBidi"/>
                <w:color w:val="000000"/>
                <w:sz w:val="18"/>
                <w:szCs w:val="18"/>
              </w:rPr>
              <w:t>0.26</w:t>
            </w:r>
            <w:r w:rsidR="0039306C" w:rsidRPr="004F51D2">
              <w:rPr>
                <w:rFonts w:asciiTheme="majorBidi" w:hAnsiTheme="majorBidi" w:cstheme="majorBidi"/>
                <w:color w:val="000000"/>
                <w:sz w:val="18"/>
                <w:szCs w:val="18"/>
              </w:rPr>
              <w:t>0</w:t>
            </w:r>
          </w:p>
        </w:tc>
        <w:tc>
          <w:tcPr>
            <w:tcW w:w="1268" w:type="dxa"/>
          </w:tcPr>
          <w:p w14:paraId="3C4ECFC8" w14:textId="77777777" w:rsidR="00FE6B3F" w:rsidRPr="004F51D2" w:rsidRDefault="00FE6B3F" w:rsidP="00FE6B3F">
            <w:pPr>
              <w:bidi w:val="0"/>
              <w:jc w:val="center"/>
              <w:rPr>
                <w:rFonts w:ascii="Times New Roman" w:eastAsia="Calibri" w:hAnsi="Times New Roman" w:cs="Times New Roman"/>
                <w:color w:val="000000" w:themeColor="text1"/>
                <w:sz w:val="18"/>
                <w:szCs w:val="18"/>
                <w:rtl/>
              </w:rPr>
            </w:pPr>
          </w:p>
        </w:tc>
        <w:tc>
          <w:tcPr>
            <w:tcW w:w="1694" w:type="dxa"/>
          </w:tcPr>
          <w:p w14:paraId="36860C77" w14:textId="6DB791DA" w:rsidR="00FE6B3F" w:rsidRPr="004F51D2" w:rsidRDefault="00FE6B3F" w:rsidP="00FE6B3F">
            <w:pPr>
              <w:bidi w:val="0"/>
              <w:rPr>
                <w:rFonts w:ascii="Times New Roman" w:eastAsia="Calibri" w:hAnsi="Times New Roman" w:cs="Times New Roman"/>
                <w:color w:val="000000" w:themeColor="text1"/>
                <w:sz w:val="18"/>
                <w:szCs w:val="18"/>
              </w:rPr>
            </w:pPr>
            <w:r w:rsidRPr="004F51D2">
              <w:rPr>
                <w:rFonts w:ascii="Times New Roman" w:eastAsia="Calibri" w:hAnsi="Times New Roman" w:cs="Times New Roman"/>
                <w:color w:val="000000" w:themeColor="text1"/>
                <w:sz w:val="18"/>
                <w:szCs w:val="18"/>
              </w:rPr>
              <w:t>HADS- S</w:t>
            </w:r>
          </w:p>
        </w:tc>
        <w:tc>
          <w:tcPr>
            <w:tcW w:w="985" w:type="dxa"/>
          </w:tcPr>
          <w:p w14:paraId="4F98FEC8" w14:textId="77777777" w:rsidR="00FE6B3F" w:rsidRPr="004F51D2" w:rsidRDefault="00FE6B3F" w:rsidP="00FE6B3F">
            <w:pPr>
              <w:bidi w:val="0"/>
              <w:jc w:val="center"/>
              <w:rPr>
                <w:rFonts w:ascii="Times New Roman" w:eastAsia="Calibri" w:hAnsi="Times New Roman" w:cs="Times New Roman"/>
                <w:color w:val="000000" w:themeColor="text1"/>
                <w:sz w:val="18"/>
                <w:szCs w:val="18"/>
                <w:rtl/>
              </w:rPr>
            </w:pPr>
          </w:p>
        </w:tc>
      </w:tr>
      <w:tr w:rsidR="00803207" w:rsidRPr="004F51D2" w14:paraId="7B0F7E55" w14:textId="77777777" w:rsidTr="00C42534">
        <w:tc>
          <w:tcPr>
            <w:tcW w:w="1172" w:type="dxa"/>
            <w:tcBorders>
              <w:top w:val="single" w:sz="4" w:space="0" w:color="auto"/>
            </w:tcBorders>
          </w:tcPr>
          <w:p w14:paraId="2900955A" w14:textId="77777777" w:rsidR="00803207" w:rsidRPr="004F51D2" w:rsidRDefault="00803207" w:rsidP="00DC18BE">
            <w:pPr>
              <w:bidi w:val="0"/>
              <w:jc w:val="center"/>
              <w:rPr>
                <w:rFonts w:asciiTheme="majorBidi" w:eastAsia="Calibri" w:hAnsiTheme="majorBidi" w:cstheme="majorBidi"/>
                <w:color w:val="000000" w:themeColor="text1"/>
                <w:sz w:val="18"/>
                <w:szCs w:val="18"/>
              </w:rPr>
            </w:pPr>
          </w:p>
        </w:tc>
        <w:tc>
          <w:tcPr>
            <w:tcW w:w="1096" w:type="dxa"/>
            <w:tcBorders>
              <w:top w:val="single" w:sz="4" w:space="0" w:color="auto"/>
            </w:tcBorders>
          </w:tcPr>
          <w:p w14:paraId="166E7105" w14:textId="77777777" w:rsidR="00803207" w:rsidRPr="004F51D2" w:rsidRDefault="00803207" w:rsidP="00DC18BE">
            <w:pPr>
              <w:bidi w:val="0"/>
              <w:jc w:val="center"/>
              <w:rPr>
                <w:rFonts w:asciiTheme="majorBidi" w:eastAsia="Calibri" w:hAnsiTheme="majorBidi" w:cstheme="majorBidi"/>
                <w:color w:val="000000" w:themeColor="text1"/>
                <w:sz w:val="18"/>
                <w:szCs w:val="18"/>
              </w:rPr>
            </w:pPr>
          </w:p>
        </w:tc>
        <w:tc>
          <w:tcPr>
            <w:tcW w:w="879" w:type="dxa"/>
            <w:tcBorders>
              <w:top w:val="single" w:sz="4" w:space="0" w:color="auto"/>
            </w:tcBorders>
          </w:tcPr>
          <w:p w14:paraId="25F27FB2" w14:textId="77777777" w:rsidR="00803207" w:rsidRPr="004F51D2" w:rsidRDefault="00803207" w:rsidP="00DC18BE">
            <w:pPr>
              <w:bidi w:val="0"/>
              <w:jc w:val="center"/>
              <w:rPr>
                <w:rFonts w:asciiTheme="majorBidi" w:eastAsia="Calibri" w:hAnsiTheme="majorBidi" w:cstheme="majorBidi"/>
                <w:color w:val="000000" w:themeColor="text1"/>
                <w:sz w:val="18"/>
                <w:szCs w:val="18"/>
              </w:rPr>
            </w:pPr>
          </w:p>
        </w:tc>
        <w:tc>
          <w:tcPr>
            <w:tcW w:w="881" w:type="dxa"/>
            <w:tcBorders>
              <w:top w:val="single" w:sz="4" w:space="0" w:color="auto"/>
            </w:tcBorders>
          </w:tcPr>
          <w:p w14:paraId="63198FF3" w14:textId="77777777" w:rsidR="00803207" w:rsidRPr="004F51D2" w:rsidRDefault="00803207" w:rsidP="00DC18BE">
            <w:pPr>
              <w:bidi w:val="0"/>
              <w:jc w:val="center"/>
              <w:rPr>
                <w:rFonts w:asciiTheme="majorBidi" w:eastAsia="Calibri" w:hAnsiTheme="majorBidi" w:cstheme="majorBidi"/>
                <w:color w:val="000000" w:themeColor="text1"/>
                <w:sz w:val="18"/>
                <w:szCs w:val="18"/>
              </w:rPr>
            </w:pPr>
          </w:p>
        </w:tc>
        <w:tc>
          <w:tcPr>
            <w:tcW w:w="1051" w:type="dxa"/>
            <w:tcBorders>
              <w:top w:val="single" w:sz="4" w:space="0" w:color="auto"/>
            </w:tcBorders>
          </w:tcPr>
          <w:p w14:paraId="66B457A2" w14:textId="77777777" w:rsidR="00803207" w:rsidRPr="004F51D2" w:rsidRDefault="00803207" w:rsidP="00DC18BE">
            <w:pPr>
              <w:bidi w:val="0"/>
              <w:jc w:val="center"/>
              <w:rPr>
                <w:rFonts w:asciiTheme="majorBidi" w:eastAsia="Calibri" w:hAnsiTheme="majorBidi" w:cstheme="majorBidi"/>
                <w:color w:val="000000" w:themeColor="text1"/>
                <w:sz w:val="18"/>
                <w:szCs w:val="18"/>
              </w:rPr>
            </w:pPr>
          </w:p>
        </w:tc>
        <w:tc>
          <w:tcPr>
            <w:tcW w:w="1268" w:type="dxa"/>
            <w:tcBorders>
              <w:top w:val="single" w:sz="4" w:space="0" w:color="auto"/>
            </w:tcBorders>
          </w:tcPr>
          <w:p w14:paraId="2F92D372" w14:textId="43F6864B" w:rsidR="00803207" w:rsidRPr="004F51D2" w:rsidRDefault="00CD12F6" w:rsidP="00D60E0E">
            <w:pPr>
              <w:bidi w:val="0"/>
              <w:jc w:val="center"/>
              <w:rPr>
                <w:rFonts w:ascii="Times New Roman" w:eastAsia="Calibri" w:hAnsi="Times New Roman" w:cs="Times New Roman"/>
                <w:color w:val="000000" w:themeColor="text1"/>
                <w:sz w:val="18"/>
                <w:szCs w:val="18"/>
                <w:rtl/>
              </w:rPr>
            </w:pPr>
            <w:r w:rsidRPr="004F51D2">
              <w:rPr>
                <w:rFonts w:ascii="Times New Roman" w:eastAsia="Calibri" w:hAnsi="Times New Roman" w:cs="Times New Roman"/>
                <w:color w:val="000000" w:themeColor="text1"/>
                <w:sz w:val="18"/>
                <w:szCs w:val="18"/>
              </w:rPr>
              <w:t>0.10</w:t>
            </w:r>
            <w:r w:rsidR="00D60E0E" w:rsidRPr="004F51D2">
              <w:rPr>
                <w:rFonts w:ascii="Times New Roman" w:eastAsia="Calibri" w:hAnsi="Times New Roman" w:cs="Times New Roman"/>
                <w:color w:val="000000" w:themeColor="text1"/>
                <w:sz w:val="18"/>
                <w:szCs w:val="18"/>
              </w:rPr>
              <w:t>4</w:t>
            </w:r>
            <w:r w:rsidRPr="004F51D2">
              <w:rPr>
                <w:rFonts w:ascii="Times New Roman" w:eastAsia="Calibri" w:hAnsi="Times New Roman" w:cs="Times New Roman"/>
                <w:color w:val="000000" w:themeColor="text1"/>
                <w:sz w:val="18"/>
                <w:szCs w:val="18"/>
              </w:rPr>
              <w:t>**</w:t>
            </w:r>
          </w:p>
        </w:tc>
        <w:tc>
          <w:tcPr>
            <w:tcW w:w="1694" w:type="dxa"/>
            <w:tcBorders>
              <w:top w:val="single" w:sz="4" w:space="0" w:color="auto"/>
            </w:tcBorders>
          </w:tcPr>
          <w:p w14:paraId="2EC67DFA" w14:textId="77777777" w:rsidR="00803207" w:rsidRPr="004F51D2" w:rsidRDefault="00803207" w:rsidP="00DC18BE">
            <w:pPr>
              <w:bidi w:val="0"/>
              <w:jc w:val="center"/>
              <w:rPr>
                <w:rFonts w:ascii="Times New Roman" w:eastAsia="Calibri" w:hAnsi="Times New Roman" w:cs="Times New Roman"/>
                <w:color w:val="000000" w:themeColor="text1"/>
                <w:sz w:val="18"/>
                <w:szCs w:val="18"/>
              </w:rPr>
            </w:pPr>
          </w:p>
        </w:tc>
        <w:tc>
          <w:tcPr>
            <w:tcW w:w="985" w:type="dxa"/>
            <w:tcBorders>
              <w:top w:val="single" w:sz="4" w:space="0" w:color="auto"/>
            </w:tcBorders>
          </w:tcPr>
          <w:p w14:paraId="0FDBB731" w14:textId="77777777" w:rsidR="00803207" w:rsidRPr="004F51D2" w:rsidRDefault="00803207" w:rsidP="00DC18BE">
            <w:pPr>
              <w:bidi w:val="0"/>
              <w:jc w:val="center"/>
              <w:rPr>
                <w:rFonts w:ascii="Times New Roman" w:eastAsia="Calibri" w:hAnsi="Times New Roman" w:cs="Times New Roman"/>
                <w:color w:val="000000" w:themeColor="text1"/>
                <w:sz w:val="18"/>
                <w:szCs w:val="18"/>
                <w:rtl/>
              </w:rPr>
            </w:pPr>
          </w:p>
        </w:tc>
      </w:tr>
      <w:tr w:rsidR="00395F85" w:rsidRPr="004F51D2" w14:paraId="2A6BF260" w14:textId="77777777" w:rsidTr="005D078C">
        <w:tc>
          <w:tcPr>
            <w:tcW w:w="1172" w:type="dxa"/>
            <w:vAlign w:val="center"/>
          </w:tcPr>
          <w:p w14:paraId="1C6E712D" w14:textId="07AD5293" w:rsidR="00395F85" w:rsidRPr="004F51D2" w:rsidRDefault="00395F85" w:rsidP="00395F85">
            <w:pPr>
              <w:bidi w:val="0"/>
              <w:jc w:val="center"/>
              <w:rPr>
                <w:rFonts w:asciiTheme="majorBidi" w:eastAsia="Calibri" w:hAnsiTheme="majorBidi" w:cstheme="majorBidi"/>
                <w:color w:val="000000" w:themeColor="text1"/>
                <w:sz w:val="18"/>
                <w:szCs w:val="18"/>
              </w:rPr>
            </w:pPr>
            <w:r w:rsidRPr="004F51D2">
              <w:rPr>
                <w:rFonts w:asciiTheme="majorBidi" w:hAnsiTheme="majorBidi" w:cstheme="majorBidi"/>
                <w:color w:val="000000"/>
                <w:sz w:val="18"/>
                <w:szCs w:val="18"/>
              </w:rPr>
              <w:t>1.107</w:t>
            </w:r>
          </w:p>
        </w:tc>
        <w:tc>
          <w:tcPr>
            <w:tcW w:w="1096" w:type="dxa"/>
            <w:vAlign w:val="center"/>
          </w:tcPr>
          <w:p w14:paraId="53F88D35" w14:textId="0FB5497D" w:rsidR="00395F85" w:rsidRPr="004F51D2" w:rsidRDefault="00395F85" w:rsidP="00395F85">
            <w:pPr>
              <w:bidi w:val="0"/>
              <w:jc w:val="center"/>
              <w:rPr>
                <w:rFonts w:asciiTheme="majorBidi" w:eastAsia="Calibri" w:hAnsiTheme="majorBidi" w:cstheme="majorBidi"/>
                <w:color w:val="000000" w:themeColor="text1"/>
                <w:sz w:val="18"/>
                <w:szCs w:val="18"/>
              </w:rPr>
            </w:pPr>
            <w:r w:rsidRPr="004F51D2">
              <w:rPr>
                <w:rFonts w:asciiTheme="majorBidi" w:hAnsiTheme="majorBidi" w:cstheme="majorBidi"/>
                <w:color w:val="000000"/>
                <w:sz w:val="18"/>
                <w:szCs w:val="18"/>
              </w:rPr>
              <w:t>0.901</w:t>
            </w:r>
          </w:p>
        </w:tc>
        <w:tc>
          <w:tcPr>
            <w:tcW w:w="879" w:type="dxa"/>
            <w:vAlign w:val="center"/>
          </w:tcPr>
          <w:p w14:paraId="014E1D7F" w14:textId="18056769" w:rsidR="00395F85" w:rsidRPr="004F51D2" w:rsidRDefault="00395F85" w:rsidP="00395F85">
            <w:pPr>
              <w:bidi w:val="0"/>
              <w:jc w:val="center"/>
              <w:rPr>
                <w:rFonts w:asciiTheme="majorBidi" w:eastAsia="Calibri" w:hAnsiTheme="majorBidi" w:cstheme="majorBidi"/>
                <w:color w:val="000000" w:themeColor="text1"/>
                <w:sz w:val="18"/>
                <w:szCs w:val="18"/>
              </w:rPr>
            </w:pPr>
            <w:r w:rsidRPr="004F51D2">
              <w:rPr>
                <w:rFonts w:asciiTheme="majorBidi" w:hAnsiTheme="majorBidi" w:cstheme="majorBidi"/>
                <w:color w:val="000000"/>
                <w:sz w:val="18"/>
                <w:szCs w:val="18"/>
              </w:rPr>
              <w:t>0.641</w:t>
            </w:r>
          </w:p>
        </w:tc>
        <w:tc>
          <w:tcPr>
            <w:tcW w:w="881" w:type="dxa"/>
            <w:vAlign w:val="center"/>
          </w:tcPr>
          <w:p w14:paraId="2CCE528D" w14:textId="08E82BE8" w:rsidR="00395F85" w:rsidRPr="004F51D2" w:rsidRDefault="00395F85" w:rsidP="00395F85">
            <w:pPr>
              <w:bidi w:val="0"/>
              <w:jc w:val="center"/>
              <w:rPr>
                <w:rFonts w:asciiTheme="majorBidi" w:eastAsia="Calibri" w:hAnsiTheme="majorBidi" w:cstheme="majorBidi"/>
                <w:color w:val="000000" w:themeColor="text1"/>
                <w:sz w:val="18"/>
                <w:szCs w:val="18"/>
              </w:rPr>
            </w:pPr>
            <w:r w:rsidRPr="004F51D2">
              <w:rPr>
                <w:rFonts w:asciiTheme="majorBidi" w:hAnsiTheme="majorBidi" w:cstheme="majorBidi"/>
                <w:color w:val="000000"/>
                <w:sz w:val="18"/>
                <w:szCs w:val="18"/>
              </w:rPr>
              <w:t>-0.463</w:t>
            </w:r>
          </w:p>
        </w:tc>
        <w:tc>
          <w:tcPr>
            <w:tcW w:w="1051" w:type="dxa"/>
            <w:vAlign w:val="center"/>
          </w:tcPr>
          <w:p w14:paraId="0241B4A8" w14:textId="006102B2" w:rsidR="00395F85" w:rsidRPr="004F51D2" w:rsidRDefault="00395F85" w:rsidP="00395F85">
            <w:pPr>
              <w:bidi w:val="0"/>
              <w:jc w:val="center"/>
              <w:rPr>
                <w:rFonts w:asciiTheme="majorBidi" w:eastAsia="Calibri" w:hAnsiTheme="majorBidi" w:cstheme="majorBidi"/>
                <w:color w:val="000000" w:themeColor="text1"/>
                <w:sz w:val="18"/>
                <w:szCs w:val="18"/>
              </w:rPr>
            </w:pPr>
            <w:r w:rsidRPr="004F51D2">
              <w:rPr>
                <w:rFonts w:asciiTheme="majorBidi" w:hAnsiTheme="majorBidi" w:cstheme="majorBidi"/>
                <w:color w:val="000000"/>
                <w:sz w:val="18"/>
                <w:szCs w:val="18"/>
              </w:rPr>
              <w:t>-0.024</w:t>
            </w:r>
          </w:p>
        </w:tc>
        <w:tc>
          <w:tcPr>
            <w:tcW w:w="1268" w:type="dxa"/>
          </w:tcPr>
          <w:p w14:paraId="2DBC504F" w14:textId="77777777" w:rsidR="00395F85" w:rsidRPr="004F51D2" w:rsidRDefault="00395F85" w:rsidP="00395F85">
            <w:pPr>
              <w:bidi w:val="0"/>
              <w:jc w:val="center"/>
              <w:rPr>
                <w:rFonts w:ascii="Times New Roman" w:eastAsia="Calibri" w:hAnsi="Times New Roman" w:cs="Times New Roman"/>
                <w:color w:val="000000" w:themeColor="text1"/>
                <w:sz w:val="18"/>
                <w:szCs w:val="18"/>
                <w:rtl/>
              </w:rPr>
            </w:pPr>
          </w:p>
        </w:tc>
        <w:tc>
          <w:tcPr>
            <w:tcW w:w="1694" w:type="dxa"/>
          </w:tcPr>
          <w:p w14:paraId="2C61BC89" w14:textId="7CE3274B" w:rsidR="00395F85" w:rsidRPr="004F51D2" w:rsidRDefault="00395F85" w:rsidP="00395F85">
            <w:pPr>
              <w:bidi w:val="0"/>
              <w:rPr>
                <w:rFonts w:ascii="Times New Roman" w:eastAsia="Calibri" w:hAnsi="Times New Roman" w:cs="Times New Roman"/>
                <w:color w:val="000000" w:themeColor="text1"/>
                <w:sz w:val="18"/>
                <w:szCs w:val="18"/>
              </w:rPr>
            </w:pPr>
            <w:r w:rsidRPr="004F51D2">
              <w:rPr>
                <w:rFonts w:ascii="Times New Roman" w:hAnsi="Times New Roman" w:cs="Times New Roman"/>
                <w:color w:val="000000" w:themeColor="text1"/>
                <w:sz w:val="18"/>
                <w:szCs w:val="18"/>
              </w:rPr>
              <w:t>BFI-E</w:t>
            </w:r>
          </w:p>
        </w:tc>
        <w:tc>
          <w:tcPr>
            <w:tcW w:w="985" w:type="dxa"/>
          </w:tcPr>
          <w:p w14:paraId="3C8A8DBA" w14:textId="45AD8AC9" w:rsidR="00395F85" w:rsidRPr="004F51D2" w:rsidRDefault="00395F85" w:rsidP="00395F85">
            <w:pPr>
              <w:bidi w:val="0"/>
              <w:jc w:val="center"/>
              <w:rPr>
                <w:rFonts w:ascii="Times New Roman" w:eastAsia="Calibri" w:hAnsi="Times New Roman" w:cs="Times New Roman"/>
                <w:color w:val="000000" w:themeColor="text1"/>
                <w:sz w:val="18"/>
                <w:szCs w:val="18"/>
                <w:rtl/>
              </w:rPr>
            </w:pPr>
            <w:r w:rsidRPr="004F51D2">
              <w:rPr>
                <w:rFonts w:ascii="Times New Roman" w:eastAsia="Calibri" w:hAnsi="Times New Roman" w:cs="Times New Roman"/>
                <w:color w:val="000000" w:themeColor="text1"/>
                <w:sz w:val="18"/>
                <w:szCs w:val="18"/>
              </w:rPr>
              <w:t>Step 3</w:t>
            </w:r>
          </w:p>
        </w:tc>
      </w:tr>
      <w:tr w:rsidR="00395F85" w:rsidRPr="004F51D2" w14:paraId="5145969C" w14:textId="77777777" w:rsidTr="005D078C">
        <w:tc>
          <w:tcPr>
            <w:tcW w:w="1172" w:type="dxa"/>
            <w:vAlign w:val="center"/>
          </w:tcPr>
          <w:p w14:paraId="0A3E07EC" w14:textId="4D2618F2" w:rsidR="00395F85" w:rsidRPr="004F51D2" w:rsidRDefault="00395F85" w:rsidP="00395F85">
            <w:pPr>
              <w:bidi w:val="0"/>
              <w:jc w:val="center"/>
              <w:rPr>
                <w:rFonts w:asciiTheme="majorBidi" w:eastAsia="Calibri" w:hAnsiTheme="majorBidi" w:cstheme="majorBidi"/>
                <w:color w:val="000000" w:themeColor="text1"/>
                <w:sz w:val="18"/>
                <w:szCs w:val="18"/>
              </w:rPr>
            </w:pPr>
            <w:r w:rsidRPr="004F51D2">
              <w:rPr>
                <w:rFonts w:asciiTheme="majorBidi" w:hAnsiTheme="majorBidi" w:cstheme="majorBidi"/>
                <w:color w:val="000000"/>
                <w:sz w:val="18"/>
                <w:szCs w:val="18"/>
              </w:rPr>
              <w:t>1.103</w:t>
            </w:r>
          </w:p>
        </w:tc>
        <w:tc>
          <w:tcPr>
            <w:tcW w:w="1096" w:type="dxa"/>
            <w:vAlign w:val="center"/>
          </w:tcPr>
          <w:p w14:paraId="08C2A14F" w14:textId="17550E95" w:rsidR="00395F85" w:rsidRPr="004F51D2" w:rsidRDefault="00395F85" w:rsidP="00395F85">
            <w:pPr>
              <w:bidi w:val="0"/>
              <w:jc w:val="center"/>
              <w:rPr>
                <w:rFonts w:asciiTheme="majorBidi" w:eastAsia="Calibri" w:hAnsiTheme="majorBidi" w:cstheme="majorBidi"/>
                <w:color w:val="000000" w:themeColor="text1"/>
                <w:sz w:val="18"/>
                <w:szCs w:val="18"/>
              </w:rPr>
            </w:pPr>
            <w:r w:rsidRPr="004F51D2">
              <w:rPr>
                <w:rFonts w:asciiTheme="majorBidi" w:hAnsiTheme="majorBidi" w:cstheme="majorBidi"/>
                <w:color w:val="000000"/>
                <w:sz w:val="18"/>
                <w:szCs w:val="18"/>
              </w:rPr>
              <w:t>0.907</w:t>
            </w:r>
          </w:p>
        </w:tc>
        <w:tc>
          <w:tcPr>
            <w:tcW w:w="879" w:type="dxa"/>
            <w:vAlign w:val="center"/>
          </w:tcPr>
          <w:p w14:paraId="2DB30C7F" w14:textId="09DE619A" w:rsidR="00395F85" w:rsidRPr="004F51D2" w:rsidRDefault="00395F85" w:rsidP="00395F85">
            <w:pPr>
              <w:bidi w:val="0"/>
              <w:jc w:val="center"/>
              <w:rPr>
                <w:rFonts w:asciiTheme="majorBidi" w:eastAsia="Calibri" w:hAnsiTheme="majorBidi" w:cstheme="majorBidi"/>
                <w:color w:val="000000" w:themeColor="text1"/>
                <w:sz w:val="18"/>
                <w:szCs w:val="18"/>
              </w:rPr>
            </w:pPr>
            <w:r w:rsidRPr="004F51D2">
              <w:rPr>
                <w:rFonts w:asciiTheme="majorBidi" w:hAnsiTheme="majorBidi" w:cstheme="majorBidi"/>
                <w:color w:val="000000"/>
                <w:sz w:val="18"/>
                <w:szCs w:val="18"/>
              </w:rPr>
              <w:t>0.052</w:t>
            </w:r>
          </w:p>
        </w:tc>
        <w:tc>
          <w:tcPr>
            <w:tcW w:w="881" w:type="dxa"/>
            <w:vAlign w:val="center"/>
          </w:tcPr>
          <w:p w14:paraId="48F331D6" w14:textId="03464239" w:rsidR="00395F85" w:rsidRPr="004F51D2" w:rsidRDefault="00395F85" w:rsidP="00395F85">
            <w:pPr>
              <w:bidi w:val="0"/>
              <w:jc w:val="center"/>
              <w:rPr>
                <w:rFonts w:asciiTheme="majorBidi" w:eastAsia="Calibri" w:hAnsiTheme="majorBidi" w:cstheme="majorBidi"/>
                <w:color w:val="000000" w:themeColor="text1"/>
                <w:sz w:val="18"/>
                <w:szCs w:val="18"/>
              </w:rPr>
            </w:pPr>
            <w:r w:rsidRPr="004F51D2">
              <w:rPr>
                <w:rFonts w:asciiTheme="majorBidi" w:hAnsiTheme="majorBidi" w:cstheme="majorBidi"/>
                <w:color w:val="000000"/>
                <w:sz w:val="18"/>
                <w:szCs w:val="18"/>
              </w:rPr>
              <w:t>-1.929</w:t>
            </w:r>
          </w:p>
        </w:tc>
        <w:tc>
          <w:tcPr>
            <w:tcW w:w="1051" w:type="dxa"/>
            <w:vAlign w:val="center"/>
          </w:tcPr>
          <w:p w14:paraId="34CBC672" w14:textId="7307FB64" w:rsidR="00395F85" w:rsidRPr="004F51D2" w:rsidRDefault="00395F85" w:rsidP="00395F85">
            <w:pPr>
              <w:bidi w:val="0"/>
              <w:jc w:val="center"/>
              <w:rPr>
                <w:rFonts w:asciiTheme="majorBidi" w:eastAsia="Calibri" w:hAnsiTheme="majorBidi" w:cstheme="majorBidi"/>
                <w:color w:val="000000" w:themeColor="text1"/>
                <w:sz w:val="18"/>
                <w:szCs w:val="18"/>
              </w:rPr>
            </w:pPr>
            <w:r w:rsidRPr="004F51D2">
              <w:rPr>
                <w:rFonts w:asciiTheme="majorBidi" w:hAnsiTheme="majorBidi" w:cstheme="majorBidi"/>
                <w:color w:val="000000"/>
                <w:sz w:val="18"/>
                <w:szCs w:val="18"/>
              </w:rPr>
              <w:t>-0.082</w:t>
            </w:r>
          </w:p>
        </w:tc>
        <w:tc>
          <w:tcPr>
            <w:tcW w:w="1268" w:type="dxa"/>
          </w:tcPr>
          <w:p w14:paraId="0888C5E1" w14:textId="77777777" w:rsidR="00395F85" w:rsidRPr="004F51D2" w:rsidRDefault="00395F85" w:rsidP="00395F85">
            <w:pPr>
              <w:bidi w:val="0"/>
              <w:jc w:val="center"/>
              <w:rPr>
                <w:rFonts w:ascii="Times New Roman" w:eastAsia="Calibri" w:hAnsi="Times New Roman" w:cs="Times New Roman"/>
                <w:color w:val="000000" w:themeColor="text1"/>
                <w:sz w:val="18"/>
                <w:szCs w:val="18"/>
                <w:rtl/>
              </w:rPr>
            </w:pPr>
          </w:p>
        </w:tc>
        <w:tc>
          <w:tcPr>
            <w:tcW w:w="1694" w:type="dxa"/>
          </w:tcPr>
          <w:p w14:paraId="021C00A4" w14:textId="67BFCE48" w:rsidR="00395F85" w:rsidRPr="004F51D2" w:rsidRDefault="00395F85" w:rsidP="00395F85">
            <w:pPr>
              <w:bidi w:val="0"/>
              <w:rPr>
                <w:rFonts w:ascii="Times New Roman" w:eastAsia="Calibri" w:hAnsi="Times New Roman" w:cs="Times New Roman"/>
                <w:color w:val="000000" w:themeColor="text1"/>
                <w:sz w:val="18"/>
                <w:szCs w:val="18"/>
              </w:rPr>
            </w:pPr>
            <w:r w:rsidRPr="004F51D2">
              <w:rPr>
                <w:rFonts w:ascii="Times New Roman" w:hAnsi="Times New Roman" w:cs="Times New Roman"/>
                <w:color w:val="000000" w:themeColor="text1"/>
                <w:sz w:val="18"/>
                <w:szCs w:val="18"/>
              </w:rPr>
              <w:t>BFI-A</w:t>
            </w:r>
          </w:p>
        </w:tc>
        <w:tc>
          <w:tcPr>
            <w:tcW w:w="985" w:type="dxa"/>
          </w:tcPr>
          <w:p w14:paraId="07513407" w14:textId="1F52C71E" w:rsidR="00395F85" w:rsidRPr="004F51D2" w:rsidRDefault="00395F85" w:rsidP="00395F85">
            <w:pPr>
              <w:bidi w:val="0"/>
              <w:jc w:val="center"/>
              <w:rPr>
                <w:rFonts w:ascii="Times New Roman" w:eastAsia="Calibri" w:hAnsi="Times New Roman" w:cs="Times New Roman"/>
                <w:color w:val="000000" w:themeColor="text1"/>
                <w:sz w:val="18"/>
                <w:szCs w:val="18"/>
                <w:rtl/>
              </w:rPr>
            </w:pPr>
          </w:p>
        </w:tc>
      </w:tr>
      <w:tr w:rsidR="00395F85" w:rsidRPr="004F51D2" w14:paraId="3FF9FAC3" w14:textId="77777777" w:rsidTr="005D078C">
        <w:tc>
          <w:tcPr>
            <w:tcW w:w="1172" w:type="dxa"/>
            <w:vAlign w:val="center"/>
          </w:tcPr>
          <w:p w14:paraId="67385084" w14:textId="48D69F9C" w:rsidR="00395F85" w:rsidRPr="004F51D2" w:rsidRDefault="00395F85" w:rsidP="00395F85">
            <w:pPr>
              <w:bidi w:val="0"/>
              <w:jc w:val="center"/>
              <w:rPr>
                <w:rFonts w:asciiTheme="majorBidi" w:eastAsia="Calibri" w:hAnsiTheme="majorBidi" w:cstheme="majorBidi"/>
                <w:color w:val="000000" w:themeColor="text1"/>
                <w:sz w:val="18"/>
                <w:szCs w:val="18"/>
              </w:rPr>
            </w:pPr>
            <w:r w:rsidRPr="004F51D2">
              <w:rPr>
                <w:rFonts w:asciiTheme="majorBidi" w:hAnsiTheme="majorBidi" w:cstheme="majorBidi"/>
                <w:color w:val="000000"/>
                <w:sz w:val="18"/>
                <w:szCs w:val="18"/>
              </w:rPr>
              <w:t>1.031</w:t>
            </w:r>
          </w:p>
        </w:tc>
        <w:tc>
          <w:tcPr>
            <w:tcW w:w="1096" w:type="dxa"/>
            <w:vAlign w:val="center"/>
          </w:tcPr>
          <w:p w14:paraId="7675C2F3" w14:textId="422C2884" w:rsidR="00395F85" w:rsidRPr="004F51D2" w:rsidRDefault="00395F85" w:rsidP="00395F85">
            <w:pPr>
              <w:bidi w:val="0"/>
              <w:jc w:val="center"/>
              <w:rPr>
                <w:rFonts w:asciiTheme="majorBidi" w:eastAsia="Calibri" w:hAnsiTheme="majorBidi" w:cstheme="majorBidi"/>
                <w:color w:val="000000" w:themeColor="text1"/>
                <w:sz w:val="18"/>
                <w:szCs w:val="18"/>
              </w:rPr>
            </w:pPr>
            <w:r w:rsidRPr="004F51D2">
              <w:rPr>
                <w:rFonts w:asciiTheme="majorBidi" w:hAnsiTheme="majorBidi" w:cstheme="majorBidi"/>
                <w:color w:val="000000"/>
                <w:sz w:val="18"/>
                <w:szCs w:val="18"/>
              </w:rPr>
              <w:t>0.974</w:t>
            </w:r>
          </w:p>
        </w:tc>
        <w:tc>
          <w:tcPr>
            <w:tcW w:w="879" w:type="dxa"/>
            <w:vAlign w:val="center"/>
          </w:tcPr>
          <w:p w14:paraId="1EC4CCCE" w14:textId="12143DF6" w:rsidR="00395F85" w:rsidRPr="004F51D2" w:rsidRDefault="00395F85" w:rsidP="00395F85">
            <w:pPr>
              <w:bidi w:val="0"/>
              <w:jc w:val="center"/>
              <w:rPr>
                <w:rFonts w:asciiTheme="majorBidi" w:eastAsia="Calibri" w:hAnsiTheme="majorBidi" w:cstheme="majorBidi"/>
                <w:color w:val="000000" w:themeColor="text1"/>
                <w:sz w:val="18"/>
                <w:szCs w:val="18"/>
              </w:rPr>
            </w:pPr>
            <w:r w:rsidRPr="004F51D2">
              <w:rPr>
                <w:rFonts w:asciiTheme="majorBidi" w:hAnsiTheme="majorBidi" w:cstheme="majorBidi"/>
                <w:color w:val="000000"/>
                <w:sz w:val="18"/>
                <w:szCs w:val="18"/>
              </w:rPr>
              <w:t>0.920</w:t>
            </w:r>
          </w:p>
        </w:tc>
        <w:tc>
          <w:tcPr>
            <w:tcW w:w="881" w:type="dxa"/>
            <w:vAlign w:val="center"/>
          </w:tcPr>
          <w:p w14:paraId="7EF1BD4B" w14:textId="4986E1DE" w:rsidR="00395F85" w:rsidRPr="004F51D2" w:rsidRDefault="00395F85" w:rsidP="00395F85">
            <w:pPr>
              <w:bidi w:val="0"/>
              <w:jc w:val="center"/>
              <w:rPr>
                <w:rFonts w:asciiTheme="majorBidi" w:eastAsia="Calibri" w:hAnsiTheme="majorBidi" w:cstheme="majorBidi"/>
                <w:color w:val="000000" w:themeColor="text1"/>
                <w:sz w:val="18"/>
                <w:szCs w:val="18"/>
              </w:rPr>
            </w:pPr>
            <w:r w:rsidRPr="004F51D2">
              <w:rPr>
                <w:rFonts w:asciiTheme="majorBidi" w:hAnsiTheme="majorBidi" w:cstheme="majorBidi"/>
                <w:color w:val="000000"/>
                <w:sz w:val="18"/>
                <w:szCs w:val="18"/>
              </w:rPr>
              <w:t>-0.097</w:t>
            </w:r>
          </w:p>
        </w:tc>
        <w:tc>
          <w:tcPr>
            <w:tcW w:w="1051" w:type="dxa"/>
            <w:vAlign w:val="center"/>
          </w:tcPr>
          <w:p w14:paraId="1AF7EADF" w14:textId="01FB83C7" w:rsidR="00395F85" w:rsidRPr="004F51D2" w:rsidRDefault="00395F85" w:rsidP="00395F85">
            <w:pPr>
              <w:bidi w:val="0"/>
              <w:jc w:val="center"/>
              <w:rPr>
                <w:rFonts w:asciiTheme="majorBidi" w:eastAsia="Calibri" w:hAnsiTheme="majorBidi" w:cstheme="majorBidi"/>
                <w:color w:val="000000" w:themeColor="text1"/>
                <w:sz w:val="18"/>
                <w:szCs w:val="18"/>
              </w:rPr>
            </w:pPr>
            <w:r w:rsidRPr="004F51D2">
              <w:rPr>
                <w:rFonts w:asciiTheme="majorBidi" w:hAnsiTheme="majorBidi" w:cstheme="majorBidi"/>
                <w:color w:val="000000"/>
                <w:sz w:val="18"/>
                <w:szCs w:val="18"/>
              </w:rPr>
              <w:t>-0.011</w:t>
            </w:r>
          </w:p>
        </w:tc>
        <w:tc>
          <w:tcPr>
            <w:tcW w:w="1268" w:type="dxa"/>
          </w:tcPr>
          <w:p w14:paraId="33FA33F8" w14:textId="77777777" w:rsidR="00395F85" w:rsidRPr="004F51D2" w:rsidRDefault="00395F85" w:rsidP="00395F85">
            <w:pPr>
              <w:bidi w:val="0"/>
              <w:jc w:val="center"/>
              <w:rPr>
                <w:rFonts w:ascii="Times New Roman" w:eastAsia="Calibri" w:hAnsi="Times New Roman" w:cs="Times New Roman"/>
                <w:color w:val="000000" w:themeColor="text1"/>
                <w:sz w:val="18"/>
                <w:szCs w:val="18"/>
                <w:rtl/>
              </w:rPr>
            </w:pPr>
          </w:p>
        </w:tc>
        <w:tc>
          <w:tcPr>
            <w:tcW w:w="1694" w:type="dxa"/>
          </w:tcPr>
          <w:p w14:paraId="20A88B76" w14:textId="388D1318" w:rsidR="00395F85" w:rsidRPr="004F51D2" w:rsidRDefault="00395F85" w:rsidP="00395F85">
            <w:pPr>
              <w:bidi w:val="0"/>
              <w:rPr>
                <w:rFonts w:ascii="Times New Roman" w:eastAsia="Calibri" w:hAnsi="Times New Roman" w:cs="Times New Roman"/>
                <w:color w:val="000000" w:themeColor="text1"/>
                <w:sz w:val="18"/>
                <w:szCs w:val="18"/>
              </w:rPr>
            </w:pPr>
            <w:r w:rsidRPr="004F51D2">
              <w:rPr>
                <w:rFonts w:ascii="Times New Roman" w:hAnsi="Times New Roman" w:cs="Times New Roman"/>
                <w:color w:val="000000" w:themeColor="text1"/>
                <w:sz w:val="18"/>
                <w:szCs w:val="18"/>
              </w:rPr>
              <w:t>BFI-O</w:t>
            </w:r>
          </w:p>
        </w:tc>
        <w:tc>
          <w:tcPr>
            <w:tcW w:w="985" w:type="dxa"/>
          </w:tcPr>
          <w:p w14:paraId="7CFAE396" w14:textId="77777777" w:rsidR="00395F85" w:rsidRPr="004F51D2" w:rsidRDefault="00395F85" w:rsidP="00395F85">
            <w:pPr>
              <w:bidi w:val="0"/>
              <w:jc w:val="center"/>
              <w:rPr>
                <w:rFonts w:ascii="Times New Roman" w:eastAsia="Calibri" w:hAnsi="Times New Roman" w:cs="Times New Roman"/>
                <w:color w:val="000000" w:themeColor="text1"/>
                <w:sz w:val="18"/>
                <w:szCs w:val="18"/>
                <w:rtl/>
              </w:rPr>
            </w:pPr>
          </w:p>
        </w:tc>
      </w:tr>
      <w:tr w:rsidR="00FE6B3F" w:rsidRPr="004F51D2" w14:paraId="131FDD2A" w14:textId="77777777" w:rsidTr="005D078C">
        <w:tc>
          <w:tcPr>
            <w:tcW w:w="1172" w:type="dxa"/>
            <w:vAlign w:val="center"/>
          </w:tcPr>
          <w:p w14:paraId="7415DBAF" w14:textId="1BBA488D" w:rsidR="00FE6B3F" w:rsidRPr="004F51D2" w:rsidRDefault="005D078C" w:rsidP="00742B97">
            <w:pPr>
              <w:bidi w:val="0"/>
              <w:jc w:val="center"/>
              <w:rPr>
                <w:rFonts w:asciiTheme="majorBidi" w:eastAsia="Calibri" w:hAnsiTheme="majorBidi" w:cstheme="majorBidi"/>
                <w:color w:val="000000" w:themeColor="text1"/>
                <w:sz w:val="18"/>
                <w:szCs w:val="18"/>
              </w:rPr>
            </w:pPr>
            <w:r w:rsidRPr="004F51D2">
              <w:rPr>
                <w:rFonts w:asciiTheme="majorBidi" w:hAnsiTheme="majorBidi" w:cstheme="majorBidi"/>
                <w:color w:val="000000"/>
                <w:sz w:val="18"/>
                <w:szCs w:val="18"/>
              </w:rPr>
              <w:t>1</w:t>
            </w:r>
            <w:r w:rsidR="00FE6B3F" w:rsidRPr="004F51D2">
              <w:rPr>
                <w:rFonts w:asciiTheme="majorBidi" w:hAnsiTheme="majorBidi" w:cstheme="majorBidi"/>
                <w:color w:val="000000"/>
                <w:sz w:val="18"/>
                <w:szCs w:val="18"/>
              </w:rPr>
              <w:t>.72</w:t>
            </w:r>
            <w:r w:rsidR="00742B97" w:rsidRPr="004F51D2">
              <w:rPr>
                <w:rFonts w:asciiTheme="majorBidi" w:hAnsiTheme="majorBidi" w:cstheme="majorBidi"/>
                <w:color w:val="000000"/>
                <w:sz w:val="18"/>
                <w:szCs w:val="18"/>
              </w:rPr>
              <w:t>4</w:t>
            </w:r>
          </w:p>
        </w:tc>
        <w:tc>
          <w:tcPr>
            <w:tcW w:w="1096" w:type="dxa"/>
            <w:vAlign w:val="center"/>
          </w:tcPr>
          <w:p w14:paraId="0599C868" w14:textId="19BF5501" w:rsidR="00FE6B3F" w:rsidRPr="004F51D2" w:rsidRDefault="005D078C" w:rsidP="005D078C">
            <w:pPr>
              <w:bidi w:val="0"/>
              <w:jc w:val="center"/>
              <w:rPr>
                <w:rFonts w:asciiTheme="majorBidi" w:eastAsia="Calibri" w:hAnsiTheme="majorBidi" w:cstheme="majorBidi"/>
                <w:color w:val="000000" w:themeColor="text1"/>
                <w:sz w:val="18"/>
                <w:szCs w:val="18"/>
              </w:rPr>
            </w:pPr>
            <w:r w:rsidRPr="004F51D2">
              <w:rPr>
                <w:rFonts w:asciiTheme="majorBidi" w:hAnsiTheme="majorBidi" w:cstheme="majorBidi"/>
                <w:color w:val="000000"/>
                <w:sz w:val="18"/>
                <w:szCs w:val="18"/>
              </w:rPr>
              <w:t>0</w:t>
            </w:r>
            <w:r w:rsidR="00FE6B3F" w:rsidRPr="004F51D2">
              <w:rPr>
                <w:rFonts w:asciiTheme="majorBidi" w:hAnsiTheme="majorBidi" w:cstheme="majorBidi"/>
                <w:color w:val="000000"/>
                <w:sz w:val="18"/>
                <w:szCs w:val="18"/>
              </w:rPr>
              <w:t>.</w:t>
            </w:r>
            <w:r w:rsidRPr="004F51D2">
              <w:rPr>
                <w:rFonts w:asciiTheme="majorBidi" w:hAnsiTheme="majorBidi" w:cstheme="majorBidi"/>
                <w:color w:val="000000"/>
                <w:sz w:val="18"/>
                <w:szCs w:val="18"/>
              </w:rPr>
              <w:t>6</w:t>
            </w:r>
            <w:r w:rsidR="00FE6B3F" w:rsidRPr="004F51D2">
              <w:rPr>
                <w:rFonts w:asciiTheme="majorBidi" w:hAnsiTheme="majorBidi" w:cstheme="majorBidi"/>
                <w:color w:val="000000"/>
                <w:sz w:val="18"/>
                <w:szCs w:val="18"/>
              </w:rPr>
              <w:t>67</w:t>
            </w:r>
          </w:p>
        </w:tc>
        <w:tc>
          <w:tcPr>
            <w:tcW w:w="879" w:type="dxa"/>
            <w:vAlign w:val="center"/>
          </w:tcPr>
          <w:p w14:paraId="77A9ECC2" w14:textId="0066C385" w:rsidR="00FE6B3F" w:rsidRPr="004F51D2" w:rsidRDefault="005D078C" w:rsidP="00742B97">
            <w:pPr>
              <w:bidi w:val="0"/>
              <w:jc w:val="center"/>
              <w:rPr>
                <w:rFonts w:asciiTheme="majorBidi" w:eastAsia="Calibri" w:hAnsiTheme="majorBidi" w:cstheme="majorBidi"/>
                <w:color w:val="000000" w:themeColor="text1"/>
                <w:sz w:val="18"/>
                <w:szCs w:val="18"/>
              </w:rPr>
            </w:pPr>
            <w:r w:rsidRPr="004F51D2">
              <w:rPr>
                <w:rFonts w:asciiTheme="majorBidi" w:hAnsiTheme="majorBidi" w:cstheme="majorBidi"/>
                <w:color w:val="000000"/>
                <w:sz w:val="18"/>
                <w:szCs w:val="18"/>
              </w:rPr>
              <w:t>0</w:t>
            </w:r>
            <w:r w:rsidR="00FE6B3F" w:rsidRPr="004F51D2">
              <w:rPr>
                <w:rFonts w:asciiTheme="majorBidi" w:hAnsiTheme="majorBidi" w:cstheme="majorBidi"/>
                <w:color w:val="000000"/>
                <w:sz w:val="18"/>
                <w:szCs w:val="18"/>
              </w:rPr>
              <w:t>.68</w:t>
            </w:r>
            <w:r w:rsidR="00742B97" w:rsidRPr="004F51D2">
              <w:rPr>
                <w:rFonts w:asciiTheme="majorBidi" w:hAnsiTheme="majorBidi" w:cstheme="majorBidi"/>
                <w:color w:val="000000"/>
                <w:sz w:val="18"/>
                <w:szCs w:val="18"/>
              </w:rPr>
              <w:t>6</w:t>
            </w:r>
          </w:p>
        </w:tc>
        <w:tc>
          <w:tcPr>
            <w:tcW w:w="881" w:type="dxa"/>
            <w:vAlign w:val="center"/>
          </w:tcPr>
          <w:p w14:paraId="4CECCA68" w14:textId="10BFE661" w:rsidR="00FE6B3F" w:rsidRPr="004F51D2" w:rsidRDefault="005D078C" w:rsidP="0039306C">
            <w:pPr>
              <w:bidi w:val="0"/>
              <w:jc w:val="center"/>
              <w:rPr>
                <w:rFonts w:asciiTheme="majorBidi" w:eastAsia="Calibri" w:hAnsiTheme="majorBidi" w:cstheme="majorBidi"/>
                <w:color w:val="000000" w:themeColor="text1"/>
                <w:sz w:val="18"/>
                <w:szCs w:val="18"/>
              </w:rPr>
            </w:pPr>
            <w:r w:rsidRPr="004F51D2">
              <w:rPr>
                <w:rFonts w:asciiTheme="majorBidi" w:hAnsiTheme="majorBidi" w:cstheme="majorBidi"/>
                <w:color w:val="000000"/>
                <w:sz w:val="18"/>
                <w:szCs w:val="18"/>
              </w:rPr>
              <w:t>0</w:t>
            </w:r>
            <w:r w:rsidR="00FE6B3F" w:rsidRPr="004F51D2">
              <w:rPr>
                <w:rFonts w:asciiTheme="majorBidi" w:hAnsiTheme="majorBidi" w:cstheme="majorBidi"/>
                <w:color w:val="000000"/>
                <w:sz w:val="18"/>
                <w:szCs w:val="18"/>
              </w:rPr>
              <w:t>.4</w:t>
            </w:r>
            <w:r w:rsidR="0039306C" w:rsidRPr="004F51D2">
              <w:rPr>
                <w:rFonts w:asciiTheme="majorBidi" w:hAnsiTheme="majorBidi" w:cstheme="majorBidi"/>
                <w:color w:val="000000"/>
                <w:sz w:val="18"/>
                <w:szCs w:val="18"/>
              </w:rPr>
              <w:t>04</w:t>
            </w:r>
          </w:p>
        </w:tc>
        <w:tc>
          <w:tcPr>
            <w:tcW w:w="1051" w:type="dxa"/>
            <w:vAlign w:val="center"/>
          </w:tcPr>
          <w:p w14:paraId="331DE268" w14:textId="46B36A69" w:rsidR="00FE6B3F" w:rsidRPr="004F51D2" w:rsidRDefault="00FE6B3F" w:rsidP="0039306C">
            <w:pPr>
              <w:bidi w:val="0"/>
              <w:jc w:val="center"/>
              <w:rPr>
                <w:rFonts w:asciiTheme="majorBidi" w:eastAsia="Calibri" w:hAnsiTheme="majorBidi" w:cstheme="majorBidi"/>
                <w:color w:val="000000" w:themeColor="text1"/>
                <w:sz w:val="18"/>
                <w:szCs w:val="18"/>
              </w:rPr>
            </w:pPr>
            <w:r w:rsidRPr="004F51D2">
              <w:rPr>
                <w:rFonts w:asciiTheme="majorBidi" w:hAnsiTheme="majorBidi" w:cstheme="majorBidi"/>
                <w:color w:val="000000"/>
                <w:sz w:val="18"/>
                <w:szCs w:val="18"/>
              </w:rPr>
              <w:t>0.02</w:t>
            </w:r>
            <w:r w:rsidR="0039306C" w:rsidRPr="004F51D2">
              <w:rPr>
                <w:rFonts w:asciiTheme="majorBidi" w:hAnsiTheme="majorBidi" w:cstheme="majorBidi"/>
                <w:color w:val="000000"/>
                <w:sz w:val="18"/>
                <w:szCs w:val="18"/>
              </w:rPr>
              <w:t>1</w:t>
            </w:r>
          </w:p>
        </w:tc>
        <w:tc>
          <w:tcPr>
            <w:tcW w:w="1268" w:type="dxa"/>
          </w:tcPr>
          <w:p w14:paraId="1C837578" w14:textId="77777777" w:rsidR="00FE6B3F" w:rsidRPr="004F51D2" w:rsidRDefault="00FE6B3F" w:rsidP="00FE6B3F">
            <w:pPr>
              <w:bidi w:val="0"/>
              <w:jc w:val="center"/>
              <w:rPr>
                <w:rFonts w:ascii="Times New Roman" w:eastAsia="Calibri" w:hAnsi="Times New Roman" w:cs="Times New Roman"/>
                <w:color w:val="000000" w:themeColor="text1"/>
                <w:sz w:val="18"/>
                <w:szCs w:val="18"/>
                <w:rtl/>
              </w:rPr>
            </w:pPr>
          </w:p>
        </w:tc>
        <w:tc>
          <w:tcPr>
            <w:tcW w:w="1694" w:type="dxa"/>
          </w:tcPr>
          <w:p w14:paraId="7A3E2D38" w14:textId="5B2BE3E6" w:rsidR="00FE6B3F" w:rsidRPr="004F51D2" w:rsidRDefault="005D078C" w:rsidP="00FE6B3F">
            <w:pPr>
              <w:bidi w:val="0"/>
              <w:rPr>
                <w:rFonts w:ascii="Times New Roman" w:eastAsia="Calibri" w:hAnsi="Times New Roman" w:cs="Times New Roman"/>
                <w:color w:val="000000" w:themeColor="text1"/>
                <w:sz w:val="18"/>
                <w:szCs w:val="18"/>
              </w:rPr>
            </w:pPr>
            <w:r w:rsidRPr="004F51D2">
              <w:rPr>
                <w:rFonts w:ascii="Times New Roman" w:eastAsia="Calibri" w:hAnsi="Times New Roman" w:cs="Times New Roman"/>
                <w:color w:val="000000" w:themeColor="text1"/>
                <w:sz w:val="18"/>
                <w:szCs w:val="18"/>
              </w:rPr>
              <w:t>DASS</w:t>
            </w:r>
            <w:r w:rsidR="00FE6B3F" w:rsidRPr="004F51D2">
              <w:rPr>
                <w:rFonts w:ascii="Times New Roman" w:eastAsia="Calibri" w:hAnsi="Times New Roman" w:cs="Times New Roman"/>
                <w:color w:val="000000" w:themeColor="text1"/>
                <w:sz w:val="18"/>
                <w:szCs w:val="18"/>
              </w:rPr>
              <w:t>-</w:t>
            </w:r>
            <w:r w:rsidR="007753A0" w:rsidRPr="004F51D2">
              <w:rPr>
                <w:rFonts w:ascii="Times New Roman" w:eastAsia="Calibri" w:hAnsi="Times New Roman" w:cs="Times New Roman"/>
                <w:color w:val="000000" w:themeColor="text1"/>
                <w:sz w:val="18"/>
                <w:szCs w:val="18"/>
              </w:rPr>
              <w:t>21-</w:t>
            </w:r>
            <w:r w:rsidR="00FE6B3F" w:rsidRPr="004F51D2">
              <w:rPr>
                <w:rFonts w:ascii="Times New Roman" w:eastAsia="Calibri" w:hAnsi="Times New Roman" w:cs="Times New Roman"/>
                <w:color w:val="000000" w:themeColor="text1"/>
                <w:sz w:val="18"/>
                <w:szCs w:val="18"/>
              </w:rPr>
              <w:t>D</w:t>
            </w:r>
          </w:p>
        </w:tc>
        <w:tc>
          <w:tcPr>
            <w:tcW w:w="985" w:type="dxa"/>
          </w:tcPr>
          <w:p w14:paraId="3E59B920" w14:textId="77777777" w:rsidR="00FE6B3F" w:rsidRPr="004F51D2" w:rsidRDefault="00FE6B3F" w:rsidP="00FE6B3F">
            <w:pPr>
              <w:bidi w:val="0"/>
              <w:jc w:val="center"/>
              <w:rPr>
                <w:rFonts w:ascii="Times New Roman" w:eastAsia="Calibri" w:hAnsi="Times New Roman" w:cs="Times New Roman"/>
                <w:color w:val="000000" w:themeColor="text1"/>
                <w:sz w:val="18"/>
                <w:szCs w:val="18"/>
                <w:rtl/>
              </w:rPr>
            </w:pPr>
          </w:p>
        </w:tc>
      </w:tr>
      <w:tr w:rsidR="00FE6B3F" w:rsidRPr="004F51D2" w14:paraId="4F52C75F" w14:textId="77777777" w:rsidTr="005D078C">
        <w:tc>
          <w:tcPr>
            <w:tcW w:w="1172" w:type="dxa"/>
            <w:vAlign w:val="center"/>
          </w:tcPr>
          <w:p w14:paraId="20BD72CC" w14:textId="0173A3C5" w:rsidR="00FE6B3F" w:rsidRPr="004F51D2" w:rsidRDefault="005D078C" w:rsidP="00742B97">
            <w:pPr>
              <w:bidi w:val="0"/>
              <w:jc w:val="center"/>
              <w:rPr>
                <w:rFonts w:asciiTheme="majorBidi" w:eastAsia="Calibri" w:hAnsiTheme="majorBidi" w:cstheme="majorBidi"/>
                <w:color w:val="000000" w:themeColor="text1"/>
                <w:sz w:val="18"/>
                <w:szCs w:val="18"/>
              </w:rPr>
            </w:pPr>
            <w:r w:rsidRPr="004F51D2">
              <w:rPr>
                <w:rFonts w:asciiTheme="majorBidi" w:hAnsiTheme="majorBidi" w:cstheme="majorBidi"/>
                <w:color w:val="000000"/>
                <w:sz w:val="18"/>
                <w:szCs w:val="18"/>
              </w:rPr>
              <w:t>2</w:t>
            </w:r>
            <w:r w:rsidR="00FE6B3F" w:rsidRPr="004F51D2">
              <w:rPr>
                <w:rFonts w:asciiTheme="majorBidi" w:hAnsiTheme="majorBidi" w:cstheme="majorBidi"/>
                <w:color w:val="000000"/>
                <w:sz w:val="18"/>
                <w:szCs w:val="18"/>
              </w:rPr>
              <w:t>.07</w:t>
            </w:r>
            <w:r w:rsidR="00742B97" w:rsidRPr="004F51D2">
              <w:rPr>
                <w:rFonts w:asciiTheme="majorBidi" w:hAnsiTheme="majorBidi" w:cstheme="majorBidi"/>
                <w:color w:val="000000"/>
                <w:sz w:val="18"/>
                <w:szCs w:val="18"/>
              </w:rPr>
              <w:t>1</w:t>
            </w:r>
          </w:p>
        </w:tc>
        <w:tc>
          <w:tcPr>
            <w:tcW w:w="1096" w:type="dxa"/>
            <w:vAlign w:val="center"/>
          </w:tcPr>
          <w:p w14:paraId="1EE9B6A1" w14:textId="36A8C531" w:rsidR="00FE6B3F" w:rsidRPr="004F51D2" w:rsidRDefault="005D078C" w:rsidP="00742B97">
            <w:pPr>
              <w:bidi w:val="0"/>
              <w:jc w:val="center"/>
              <w:rPr>
                <w:rFonts w:asciiTheme="majorBidi" w:eastAsia="Calibri" w:hAnsiTheme="majorBidi" w:cstheme="majorBidi"/>
                <w:color w:val="000000" w:themeColor="text1"/>
                <w:sz w:val="18"/>
                <w:szCs w:val="18"/>
              </w:rPr>
            </w:pPr>
            <w:r w:rsidRPr="004F51D2">
              <w:rPr>
                <w:rFonts w:asciiTheme="majorBidi" w:hAnsiTheme="majorBidi" w:cstheme="majorBidi"/>
                <w:color w:val="000000"/>
                <w:sz w:val="18"/>
                <w:szCs w:val="18"/>
              </w:rPr>
              <w:t>0</w:t>
            </w:r>
            <w:r w:rsidR="00FE6B3F" w:rsidRPr="004F51D2">
              <w:rPr>
                <w:rFonts w:asciiTheme="majorBidi" w:hAnsiTheme="majorBidi" w:cstheme="majorBidi"/>
                <w:color w:val="000000"/>
                <w:sz w:val="18"/>
                <w:szCs w:val="18"/>
              </w:rPr>
              <w:t>.</w:t>
            </w:r>
            <w:r w:rsidRPr="004F51D2">
              <w:rPr>
                <w:rFonts w:asciiTheme="majorBidi" w:hAnsiTheme="majorBidi" w:cstheme="majorBidi"/>
                <w:color w:val="000000"/>
                <w:sz w:val="18"/>
                <w:szCs w:val="18"/>
              </w:rPr>
              <w:t>7</w:t>
            </w:r>
            <w:r w:rsidR="00FE6B3F" w:rsidRPr="004F51D2">
              <w:rPr>
                <w:rFonts w:asciiTheme="majorBidi" w:hAnsiTheme="majorBidi" w:cstheme="majorBidi"/>
                <w:color w:val="000000"/>
                <w:sz w:val="18"/>
                <w:szCs w:val="18"/>
              </w:rPr>
              <w:t>4</w:t>
            </w:r>
            <w:r w:rsidR="00742B97" w:rsidRPr="004F51D2">
              <w:rPr>
                <w:rFonts w:asciiTheme="majorBidi" w:hAnsiTheme="majorBidi" w:cstheme="majorBidi"/>
                <w:color w:val="000000"/>
                <w:sz w:val="18"/>
                <w:szCs w:val="18"/>
              </w:rPr>
              <w:t>3</w:t>
            </w:r>
          </w:p>
        </w:tc>
        <w:tc>
          <w:tcPr>
            <w:tcW w:w="879" w:type="dxa"/>
            <w:vAlign w:val="center"/>
          </w:tcPr>
          <w:p w14:paraId="07101303" w14:textId="79E81189" w:rsidR="00FE6B3F" w:rsidRPr="004F51D2" w:rsidRDefault="005D078C" w:rsidP="00742B97">
            <w:pPr>
              <w:bidi w:val="0"/>
              <w:jc w:val="center"/>
              <w:rPr>
                <w:rFonts w:asciiTheme="majorBidi" w:eastAsia="Calibri" w:hAnsiTheme="majorBidi" w:cstheme="majorBidi"/>
                <w:color w:val="000000" w:themeColor="text1"/>
                <w:sz w:val="18"/>
                <w:szCs w:val="18"/>
              </w:rPr>
            </w:pPr>
            <w:r w:rsidRPr="004F51D2">
              <w:rPr>
                <w:rFonts w:asciiTheme="majorBidi" w:hAnsiTheme="majorBidi" w:cstheme="majorBidi"/>
                <w:color w:val="000000"/>
                <w:sz w:val="18"/>
                <w:szCs w:val="18"/>
              </w:rPr>
              <w:t>0</w:t>
            </w:r>
            <w:r w:rsidR="00FE6B3F" w:rsidRPr="004F51D2">
              <w:rPr>
                <w:rFonts w:asciiTheme="majorBidi" w:hAnsiTheme="majorBidi" w:cstheme="majorBidi"/>
                <w:color w:val="000000"/>
                <w:sz w:val="18"/>
                <w:szCs w:val="18"/>
              </w:rPr>
              <w:t>.36</w:t>
            </w:r>
            <w:r w:rsidR="00742B97" w:rsidRPr="004F51D2">
              <w:rPr>
                <w:rFonts w:asciiTheme="majorBidi" w:hAnsiTheme="majorBidi" w:cstheme="majorBidi"/>
                <w:color w:val="000000"/>
                <w:sz w:val="18"/>
                <w:szCs w:val="18"/>
              </w:rPr>
              <w:t>9</w:t>
            </w:r>
          </w:p>
        </w:tc>
        <w:tc>
          <w:tcPr>
            <w:tcW w:w="881" w:type="dxa"/>
            <w:vAlign w:val="center"/>
          </w:tcPr>
          <w:p w14:paraId="0EB6095F" w14:textId="2B8A6176" w:rsidR="00FE6B3F" w:rsidRPr="004F51D2" w:rsidRDefault="005D078C" w:rsidP="0039306C">
            <w:pPr>
              <w:bidi w:val="0"/>
              <w:jc w:val="center"/>
              <w:rPr>
                <w:rFonts w:asciiTheme="majorBidi" w:eastAsia="Calibri" w:hAnsiTheme="majorBidi" w:cstheme="majorBidi"/>
                <w:color w:val="000000" w:themeColor="text1"/>
                <w:sz w:val="18"/>
                <w:szCs w:val="18"/>
              </w:rPr>
            </w:pPr>
            <w:r w:rsidRPr="004F51D2">
              <w:rPr>
                <w:rFonts w:asciiTheme="majorBidi" w:hAnsiTheme="majorBidi" w:cstheme="majorBidi"/>
                <w:color w:val="000000"/>
                <w:sz w:val="18"/>
                <w:szCs w:val="18"/>
              </w:rPr>
              <w:t>0</w:t>
            </w:r>
            <w:r w:rsidR="00FE6B3F" w:rsidRPr="004F51D2">
              <w:rPr>
                <w:rFonts w:asciiTheme="majorBidi" w:hAnsiTheme="majorBidi" w:cstheme="majorBidi"/>
                <w:color w:val="000000"/>
                <w:sz w:val="18"/>
                <w:szCs w:val="18"/>
              </w:rPr>
              <w:t>.9</w:t>
            </w:r>
            <w:r w:rsidR="0039306C" w:rsidRPr="004F51D2">
              <w:rPr>
                <w:rFonts w:asciiTheme="majorBidi" w:hAnsiTheme="majorBidi" w:cstheme="majorBidi"/>
                <w:color w:val="000000"/>
                <w:sz w:val="18"/>
                <w:szCs w:val="18"/>
              </w:rPr>
              <w:t>07</w:t>
            </w:r>
          </w:p>
        </w:tc>
        <w:tc>
          <w:tcPr>
            <w:tcW w:w="1051" w:type="dxa"/>
            <w:vAlign w:val="center"/>
          </w:tcPr>
          <w:p w14:paraId="78924C96" w14:textId="409C52AD" w:rsidR="00FE6B3F" w:rsidRPr="004F51D2" w:rsidRDefault="00FE6B3F" w:rsidP="0039306C">
            <w:pPr>
              <w:bidi w:val="0"/>
              <w:jc w:val="center"/>
              <w:rPr>
                <w:rFonts w:asciiTheme="majorBidi" w:eastAsia="Calibri" w:hAnsiTheme="majorBidi" w:cstheme="majorBidi"/>
                <w:color w:val="000000" w:themeColor="text1"/>
                <w:sz w:val="18"/>
                <w:szCs w:val="18"/>
              </w:rPr>
            </w:pPr>
            <w:r w:rsidRPr="004F51D2">
              <w:rPr>
                <w:rFonts w:asciiTheme="majorBidi" w:hAnsiTheme="majorBidi" w:cstheme="majorBidi"/>
                <w:color w:val="000000"/>
                <w:sz w:val="18"/>
                <w:szCs w:val="18"/>
              </w:rPr>
              <w:t>0.05</w:t>
            </w:r>
            <w:r w:rsidR="0039306C" w:rsidRPr="004F51D2">
              <w:rPr>
                <w:rFonts w:asciiTheme="majorBidi" w:hAnsiTheme="majorBidi" w:cstheme="majorBidi"/>
                <w:color w:val="000000"/>
                <w:sz w:val="18"/>
                <w:szCs w:val="18"/>
              </w:rPr>
              <w:t>5</w:t>
            </w:r>
          </w:p>
        </w:tc>
        <w:tc>
          <w:tcPr>
            <w:tcW w:w="1268" w:type="dxa"/>
          </w:tcPr>
          <w:p w14:paraId="1F9116D9" w14:textId="77777777" w:rsidR="00FE6B3F" w:rsidRPr="004F51D2" w:rsidRDefault="00FE6B3F" w:rsidP="00FE6B3F">
            <w:pPr>
              <w:bidi w:val="0"/>
              <w:jc w:val="center"/>
              <w:rPr>
                <w:rFonts w:ascii="Times New Roman" w:eastAsia="Calibri" w:hAnsi="Times New Roman" w:cs="Times New Roman"/>
                <w:color w:val="000000" w:themeColor="text1"/>
                <w:sz w:val="18"/>
                <w:szCs w:val="18"/>
                <w:rtl/>
              </w:rPr>
            </w:pPr>
          </w:p>
        </w:tc>
        <w:tc>
          <w:tcPr>
            <w:tcW w:w="1694" w:type="dxa"/>
          </w:tcPr>
          <w:p w14:paraId="1C263C28" w14:textId="64FBD9BD" w:rsidR="00FE6B3F" w:rsidRPr="004F51D2" w:rsidRDefault="005D078C" w:rsidP="00FE6B3F">
            <w:pPr>
              <w:bidi w:val="0"/>
              <w:rPr>
                <w:rFonts w:ascii="Times New Roman" w:eastAsia="Calibri" w:hAnsi="Times New Roman" w:cs="Times New Roman"/>
                <w:color w:val="000000" w:themeColor="text1"/>
                <w:sz w:val="18"/>
                <w:szCs w:val="18"/>
              </w:rPr>
            </w:pPr>
            <w:r w:rsidRPr="004F51D2">
              <w:rPr>
                <w:rFonts w:ascii="Times New Roman" w:eastAsia="Calibri" w:hAnsi="Times New Roman" w:cs="Times New Roman"/>
                <w:color w:val="000000" w:themeColor="text1"/>
                <w:sz w:val="18"/>
                <w:szCs w:val="18"/>
              </w:rPr>
              <w:t>DASS</w:t>
            </w:r>
            <w:r w:rsidR="00FE6B3F" w:rsidRPr="004F51D2">
              <w:rPr>
                <w:rFonts w:ascii="Times New Roman" w:eastAsia="Calibri" w:hAnsi="Times New Roman" w:cs="Times New Roman"/>
                <w:color w:val="000000" w:themeColor="text1"/>
                <w:sz w:val="18"/>
                <w:szCs w:val="18"/>
              </w:rPr>
              <w:t>-</w:t>
            </w:r>
            <w:r w:rsidR="007753A0" w:rsidRPr="004F51D2">
              <w:rPr>
                <w:rFonts w:ascii="Times New Roman" w:eastAsia="Calibri" w:hAnsi="Times New Roman" w:cs="Times New Roman"/>
                <w:color w:val="000000" w:themeColor="text1"/>
                <w:sz w:val="18"/>
                <w:szCs w:val="18"/>
              </w:rPr>
              <w:t>21-</w:t>
            </w:r>
            <w:r w:rsidR="00FE6B3F" w:rsidRPr="004F51D2">
              <w:rPr>
                <w:rFonts w:ascii="Times New Roman" w:eastAsia="Calibri" w:hAnsi="Times New Roman" w:cs="Times New Roman"/>
                <w:color w:val="000000" w:themeColor="text1"/>
                <w:sz w:val="18"/>
                <w:szCs w:val="18"/>
              </w:rPr>
              <w:t>A</w:t>
            </w:r>
          </w:p>
        </w:tc>
        <w:tc>
          <w:tcPr>
            <w:tcW w:w="985" w:type="dxa"/>
          </w:tcPr>
          <w:p w14:paraId="01DE7C4A" w14:textId="77777777" w:rsidR="00FE6B3F" w:rsidRPr="004F51D2" w:rsidRDefault="00FE6B3F" w:rsidP="00FE6B3F">
            <w:pPr>
              <w:bidi w:val="0"/>
              <w:jc w:val="center"/>
              <w:rPr>
                <w:rFonts w:ascii="Times New Roman" w:eastAsia="Calibri" w:hAnsi="Times New Roman" w:cs="Times New Roman"/>
                <w:color w:val="000000" w:themeColor="text1"/>
                <w:sz w:val="18"/>
                <w:szCs w:val="18"/>
                <w:rtl/>
              </w:rPr>
            </w:pPr>
          </w:p>
        </w:tc>
      </w:tr>
      <w:tr w:rsidR="00FE6B3F" w:rsidRPr="004F51D2" w14:paraId="14F85EC6" w14:textId="77777777" w:rsidTr="005D078C">
        <w:tc>
          <w:tcPr>
            <w:tcW w:w="1172" w:type="dxa"/>
            <w:vAlign w:val="center"/>
          </w:tcPr>
          <w:p w14:paraId="028B3AFA" w14:textId="7A56A901" w:rsidR="00FE6B3F" w:rsidRPr="004F51D2" w:rsidRDefault="005D078C" w:rsidP="00FE6B3F">
            <w:pPr>
              <w:bidi w:val="0"/>
              <w:jc w:val="center"/>
              <w:rPr>
                <w:rFonts w:asciiTheme="majorBidi" w:eastAsia="Calibri" w:hAnsiTheme="majorBidi" w:cstheme="majorBidi"/>
                <w:color w:val="000000" w:themeColor="text1"/>
                <w:sz w:val="18"/>
                <w:szCs w:val="18"/>
              </w:rPr>
            </w:pPr>
            <w:r w:rsidRPr="004F51D2">
              <w:rPr>
                <w:rFonts w:asciiTheme="majorBidi" w:hAnsiTheme="majorBidi" w:cstheme="majorBidi"/>
                <w:color w:val="000000"/>
                <w:sz w:val="18"/>
                <w:szCs w:val="18"/>
              </w:rPr>
              <w:t>2</w:t>
            </w:r>
            <w:r w:rsidR="00FE6B3F" w:rsidRPr="004F51D2">
              <w:rPr>
                <w:rFonts w:asciiTheme="majorBidi" w:hAnsiTheme="majorBidi" w:cstheme="majorBidi"/>
                <w:color w:val="000000"/>
                <w:sz w:val="18"/>
                <w:szCs w:val="18"/>
              </w:rPr>
              <w:t>.551</w:t>
            </w:r>
          </w:p>
        </w:tc>
        <w:tc>
          <w:tcPr>
            <w:tcW w:w="1096" w:type="dxa"/>
            <w:vAlign w:val="center"/>
          </w:tcPr>
          <w:p w14:paraId="32623182" w14:textId="6E0B7263" w:rsidR="00FE6B3F" w:rsidRPr="004F51D2" w:rsidRDefault="005D078C" w:rsidP="00742B97">
            <w:pPr>
              <w:bidi w:val="0"/>
              <w:jc w:val="center"/>
              <w:rPr>
                <w:rFonts w:asciiTheme="majorBidi" w:eastAsia="Calibri" w:hAnsiTheme="majorBidi" w:cstheme="majorBidi"/>
                <w:color w:val="000000" w:themeColor="text1"/>
                <w:sz w:val="18"/>
                <w:szCs w:val="18"/>
              </w:rPr>
            </w:pPr>
            <w:r w:rsidRPr="004F51D2">
              <w:rPr>
                <w:rFonts w:asciiTheme="majorBidi" w:hAnsiTheme="majorBidi" w:cstheme="majorBidi"/>
                <w:color w:val="000000"/>
                <w:sz w:val="18"/>
                <w:szCs w:val="18"/>
              </w:rPr>
              <w:t>0</w:t>
            </w:r>
            <w:r w:rsidR="00FE6B3F" w:rsidRPr="004F51D2">
              <w:rPr>
                <w:rFonts w:asciiTheme="majorBidi" w:hAnsiTheme="majorBidi" w:cstheme="majorBidi"/>
                <w:color w:val="000000"/>
                <w:sz w:val="18"/>
                <w:szCs w:val="18"/>
              </w:rPr>
              <w:t>.</w:t>
            </w:r>
            <w:r w:rsidRPr="004F51D2">
              <w:rPr>
                <w:rFonts w:asciiTheme="majorBidi" w:hAnsiTheme="majorBidi" w:cstheme="majorBidi"/>
                <w:color w:val="000000"/>
                <w:sz w:val="18"/>
                <w:szCs w:val="18"/>
              </w:rPr>
              <w:t>6</w:t>
            </w:r>
            <w:r w:rsidR="00FE6B3F" w:rsidRPr="004F51D2">
              <w:rPr>
                <w:rFonts w:asciiTheme="majorBidi" w:hAnsiTheme="majorBidi" w:cstheme="majorBidi"/>
                <w:color w:val="000000"/>
                <w:sz w:val="18"/>
                <w:szCs w:val="18"/>
              </w:rPr>
              <w:t>8</w:t>
            </w:r>
            <w:r w:rsidR="00742B97" w:rsidRPr="004F51D2">
              <w:rPr>
                <w:rFonts w:asciiTheme="majorBidi" w:hAnsiTheme="majorBidi" w:cstheme="majorBidi"/>
                <w:color w:val="000000"/>
                <w:sz w:val="18"/>
                <w:szCs w:val="18"/>
              </w:rPr>
              <w:t>1</w:t>
            </w:r>
          </w:p>
        </w:tc>
        <w:tc>
          <w:tcPr>
            <w:tcW w:w="879" w:type="dxa"/>
            <w:vAlign w:val="center"/>
          </w:tcPr>
          <w:p w14:paraId="7C1213E7" w14:textId="56FEFBAD" w:rsidR="00FE6B3F" w:rsidRPr="004F51D2" w:rsidRDefault="005D078C" w:rsidP="00742B97">
            <w:pPr>
              <w:bidi w:val="0"/>
              <w:jc w:val="center"/>
              <w:rPr>
                <w:rFonts w:asciiTheme="majorBidi" w:eastAsia="Calibri" w:hAnsiTheme="majorBidi" w:cstheme="majorBidi"/>
                <w:color w:val="000000" w:themeColor="text1"/>
                <w:sz w:val="18"/>
                <w:szCs w:val="18"/>
              </w:rPr>
            </w:pPr>
            <w:r w:rsidRPr="004F51D2">
              <w:rPr>
                <w:rFonts w:asciiTheme="majorBidi" w:hAnsiTheme="majorBidi" w:cstheme="majorBidi"/>
                <w:color w:val="000000"/>
                <w:sz w:val="18"/>
                <w:szCs w:val="18"/>
              </w:rPr>
              <w:t>0</w:t>
            </w:r>
            <w:r w:rsidR="00FE6B3F" w:rsidRPr="004F51D2">
              <w:rPr>
                <w:rFonts w:asciiTheme="majorBidi" w:hAnsiTheme="majorBidi" w:cstheme="majorBidi"/>
                <w:color w:val="000000"/>
                <w:sz w:val="18"/>
                <w:szCs w:val="18"/>
              </w:rPr>
              <w:t>.0</w:t>
            </w:r>
            <w:r w:rsidR="00742B97" w:rsidRPr="004F51D2">
              <w:rPr>
                <w:rFonts w:asciiTheme="majorBidi" w:hAnsiTheme="majorBidi" w:cstheme="majorBidi"/>
                <w:color w:val="000000"/>
                <w:sz w:val="18"/>
                <w:szCs w:val="18"/>
              </w:rPr>
              <w:t>20</w:t>
            </w:r>
          </w:p>
        </w:tc>
        <w:tc>
          <w:tcPr>
            <w:tcW w:w="881" w:type="dxa"/>
            <w:vAlign w:val="center"/>
          </w:tcPr>
          <w:p w14:paraId="5C92874B" w14:textId="34930F5C" w:rsidR="00FE6B3F" w:rsidRPr="004F51D2" w:rsidRDefault="00FE6B3F" w:rsidP="0039306C">
            <w:pPr>
              <w:bidi w:val="0"/>
              <w:jc w:val="center"/>
              <w:rPr>
                <w:rFonts w:asciiTheme="majorBidi" w:eastAsia="Calibri" w:hAnsiTheme="majorBidi" w:cstheme="majorBidi"/>
                <w:color w:val="000000" w:themeColor="text1"/>
                <w:sz w:val="18"/>
                <w:szCs w:val="18"/>
              </w:rPr>
            </w:pPr>
            <w:r w:rsidRPr="004F51D2">
              <w:rPr>
                <w:rFonts w:asciiTheme="majorBidi" w:hAnsiTheme="majorBidi" w:cstheme="majorBidi"/>
                <w:color w:val="000000"/>
                <w:sz w:val="18"/>
                <w:szCs w:val="18"/>
              </w:rPr>
              <w:t>2.37</w:t>
            </w:r>
            <w:r w:rsidR="0039306C" w:rsidRPr="004F51D2">
              <w:rPr>
                <w:rFonts w:asciiTheme="majorBidi" w:hAnsiTheme="majorBidi" w:cstheme="majorBidi"/>
                <w:color w:val="000000"/>
                <w:sz w:val="18"/>
                <w:szCs w:val="18"/>
              </w:rPr>
              <w:t>1</w:t>
            </w:r>
          </w:p>
        </w:tc>
        <w:tc>
          <w:tcPr>
            <w:tcW w:w="1051" w:type="dxa"/>
            <w:vAlign w:val="center"/>
          </w:tcPr>
          <w:p w14:paraId="7C5D242E" w14:textId="0B157F8B" w:rsidR="00FE6B3F" w:rsidRPr="004F51D2" w:rsidRDefault="00FE6B3F" w:rsidP="0039306C">
            <w:pPr>
              <w:bidi w:val="0"/>
              <w:jc w:val="center"/>
              <w:rPr>
                <w:rFonts w:asciiTheme="majorBidi" w:eastAsia="Calibri" w:hAnsiTheme="majorBidi" w:cstheme="majorBidi"/>
                <w:color w:val="000000" w:themeColor="text1"/>
                <w:sz w:val="18"/>
                <w:szCs w:val="18"/>
              </w:rPr>
            </w:pPr>
            <w:r w:rsidRPr="004F51D2">
              <w:rPr>
                <w:rFonts w:asciiTheme="majorBidi" w:hAnsiTheme="majorBidi" w:cstheme="majorBidi"/>
                <w:color w:val="000000"/>
                <w:sz w:val="18"/>
                <w:szCs w:val="18"/>
              </w:rPr>
              <w:t>0.14</w:t>
            </w:r>
            <w:r w:rsidR="0039306C" w:rsidRPr="004F51D2">
              <w:rPr>
                <w:rFonts w:asciiTheme="majorBidi" w:hAnsiTheme="majorBidi" w:cstheme="majorBidi"/>
                <w:color w:val="000000"/>
                <w:sz w:val="18"/>
                <w:szCs w:val="18"/>
              </w:rPr>
              <w:t>0</w:t>
            </w:r>
          </w:p>
        </w:tc>
        <w:tc>
          <w:tcPr>
            <w:tcW w:w="1268" w:type="dxa"/>
          </w:tcPr>
          <w:p w14:paraId="1C41F40C" w14:textId="77777777" w:rsidR="00FE6B3F" w:rsidRPr="004F51D2" w:rsidRDefault="00FE6B3F" w:rsidP="00FE6B3F">
            <w:pPr>
              <w:bidi w:val="0"/>
              <w:jc w:val="center"/>
              <w:rPr>
                <w:rFonts w:ascii="Times New Roman" w:eastAsia="Calibri" w:hAnsi="Times New Roman" w:cs="Times New Roman"/>
                <w:color w:val="000000" w:themeColor="text1"/>
                <w:sz w:val="18"/>
                <w:szCs w:val="18"/>
                <w:rtl/>
              </w:rPr>
            </w:pPr>
          </w:p>
        </w:tc>
        <w:tc>
          <w:tcPr>
            <w:tcW w:w="1694" w:type="dxa"/>
          </w:tcPr>
          <w:p w14:paraId="293C233D" w14:textId="6F3E5013" w:rsidR="00FE6B3F" w:rsidRPr="004F51D2" w:rsidRDefault="005D078C" w:rsidP="00FE6B3F">
            <w:pPr>
              <w:bidi w:val="0"/>
              <w:rPr>
                <w:rFonts w:ascii="Times New Roman" w:eastAsia="Calibri" w:hAnsi="Times New Roman" w:cs="Times New Roman"/>
                <w:color w:val="000000" w:themeColor="text1"/>
                <w:sz w:val="18"/>
                <w:szCs w:val="18"/>
              </w:rPr>
            </w:pPr>
            <w:r w:rsidRPr="004F51D2">
              <w:rPr>
                <w:rFonts w:ascii="Times New Roman" w:eastAsia="Calibri" w:hAnsi="Times New Roman" w:cs="Times New Roman"/>
                <w:color w:val="000000" w:themeColor="text1"/>
                <w:sz w:val="18"/>
                <w:szCs w:val="18"/>
              </w:rPr>
              <w:t>DASS</w:t>
            </w:r>
            <w:r w:rsidR="00FE6B3F" w:rsidRPr="004F51D2">
              <w:rPr>
                <w:rFonts w:ascii="Times New Roman" w:eastAsia="Calibri" w:hAnsi="Times New Roman" w:cs="Times New Roman"/>
                <w:color w:val="000000" w:themeColor="text1"/>
                <w:sz w:val="18"/>
                <w:szCs w:val="18"/>
              </w:rPr>
              <w:t>-</w:t>
            </w:r>
            <w:r w:rsidR="007753A0" w:rsidRPr="004F51D2">
              <w:rPr>
                <w:rFonts w:ascii="Times New Roman" w:eastAsia="Calibri" w:hAnsi="Times New Roman" w:cs="Times New Roman"/>
                <w:color w:val="000000" w:themeColor="text1"/>
                <w:sz w:val="18"/>
                <w:szCs w:val="18"/>
              </w:rPr>
              <w:t>21-</w:t>
            </w:r>
            <w:r w:rsidR="00FE6B3F" w:rsidRPr="004F51D2">
              <w:rPr>
                <w:rFonts w:ascii="Times New Roman" w:eastAsia="Calibri" w:hAnsi="Times New Roman" w:cs="Times New Roman"/>
                <w:color w:val="000000" w:themeColor="text1"/>
                <w:sz w:val="18"/>
                <w:szCs w:val="18"/>
              </w:rPr>
              <w:t>S</w:t>
            </w:r>
          </w:p>
        </w:tc>
        <w:tc>
          <w:tcPr>
            <w:tcW w:w="985" w:type="dxa"/>
          </w:tcPr>
          <w:p w14:paraId="03209B74" w14:textId="77777777" w:rsidR="00FE6B3F" w:rsidRPr="004F51D2" w:rsidRDefault="00FE6B3F" w:rsidP="00FE6B3F">
            <w:pPr>
              <w:bidi w:val="0"/>
              <w:jc w:val="center"/>
              <w:rPr>
                <w:rFonts w:ascii="Times New Roman" w:eastAsia="Calibri" w:hAnsi="Times New Roman" w:cs="Times New Roman"/>
                <w:color w:val="000000" w:themeColor="text1"/>
                <w:sz w:val="18"/>
                <w:szCs w:val="18"/>
                <w:rtl/>
              </w:rPr>
            </w:pPr>
          </w:p>
        </w:tc>
      </w:tr>
      <w:tr w:rsidR="00FE6B3F" w:rsidRPr="004F51D2" w14:paraId="4B7A736F" w14:textId="77777777" w:rsidTr="005D078C">
        <w:tc>
          <w:tcPr>
            <w:tcW w:w="1172" w:type="dxa"/>
            <w:tcBorders>
              <w:bottom w:val="single" w:sz="4" w:space="0" w:color="auto"/>
            </w:tcBorders>
            <w:vAlign w:val="center"/>
          </w:tcPr>
          <w:p w14:paraId="75435822" w14:textId="5F67575F" w:rsidR="00FE6B3F" w:rsidRPr="004F51D2" w:rsidRDefault="00FE6B3F" w:rsidP="00742B97">
            <w:pPr>
              <w:bidi w:val="0"/>
              <w:jc w:val="center"/>
              <w:rPr>
                <w:rFonts w:asciiTheme="majorBidi" w:eastAsia="Calibri" w:hAnsiTheme="majorBidi" w:cstheme="majorBidi"/>
                <w:color w:val="000000" w:themeColor="text1"/>
                <w:sz w:val="18"/>
                <w:szCs w:val="18"/>
              </w:rPr>
            </w:pPr>
            <w:r w:rsidRPr="004F51D2">
              <w:rPr>
                <w:rFonts w:asciiTheme="majorBidi" w:hAnsiTheme="majorBidi" w:cstheme="majorBidi"/>
                <w:color w:val="000000"/>
                <w:sz w:val="18"/>
                <w:szCs w:val="18"/>
              </w:rPr>
              <w:t>1.29</w:t>
            </w:r>
            <w:r w:rsidR="00742B97" w:rsidRPr="004F51D2">
              <w:rPr>
                <w:rFonts w:asciiTheme="majorBidi" w:hAnsiTheme="majorBidi" w:cstheme="majorBidi"/>
                <w:color w:val="000000"/>
                <w:sz w:val="18"/>
                <w:szCs w:val="18"/>
              </w:rPr>
              <w:t>7</w:t>
            </w:r>
          </w:p>
        </w:tc>
        <w:tc>
          <w:tcPr>
            <w:tcW w:w="1096" w:type="dxa"/>
            <w:tcBorders>
              <w:bottom w:val="single" w:sz="4" w:space="0" w:color="auto"/>
            </w:tcBorders>
            <w:vAlign w:val="center"/>
          </w:tcPr>
          <w:p w14:paraId="3398FF2C" w14:textId="7D73CADE" w:rsidR="00FE6B3F" w:rsidRPr="004F51D2" w:rsidRDefault="005D078C" w:rsidP="00742B97">
            <w:pPr>
              <w:bidi w:val="0"/>
              <w:jc w:val="center"/>
              <w:rPr>
                <w:rFonts w:asciiTheme="majorBidi" w:eastAsia="Calibri" w:hAnsiTheme="majorBidi" w:cstheme="majorBidi"/>
                <w:color w:val="000000" w:themeColor="text1"/>
                <w:sz w:val="18"/>
                <w:szCs w:val="18"/>
              </w:rPr>
            </w:pPr>
            <w:r w:rsidRPr="004F51D2">
              <w:rPr>
                <w:rFonts w:asciiTheme="majorBidi" w:hAnsiTheme="majorBidi" w:cstheme="majorBidi"/>
                <w:color w:val="000000"/>
                <w:sz w:val="18"/>
                <w:szCs w:val="18"/>
              </w:rPr>
              <w:t>0</w:t>
            </w:r>
            <w:r w:rsidR="00FE6B3F" w:rsidRPr="004F51D2">
              <w:rPr>
                <w:rFonts w:asciiTheme="majorBidi" w:hAnsiTheme="majorBidi" w:cstheme="majorBidi"/>
                <w:color w:val="000000"/>
                <w:sz w:val="18"/>
                <w:szCs w:val="18"/>
              </w:rPr>
              <w:t>.77</w:t>
            </w:r>
            <w:r w:rsidR="00742B97" w:rsidRPr="004F51D2">
              <w:rPr>
                <w:rFonts w:asciiTheme="majorBidi" w:hAnsiTheme="majorBidi" w:cstheme="majorBidi"/>
                <w:color w:val="000000"/>
                <w:sz w:val="18"/>
                <w:szCs w:val="18"/>
              </w:rPr>
              <w:t>5</w:t>
            </w:r>
          </w:p>
        </w:tc>
        <w:tc>
          <w:tcPr>
            <w:tcW w:w="879" w:type="dxa"/>
            <w:tcBorders>
              <w:bottom w:val="single" w:sz="4" w:space="0" w:color="auto"/>
            </w:tcBorders>
            <w:vAlign w:val="center"/>
          </w:tcPr>
          <w:p w14:paraId="0F820757" w14:textId="58D28A77" w:rsidR="00FE6B3F" w:rsidRPr="004F51D2" w:rsidRDefault="005D078C" w:rsidP="00FE6B3F">
            <w:pPr>
              <w:bidi w:val="0"/>
              <w:jc w:val="center"/>
              <w:rPr>
                <w:rFonts w:asciiTheme="majorBidi" w:eastAsia="Calibri" w:hAnsiTheme="majorBidi" w:cstheme="majorBidi"/>
                <w:color w:val="000000" w:themeColor="text1"/>
                <w:sz w:val="18"/>
                <w:szCs w:val="18"/>
              </w:rPr>
            </w:pPr>
            <w:r w:rsidRPr="004F51D2">
              <w:rPr>
                <w:rFonts w:asciiTheme="majorBidi" w:hAnsiTheme="majorBidi" w:cstheme="majorBidi"/>
                <w:color w:val="000000"/>
                <w:sz w:val="18"/>
                <w:szCs w:val="18"/>
              </w:rPr>
              <w:t>0</w:t>
            </w:r>
            <w:r w:rsidR="00FE6B3F" w:rsidRPr="004F51D2">
              <w:rPr>
                <w:rFonts w:asciiTheme="majorBidi" w:hAnsiTheme="majorBidi" w:cstheme="majorBidi"/>
                <w:color w:val="000000"/>
                <w:sz w:val="18"/>
                <w:szCs w:val="18"/>
              </w:rPr>
              <w:t>.000</w:t>
            </w:r>
          </w:p>
        </w:tc>
        <w:tc>
          <w:tcPr>
            <w:tcW w:w="881" w:type="dxa"/>
            <w:tcBorders>
              <w:bottom w:val="single" w:sz="4" w:space="0" w:color="auto"/>
            </w:tcBorders>
            <w:vAlign w:val="center"/>
          </w:tcPr>
          <w:p w14:paraId="0A604B9B" w14:textId="70F8EB99" w:rsidR="00FE6B3F" w:rsidRPr="004F51D2" w:rsidRDefault="00FE6B3F" w:rsidP="0039306C">
            <w:pPr>
              <w:bidi w:val="0"/>
              <w:jc w:val="center"/>
              <w:rPr>
                <w:rFonts w:asciiTheme="majorBidi" w:eastAsia="Calibri" w:hAnsiTheme="majorBidi" w:cstheme="majorBidi"/>
                <w:color w:val="000000" w:themeColor="text1"/>
                <w:sz w:val="18"/>
                <w:szCs w:val="18"/>
              </w:rPr>
            </w:pPr>
            <w:r w:rsidRPr="004F51D2">
              <w:rPr>
                <w:rFonts w:asciiTheme="majorBidi" w:hAnsiTheme="majorBidi" w:cstheme="majorBidi"/>
                <w:color w:val="000000"/>
                <w:sz w:val="18"/>
                <w:szCs w:val="18"/>
              </w:rPr>
              <w:t>6.23</w:t>
            </w:r>
            <w:r w:rsidR="0039306C" w:rsidRPr="004F51D2">
              <w:rPr>
                <w:rFonts w:asciiTheme="majorBidi" w:hAnsiTheme="majorBidi" w:cstheme="majorBidi"/>
                <w:color w:val="000000"/>
                <w:sz w:val="18"/>
                <w:szCs w:val="18"/>
              </w:rPr>
              <w:t>9</w:t>
            </w:r>
          </w:p>
        </w:tc>
        <w:tc>
          <w:tcPr>
            <w:tcW w:w="1051" w:type="dxa"/>
            <w:tcBorders>
              <w:bottom w:val="single" w:sz="4" w:space="0" w:color="auto"/>
            </w:tcBorders>
            <w:vAlign w:val="center"/>
          </w:tcPr>
          <w:p w14:paraId="2B413939" w14:textId="459A9248" w:rsidR="00FE6B3F" w:rsidRPr="004F51D2" w:rsidRDefault="00FE6B3F" w:rsidP="0039306C">
            <w:pPr>
              <w:bidi w:val="0"/>
              <w:jc w:val="center"/>
              <w:rPr>
                <w:rFonts w:asciiTheme="majorBidi" w:eastAsia="Calibri" w:hAnsiTheme="majorBidi" w:cstheme="majorBidi"/>
                <w:color w:val="000000" w:themeColor="text1"/>
                <w:sz w:val="18"/>
                <w:szCs w:val="18"/>
              </w:rPr>
            </w:pPr>
            <w:r w:rsidRPr="004F51D2">
              <w:rPr>
                <w:rFonts w:asciiTheme="majorBidi" w:hAnsiTheme="majorBidi" w:cstheme="majorBidi"/>
                <w:color w:val="000000"/>
                <w:sz w:val="18"/>
                <w:szCs w:val="18"/>
              </w:rPr>
              <w:t>0.46</w:t>
            </w:r>
            <w:r w:rsidR="0039306C" w:rsidRPr="004F51D2">
              <w:rPr>
                <w:rFonts w:asciiTheme="majorBidi" w:hAnsiTheme="majorBidi" w:cstheme="majorBidi"/>
                <w:color w:val="000000"/>
                <w:sz w:val="18"/>
                <w:szCs w:val="18"/>
              </w:rPr>
              <w:t>1</w:t>
            </w:r>
          </w:p>
        </w:tc>
        <w:tc>
          <w:tcPr>
            <w:tcW w:w="1268" w:type="dxa"/>
            <w:tcBorders>
              <w:bottom w:val="single" w:sz="4" w:space="0" w:color="auto"/>
            </w:tcBorders>
          </w:tcPr>
          <w:p w14:paraId="003D173A" w14:textId="77777777" w:rsidR="00FE6B3F" w:rsidRPr="004F51D2" w:rsidRDefault="00FE6B3F" w:rsidP="00FE6B3F">
            <w:pPr>
              <w:bidi w:val="0"/>
              <w:jc w:val="center"/>
              <w:rPr>
                <w:rFonts w:ascii="Times New Roman" w:eastAsia="Calibri" w:hAnsi="Times New Roman" w:cs="Times New Roman"/>
                <w:color w:val="000000" w:themeColor="text1"/>
                <w:sz w:val="18"/>
                <w:szCs w:val="18"/>
                <w:rtl/>
              </w:rPr>
            </w:pPr>
          </w:p>
        </w:tc>
        <w:tc>
          <w:tcPr>
            <w:tcW w:w="1694" w:type="dxa"/>
            <w:tcBorders>
              <w:bottom w:val="single" w:sz="4" w:space="0" w:color="auto"/>
            </w:tcBorders>
          </w:tcPr>
          <w:p w14:paraId="42B0C58A" w14:textId="4BC1B9DF" w:rsidR="00FE6B3F" w:rsidRPr="004F51D2" w:rsidRDefault="00FE6B3F" w:rsidP="00FE6B3F">
            <w:pPr>
              <w:bidi w:val="0"/>
              <w:rPr>
                <w:rFonts w:ascii="Times New Roman" w:eastAsia="Calibri" w:hAnsi="Times New Roman" w:cs="Times New Roman"/>
                <w:color w:val="000000" w:themeColor="text1"/>
                <w:sz w:val="18"/>
                <w:szCs w:val="18"/>
              </w:rPr>
            </w:pPr>
            <w:r w:rsidRPr="004F51D2">
              <w:rPr>
                <w:rFonts w:ascii="Times New Roman" w:hAnsi="Times New Roman" w:cs="Times New Roman"/>
                <w:color w:val="000000" w:themeColor="text1"/>
                <w:sz w:val="18"/>
                <w:szCs w:val="18"/>
              </w:rPr>
              <w:t>VGCS</w:t>
            </w:r>
          </w:p>
        </w:tc>
        <w:tc>
          <w:tcPr>
            <w:tcW w:w="985" w:type="dxa"/>
            <w:tcBorders>
              <w:bottom w:val="single" w:sz="4" w:space="0" w:color="auto"/>
            </w:tcBorders>
          </w:tcPr>
          <w:p w14:paraId="12972531" w14:textId="77777777" w:rsidR="00FE6B3F" w:rsidRPr="004F51D2" w:rsidRDefault="00FE6B3F" w:rsidP="00FE6B3F">
            <w:pPr>
              <w:bidi w:val="0"/>
              <w:jc w:val="center"/>
              <w:rPr>
                <w:rFonts w:ascii="Times New Roman" w:eastAsia="Calibri" w:hAnsi="Times New Roman" w:cs="Times New Roman"/>
                <w:color w:val="000000" w:themeColor="text1"/>
                <w:sz w:val="18"/>
                <w:szCs w:val="18"/>
                <w:rtl/>
              </w:rPr>
            </w:pPr>
          </w:p>
        </w:tc>
      </w:tr>
      <w:tr w:rsidR="00803207" w:rsidRPr="004F51D2" w14:paraId="796D3D26" w14:textId="77777777" w:rsidTr="00C42534">
        <w:tc>
          <w:tcPr>
            <w:tcW w:w="1172" w:type="dxa"/>
            <w:tcBorders>
              <w:top w:val="single" w:sz="4" w:space="0" w:color="auto"/>
            </w:tcBorders>
          </w:tcPr>
          <w:p w14:paraId="534560C7" w14:textId="77777777" w:rsidR="00803207" w:rsidRPr="004F51D2" w:rsidRDefault="00803207" w:rsidP="00DC18BE">
            <w:pPr>
              <w:bidi w:val="0"/>
              <w:jc w:val="center"/>
              <w:rPr>
                <w:rFonts w:asciiTheme="majorBidi" w:eastAsia="Calibri" w:hAnsiTheme="majorBidi" w:cstheme="majorBidi"/>
                <w:color w:val="000000" w:themeColor="text1"/>
                <w:sz w:val="18"/>
                <w:szCs w:val="18"/>
              </w:rPr>
            </w:pPr>
          </w:p>
        </w:tc>
        <w:tc>
          <w:tcPr>
            <w:tcW w:w="1096" w:type="dxa"/>
            <w:tcBorders>
              <w:top w:val="single" w:sz="4" w:space="0" w:color="auto"/>
            </w:tcBorders>
          </w:tcPr>
          <w:p w14:paraId="279EA755" w14:textId="77777777" w:rsidR="00803207" w:rsidRPr="004F51D2" w:rsidRDefault="00803207" w:rsidP="00DC18BE">
            <w:pPr>
              <w:bidi w:val="0"/>
              <w:jc w:val="center"/>
              <w:rPr>
                <w:rFonts w:asciiTheme="majorBidi" w:eastAsia="Calibri" w:hAnsiTheme="majorBidi" w:cstheme="majorBidi"/>
                <w:color w:val="000000" w:themeColor="text1"/>
                <w:sz w:val="18"/>
                <w:szCs w:val="18"/>
              </w:rPr>
            </w:pPr>
          </w:p>
        </w:tc>
        <w:tc>
          <w:tcPr>
            <w:tcW w:w="879" w:type="dxa"/>
            <w:tcBorders>
              <w:top w:val="single" w:sz="4" w:space="0" w:color="auto"/>
            </w:tcBorders>
          </w:tcPr>
          <w:p w14:paraId="0C863715" w14:textId="77777777" w:rsidR="00803207" w:rsidRPr="004F51D2" w:rsidRDefault="00803207" w:rsidP="00DC18BE">
            <w:pPr>
              <w:bidi w:val="0"/>
              <w:jc w:val="center"/>
              <w:rPr>
                <w:rFonts w:asciiTheme="majorBidi" w:eastAsia="Calibri" w:hAnsiTheme="majorBidi" w:cstheme="majorBidi"/>
                <w:color w:val="000000" w:themeColor="text1"/>
                <w:sz w:val="18"/>
                <w:szCs w:val="18"/>
              </w:rPr>
            </w:pPr>
          </w:p>
        </w:tc>
        <w:tc>
          <w:tcPr>
            <w:tcW w:w="881" w:type="dxa"/>
            <w:tcBorders>
              <w:top w:val="single" w:sz="4" w:space="0" w:color="auto"/>
            </w:tcBorders>
          </w:tcPr>
          <w:p w14:paraId="13FBD3E2" w14:textId="77777777" w:rsidR="00803207" w:rsidRPr="004F51D2" w:rsidRDefault="00803207" w:rsidP="00DC18BE">
            <w:pPr>
              <w:bidi w:val="0"/>
              <w:jc w:val="center"/>
              <w:rPr>
                <w:rFonts w:asciiTheme="majorBidi" w:eastAsia="Calibri" w:hAnsiTheme="majorBidi" w:cstheme="majorBidi"/>
                <w:color w:val="000000" w:themeColor="text1"/>
                <w:sz w:val="18"/>
                <w:szCs w:val="18"/>
              </w:rPr>
            </w:pPr>
          </w:p>
        </w:tc>
        <w:tc>
          <w:tcPr>
            <w:tcW w:w="1051" w:type="dxa"/>
            <w:tcBorders>
              <w:top w:val="single" w:sz="4" w:space="0" w:color="auto"/>
            </w:tcBorders>
          </w:tcPr>
          <w:p w14:paraId="3EFC41DE" w14:textId="77777777" w:rsidR="00803207" w:rsidRPr="004F51D2" w:rsidRDefault="00803207" w:rsidP="00DC18BE">
            <w:pPr>
              <w:bidi w:val="0"/>
              <w:jc w:val="center"/>
              <w:rPr>
                <w:rFonts w:asciiTheme="majorBidi" w:eastAsia="Calibri" w:hAnsiTheme="majorBidi" w:cstheme="majorBidi"/>
                <w:color w:val="000000" w:themeColor="text1"/>
                <w:sz w:val="18"/>
                <w:szCs w:val="18"/>
              </w:rPr>
            </w:pPr>
          </w:p>
        </w:tc>
        <w:tc>
          <w:tcPr>
            <w:tcW w:w="1268" w:type="dxa"/>
            <w:tcBorders>
              <w:top w:val="single" w:sz="4" w:space="0" w:color="auto"/>
            </w:tcBorders>
          </w:tcPr>
          <w:p w14:paraId="6E77C766" w14:textId="444FA1FB" w:rsidR="00803207" w:rsidRPr="004F51D2" w:rsidRDefault="00CD12F6" w:rsidP="005D078C">
            <w:pPr>
              <w:bidi w:val="0"/>
              <w:jc w:val="center"/>
              <w:rPr>
                <w:rFonts w:ascii="Times New Roman" w:eastAsia="Calibri" w:hAnsi="Times New Roman" w:cs="Times New Roman"/>
                <w:color w:val="000000" w:themeColor="text1"/>
                <w:sz w:val="18"/>
                <w:szCs w:val="18"/>
                <w:rtl/>
              </w:rPr>
            </w:pPr>
            <w:r w:rsidRPr="004F51D2">
              <w:rPr>
                <w:rFonts w:ascii="Times New Roman" w:eastAsia="Calibri" w:hAnsi="Times New Roman" w:cs="Times New Roman"/>
                <w:color w:val="000000" w:themeColor="text1"/>
                <w:sz w:val="18"/>
                <w:szCs w:val="18"/>
              </w:rPr>
              <w:t>0.005*</w:t>
            </w:r>
          </w:p>
        </w:tc>
        <w:tc>
          <w:tcPr>
            <w:tcW w:w="1694" w:type="dxa"/>
            <w:tcBorders>
              <w:top w:val="single" w:sz="4" w:space="0" w:color="auto"/>
            </w:tcBorders>
          </w:tcPr>
          <w:p w14:paraId="04298786" w14:textId="77777777" w:rsidR="00803207" w:rsidRPr="004F51D2" w:rsidRDefault="00803207" w:rsidP="00DC18BE">
            <w:pPr>
              <w:bidi w:val="0"/>
              <w:jc w:val="center"/>
              <w:rPr>
                <w:rFonts w:ascii="Times New Roman" w:eastAsia="Calibri" w:hAnsi="Times New Roman" w:cs="Times New Roman"/>
                <w:color w:val="000000" w:themeColor="text1"/>
                <w:sz w:val="18"/>
                <w:szCs w:val="18"/>
              </w:rPr>
            </w:pPr>
          </w:p>
        </w:tc>
        <w:tc>
          <w:tcPr>
            <w:tcW w:w="985" w:type="dxa"/>
            <w:tcBorders>
              <w:top w:val="single" w:sz="4" w:space="0" w:color="auto"/>
            </w:tcBorders>
          </w:tcPr>
          <w:p w14:paraId="4840CFB5" w14:textId="77777777" w:rsidR="00803207" w:rsidRPr="004F51D2" w:rsidRDefault="00803207" w:rsidP="00DC18BE">
            <w:pPr>
              <w:bidi w:val="0"/>
              <w:jc w:val="center"/>
              <w:rPr>
                <w:rFonts w:ascii="Times New Roman" w:eastAsia="Calibri" w:hAnsi="Times New Roman" w:cs="Times New Roman"/>
                <w:color w:val="000000" w:themeColor="text1"/>
                <w:sz w:val="18"/>
                <w:szCs w:val="18"/>
                <w:rtl/>
              </w:rPr>
            </w:pPr>
          </w:p>
        </w:tc>
      </w:tr>
      <w:tr w:rsidR="00395F85" w:rsidRPr="004F51D2" w14:paraId="3D9F9D3E" w14:textId="77777777" w:rsidTr="005D078C">
        <w:tc>
          <w:tcPr>
            <w:tcW w:w="1172" w:type="dxa"/>
            <w:vAlign w:val="center"/>
          </w:tcPr>
          <w:p w14:paraId="6ECFD84F" w14:textId="2BBF1CB8" w:rsidR="00395F85" w:rsidRPr="004F51D2" w:rsidRDefault="00395F85" w:rsidP="00395F85">
            <w:pPr>
              <w:bidi w:val="0"/>
              <w:jc w:val="center"/>
              <w:rPr>
                <w:rFonts w:asciiTheme="majorBidi" w:eastAsia="Calibri" w:hAnsiTheme="majorBidi" w:cstheme="majorBidi"/>
                <w:color w:val="000000" w:themeColor="text1"/>
                <w:sz w:val="18"/>
                <w:szCs w:val="18"/>
              </w:rPr>
            </w:pPr>
            <w:r w:rsidRPr="004F51D2">
              <w:rPr>
                <w:rFonts w:asciiTheme="majorBidi" w:hAnsiTheme="majorBidi" w:cstheme="majorBidi"/>
                <w:color w:val="000000"/>
                <w:sz w:val="18"/>
                <w:szCs w:val="18"/>
              </w:rPr>
              <w:t>1.107</w:t>
            </w:r>
          </w:p>
        </w:tc>
        <w:tc>
          <w:tcPr>
            <w:tcW w:w="1096" w:type="dxa"/>
            <w:vAlign w:val="center"/>
          </w:tcPr>
          <w:p w14:paraId="36AA3221" w14:textId="6C73BF0D" w:rsidR="00395F85" w:rsidRPr="004F51D2" w:rsidRDefault="00395F85" w:rsidP="00395F85">
            <w:pPr>
              <w:bidi w:val="0"/>
              <w:jc w:val="center"/>
              <w:rPr>
                <w:rFonts w:asciiTheme="majorBidi" w:eastAsia="Calibri" w:hAnsiTheme="majorBidi" w:cstheme="majorBidi"/>
                <w:color w:val="000000" w:themeColor="text1"/>
                <w:sz w:val="18"/>
                <w:szCs w:val="18"/>
              </w:rPr>
            </w:pPr>
            <w:r w:rsidRPr="004F51D2">
              <w:rPr>
                <w:rFonts w:asciiTheme="majorBidi" w:hAnsiTheme="majorBidi" w:cstheme="majorBidi"/>
                <w:color w:val="000000"/>
                <w:sz w:val="18"/>
                <w:szCs w:val="18"/>
              </w:rPr>
              <w:t>0.901</w:t>
            </w:r>
          </w:p>
        </w:tc>
        <w:tc>
          <w:tcPr>
            <w:tcW w:w="879" w:type="dxa"/>
            <w:vAlign w:val="center"/>
          </w:tcPr>
          <w:p w14:paraId="3A51F754" w14:textId="7A304A2E" w:rsidR="00395F85" w:rsidRPr="004F51D2" w:rsidRDefault="00395F85" w:rsidP="00395F85">
            <w:pPr>
              <w:bidi w:val="0"/>
              <w:jc w:val="center"/>
              <w:rPr>
                <w:rFonts w:asciiTheme="majorBidi" w:eastAsia="Calibri" w:hAnsiTheme="majorBidi" w:cstheme="majorBidi"/>
                <w:color w:val="000000" w:themeColor="text1"/>
                <w:sz w:val="18"/>
                <w:szCs w:val="18"/>
              </w:rPr>
            </w:pPr>
            <w:r w:rsidRPr="004F51D2">
              <w:rPr>
                <w:rFonts w:asciiTheme="majorBidi" w:hAnsiTheme="majorBidi" w:cstheme="majorBidi"/>
                <w:color w:val="000000"/>
                <w:sz w:val="18"/>
                <w:szCs w:val="18"/>
              </w:rPr>
              <w:t>0.669</w:t>
            </w:r>
          </w:p>
        </w:tc>
        <w:tc>
          <w:tcPr>
            <w:tcW w:w="881" w:type="dxa"/>
            <w:vAlign w:val="center"/>
          </w:tcPr>
          <w:p w14:paraId="758A1519" w14:textId="00F40BED" w:rsidR="00395F85" w:rsidRPr="004F51D2" w:rsidRDefault="00395F85" w:rsidP="00395F85">
            <w:pPr>
              <w:bidi w:val="0"/>
              <w:jc w:val="center"/>
              <w:rPr>
                <w:rFonts w:asciiTheme="majorBidi" w:eastAsia="Calibri" w:hAnsiTheme="majorBidi" w:cstheme="majorBidi"/>
                <w:color w:val="000000" w:themeColor="text1"/>
                <w:sz w:val="18"/>
                <w:szCs w:val="18"/>
              </w:rPr>
            </w:pPr>
            <w:r w:rsidRPr="004F51D2">
              <w:rPr>
                <w:rFonts w:asciiTheme="majorBidi" w:hAnsiTheme="majorBidi" w:cstheme="majorBidi"/>
                <w:color w:val="000000"/>
                <w:sz w:val="18"/>
                <w:szCs w:val="18"/>
              </w:rPr>
              <w:t>-0.424</w:t>
            </w:r>
          </w:p>
        </w:tc>
        <w:tc>
          <w:tcPr>
            <w:tcW w:w="1051" w:type="dxa"/>
            <w:vAlign w:val="center"/>
          </w:tcPr>
          <w:p w14:paraId="4D585A24" w14:textId="3E0A9A86" w:rsidR="00395F85" w:rsidRPr="004F51D2" w:rsidRDefault="00395F85" w:rsidP="00395F85">
            <w:pPr>
              <w:bidi w:val="0"/>
              <w:jc w:val="center"/>
              <w:rPr>
                <w:rFonts w:asciiTheme="majorBidi" w:eastAsia="Calibri" w:hAnsiTheme="majorBidi" w:cstheme="majorBidi"/>
                <w:color w:val="000000" w:themeColor="text1"/>
                <w:sz w:val="18"/>
                <w:szCs w:val="18"/>
              </w:rPr>
            </w:pPr>
            <w:r w:rsidRPr="004F51D2">
              <w:rPr>
                <w:rFonts w:asciiTheme="majorBidi" w:hAnsiTheme="majorBidi" w:cstheme="majorBidi"/>
                <w:color w:val="000000"/>
                <w:sz w:val="18"/>
                <w:szCs w:val="18"/>
              </w:rPr>
              <w:t>-0.019</w:t>
            </w:r>
          </w:p>
        </w:tc>
        <w:tc>
          <w:tcPr>
            <w:tcW w:w="1268" w:type="dxa"/>
          </w:tcPr>
          <w:p w14:paraId="5186ECDF" w14:textId="77777777" w:rsidR="00395F85" w:rsidRPr="004F51D2" w:rsidRDefault="00395F85" w:rsidP="00395F85">
            <w:pPr>
              <w:bidi w:val="0"/>
              <w:jc w:val="center"/>
              <w:rPr>
                <w:rFonts w:ascii="Times New Roman" w:eastAsia="Calibri" w:hAnsi="Times New Roman" w:cs="Times New Roman"/>
                <w:color w:val="000000" w:themeColor="text1"/>
                <w:sz w:val="18"/>
                <w:szCs w:val="18"/>
                <w:rtl/>
              </w:rPr>
            </w:pPr>
          </w:p>
        </w:tc>
        <w:tc>
          <w:tcPr>
            <w:tcW w:w="1694" w:type="dxa"/>
          </w:tcPr>
          <w:p w14:paraId="403A0007" w14:textId="4E7F1AEC" w:rsidR="00395F85" w:rsidRPr="004F51D2" w:rsidRDefault="00395F85" w:rsidP="00395F85">
            <w:pPr>
              <w:bidi w:val="0"/>
              <w:rPr>
                <w:rFonts w:ascii="Times New Roman" w:eastAsia="Calibri" w:hAnsi="Times New Roman" w:cs="Times New Roman"/>
                <w:color w:val="000000" w:themeColor="text1"/>
                <w:sz w:val="18"/>
                <w:szCs w:val="18"/>
              </w:rPr>
            </w:pPr>
            <w:r w:rsidRPr="004F51D2">
              <w:rPr>
                <w:rFonts w:ascii="Times New Roman" w:hAnsi="Times New Roman" w:cs="Times New Roman"/>
                <w:color w:val="000000" w:themeColor="text1"/>
                <w:sz w:val="18"/>
                <w:szCs w:val="18"/>
              </w:rPr>
              <w:t>BFI-E</w:t>
            </w:r>
          </w:p>
        </w:tc>
        <w:tc>
          <w:tcPr>
            <w:tcW w:w="985" w:type="dxa"/>
          </w:tcPr>
          <w:p w14:paraId="0C1FDE4B" w14:textId="428A19EA" w:rsidR="00395F85" w:rsidRPr="004F51D2" w:rsidRDefault="00395F85" w:rsidP="00395F85">
            <w:pPr>
              <w:bidi w:val="0"/>
              <w:jc w:val="center"/>
              <w:rPr>
                <w:rFonts w:ascii="Times New Roman" w:eastAsia="Calibri" w:hAnsi="Times New Roman" w:cs="Times New Roman"/>
                <w:color w:val="000000" w:themeColor="text1"/>
                <w:sz w:val="18"/>
                <w:szCs w:val="18"/>
                <w:rtl/>
              </w:rPr>
            </w:pPr>
            <w:r w:rsidRPr="004F51D2">
              <w:rPr>
                <w:rFonts w:ascii="Times New Roman" w:eastAsia="Calibri" w:hAnsi="Times New Roman" w:cs="Times New Roman"/>
                <w:color w:val="000000" w:themeColor="text1"/>
                <w:sz w:val="18"/>
                <w:szCs w:val="18"/>
              </w:rPr>
              <w:t>Step 4</w:t>
            </w:r>
          </w:p>
        </w:tc>
      </w:tr>
      <w:tr w:rsidR="00395F85" w:rsidRPr="004F51D2" w14:paraId="6F3A9292" w14:textId="77777777" w:rsidTr="005D078C">
        <w:tc>
          <w:tcPr>
            <w:tcW w:w="1172" w:type="dxa"/>
            <w:vAlign w:val="center"/>
          </w:tcPr>
          <w:p w14:paraId="2F601DA1" w14:textId="4B9D5A02" w:rsidR="00395F85" w:rsidRPr="004F51D2" w:rsidRDefault="00395F85" w:rsidP="00395F85">
            <w:pPr>
              <w:bidi w:val="0"/>
              <w:jc w:val="center"/>
              <w:rPr>
                <w:rFonts w:asciiTheme="majorBidi" w:eastAsia="Calibri" w:hAnsiTheme="majorBidi" w:cstheme="majorBidi"/>
                <w:color w:val="000000" w:themeColor="text1"/>
                <w:sz w:val="18"/>
                <w:szCs w:val="18"/>
              </w:rPr>
            </w:pPr>
            <w:r w:rsidRPr="004F51D2">
              <w:rPr>
                <w:rFonts w:asciiTheme="majorBidi" w:hAnsiTheme="majorBidi" w:cstheme="majorBidi"/>
                <w:color w:val="000000"/>
                <w:sz w:val="18"/>
                <w:szCs w:val="18"/>
              </w:rPr>
              <w:t>1.127</w:t>
            </w:r>
          </w:p>
        </w:tc>
        <w:tc>
          <w:tcPr>
            <w:tcW w:w="1096" w:type="dxa"/>
            <w:vAlign w:val="center"/>
          </w:tcPr>
          <w:p w14:paraId="155D759E" w14:textId="4068F9B5" w:rsidR="00395F85" w:rsidRPr="004F51D2" w:rsidRDefault="00395F85" w:rsidP="00395F85">
            <w:pPr>
              <w:bidi w:val="0"/>
              <w:jc w:val="center"/>
              <w:rPr>
                <w:rFonts w:asciiTheme="majorBidi" w:eastAsia="Calibri" w:hAnsiTheme="majorBidi" w:cstheme="majorBidi"/>
                <w:color w:val="000000" w:themeColor="text1"/>
                <w:sz w:val="18"/>
                <w:szCs w:val="18"/>
              </w:rPr>
            </w:pPr>
            <w:r w:rsidRPr="004F51D2">
              <w:rPr>
                <w:rFonts w:asciiTheme="majorBidi" w:hAnsiTheme="majorBidi" w:cstheme="majorBidi"/>
                <w:color w:val="000000"/>
                <w:sz w:val="18"/>
                <w:szCs w:val="18"/>
              </w:rPr>
              <w:t>0.892</w:t>
            </w:r>
          </w:p>
        </w:tc>
        <w:tc>
          <w:tcPr>
            <w:tcW w:w="879" w:type="dxa"/>
            <w:vAlign w:val="center"/>
          </w:tcPr>
          <w:p w14:paraId="3D75F6DB" w14:textId="3271A94F" w:rsidR="00395F85" w:rsidRPr="004F51D2" w:rsidRDefault="00395F85" w:rsidP="00395F85">
            <w:pPr>
              <w:bidi w:val="0"/>
              <w:jc w:val="center"/>
              <w:rPr>
                <w:rFonts w:asciiTheme="majorBidi" w:eastAsia="Calibri" w:hAnsiTheme="majorBidi" w:cstheme="majorBidi"/>
                <w:color w:val="000000" w:themeColor="text1"/>
                <w:sz w:val="18"/>
                <w:szCs w:val="18"/>
              </w:rPr>
            </w:pPr>
            <w:r w:rsidRPr="004F51D2">
              <w:rPr>
                <w:rFonts w:asciiTheme="majorBidi" w:hAnsiTheme="majorBidi" w:cstheme="majorBidi"/>
                <w:color w:val="000000"/>
                <w:sz w:val="18"/>
                <w:szCs w:val="18"/>
              </w:rPr>
              <w:t>0.023</w:t>
            </w:r>
          </w:p>
        </w:tc>
        <w:tc>
          <w:tcPr>
            <w:tcW w:w="881" w:type="dxa"/>
            <w:vAlign w:val="center"/>
          </w:tcPr>
          <w:p w14:paraId="718BFBD5" w14:textId="43A3A18D" w:rsidR="00395F85" w:rsidRPr="004F51D2" w:rsidRDefault="00395F85" w:rsidP="00395F85">
            <w:pPr>
              <w:bidi w:val="0"/>
              <w:jc w:val="center"/>
              <w:rPr>
                <w:rFonts w:asciiTheme="majorBidi" w:eastAsia="Calibri" w:hAnsiTheme="majorBidi" w:cstheme="majorBidi"/>
                <w:color w:val="000000" w:themeColor="text1"/>
                <w:sz w:val="18"/>
                <w:szCs w:val="18"/>
              </w:rPr>
            </w:pPr>
            <w:r w:rsidRPr="004F51D2">
              <w:rPr>
                <w:rFonts w:asciiTheme="majorBidi" w:hAnsiTheme="majorBidi" w:cstheme="majorBidi"/>
                <w:color w:val="000000"/>
                <w:sz w:val="18"/>
                <w:szCs w:val="18"/>
              </w:rPr>
              <w:t>-2.216</w:t>
            </w:r>
          </w:p>
        </w:tc>
        <w:tc>
          <w:tcPr>
            <w:tcW w:w="1051" w:type="dxa"/>
            <w:vAlign w:val="center"/>
          </w:tcPr>
          <w:p w14:paraId="22491723" w14:textId="6023343C" w:rsidR="00395F85" w:rsidRPr="004F51D2" w:rsidRDefault="00395F85" w:rsidP="00395F85">
            <w:pPr>
              <w:bidi w:val="0"/>
              <w:jc w:val="center"/>
              <w:rPr>
                <w:rFonts w:asciiTheme="majorBidi" w:eastAsia="Calibri" w:hAnsiTheme="majorBidi" w:cstheme="majorBidi"/>
                <w:color w:val="000000" w:themeColor="text1"/>
                <w:sz w:val="18"/>
                <w:szCs w:val="18"/>
              </w:rPr>
            </w:pPr>
            <w:r w:rsidRPr="004F51D2">
              <w:rPr>
                <w:rFonts w:asciiTheme="majorBidi" w:hAnsiTheme="majorBidi" w:cstheme="majorBidi"/>
                <w:color w:val="000000"/>
                <w:sz w:val="18"/>
                <w:szCs w:val="18"/>
              </w:rPr>
              <w:t>-0.081</w:t>
            </w:r>
          </w:p>
        </w:tc>
        <w:tc>
          <w:tcPr>
            <w:tcW w:w="1268" w:type="dxa"/>
          </w:tcPr>
          <w:p w14:paraId="69095DD3" w14:textId="77777777" w:rsidR="00395F85" w:rsidRPr="004F51D2" w:rsidRDefault="00395F85" w:rsidP="00395F85">
            <w:pPr>
              <w:bidi w:val="0"/>
              <w:jc w:val="center"/>
              <w:rPr>
                <w:rFonts w:ascii="Times New Roman" w:eastAsia="Calibri" w:hAnsi="Times New Roman" w:cs="Times New Roman"/>
                <w:color w:val="000000" w:themeColor="text1"/>
                <w:sz w:val="18"/>
                <w:szCs w:val="18"/>
                <w:rtl/>
              </w:rPr>
            </w:pPr>
          </w:p>
        </w:tc>
        <w:tc>
          <w:tcPr>
            <w:tcW w:w="1694" w:type="dxa"/>
          </w:tcPr>
          <w:p w14:paraId="276145C4" w14:textId="03160657" w:rsidR="00395F85" w:rsidRPr="004F51D2" w:rsidRDefault="00395F85" w:rsidP="00395F85">
            <w:pPr>
              <w:bidi w:val="0"/>
              <w:rPr>
                <w:rFonts w:ascii="Times New Roman" w:eastAsia="Calibri" w:hAnsi="Times New Roman" w:cs="Times New Roman"/>
                <w:color w:val="000000" w:themeColor="text1"/>
                <w:sz w:val="18"/>
                <w:szCs w:val="18"/>
              </w:rPr>
            </w:pPr>
            <w:r w:rsidRPr="004F51D2">
              <w:rPr>
                <w:rFonts w:ascii="Times New Roman" w:hAnsi="Times New Roman" w:cs="Times New Roman"/>
                <w:color w:val="000000" w:themeColor="text1"/>
                <w:sz w:val="18"/>
                <w:szCs w:val="18"/>
              </w:rPr>
              <w:t>BFI-A</w:t>
            </w:r>
          </w:p>
        </w:tc>
        <w:tc>
          <w:tcPr>
            <w:tcW w:w="985" w:type="dxa"/>
          </w:tcPr>
          <w:p w14:paraId="59BE2913" w14:textId="77777777" w:rsidR="00395F85" w:rsidRPr="004F51D2" w:rsidRDefault="00395F85" w:rsidP="00395F85">
            <w:pPr>
              <w:bidi w:val="0"/>
              <w:jc w:val="center"/>
              <w:rPr>
                <w:rFonts w:ascii="Times New Roman" w:eastAsia="Calibri" w:hAnsi="Times New Roman" w:cs="Times New Roman"/>
                <w:color w:val="000000" w:themeColor="text1"/>
                <w:sz w:val="18"/>
                <w:szCs w:val="18"/>
                <w:rtl/>
              </w:rPr>
            </w:pPr>
          </w:p>
        </w:tc>
      </w:tr>
      <w:tr w:rsidR="00395F85" w:rsidRPr="004F51D2" w14:paraId="28D5D0FD" w14:textId="77777777" w:rsidTr="005D078C">
        <w:tc>
          <w:tcPr>
            <w:tcW w:w="1172" w:type="dxa"/>
            <w:vAlign w:val="center"/>
          </w:tcPr>
          <w:p w14:paraId="742BA8AB" w14:textId="11EFCB56" w:rsidR="00395F85" w:rsidRPr="004F51D2" w:rsidRDefault="00395F85" w:rsidP="00395F85">
            <w:pPr>
              <w:bidi w:val="0"/>
              <w:jc w:val="center"/>
              <w:rPr>
                <w:rFonts w:asciiTheme="majorBidi" w:eastAsia="Calibri" w:hAnsiTheme="majorBidi" w:cstheme="majorBidi"/>
                <w:color w:val="000000" w:themeColor="text1"/>
                <w:sz w:val="18"/>
                <w:szCs w:val="18"/>
              </w:rPr>
            </w:pPr>
            <w:r w:rsidRPr="004F51D2">
              <w:rPr>
                <w:rFonts w:asciiTheme="majorBidi" w:hAnsiTheme="majorBidi" w:cstheme="majorBidi"/>
                <w:color w:val="000000"/>
                <w:sz w:val="18"/>
                <w:szCs w:val="18"/>
              </w:rPr>
              <w:t>1.039</w:t>
            </w:r>
          </w:p>
        </w:tc>
        <w:tc>
          <w:tcPr>
            <w:tcW w:w="1096" w:type="dxa"/>
            <w:vAlign w:val="center"/>
          </w:tcPr>
          <w:p w14:paraId="49F29717" w14:textId="424C9E77" w:rsidR="00395F85" w:rsidRPr="004F51D2" w:rsidRDefault="00395F85" w:rsidP="00395F85">
            <w:pPr>
              <w:bidi w:val="0"/>
              <w:jc w:val="center"/>
              <w:rPr>
                <w:rFonts w:asciiTheme="majorBidi" w:eastAsia="Calibri" w:hAnsiTheme="majorBidi" w:cstheme="majorBidi"/>
                <w:color w:val="000000" w:themeColor="text1"/>
                <w:sz w:val="18"/>
                <w:szCs w:val="18"/>
              </w:rPr>
            </w:pPr>
            <w:r w:rsidRPr="004F51D2">
              <w:rPr>
                <w:rFonts w:asciiTheme="majorBidi" w:hAnsiTheme="majorBidi" w:cstheme="majorBidi"/>
                <w:color w:val="000000"/>
                <w:sz w:val="18"/>
                <w:szCs w:val="18"/>
              </w:rPr>
              <w:t>0.964</w:t>
            </w:r>
          </w:p>
        </w:tc>
        <w:tc>
          <w:tcPr>
            <w:tcW w:w="879" w:type="dxa"/>
            <w:vAlign w:val="center"/>
          </w:tcPr>
          <w:p w14:paraId="7A9B27A4" w14:textId="19C8CDC6" w:rsidR="00395F85" w:rsidRPr="004F51D2" w:rsidRDefault="00395F85" w:rsidP="00395F85">
            <w:pPr>
              <w:bidi w:val="0"/>
              <w:jc w:val="center"/>
              <w:rPr>
                <w:rFonts w:asciiTheme="majorBidi" w:eastAsia="Calibri" w:hAnsiTheme="majorBidi" w:cstheme="majorBidi"/>
                <w:color w:val="000000" w:themeColor="text1"/>
                <w:sz w:val="18"/>
                <w:szCs w:val="18"/>
              </w:rPr>
            </w:pPr>
            <w:r w:rsidRPr="004F51D2">
              <w:rPr>
                <w:rFonts w:asciiTheme="majorBidi" w:hAnsiTheme="majorBidi" w:cstheme="majorBidi"/>
                <w:color w:val="000000"/>
                <w:sz w:val="18"/>
                <w:szCs w:val="18"/>
              </w:rPr>
              <w:t>0.912</w:t>
            </w:r>
          </w:p>
        </w:tc>
        <w:tc>
          <w:tcPr>
            <w:tcW w:w="881" w:type="dxa"/>
            <w:vAlign w:val="center"/>
          </w:tcPr>
          <w:p w14:paraId="2D4CBA10" w14:textId="09F00029" w:rsidR="00395F85" w:rsidRPr="004F51D2" w:rsidRDefault="00395F85" w:rsidP="00395F85">
            <w:pPr>
              <w:bidi w:val="0"/>
              <w:jc w:val="center"/>
              <w:rPr>
                <w:rFonts w:asciiTheme="majorBidi" w:eastAsia="Calibri" w:hAnsiTheme="majorBidi" w:cstheme="majorBidi"/>
                <w:color w:val="000000" w:themeColor="text1"/>
                <w:sz w:val="18"/>
                <w:szCs w:val="18"/>
              </w:rPr>
            </w:pPr>
            <w:r w:rsidRPr="004F51D2">
              <w:rPr>
                <w:rFonts w:asciiTheme="majorBidi" w:hAnsiTheme="majorBidi" w:cstheme="majorBidi"/>
                <w:color w:val="000000"/>
                <w:sz w:val="18"/>
                <w:szCs w:val="18"/>
              </w:rPr>
              <w:t>-0.104</w:t>
            </w:r>
          </w:p>
        </w:tc>
        <w:tc>
          <w:tcPr>
            <w:tcW w:w="1051" w:type="dxa"/>
            <w:vAlign w:val="center"/>
          </w:tcPr>
          <w:p w14:paraId="738AB879" w14:textId="79EB757F" w:rsidR="00395F85" w:rsidRPr="004F51D2" w:rsidRDefault="00395F85" w:rsidP="00395F85">
            <w:pPr>
              <w:bidi w:val="0"/>
              <w:jc w:val="center"/>
              <w:rPr>
                <w:rFonts w:asciiTheme="majorBidi" w:eastAsia="Calibri" w:hAnsiTheme="majorBidi" w:cstheme="majorBidi"/>
                <w:color w:val="000000" w:themeColor="text1"/>
                <w:sz w:val="18"/>
                <w:szCs w:val="18"/>
              </w:rPr>
            </w:pPr>
            <w:r w:rsidRPr="004F51D2">
              <w:rPr>
                <w:rFonts w:asciiTheme="majorBidi" w:hAnsiTheme="majorBidi" w:cstheme="majorBidi"/>
                <w:color w:val="000000"/>
                <w:sz w:val="18"/>
                <w:szCs w:val="18"/>
              </w:rPr>
              <w:t>-0.007</w:t>
            </w:r>
          </w:p>
        </w:tc>
        <w:tc>
          <w:tcPr>
            <w:tcW w:w="1268" w:type="dxa"/>
          </w:tcPr>
          <w:p w14:paraId="2BD3F0CB" w14:textId="77777777" w:rsidR="00395F85" w:rsidRPr="004F51D2" w:rsidRDefault="00395F85" w:rsidP="00395F85">
            <w:pPr>
              <w:bidi w:val="0"/>
              <w:jc w:val="center"/>
              <w:rPr>
                <w:rFonts w:ascii="Times New Roman" w:eastAsia="Calibri" w:hAnsi="Times New Roman" w:cs="Times New Roman"/>
                <w:color w:val="000000" w:themeColor="text1"/>
                <w:sz w:val="18"/>
                <w:szCs w:val="18"/>
                <w:rtl/>
              </w:rPr>
            </w:pPr>
          </w:p>
        </w:tc>
        <w:tc>
          <w:tcPr>
            <w:tcW w:w="1694" w:type="dxa"/>
          </w:tcPr>
          <w:p w14:paraId="7CC978E1" w14:textId="6B5BF6E4" w:rsidR="00395F85" w:rsidRPr="004F51D2" w:rsidRDefault="00395F85" w:rsidP="00395F85">
            <w:pPr>
              <w:bidi w:val="0"/>
              <w:rPr>
                <w:rFonts w:ascii="Times New Roman" w:eastAsia="Calibri" w:hAnsi="Times New Roman" w:cs="Times New Roman"/>
                <w:color w:val="000000" w:themeColor="text1"/>
                <w:sz w:val="18"/>
                <w:szCs w:val="18"/>
              </w:rPr>
            </w:pPr>
            <w:r w:rsidRPr="004F51D2">
              <w:rPr>
                <w:rFonts w:ascii="Times New Roman" w:hAnsi="Times New Roman" w:cs="Times New Roman"/>
                <w:color w:val="000000" w:themeColor="text1"/>
                <w:sz w:val="18"/>
                <w:szCs w:val="18"/>
              </w:rPr>
              <w:t>BFI-O</w:t>
            </w:r>
          </w:p>
        </w:tc>
        <w:tc>
          <w:tcPr>
            <w:tcW w:w="985" w:type="dxa"/>
          </w:tcPr>
          <w:p w14:paraId="582F4779" w14:textId="77777777" w:rsidR="00395F85" w:rsidRPr="004F51D2" w:rsidRDefault="00395F85" w:rsidP="00395F85">
            <w:pPr>
              <w:bidi w:val="0"/>
              <w:jc w:val="center"/>
              <w:rPr>
                <w:rFonts w:ascii="Times New Roman" w:eastAsia="Calibri" w:hAnsi="Times New Roman" w:cs="Times New Roman"/>
                <w:color w:val="000000" w:themeColor="text1"/>
                <w:sz w:val="18"/>
                <w:szCs w:val="18"/>
                <w:rtl/>
              </w:rPr>
            </w:pPr>
          </w:p>
        </w:tc>
      </w:tr>
      <w:tr w:rsidR="00FE6B3F" w:rsidRPr="004F51D2" w14:paraId="291226F1" w14:textId="77777777" w:rsidTr="005D078C">
        <w:tc>
          <w:tcPr>
            <w:tcW w:w="1172" w:type="dxa"/>
            <w:vAlign w:val="center"/>
          </w:tcPr>
          <w:p w14:paraId="2DBF4032" w14:textId="080C0628" w:rsidR="00FE6B3F" w:rsidRPr="004F51D2" w:rsidRDefault="00FE6B3F" w:rsidP="00D60E0E">
            <w:pPr>
              <w:bidi w:val="0"/>
              <w:jc w:val="center"/>
              <w:rPr>
                <w:rFonts w:asciiTheme="majorBidi" w:eastAsia="Calibri" w:hAnsiTheme="majorBidi" w:cstheme="majorBidi"/>
                <w:color w:val="000000" w:themeColor="text1"/>
                <w:sz w:val="18"/>
                <w:szCs w:val="18"/>
              </w:rPr>
            </w:pPr>
            <w:r w:rsidRPr="004F51D2">
              <w:rPr>
                <w:rFonts w:asciiTheme="majorBidi" w:hAnsiTheme="majorBidi" w:cstheme="majorBidi"/>
                <w:color w:val="000000"/>
                <w:sz w:val="18"/>
                <w:szCs w:val="18"/>
              </w:rPr>
              <w:t>2.7</w:t>
            </w:r>
            <w:r w:rsidR="00D60E0E" w:rsidRPr="004F51D2">
              <w:rPr>
                <w:rFonts w:asciiTheme="majorBidi" w:hAnsiTheme="majorBidi" w:cstheme="majorBidi"/>
                <w:color w:val="000000"/>
                <w:sz w:val="18"/>
                <w:szCs w:val="18"/>
              </w:rPr>
              <w:t>27</w:t>
            </w:r>
          </w:p>
        </w:tc>
        <w:tc>
          <w:tcPr>
            <w:tcW w:w="1096" w:type="dxa"/>
            <w:vAlign w:val="center"/>
          </w:tcPr>
          <w:p w14:paraId="1D0E802E" w14:textId="05F9EE53" w:rsidR="00FE6B3F" w:rsidRPr="004F51D2" w:rsidRDefault="005D078C" w:rsidP="00D60E0E">
            <w:pPr>
              <w:bidi w:val="0"/>
              <w:jc w:val="center"/>
              <w:rPr>
                <w:rFonts w:asciiTheme="majorBidi" w:eastAsia="Calibri" w:hAnsiTheme="majorBidi" w:cstheme="majorBidi"/>
                <w:color w:val="000000" w:themeColor="text1"/>
                <w:sz w:val="18"/>
                <w:szCs w:val="18"/>
              </w:rPr>
            </w:pPr>
            <w:r w:rsidRPr="004F51D2">
              <w:rPr>
                <w:rFonts w:asciiTheme="majorBidi" w:hAnsiTheme="majorBidi" w:cstheme="majorBidi"/>
                <w:color w:val="000000"/>
                <w:sz w:val="18"/>
                <w:szCs w:val="18"/>
              </w:rPr>
              <w:t>0</w:t>
            </w:r>
            <w:r w:rsidR="00FE6B3F" w:rsidRPr="004F51D2">
              <w:rPr>
                <w:rFonts w:asciiTheme="majorBidi" w:hAnsiTheme="majorBidi" w:cstheme="majorBidi"/>
                <w:color w:val="000000"/>
                <w:sz w:val="18"/>
                <w:szCs w:val="18"/>
              </w:rPr>
              <w:t>.</w:t>
            </w:r>
            <w:r w:rsidRPr="004F51D2">
              <w:rPr>
                <w:rFonts w:asciiTheme="majorBidi" w:hAnsiTheme="majorBidi" w:cstheme="majorBidi"/>
                <w:color w:val="000000"/>
                <w:sz w:val="18"/>
                <w:szCs w:val="18"/>
              </w:rPr>
              <w:t>7</w:t>
            </w:r>
            <w:r w:rsidR="00FE6B3F" w:rsidRPr="004F51D2">
              <w:rPr>
                <w:rFonts w:asciiTheme="majorBidi" w:hAnsiTheme="majorBidi" w:cstheme="majorBidi"/>
                <w:color w:val="000000"/>
                <w:sz w:val="18"/>
                <w:szCs w:val="18"/>
              </w:rPr>
              <w:t>6</w:t>
            </w:r>
            <w:r w:rsidR="00D60E0E" w:rsidRPr="004F51D2">
              <w:rPr>
                <w:rFonts w:asciiTheme="majorBidi" w:hAnsiTheme="majorBidi" w:cstheme="majorBidi"/>
                <w:color w:val="000000"/>
                <w:sz w:val="18"/>
                <w:szCs w:val="18"/>
              </w:rPr>
              <w:t>2</w:t>
            </w:r>
          </w:p>
        </w:tc>
        <w:tc>
          <w:tcPr>
            <w:tcW w:w="879" w:type="dxa"/>
            <w:vAlign w:val="center"/>
          </w:tcPr>
          <w:p w14:paraId="50581929" w14:textId="34BF5DE7" w:rsidR="00FE6B3F" w:rsidRPr="004F51D2" w:rsidRDefault="005D078C" w:rsidP="00D60E0E">
            <w:pPr>
              <w:bidi w:val="0"/>
              <w:jc w:val="center"/>
              <w:rPr>
                <w:rFonts w:asciiTheme="majorBidi" w:eastAsia="Calibri" w:hAnsiTheme="majorBidi" w:cstheme="majorBidi"/>
                <w:color w:val="000000" w:themeColor="text1"/>
                <w:sz w:val="18"/>
                <w:szCs w:val="18"/>
              </w:rPr>
            </w:pPr>
            <w:r w:rsidRPr="004F51D2">
              <w:rPr>
                <w:rFonts w:asciiTheme="majorBidi" w:hAnsiTheme="majorBidi" w:cstheme="majorBidi"/>
                <w:color w:val="000000"/>
                <w:sz w:val="18"/>
                <w:szCs w:val="18"/>
              </w:rPr>
              <w:t>0</w:t>
            </w:r>
            <w:r w:rsidR="00FE6B3F" w:rsidRPr="004F51D2">
              <w:rPr>
                <w:rFonts w:asciiTheme="majorBidi" w:hAnsiTheme="majorBidi" w:cstheme="majorBidi"/>
                <w:color w:val="000000"/>
                <w:sz w:val="18"/>
                <w:szCs w:val="18"/>
              </w:rPr>
              <w:t>.72</w:t>
            </w:r>
            <w:r w:rsidR="00D60E0E" w:rsidRPr="004F51D2">
              <w:rPr>
                <w:rFonts w:asciiTheme="majorBidi" w:hAnsiTheme="majorBidi" w:cstheme="majorBidi"/>
                <w:color w:val="000000"/>
                <w:sz w:val="18"/>
                <w:szCs w:val="18"/>
              </w:rPr>
              <w:t>0</w:t>
            </w:r>
          </w:p>
        </w:tc>
        <w:tc>
          <w:tcPr>
            <w:tcW w:w="881" w:type="dxa"/>
            <w:vAlign w:val="center"/>
          </w:tcPr>
          <w:p w14:paraId="5ECA196D" w14:textId="3D47E598" w:rsidR="00FE6B3F" w:rsidRPr="004F51D2" w:rsidRDefault="005D078C" w:rsidP="00742B97">
            <w:pPr>
              <w:bidi w:val="0"/>
              <w:jc w:val="center"/>
              <w:rPr>
                <w:rFonts w:asciiTheme="majorBidi" w:eastAsia="Calibri" w:hAnsiTheme="majorBidi" w:cstheme="majorBidi"/>
                <w:color w:val="000000" w:themeColor="text1"/>
                <w:sz w:val="18"/>
                <w:szCs w:val="18"/>
              </w:rPr>
            </w:pPr>
            <w:r w:rsidRPr="004F51D2">
              <w:rPr>
                <w:rFonts w:asciiTheme="majorBidi" w:hAnsiTheme="majorBidi" w:cstheme="majorBidi"/>
                <w:color w:val="000000"/>
                <w:sz w:val="18"/>
                <w:szCs w:val="18"/>
              </w:rPr>
              <w:t>0</w:t>
            </w:r>
            <w:r w:rsidR="00FE6B3F" w:rsidRPr="004F51D2">
              <w:rPr>
                <w:rFonts w:asciiTheme="majorBidi" w:hAnsiTheme="majorBidi" w:cstheme="majorBidi"/>
                <w:color w:val="000000"/>
                <w:sz w:val="18"/>
                <w:szCs w:val="18"/>
              </w:rPr>
              <w:t>.35</w:t>
            </w:r>
            <w:r w:rsidR="00742B97" w:rsidRPr="004F51D2">
              <w:rPr>
                <w:rFonts w:asciiTheme="majorBidi" w:hAnsiTheme="majorBidi" w:cstheme="majorBidi"/>
                <w:color w:val="000000"/>
                <w:sz w:val="18"/>
                <w:szCs w:val="18"/>
              </w:rPr>
              <w:t>0</w:t>
            </w:r>
          </w:p>
        </w:tc>
        <w:tc>
          <w:tcPr>
            <w:tcW w:w="1051" w:type="dxa"/>
            <w:vAlign w:val="center"/>
          </w:tcPr>
          <w:p w14:paraId="0A3E5B25" w14:textId="120CD645" w:rsidR="00FE6B3F" w:rsidRPr="004F51D2" w:rsidRDefault="005D078C" w:rsidP="00742B97">
            <w:pPr>
              <w:bidi w:val="0"/>
              <w:jc w:val="center"/>
              <w:rPr>
                <w:rFonts w:asciiTheme="majorBidi" w:eastAsia="Calibri" w:hAnsiTheme="majorBidi" w:cstheme="majorBidi"/>
                <w:color w:val="000000" w:themeColor="text1"/>
                <w:sz w:val="18"/>
                <w:szCs w:val="18"/>
              </w:rPr>
            </w:pPr>
            <w:r w:rsidRPr="004F51D2">
              <w:rPr>
                <w:rFonts w:asciiTheme="majorBidi" w:hAnsiTheme="majorBidi" w:cstheme="majorBidi"/>
                <w:color w:val="000000"/>
                <w:sz w:val="18"/>
                <w:szCs w:val="18"/>
              </w:rPr>
              <w:t>0</w:t>
            </w:r>
            <w:r w:rsidR="00FE6B3F" w:rsidRPr="004F51D2">
              <w:rPr>
                <w:rFonts w:asciiTheme="majorBidi" w:hAnsiTheme="majorBidi" w:cstheme="majorBidi"/>
                <w:color w:val="000000"/>
                <w:sz w:val="18"/>
                <w:szCs w:val="18"/>
              </w:rPr>
              <w:t>.01</w:t>
            </w:r>
            <w:r w:rsidR="00742B97" w:rsidRPr="004F51D2">
              <w:rPr>
                <w:rFonts w:asciiTheme="majorBidi" w:hAnsiTheme="majorBidi" w:cstheme="majorBidi"/>
                <w:color w:val="000000"/>
                <w:sz w:val="18"/>
                <w:szCs w:val="18"/>
              </w:rPr>
              <w:t>8</w:t>
            </w:r>
          </w:p>
        </w:tc>
        <w:tc>
          <w:tcPr>
            <w:tcW w:w="1268" w:type="dxa"/>
          </w:tcPr>
          <w:p w14:paraId="153B472D" w14:textId="77777777" w:rsidR="00FE6B3F" w:rsidRPr="004F51D2" w:rsidRDefault="00FE6B3F" w:rsidP="00FE6B3F">
            <w:pPr>
              <w:bidi w:val="0"/>
              <w:jc w:val="center"/>
              <w:rPr>
                <w:rFonts w:ascii="Times New Roman" w:eastAsia="Calibri" w:hAnsi="Times New Roman" w:cs="Times New Roman"/>
                <w:color w:val="000000" w:themeColor="text1"/>
                <w:sz w:val="18"/>
                <w:szCs w:val="18"/>
                <w:rtl/>
              </w:rPr>
            </w:pPr>
          </w:p>
        </w:tc>
        <w:tc>
          <w:tcPr>
            <w:tcW w:w="1694" w:type="dxa"/>
          </w:tcPr>
          <w:p w14:paraId="1E264DAF" w14:textId="4FE99F76" w:rsidR="00FE6B3F" w:rsidRPr="004F51D2" w:rsidRDefault="005D078C" w:rsidP="00FE6B3F">
            <w:pPr>
              <w:bidi w:val="0"/>
              <w:rPr>
                <w:rFonts w:ascii="Times New Roman" w:eastAsia="Calibri" w:hAnsi="Times New Roman" w:cs="Times New Roman"/>
                <w:color w:val="000000" w:themeColor="text1"/>
                <w:sz w:val="18"/>
                <w:szCs w:val="18"/>
              </w:rPr>
            </w:pPr>
            <w:r w:rsidRPr="004F51D2">
              <w:rPr>
                <w:rFonts w:ascii="Times New Roman" w:eastAsia="Calibri" w:hAnsi="Times New Roman" w:cs="Times New Roman"/>
                <w:color w:val="000000" w:themeColor="text1"/>
                <w:sz w:val="18"/>
                <w:szCs w:val="18"/>
              </w:rPr>
              <w:t>DASS</w:t>
            </w:r>
            <w:r w:rsidR="00FE6B3F" w:rsidRPr="004F51D2">
              <w:rPr>
                <w:rFonts w:ascii="Times New Roman" w:eastAsia="Calibri" w:hAnsi="Times New Roman" w:cs="Times New Roman"/>
                <w:color w:val="000000" w:themeColor="text1"/>
                <w:sz w:val="18"/>
                <w:szCs w:val="18"/>
              </w:rPr>
              <w:t>-</w:t>
            </w:r>
            <w:r w:rsidR="007753A0" w:rsidRPr="004F51D2">
              <w:rPr>
                <w:rFonts w:ascii="Times New Roman" w:eastAsia="Calibri" w:hAnsi="Times New Roman" w:cs="Times New Roman"/>
                <w:color w:val="000000" w:themeColor="text1"/>
                <w:sz w:val="18"/>
                <w:szCs w:val="18"/>
              </w:rPr>
              <w:t>21-</w:t>
            </w:r>
            <w:r w:rsidR="00FE6B3F" w:rsidRPr="004F51D2">
              <w:rPr>
                <w:rFonts w:ascii="Times New Roman" w:eastAsia="Calibri" w:hAnsi="Times New Roman" w:cs="Times New Roman"/>
                <w:color w:val="000000" w:themeColor="text1"/>
                <w:sz w:val="18"/>
                <w:szCs w:val="18"/>
              </w:rPr>
              <w:t>A</w:t>
            </w:r>
          </w:p>
        </w:tc>
        <w:tc>
          <w:tcPr>
            <w:tcW w:w="985" w:type="dxa"/>
          </w:tcPr>
          <w:p w14:paraId="3E7EFF3A" w14:textId="77777777" w:rsidR="00FE6B3F" w:rsidRPr="004F51D2" w:rsidRDefault="00FE6B3F" w:rsidP="00FE6B3F">
            <w:pPr>
              <w:bidi w:val="0"/>
              <w:jc w:val="center"/>
              <w:rPr>
                <w:rFonts w:ascii="Times New Roman" w:eastAsia="Calibri" w:hAnsi="Times New Roman" w:cs="Times New Roman"/>
                <w:color w:val="000000" w:themeColor="text1"/>
                <w:sz w:val="18"/>
                <w:szCs w:val="18"/>
                <w:rtl/>
              </w:rPr>
            </w:pPr>
          </w:p>
        </w:tc>
      </w:tr>
      <w:tr w:rsidR="00FE6B3F" w:rsidRPr="004F51D2" w14:paraId="492ACF3B" w14:textId="77777777" w:rsidTr="005D078C">
        <w:tc>
          <w:tcPr>
            <w:tcW w:w="1172" w:type="dxa"/>
            <w:vAlign w:val="center"/>
          </w:tcPr>
          <w:p w14:paraId="386CC158" w14:textId="61147610" w:rsidR="00FE6B3F" w:rsidRPr="004F51D2" w:rsidRDefault="005D078C" w:rsidP="00D60E0E">
            <w:pPr>
              <w:bidi w:val="0"/>
              <w:jc w:val="center"/>
              <w:rPr>
                <w:rFonts w:asciiTheme="majorBidi" w:eastAsia="Calibri" w:hAnsiTheme="majorBidi" w:cstheme="majorBidi"/>
                <w:color w:val="000000" w:themeColor="text1"/>
                <w:sz w:val="18"/>
                <w:szCs w:val="18"/>
              </w:rPr>
            </w:pPr>
            <w:r w:rsidRPr="004F51D2">
              <w:rPr>
                <w:rFonts w:asciiTheme="majorBidi" w:hAnsiTheme="majorBidi" w:cstheme="majorBidi"/>
                <w:color w:val="000000"/>
                <w:sz w:val="18"/>
                <w:szCs w:val="18"/>
              </w:rPr>
              <w:t>2</w:t>
            </w:r>
            <w:r w:rsidR="00FE6B3F" w:rsidRPr="004F51D2">
              <w:rPr>
                <w:rFonts w:asciiTheme="majorBidi" w:hAnsiTheme="majorBidi" w:cstheme="majorBidi"/>
                <w:color w:val="000000"/>
                <w:sz w:val="18"/>
                <w:szCs w:val="18"/>
              </w:rPr>
              <w:t>.07</w:t>
            </w:r>
            <w:r w:rsidR="00D60E0E" w:rsidRPr="004F51D2">
              <w:rPr>
                <w:rFonts w:asciiTheme="majorBidi" w:hAnsiTheme="majorBidi" w:cstheme="majorBidi"/>
                <w:color w:val="000000"/>
                <w:sz w:val="18"/>
                <w:szCs w:val="18"/>
              </w:rPr>
              <w:t>7</w:t>
            </w:r>
          </w:p>
        </w:tc>
        <w:tc>
          <w:tcPr>
            <w:tcW w:w="1096" w:type="dxa"/>
            <w:vAlign w:val="center"/>
          </w:tcPr>
          <w:p w14:paraId="3F4225FC" w14:textId="764528D7" w:rsidR="00FE6B3F" w:rsidRPr="004F51D2" w:rsidRDefault="005D078C" w:rsidP="00D60E0E">
            <w:pPr>
              <w:bidi w:val="0"/>
              <w:jc w:val="center"/>
              <w:rPr>
                <w:rFonts w:asciiTheme="majorBidi" w:eastAsia="Calibri" w:hAnsiTheme="majorBidi" w:cstheme="majorBidi"/>
                <w:color w:val="000000" w:themeColor="text1"/>
                <w:sz w:val="18"/>
                <w:szCs w:val="18"/>
              </w:rPr>
            </w:pPr>
            <w:r w:rsidRPr="004F51D2">
              <w:rPr>
                <w:rFonts w:asciiTheme="majorBidi" w:hAnsiTheme="majorBidi" w:cstheme="majorBidi"/>
                <w:color w:val="000000"/>
                <w:sz w:val="18"/>
                <w:szCs w:val="18"/>
              </w:rPr>
              <w:t>0</w:t>
            </w:r>
            <w:r w:rsidR="00FE6B3F" w:rsidRPr="004F51D2">
              <w:rPr>
                <w:rFonts w:asciiTheme="majorBidi" w:hAnsiTheme="majorBidi" w:cstheme="majorBidi"/>
                <w:color w:val="000000"/>
                <w:sz w:val="18"/>
                <w:szCs w:val="18"/>
              </w:rPr>
              <w:t>.</w:t>
            </w:r>
            <w:r w:rsidRPr="004F51D2">
              <w:rPr>
                <w:rFonts w:asciiTheme="majorBidi" w:hAnsiTheme="majorBidi" w:cstheme="majorBidi"/>
                <w:color w:val="000000"/>
                <w:sz w:val="18"/>
                <w:szCs w:val="18"/>
              </w:rPr>
              <w:t>6</w:t>
            </w:r>
            <w:r w:rsidR="00FE6B3F" w:rsidRPr="004F51D2">
              <w:rPr>
                <w:rFonts w:asciiTheme="majorBidi" w:hAnsiTheme="majorBidi" w:cstheme="majorBidi"/>
                <w:color w:val="000000"/>
                <w:sz w:val="18"/>
                <w:szCs w:val="18"/>
              </w:rPr>
              <w:t>4</w:t>
            </w:r>
            <w:r w:rsidR="00D60E0E" w:rsidRPr="004F51D2">
              <w:rPr>
                <w:rFonts w:asciiTheme="majorBidi" w:hAnsiTheme="majorBidi" w:cstheme="majorBidi"/>
                <w:color w:val="000000"/>
                <w:sz w:val="18"/>
                <w:szCs w:val="18"/>
              </w:rPr>
              <w:t>7</w:t>
            </w:r>
          </w:p>
        </w:tc>
        <w:tc>
          <w:tcPr>
            <w:tcW w:w="879" w:type="dxa"/>
            <w:vAlign w:val="center"/>
          </w:tcPr>
          <w:p w14:paraId="67B8064B" w14:textId="1A407811" w:rsidR="00FE6B3F" w:rsidRPr="004F51D2" w:rsidRDefault="005D078C" w:rsidP="00D60E0E">
            <w:pPr>
              <w:bidi w:val="0"/>
              <w:jc w:val="center"/>
              <w:rPr>
                <w:rFonts w:asciiTheme="majorBidi" w:eastAsia="Calibri" w:hAnsiTheme="majorBidi" w:cstheme="majorBidi"/>
                <w:color w:val="000000" w:themeColor="text1"/>
                <w:sz w:val="18"/>
                <w:szCs w:val="18"/>
              </w:rPr>
            </w:pPr>
            <w:r w:rsidRPr="004F51D2">
              <w:rPr>
                <w:rFonts w:asciiTheme="majorBidi" w:hAnsiTheme="majorBidi" w:cstheme="majorBidi"/>
                <w:color w:val="000000"/>
                <w:sz w:val="18"/>
                <w:szCs w:val="18"/>
              </w:rPr>
              <w:t>0</w:t>
            </w:r>
            <w:r w:rsidR="00FE6B3F" w:rsidRPr="004F51D2">
              <w:rPr>
                <w:rFonts w:asciiTheme="majorBidi" w:hAnsiTheme="majorBidi" w:cstheme="majorBidi"/>
                <w:color w:val="000000"/>
                <w:sz w:val="18"/>
                <w:szCs w:val="18"/>
              </w:rPr>
              <w:t>.32</w:t>
            </w:r>
            <w:r w:rsidR="00D60E0E" w:rsidRPr="004F51D2">
              <w:rPr>
                <w:rFonts w:asciiTheme="majorBidi" w:hAnsiTheme="majorBidi" w:cstheme="majorBidi"/>
                <w:color w:val="000000"/>
                <w:sz w:val="18"/>
                <w:szCs w:val="18"/>
              </w:rPr>
              <w:t>1</w:t>
            </w:r>
          </w:p>
        </w:tc>
        <w:tc>
          <w:tcPr>
            <w:tcW w:w="881" w:type="dxa"/>
            <w:vAlign w:val="center"/>
          </w:tcPr>
          <w:p w14:paraId="19D64B9B" w14:textId="4CF1A08D" w:rsidR="00FE6B3F" w:rsidRPr="004F51D2" w:rsidRDefault="005D078C" w:rsidP="00742B97">
            <w:pPr>
              <w:bidi w:val="0"/>
              <w:jc w:val="center"/>
              <w:rPr>
                <w:rFonts w:asciiTheme="majorBidi" w:eastAsia="Calibri" w:hAnsiTheme="majorBidi" w:cstheme="majorBidi"/>
                <w:color w:val="000000" w:themeColor="text1"/>
                <w:sz w:val="18"/>
                <w:szCs w:val="18"/>
              </w:rPr>
            </w:pPr>
            <w:r w:rsidRPr="004F51D2">
              <w:rPr>
                <w:rFonts w:asciiTheme="majorBidi" w:hAnsiTheme="majorBidi" w:cstheme="majorBidi"/>
                <w:color w:val="000000"/>
                <w:sz w:val="18"/>
                <w:szCs w:val="18"/>
              </w:rPr>
              <w:t>0</w:t>
            </w:r>
            <w:r w:rsidR="00FE6B3F" w:rsidRPr="004F51D2">
              <w:rPr>
                <w:rFonts w:asciiTheme="majorBidi" w:hAnsiTheme="majorBidi" w:cstheme="majorBidi"/>
                <w:color w:val="000000"/>
                <w:sz w:val="18"/>
                <w:szCs w:val="18"/>
              </w:rPr>
              <w:t>.98</w:t>
            </w:r>
            <w:r w:rsidR="00742B97" w:rsidRPr="004F51D2">
              <w:rPr>
                <w:rFonts w:asciiTheme="majorBidi" w:hAnsiTheme="majorBidi" w:cstheme="majorBidi"/>
                <w:color w:val="000000"/>
                <w:sz w:val="18"/>
                <w:szCs w:val="18"/>
              </w:rPr>
              <w:t>1</w:t>
            </w:r>
          </w:p>
        </w:tc>
        <w:tc>
          <w:tcPr>
            <w:tcW w:w="1051" w:type="dxa"/>
            <w:vAlign w:val="center"/>
          </w:tcPr>
          <w:p w14:paraId="4D1F436A" w14:textId="2CDABC02" w:rsidR="00FE6B3F" w:rsidRPr="004F51D2" w:rsidRDefault="005D078C" w:rsidP="00742B97">
            <w:pPr>
              <w:bidi w:val="0"/>
              <w:jc w:val="center"/>
              <w:rPr>
                <w:rFonts w:asciiTheme="majorBidi" w:eastAsia="Calibri" w:hAnsiTheme="majorBidi" w:cstheme="majorBidi"/>
                <w:color w:val="000000" w:themeColor="text1"/>
                <w:sz w:val="18"/>
                <w:szCs w:val="18"/>
              </w:rPr>
            </w:pPr>
            <w:r w:rsidRPr="004F51D2">
              <w:rPr>
                <w:rFonts w:asciiTheme="majorBidi" w:hAnsiTheme="majorBidi" w:cstheme="majorBidi"/>
                <w:color w:val="000000"/>
                <w:sz w:val="18"/>
                <w:szCs w:val="18"/>
              </w:rPr>
              <w:t>0</w:t>
            </w:r>
            <w:r w:rsidR="00FE6B3F" w:rsidRPr="004F51D2">
              <w:rPr>
                <w:rFonts w:asciiTheme="majorBidi" w:hAnsiTheme="majorBidi" w:cstheme="majorBidi"/>
                <w:color w:val="000000"/>
                <w:sz w:val="18"/>
                <w:szCs w:val="18"/>
              </w:rPr>
              <w:t>.06</w:t>
            </w:r>
            <w:r w:rsidR="00742B97" w:rsidRPr="004F51D2">
              <w:rPr>
                <w:rFonts w:asciiTheme="majorBidi" w:hAnsiTheme="majorBidi" w:cstheme="majorBidi"/>
                <w:color w:val="000000"/>
                <w:sz w:val="18"/>
                <w:szCs w:val="18"/>
              </w:rPr>
              <w:t>1</w:t>
            </w:r>
          </w:p>
        </w:tc>
        <w:tc>
          <w:tcPr>
            <w:tcW w:w="1268" w:type="dxa"/>
          </w:tcPr>
          <w:p w14:paraId="436A05A3" w14:textId="77777777" w:rsidR="00FE6B3F" w:rsidRPr="004F51D2" w:rsidRDefault="00FE6B3F" w:rsidP="00FE6B3F">
            <w:pPr>
              <w:bidi w:val="0"/>
              <w:jc w:val="center"/>
              <w:rPr>
                <w:rFonts w:ascii="Times New Roman" w:eastAsia="Calibri" w:hAnsi="Times New Roman" w:cs="Times New Roman"/>
                <w:color w:val="000000" w:themeColor="text1"/>
                <w:sz w:val="18"/>
                <w:szCs w:val="18"/>
                <w:rtl/>
              </w:rPr>
            </w:pPr>
          </w:p>
        </w:tc>
        <w:tc>
          <w:tcPr>
            <w:tcW w:w="1694" w:type="dxa"/>
          </w:tcPr>
          <w:p w14:paraId="556706AB" w14:textId="315A79A8" w:rsidR="00FE6B3F" w:rsidRPr="004F51D2" w:rsidRDefault="005D078C" w:rsidP="00FE6B3F">
            <w:pPr>
              <w:bidi w:val="0"/>
              <w:rPr>
                <w:rFonts w:ascii="Times New Roman" w:eastAsia="Calibri" w:hAnsi="Times New Roman" w:cs="Times New Roman"/>
                <w:color w:val="000000" w:themeColor="text1"/>
                <w:sz w:val="18"/>
                <w:szCs w:val="18"/>
              </w:rPr>
            </w:pPr>
            <w:r w:rsidRPr="004F51D2">
              <w:rPr>
                <w:rFonts w:ascii="Times New Roman" w:eastAsia="Calibri" w:hAnsi="Times New Roman" w:cs="Times New Roman"/>
                <w:color w:val="000000" w:themeColor="text1"/>
                <w:sz w:val="18"/>
                <w:szCs w:val="18"/>
              </w:rPr>
              <w:t>DASS</w:t>
            </w:r>
            <w:r w:rsidR="00FE6B3F" w:rsidRPr="004F51D2">
              <w:rPr>
                <w:rFonts w:ascii="Times New Roman" w:eastAsia="Calibri" w:hAnsi="Times New Roman" w:cs="Times New Roman"/>
                <w:color w:val="000000" w:themeColor="text1"/>
                <w:sz w:val="18"/>
                <w:szCs w:val="18"/>
              </w:rPr>
              <w:t>-</w:t>
            </w:r>
            <w:r w:rsidR="007753A0" w:rsidRPr="004F51D2">
              <w:rPr>
                <w:rFonts w:ascii="Times New Roman" w:eastAsia="Calibri" w:hAnsi="Times New Roman" w:cs="Times New Roman"/>
                <w:color w:val="000000" w:themeColor="text1"/>
                <w:sz w:val="18"/>
                <w:szCs w:val="18"/>
              </w:rPr>
              <w:t>21-</w:t>
            </w:r>
            <w:r w:rsidR="00FE6B3F" w:rsidRPr="004F51D2">
              <w:rPr>
                <w:rFonts w:ascii="Times New Roman" w:eastAsia="Calibri" w:hAnsi="Times New Roman" w:cs="Times New Roman"/>
                <w:color w:val="000000" w:themeColor="text1"/>
                <w:sz w:val="18"/>
                <w:szCs w:val="18"/>
              </w:rPr>
              <w:t>D</w:t>
            </w:r>
          </w:p>
        </w:tc>
        <w:tc>
          <w:tcPr>
            <w:tcW w:w="985" w:type="dxa"/>
          </w:tcPr>
          <w:p w14:paraId="6C77C0C2" w14:textId="77777777" w:rsidR="00FE6B3F" w:rsidRPr="004F51D2" w:rsidRDefault="00FE6B3F" w:rsidP="00FE6B3F">
            <w:pPr>
              <w:bidi w:val="0"/>
              <w:jc w:val="center"/>
              <w:rPr>
                <w:rFonts w:ascii="Times New Roman" w:eastAsia="Calibri" w:hAnsi="Times New Roman" w:cs="Times New Roman"/>
                <w:color w:val="000000" w:themeColor="text1"/>
                <w:sz w:val="18"/>
                <w:szCs w:val="18"/>
                <w:rtl/>
              </w:rPr>
            </w:pPr>
          </w:p>
        </w:tc>
      </w:tr>
      <w:tr w:rsidR="00FE6B3F" w:rsidRPr="004F51D2" w14:paraId="49F6AB91" w14:textId="77777777" w:rsidTr="005D078C">
        <w:tc>
          <w:tcPr>
            <w:tcW w:w="1172" w:type="dxa"/>
            <w:vAlign w:val="center"/>
          </w:tcPr>
          <w:p w14:paraId="0A5CF4E9" w14:textId="14EFD689" w:rsidR="00FE6B3F" w:rsidRPr="004F51D2" w:rsidRDefault="005D078C" w:rsidP="00D60E0E">
            <w:pPr>
              <w:bidi w:val="0"/>
              <w:jc w:val="center"/>
              <w:rPr>
                <w:rFonts w:asciiTheme="majorBidi" w:eastAsia="Calibri" w:hAnsiTheme="majorBidi" w:cstheme="majorBidi"/>
                <w:color w:val="000000" w:themeColor="text1"/>
                <w:sz w:val="18"/>
                <w:szCs w:val="18"/>
              </w:rPr>
            </w:pPr>
            <w:r w:rsidRPr="004F51D2">
              <w:rPr>
                <w:rFonts w:asciiTheme="majorBidi" w:hAnsiTheme="majorBidi" w:cstheme="majorBidi"/>
                <w:color w:val="000000"/>
                <w:sz w:val="18"/>
                <w:szCs w:val="18"/>
              </w:rPr>
              <w:t>2</w:t>
            </w:r>
            <w:r w:rsidR="00FE6B3F" w:rsidRPr="004F51D2">
              <w:rPr>
                <w:rFonts w:asciiTheme="majorBidi" w:hAnsiTheme="majorBidi" w:cstheme="majorBidi"/>
                <w:color w:val="000000"/>
                <w:sz w:val="18"/>
                <w:szCs w:val="18"/>
              </w:rPr>
              <w:t>.55</w:t>
            </w:r>
            <w:r w:rsidR="00D60E0E" w:rsidRPr="004F51D2">
              <w:rPr>
                <w:rFonts w:asciiTheme="majorBidi" w:hAnsiTheme="majorBidi" w:cstheme="majorBidi"/>
                <w:color w:val="000000"/>
                <w:sz w:val="18"/>
                <w:szCs w:val="18"/>
              </w:rPr>
              <w:t>4</w:t>
            </w:r>
          </w:p>
        </w:tc>
        <w:tc>
          <w:tcPr>
            <w:tcW w:w="1096" w:type="dxa"/>
            <w:vAlign w:val="center"/>
          </w:tcPr>
          <w:p w14:paraId="2B2C4665" w14:textId="7020F11B" w:rsidR="00FE6B3F" w:rsidRPr="004F51D2" w:rsidRDefault="005D078C" w:rsidP="00D60E0E">
            <w:pPr>
              <w:bidi w:val="0"/>
              <w:jc w:val="center"/>
              <w:rPr>
                <w:rFonts w:asciiTheme="majorBidi" w:eastAsia="Calibri" w:hAnsiTheme="majorBidi" w:cstheme="majorBidi"/>
                <w:color w:val="000000" w:themeColor="text1"/>
                <w:sz w:val="18"/>
                <w:szCs w:val="18"/>
              </w:rPr>
            </w:pPr>
            <w:r w:rsidRPr="004F51D2">
              <w:rPr>
                <w:rFonts w:asciiTheme="majorBidi" w:hAnsiTheme="majorBidi" w:cstheme="majorBidi"/>
                <w:color w:val="000000"/>
                <w:sz w:val="18"/>
                <w:szCs w:val="18"/>
              </w:rPr>
              <w:t>0</w:t>
            </w:r>
            <w:r w:rsidR="00FE6B3F" w:rsidRPr="004F51D2">
              <w:rPr>
                <w:rFonts w:asciiTheme="majorBidi" w:hAnsiTheme="majorBidi" w:cstheme="majorBidi"/>
                <w:color w:val="000000"/>
                <w:sz w:val="18"/>
                <w:szCs w:val="18"/>
              </w:rPr>
              <w:t>.</w:t>
            </w:r>
            <w:r w:rsidRPr="004F51D2">
              <w:rPr>
                <w:rFonts w:asciiTheme="majorBidi" w:hAnsiTheme="majorBidi" w:cstheme="majorBidi"/>
                <w:color w:val="000000"/>
                <w:sz w:val="18"/>
                <w:szCs w:val="18"/>
              </w:rPr>
              <w:t>7</w:t>
            </w:r>
            <w:r w:rsidR="00FE6B3F" w:rsidRPr="004F51D2">
              <w:rPr>
                <w:rFonts w:asciiTheme="majorBidi" w:hAnsiTheme="majorBidi" w:cstheme="majorBidi"/>
                <w:color w:val="000000"/>
                <w:sz w:val="18"/>
                <w:szCs w:val="18"/>
              </w:rPr>
              <w:t>8</w:t>
            </w:r>
            <w:r w:rsidR="00D60E0E" w:rsidRPr="004F51D2">
              <w:rPr>
                <w:rFonts w:asciiTheme="majorBidi" w:hAnsiTheme="majorBidi" w:cstheme="majorBidi"/>
                <w:color w:val="000000"/>
                <w:sz w:val="18"/>
                <w:szCs w:val="18"/>
              </w:rPr>
              <w:t>3</w:t>
            </w:r>
          </w:p>
        </w:tc>
        <w:tc>
          <w:tcPr>
            <w:tcW w:w="879" w:type="dxa"/>
            <w:vAlign w:val="center"/>
          </w:tcPr>
          <w:p w14:paraId="5C954990" w14:textId="734DD029" w:rsidR="00FE6B3F" w:rsidRPr="004F51D2" w:rsidRDefault="005D078C" w:rsidP="00D60E0E">
            <w:pPr>
              <w:bidi w:val="0"/>
              <w:jc w:val="center"/>
              <w:rPr>
                <w:rFonts w:asciiTheme="majorBidi" w:eastAsia="Calibri" w:hAnsiTheme="majorBidi" w:cstheme="majorBidi"/>
                <w:color w:val="000000" w:themeColor="text1"/>
                <w:sz w:val="18"/>
                <w:szCs w:val="18"/>
              </w:rPr>
            </w:pPr>
            <w:r w:rsidRPr="004F51D2">
              <w:rPr>
                <w:rFonts w:asciiTheme="majorBidi" w:hAnsiTheme="majorBidi" w:cstheme="majorBidi"/>
                <w:color w:val="000000"/>
                <w:sz w:val="18"/>
                <w:szCs w:val="18"/>
              </w:rPr>
              <w:t>0</w:t>
            </w:r>
            <w:r w:rsidR="00FE6B3F" w:rsidRPr="004F51D2">
              <w:rPr>
                <w:rFonts w:asciiTheme="majorBidi" w:hAnsiTheme="majorBidi" w:cstheme="majorBidi"/>
                <w:color w:val="000000"/>
                <w:sz w:val="18"/>
                <w:szCs w:val="18"/>
              </w:rPr>
              <w:t>.01</w:t>
            </w:r>
            <w:r w:rsidR="00D60E0E" w:rsidRPr="004F51D2">
              <w:rPr>
                <w:rFonts w:asciiTheme="majorBidi" w:hAnsiTheme="majorBidi" w:cstheme="majorBidi"/>
                <w:color w:val="000000"/>
                <w:sz w:val="18"/>
                <w:szCs w:val="18"/>
              </w:rPr>
              <w:t>4</w:t>
            </w:r>
          </w:p>
        </w:tc>
        <w:tc>
          <w:tcPr>
            <w:tcW w:w="881" w:type="dxa"/>
            <w:vAlign w:val="center"/>
          </w:tcPr>
          <w:p w14:paraId="6633EDFB" w14:textId="315FE561" w:rsidR="00FE6B3F" w:rsidRPr="004F51D2" w:rsidRDefault="00FE6B3F" w:rsidP="00742B97">
            <w:pPr>
              <w:bidi w:val="0"/>
              <w:jc w:val="center"/>
              <w:rPr>
                <w:rFonts w:asciiTheme="majorBidi" w:eastAsia="Calibri" w:hAnsiTheme="majorBidi" w:cstheme="majorBidi"/>
                <w:color w:val="000000" w:themeColor="text1"/>
                <w:sz w:val="18"/>
                <w:szCs w:val="18"/>
              </w:rPr>
            </w:pPr>
            <w:r w:rsidRPr="004F51D2">
              <w:rPr>
                <w:rFonts w:asciiTheme="majorBidi" w:hAnsiTheme="majorBidi" w:cstheme="majorBidi"/>
                <w:color w:val="000000"/>
                <w:sz w:val="18"/>
                <w:szCs w:val="18"/>
              </w:rPr>
              <w:t>2.42</w:t>
            </w:r>
            <w:r w:rsidR="00742B97" w:rsidRPr="004F51D2">
              <w:rPr>
                <w:rFonts w:asciiTheme="majorBidi" w:hAnsiTheme="majorBidi" w:cstheme="majorBidi"/>
                <w:color w:val="000000"/>
                <w:sz w:val="18"/>
                <w:szCs w:val="18"/>
              </w:rPr>
              <w:t>4</w:t>
            </w:r>
          </w:p>
        </w:tc>
        <w:tc>
          <w:tcPr>
            <w:tcW w:w="1051" w:type="dxa"/>
            <w:vAlign w:val="center"/>
          </w:tcPr>
          <w:p w14:paraId="713D99C3" w14:textId="581D389E" w:rsidR="00FE6B3F" w:rsidRPr="004F51D2" w:rsidRDefault="005D078C" w:rsidP="00742B97">
            <w:pPr>
              <w:bidi w:val="0"/>
              <w:jc w:val="center"/>
              <w:rPr>
                <w:rFonts w:asciiTheme="majorBidi" w:eastAsia="Calibri" w:hAnsiTheme="majorBidi" w:cstheme="majorBidi"/>
                <w:color w:val="000000" w:themeColor="text1"/>
                <w:sz w:val="18"/>
                <w:szCs w:val="18"/>
              </w:rPr>
            </w:pPr>
            <w:r w:rsidRPr="004F51D2">
              <w:rPr>
                <w:rFonts w:asciiTheme="majorBidi" w:hAnsiTheme="majorBidi" w:cstheme="majorBidi"/>
                <w:color w:val="000000"/>
                <w:sz w:val="18"/>
                <w:szCs w:val="18"/>
              </w:rPr>
              <w:t>0</w:t>
            </w:r>
            <w:r w:rsidR="00FE6B3F" w:rsidRPr="004F51D2">
              <w:rPr>
                <w:rFonts w:asciiTheme="majorBidi" w:hAnsiTheme="majorBidi" w:cstheme="majorBidi"/>
                <w:color w:val="000000"/>
                <w:sz w:val="18"/>
                <w:szCs w:val="18"/>
              </w:rPr>
              <w:t>.14</w:t>
            </w:r>
            <w:r w:rsidR="00742B97" w:rsidRPr="004F51D2">
              <w:rPr>
                <w:rFonts w:asciiTheme="majorBidi" w:hAnsiTheme="majorBidi" w:cstheme="majorBidi"/>
                <w:color w:val="000000"/>
                <w:sz w:val="18"/>
                <w:szCs w:val="18"/>
              </w:rPr>
              <w:t>0</w:t>
            </w:r>
          </w:p>
        </w:tc>
        <w:tc>
          <w:tcPr>
            <w:tcW w:w="1268" w:type="dxa"/>
          </w:tcPr>
          <w:p w14:paraId="6340B70A" w14:textId="77777777" w:rsidR="00FE6B3F" w:rsidRPr="004F51D2" w:rsidRDefault="00FE6B3F" w:rsidP="00FE6B3F">
            <w:pPr>
              <w:bidi w:val="0"/>
              <w:jc w:val="center"/>
              <w:rPr>
                <w:rFonts w:ascii="Times New Roman" w:eastAsia="Calibri" w:hAnsi="Times New Roman" w:cs="Times New Roman"/>
                <w:color w:val="000000" w:themeColor="text1"/>
                <w:sz w:val="18"/>
                <w:szCs w:val="18"/>
                <w:rtl/>
              </w:rPr>
            </w:pPr>
          </w:p>
        </w:tc>
        <w:tc>
          <w:tcPr>
            <w:tcW w:w="1694" w:type="dxa"/>
          </w:tcPr>
          <w:p w14:paraId="44BAD55F" w14:textId="6109E4F7" w:rsidR="00FE6B3F" w:rsidRPr="004F51D2" w:rsidRDefault="005D078C" w:rsidP="00FE6B3F">
            <w:pPr>
              <w:bidi w:val="0"/>
              <w:rPr>
                <w:rFonts w:ascii="Times New Roman" w:eastAsia="Calibri" w:hAnsi="Times New Roman" w:cs="Times New Roman"/>
                <w:color w:val="000000" w:themeColor="text1"/>
                <w:sz w:val="18"/>
                <w:szCs w:val="18"/>
              </w:rPr>
            </w:pPr>
            <w:r w:rsidRPr="004F51D2">
              <w:rPr>
                <w:rFonts w:ascii="Times New Roman" w:eastAsia="Calibri" w:hAnsi="Times New Roman" w:cs="Times New Roman"/>
                <w:color w:val="000000" w:themeColor="text1"/>
                <w:sz w:val="18"/>
                <w:szCs w:val="18"/>
              </w:rPr>
              <w:t>DASS</w:t>
            </w:r>
            <w:r w:rsidR="00FE6B3F" w:rsidRPr="004F51D2">
              <w:rPr>
                <w:rFonts w:ascii="Times New Roman" w:eastAsia="Calibri" w:hAnsi="Times New Roman" w:cs="Times New Roman"/>
                <w:color w:val="000000" w:themeColor="text1"/>
                <w:sz w:val="18"/>
                <w:szCs w:val="18"/>
              </w:rPr>
              <w:t>-</w:t>
            </w:r>
            <w:r w:rsidR="007753A0" w:rsidRPr="004F51D2">
              <w:rPr>
                <w:rFonts w:ascii="Times New Roman" w:eastAsia="Calibri" w:hAnsi="Times New Roman" w:cs="Times New Roman"/>
                <w:color w:val="000000" w:themeColor="text1"/>
                <w:sz w:val="18"/>
                <w:szCs w:val="18"/>
              </w:rPr>
              <w:t>21-</w:t>
            </w:r>
            <w:r w:rsidR="00FE6B3F" w:rsidRPr="004F51D2">
              <w:rPr>
                <w:rFonts w:ascii="Times New Roman" w:eastAsia="Calibri" w:hAnsi="Times New Roman" w:cs="Times New Roman"/>
                <w:color w:val="000000" w:themeColor="text1"/>
                <w:sz w:val="18"/>
                <w:szCs w:val="18"/>
              </w:rPr>
              <w:t>S</w:t>
            </w:r>
          </w:p>
        </w:tc>
        <w:tc>
          <w:tcPr>
            <w:tcW w:w="985" w:type="dxa"/>
          </w:tcPr>
          <w:p w14:paraId="4E987614" w14:textId="77777777" w:rsidR="00FE6B3F" w:rsidRPr="004F51D2" w:rsidRDefault="00FE6B3F" w:rsidP="00FE6B3F">
            <w:pPr>
              <w:bidi w:val="0"/>
              <w:jc w:val="center"/>
              <w:rPr>
                <w:rFonts w:ascii="Times New Roman" w:eastAsia="Calibri" w:hAnsi="Times New Roman" w:cs="Times New Roman"/>
                <w:color w:val="000000" w:themeColor="text1"/>
                <w:sz w:val="18"/>
                <w:szCs w:val="18"/>
                <w:rtl/>
              </w:rPr>
            </w:pPr>
          </w:p>
        </w:tc>
      </w:tr>
      <w:tr w:rsidR="00FE6B3F" w:rsidRPr="004F51D2" w14:paraId="58DA8C4E" w14:textId="77777777" w:rsidTr="005D078C">
        <w:tc>
          <w:tcPr>
            <w:tcW w:w="1172" w:type="dxa"/>
            <w:vAlign w:val="center"/>
          </w:tcPr>
          <w:p w14:paraId="16B9AAFD" w14:textId="12B2FAFB" w:rsidR="00FE6B3F" w:rsidRPr="004F51D2" w:rsidRDefault="00FE6B3F" w:rsidP="00D60E0E">
            <w:pPr>
              <w:bidi w:val="0"/>
              <w:jc w:val="center"/>
              <w:rPr>
                <w:rFonts w:asciiTheme="majorBidi" w:eastAsia="Calibri" w:hAnsiTheme="majorBidi" w:cstheme="majorBidi"/>
                <w:color w:val="000000" w:themeColor="text1"/>
                <w:sz w:val="18"/>
                <w:szCs w:val="18"/>
              </w:rPr>
            </w:pPr>
            <w:r w:rsidRPr="004F51D2">
              <w:rPr>
                <w:rFonts w:asciiTheme="majorBidi" w:hAnsiTheme="majorBidi" w:cstheme="majorBidi"/>
                <w:color w:val="000000"/>
                <w:sz w:val="18"/>
                <w:szCs w:val="18"/>
              </w:rPr>
              <w:t>1.88</w:t>
            </w:r>
            <w:r w:rsidR="00D60E0E" w:rsidRPr="004F51D2">
              <w:rPr>
                <w:rFonts w:asciiTheme="majorBidi" w:hAnsiTheme="majorBidi" w:cstheme="majorBidi"/>
                <w:color w:val="000000"/>
                <w:sz w:val="18"/>
                <w:szCs w:val="18"/>
              </w:rPr>
              <w:t>5</w:t>
            </w:r>
          </w:p>
        </w:tc>
        <w:tc>
          <w:tcPr>
            <w:tcW w:w="1096" w:type="dxa"/>
            <w:vAlign w:val="center"/>
          </w:tcPr>
          <w:p w14:paraId="6BE17603" w14:textId="21D1056C" w:rsidR="00FE6B3F" w:rsidRPr="004F51D2" w:rsidRDefault="005D078C" w:rsidP="00D60E0E">
            <w:pPr>
              <w:bidi w:val="0"/>
              <w:jc w:val="center"/>
              <w:rPr>
                <w:rFonts w:asciiTheme="majorBidi" w:eastAsia="Calibri" w:hAnsiTheme="majorBidi" w:cstheme="majorBidi"/>
                <w:color w:val="000000" w:themeColor="text1"/>
                <w:sz w:val="18"/>
                <w:szCs w:val="18"/>
              </w:rPr>
            </w:pPr>
            <w:r w:rsidRPr="004F51D2">
              <w:rPr>
                <w:rFonts w:asciiTheme="majorBidi" w:hAnsiTheme="majorBidi" w:cstheme="majorBidi"/>
                <w:color w:val="000000"/>
                <w:sz w:val="18"/>
                <w:szCs w:val="18"/>
              </w:rPr>
              <w:t>0</w:t>
            </w:r>
            <w:r w:rsidR="00FE6B3F" w:rsidRPr="004F51D2">
              <w:rPr>
                <w:rFonts w:asciiTheme="majorBidi" w:hAnsiTheme="majorBidi" w:cstheme="majorBidi"/>
                <w:color w:val="000000"/>
                <w:sz w:val="18"/>
                <w:szCs w:val="18"/>
              </w:rPr>
              <w:t>.</w:t>
            </w:r>
            <w:r w:rsidRPr="004F51D2">
              <w:rPr>
                <w:rFonts w:asciiTheme="majorBidi" w:hAnsiTheme="majorBidi" w:cstheme="majorBidi"/>
                <w:color w:val="000000"/>
                <w:sz w:val="18"/>
                <w:szCs w:val="18"/>
              </w:rPr>
              <w:t>6</w:t>
            </w:r>
            <w:r w:rsidR="00FE6B3F" w:rsidRPr="004F51D2">
              <w:rPr>
                <w:rFonts w:asciiTheme="majorBidi" w:hAnsiTheme="majorBidi" w:cstheme="majorBidi"/>
                <w:color w:val="000000"/>
                <w:sz w:val="18"/>
                <w:szCs w:val="18"/>
              </w:rPr>
              <w:t>3</w:t>
            </w:r>
            <w:r w:rsidR="00D60E0E" w:rsidRPr="004F51D2">
              <w:rPr>
                <w:rFonts w:asciiTheme="majorBidi" w:hAnsiTheme="majorBidi" w:cstheme="majorBidi"/>
                <w:color w:val="000000"/>
                <w:sz w:val="18"/>
                <w:szCs w:val="18"/>
              </w:rPr>
              <w:t>4</w:t>
            </w:r>
          </w:p>
        </w:tc>
        <w:tc>
          <w:tcPr>
            <w:tcW w:w="879" w:type="dxa"/>
            <w:vAlign w:val="center"/>
          </w:tcPr>
          <w:p w14:paraId="43794395" w14:textId="15B2AB2C" w:rsidR="00FE6B3F" w:rsidRPr="004F51D2" w:rsidRDefault="005D078C" w:rsidP="00FE6B3F">
            <w:pPr>
              <w:bidi w:val="0"/>
              <w:jc w:val="center"/>
              <w:rPr>
                <w:rFonts w:asciiTheme="majorBidi" w:eastAsia="Calibri" w:hAnsiTheme="majorBidi" w:cstheme="majorBidi"/>
                <w:color w:val="000000" w:themeColor="text1"/>
                <w:sz w:val="18"/>
                <w:szCs w:val="18"/>
              </w:rPr>
            </w:pPr>
            <w:r w:rsidRPr="004F51D2">
              <w:rPr>
                <w:rFonts w:asciiTheme="majorBidi" w:hAnsiTheme="majorBidi" w:cstheme="majorBidi"/>
                <w:color w:val="000000"/>
                <w:sz w:val="18"/>
                <w:szCs w:val="18"/>
              </w:rPr>
              <w:t>0</w:t>
            </w:r>
            <w:r w:rsidR="00FE6B3F" w:rsidRPr="004F51D2">
              <w:rPr>
                <w:rFonts w:asciiTheme="majorBidi" w:hAnsiTheme="majorBidi" w:cstheme="majorBidi"/>
                <w:color w:val="000000"/>
                <w:sz w:val="18"/>
                <w:szCs w:val="18"/>
              </w:rPr>
              <w:t>.000</w:t>
            </w:r>
          </w:p>
        </w:tc>
        <w:tc>
          <w:tcPr>
            <w:tcW w:w="881" w:type="dxa"/>
            <w:vAlign w:val="center"/>
          </w:tcPr>
          <w:p w14:paraId="1E227396" w14:textId="6D25368F" w:rsidR="00FE6B3F" w:rsidRPr="004F51D2" w:rsidRDefault="00FE6B3F" w:rsidP="00742B97">
            <w:pPr>
              <w:bidi w:val="0"/>
              <w:jc w:val="center"/>
              <w:rPr>
                <w:rFonts w:asciiTheme="majorBidi" w:eastAsia="Calibri" w:hAnsiTheme="majorBidi" w:cstheme="majorBidi"/>
                <w:color w:val="000000" w:themeColor="text1"/>
                <w:sz w:val="18"/>
                <w:szCs w:val="18"/>
              </w:rPr>
            </w:pPr>
            <w:r w:rsidRPr="004F51D2">
              <w:rPr>
                <w:rFonts w:asciiTheme="majorBidi" w:hAnsiTheme="majorBidi" w:cstheme="majorBidi"/>
                <w:color w:val="000000"/>
                <w:sz w:val="18"/>
                <w:szCs w:val="18"/>
              </w:rPr>
              <w:t>5.94</w:t>
            </w:r>
            <w:r w:rsidR="00742B97" w:rsidRPr="004F51D2">
              <w:rPr>
                <w:rFonts w:asciiTheme="majorBidi" w:hAnsiTheme="majorBidi" w:cstheme="majorBidi"/>
                <w:color w:val="000000"/>
                <w:sz w:val="18"/>
                <w:szCs w:val="18"/>
              </w:rPr>
              <w:t>3</w:t>
            </w:r>
          </w:p>
        </w:tc>
        <w:tc>
          <w:tcPr>
            <w:tcW w:w="1051" w:type="dxa"/>
            <w:vAlign w:val="center"/>
          </w:tcPr>
          <w:p w14:paraId="2AB90DC5" w14:textId="6F4BBAB2" w:rsidR="00FE6B3F" w:rsidRPr="004F51D2" w:rsidRDefault="005D078C" w:rsidP="00742B97">
            <w:pPr>
              <w:bidi w:val="0"/>
              <w:jc w:val="center"/>
              <w:rPr>
                <w:rFonts w:asciiTheme="majorBidi" w:eastAsia="Calibri" w:hAnsiTheme="majorBidi" w:cstheme="majorBidi"/>
                <w:color w:val="000000" w:themeColor="text1"/>
                <w:sz w:val="18"/>
                <w:szCs w:val="18"/>
              </w:rPr>
            </w:pPr>
            <w:r w:rsidRPr="004F51D2">
              <w:rPr>
                <w:rFonts w:asciiTheme="majorBidi" w:hAnsiTheme="majorBidi" w:cstheme="majorBidi"/>
                <w:color w:val="000000"/>
                <w:sz w:val="18"/>
                <w:szCs w:val="18"/>
              </w:rPr>
              <w:t>0</w:t>
            </w:r>
            <w:r w:rsidR="00FE6B3F" w:rsidRPr="004F51D2">
              <w:rPr>
                <w:rFonts w:asciiTheme="majorBidi" w:hAnsiTheme="majorBidi" w:cstheme="majorBidi"/>
                <w:color w:val="000000"/>
                <w:sz w:val="18"/>
                <w:szCs w:val="18"/>
              </w:rPr>
              <w:t>.30</w:t>
            </w:r>
            <w:r w:rsidR="00742B97" w:rsidRPr="004F51D2">
              <w:rPr>
                <w:rFonts w:asciiTheme="majorBidi" w:hAnsiTheme="majorBidi" w:cstheme="majorBidi"/>
                <w:color w:val="000000"/>
                <w:sz w:val="18"/>
                <w:szCs w:val="18"/>
              </w:rPr>
              <w:t>7</w:t>
            </w:r>
          </w:p>
        </w:tc>
        <w:tc>
          <w:tcPr>
            <w:tcW w:w="1268" w:type="dxa"/>
          </w:tcPr>
          <w:p w14:paraId="185214F6" w14:textId="77777777" w:rsidR="00FE6B3F" w:rsidRPr="004F51D2" w:rsidRDefault="00FE6B3F" w:rsidP="00FE6B3F">
            <w:pPr>
              <w:bidi w:val="0"/>
              <w:jc w:val="center"/>
              <w:rPr>
                <w:rFonts w:ascii="Times New Roman" w:eastAsia="Calibri" w:hAnsi="Times New Roman" w:cs="Times New Roman"/>
                <w:color w:val="000000" w:themeColor="text1"/>
                <w:sz w:val="18"/>
                <w:szCs w:val="18"/>
                <w:rtl/>
              </w:rPr>
            </w:pPr>
          </w:p>
        </w:tc>
        <w:tc>
          <w:tcPr>
            <w:tcW w:w="1694" w:type="dxa"/>
          </w:tcPr>
          <w:p w14:paraId="1FFAE568" w14:textId="72FC7F74" w:rsidR="00FE6B3F" w:rsidRPr="004F51D2" w:rsidRDefault="00FE6B3F" w:rsidP="00FE6B3F">
            <w:pPr>
              <w:bidi w:val="0"/>
              <w:rPr>
                <w:rFonts w:ascii="Times New Roman" w:eastAsia="Calibri" w:hAnsi="Times New Roman" w:cs="Times New Roman"/>
                <w:color w:val="000000" w:themeColor="text1"/>
                <w:sz w:val="18"/>
                <w:szCs w:val="18"/>
              </w:rPr>
            </w:pPr>
            <w:r w:rsidRPr="004F51D2">
              <w:rPr>
                <w:rFonts w:ascii="Times New Roman" w:hAnsi="Times New Roman" w:cs="Times New Roman"/>
                <w:color w:val="000000" w:themeColor="text1"/>
                <w:sz w:val="18"/>
                <w:szCs w:val="18"/>
              </w:rPr>
              <w:t>VGCS</w:t>
            </w:r>
          </w:p>
        </w:tc>
        <w:tc>
          <w:tcPr>
            <w:tcW w:w="985" w:type="dxa"/>
          </w:tcPr>
          <w:p w14:paraId="773F778E" w14:textId="77777777" w:rsidR="00FE6B3F" w:rsidRPr="004F51D2" w:rsidRDefault="00FE6B3F" w:rsidP="00FE6B3F">
            <w:pPr>
              <w:bidi w:val="0"/>
              <w:jc w:val="center"/>
              <w:rPr>
                <w:rFonts w:ascii="Times New Roman" w:eastAsia="Calibri" w:hAnsi="Times New Roman" w:cs="Times New Roman"/>
                <w:color w:val="000000" w:themeColor="text1"/>
                <w:sz w:val="18"/>
                <w:szCs w:val="18"/>
                <w:rtl/>
              </w:rPr>
            </w:pPr>
          </w:p>
        </w:tc>
      </w:tr>
      <w:tr w:rsidR="00FE6B3F" w:rsidRPr="004F51D2" w14:paraId="38642E91" w14:textId="77777777" w:rsidTr="005D078C">
        <w:tc>
          <w:tcPr>
            <w:tcW w:w="1172" w:type="dxa"/>
            <w:tcBorders>
              <w:bottom w:val="single" w:sz="4" w:space="0" w:color="auto"/>
            </w:tcBorders>
            <w:vAlign w:val="center"/>
          </w:tcPr>
          <w:p w14:paraId="5BAC40B1" w14:textId="4CD28EA4" w:rsidR="00FE6B3F" w:rsidRPr="004F51D2" w:rsidRDefault="00FE6B3F" w:rsidP="00D60E0E">
            <w:pPr>
              <w:bidi w:val="0"/>
              <w:jc w:val="center"/>
              <w:rPr>
                <w:rFonts w:asciiTheme="majorBidi" w:eastAsia="Calibri" w:hAnsiTheme="majorBidi" w:cstheme="majorBidi"/>
                <w:color w:val="000000" w:themeColor="text1"/>
                <w:sz w:val="18"/>
                <w:szCs w:val="18"/>
              </w:rPr>
            </w:pPr>
            <w:r w:rsidRPr="004F51D2">
              <w:rPr>
                <w:rFonts w:asciiTheme="majorBidi" w:hAnsiTheme="majorBidi" w:cstheme="majorBidi"/>
                <w:color w:val="000000"/>
                <w:sz w:val="18"/>
                <w:szCs w:val="18"/>
              </w:rPr>
              <w:t>1.57</w:t>
            </w:r>
            <w:r w:rsidR="00D60E0E" w:rsidRPr="004F51D2">
              <w:rPr>
                <w:rFonts w:asciiTheme="majorBidi" w:hAnsiTheme="majorBidi" w:cstheme="majorBidi"/>
                <w:color w:val="000000"/>
                <w:sz w:val="18"/>
                <w:szCs w:val="18"/>
              </w:rPr>
              <w:t>7</w:t>
            </w:r>
          </w:p>
        </w:tc>
        <w:tc>
          <w:tcPr>
            <w:tcW w:w="1096" w:type="dxa"/>
            <w:tcBorders>
              <w:bottom w:val="single" w:sz="4" w:space="0" w:color="auto"/>
            </w:tcBorders>
            <w:vAlign w:val="center"/>
          </w:tcPr>
          <w:p w14:paraId="7A3AB199" w14:textId="5C3E8264" w:rsidR="00FE6B3F" w:rsidRPr="004F51D2" w:rsidRDefault="005D078C" w:rsidP="00D60E0E">
            <w:pPr>
              <w:bidi w:val="0"/>
              <w:jc w:val="center"/>
              <w:rPr>
                <w:rFonts w:asciiTheme="majorBidi" w:eastAsia="Calibri" w:hAnsiTheme="majorBidi" w:cstheme="majorBidi"/>
                <w:color w:val="000000" w:themeColor="text1"/>
                <w:sz w:val="18"/>
                <w:szCs w:val="18"/>
              </w:rPr>
            </w:pPr>
            <w:r w:rsidRPr="004F51D2">
              <w:rPr>
                <w:rFonts w:asciiTheme="majorBidi" w:hAnsiTheme="majorBidi" w:cstheme="majorBidi"/>
                <w:color w:val="000000"/>
                <w:sz w:val="18"/>
                <w:szCs w:val="18"/>
              </w:rPr>
              <w:t>0</w:t>
            </w:r>
            <w:r w:rsidR="00FE6B3F" w:rsidRPr="004F51D2">
              <w:rPr>
                <w:rFonts w:asciiTheme="majorBidi" w:hAnsiTheme="majorBidi" w:cstheme="majorBidi"/>
                <w:color w:val="000000"/>
                <w:sz w:val="18"/>
                <w:szCs w:val="18"/>
              </w:rPr>
              <w:t>.63</w:t>
            </w:r>
            <w:r w:rsidR="00D60E0E" w:rsidRPr="004F51D2">
              <w:rPr>
                <w:rFonts w:asciiTheme="majorBidi" w:hAnsiTheme="majorBidi" w:cstheme="majorBidi"/>
                <w:color w:val="000000"/>
                <w:sz w:val="18"/>
                <w:szCs w:val="18"/>
              </w:rPr>
              <w:t>7</w:t>
            </w:r>
          </w:p>
        </w:tc>
        <w:tc>
          <w:tcPr>
            <w:tcW w:w="879" w:type="dxa"/>
            <w:tcBorders>
              <w:bottom w:val="single" w:sz="4" w:space="0" w:color="auto"/>
            </w:tcBorders>
            <w:vAlign w:val="center"/>
          </w:tcPr>
          <w:p w14:paraId="38BC2F9F" w14:textId="71D82116" w:rsidR="00FE6B3F" w:rsidRPr="004F51D2" w:rsidRDefault="005D078C" w:rsidP="00D60E0E">
            <w:pPr>
              <w:bidi w:val="0"/>
              <w:jc w:val="center"/>
              <w:rPr>
                <w:rFonts w:asciiTheme="majorBidi" w:eastAsia="Calibri" w:hAnsiTheme="majorBidi" w:cstheme="majorBidi"/>
                <w:color w:val="000000" w:themeColor="text1"/>
                <w:sz w:val="18"/>
                <w:szCs w:val="18"/>
              </w:rPr>
            </w:pPr>
            <w:r w:rsidRPr="004F51D2">
              <w:rPr>
                <w:rFonts w:asciiTheme="majorBidi" w:hAnsiTheme="majorBidi" w:cstheme="majorBidi"/>
                <w:color w:val="000000"/>
                <w:sz w:val="18"/>
                <w:szCs w:val="18"/>
              </w:rPr>
              <w:t>0</w:t>
            </w:r>
            <w:r w:rsidR="00FE6B3F" w:rsidRPr="004F51D2">
              <w:rPr>
                <w:rFonts w:asciiTheme="majorBidi" w:hAnsiTheme="majorBidi" w:cstheme="majorBidi"/>
                <w:color w:val="000000"/>
                <w:sz w:val="18"/>
                <w:szCs w:val="18"/>
              </w:rPr>
              <w:t>.02</w:t>
            </w:r>
            <w:r w:rsidR="00D60E0E" w:rsidRPr="004F51D2">
              <w:rPr>
                <w:rFonts w:asciiTheme="majorBidi" w:hAnsiTheme="majorBidi" w:cstheme="majorBidi"/>
                <w:color w:val="000000"/>
                <w:sz w:val="18"/>
                <w:szCs w:val="18"/>
              </w:rPr>
              <w:t>9</w:t>
            </w:r>
          </w:p>
        </w:tc>
        <w:tc>
          <w:tcPr>
            <w:tcW w:w="881" w:type="dxa"/>
            <w:tcBorders>
              <w:bottom w:val="single" w:sz="4" w:space="0" w:color="auto"/>
            </w:tcBorders>
            <w:vAlign w:val="center"/>
          </w:tcPr>
          <w:p w14:paraId="267BB61D" w14:textId="59F3AC86" w:rsidR="00FE6B3F" w:rsidRPr="004F51D2" w:rsidRDefault="00FE6B3F" w:rsidP="00D60E0E">
            <w:pPr>
              <w:bidi w:val="0"/>
              <w:jc w:val="center"/>
              <w:rPr>
                <w:rFonts w:asciiTheme="majorBidi" w:eastAsia="Calibri" w:hAnsiTheme="majorBidi" w:cstheme="majorBidi"/>
                <w:color w:val="000000" w:themeColor="text1"/>
                <w:sz w:val="18"/>
                <w:szCs w:val="18"/>
              </w:rPr>
            </w:pPr>
            <w:r w:rsidRPr="004F51D2">
              <w:rPr>
                <w:rFonts w:asciiTheme="majorBidi" w:hAnsiTheme="majorBidi" w:cstheme="majorBidi"/>
                <w:color w:val="000000"/>
                <w:sz w:val="18"/>
                <w:szCs w:val="18"/>
              </w:rPr>
              <w:t>2.20</w:t>
            </w:r>
            <w:r w:rsidR="00D60E0E" w:rsidRPr="004F51D2">
              <w:rPr>
                <w:rFonts w:asciiTheme="majorBidi" w:hAnsiTheme="majorBidi" w:cstheme="majorBidi"/>
                <w:color w:val="000000"/>
                <w:sz w:val="18"/>
                <w:szCs w:val="18"/>
              </w:rPr>
              <w:t>7</w:t>
            </w:r>
          </w:p>
        </w:tc>
        <w:tc>
          <w:tcPr>
            <w:tcW w:w="1051" w:type="dxa"/>
            <w:tcBorders>
              <w:bottom w:val="single" w:sz="4" w:space="0" w:color="auto"/>
            </w:tcBorders>
            <w:vAlign w:val="center"/>
          </w:tcPr>
          <w:p w14:paraId="730637B8" w14:textId="6CAD1EFB" w:rsidR="00FE6B3F" w:rsidRPr="004F51D2" w:rsidRDefault="005D078C" w:rsidP="00742B97">
            <w:pPr>
              <w:bidi w:val="0"/>
              <w:jc w:val="center"/>
              <w:rPr>
                <w:rFonts w:asciiTheme="majorBidi" w:eastAsia="Calibri" w:hAnsiTheme="majorBidi" w:cstheme="majorBidi"/>
                <w:color w:val="000000" w:themeColor="text1"/>
                <w:sz w:val="18"/>
                <w:szCs w:val="18"/>
              </w:rPr>
            </w:pPr>
            <w:r w:rsidRPr="004F51D2">
              <w:rPr>
                <w:rFonts w:asciiTheme="majorBidi" w:hAnsiTheme="majorBidi" w:cstheme="majorBidi"/>
                <w:color w:val="000000"/>
                <w:sz w:val="18"/>
                <w:szCs w:val="18"/>
              </w:rPr>
              <w:t>0</w:t>
            </w:r>
            <w:r w:rsidR="00FE6B3F" w:rsidRPr="004F51D2">
              <w:rPr>
                <w:rFonts w:asciiTheme="majorBidi" w:hAnsiTheme="majorBidi" w:cstheme="majorBidi"/>
                <w:color w:val="000000"/>
                <w:sz w:val="18"/>
                <w:szCs w:val="18"/>
              </w:rPr>
              <w:t>.08</w:t>
            </w:r>
            <w:r w:rsidR="00742B97" w:rsidRPr="004F51D2">
              <w:rPr>
                <w:rFonts w:asciiTheme="majorBidi" w:hAnsiTheme="majorBidi" w:cstheme="majorBidi"/>
                <w:color w:val="000000"/>
                <w:sz w:val="18"/>
                <w:szCs w:val="18"/>
              </w:rPr>
              <w:t>8</w:t>
            </w:r>
          </w:p>
        </w:tc>
        <w:tc>
          <w:tcPr>
            <w:tcW w:w="1268" w:type="dxa"/>
            <w:tcBorders>
              <w:bottom w:val="single" w:sz="4" w:space="0" w:color="auto"/>
            </w:tcBorders>
          </w:tcPr>
          <w:p w14:paraId="50948F18" w14:textId="77777777" w:rsidR="00FE6B3F" w:rsidRPr="004F51D2" w:rsidRDefault="00FE6B3F" w:rsidP="00FE6B3F">
            <w:pPr>
              <w:bidi w:val="0"/>
              <w:jc w:val="center"/>
              <w:rPr>
                <w:rFonts w:ascii="Times New Roman" w:eastAsia="Calibri" w:hAnsi="Times New Roman" w:cs="Times New Roman"/>
                <w:color w:val="000000" w:themeColor="text1"/>
                <w:sz w:val="18"/>
                <w:szCs w:val="18"/>
                <w:rtl/>
              </w:rPr>
            </w:pPr>
          </w:p>
        </w:tc>
        <w:tc>
          <w:tcPr>
            <w:tcW w:w="1694" w:type="dxa"/>
            <w:tcBorders>
              <w:bottom w:val="single" w:sz="4" w:space="0" w:color="auto"/>
            </w:tcBorders>
          </w:tcPr>
          <w:p w14:paraId="6E42724B" w14:textId="54D3A42E" w:rsidR="00FE6B3F" w:rsidRPr="004F51D2" w:rsidRDefault="00FE6B3F" w:rsidP="00FE6B3F">
            <w:pPr>
              <w:bidi w:val="0"/>
              <w:rPr>
                <w:rFonts w:ascii="Times New Roman" w:eastAsia="Calibri" w:hAnsi="Times New Roman" w:cs="Times New Roman"/>
                <w:color w:val="000000" w:themeColor="text1"/>
                <w:sz w:val="18"/>
                <w:szCs w:val="18"/>
              </w:rPr>
            </w:pPr>
            <w:r w:rsidRPr="004F51D2">
              <w:rPr>
                <w:rFonts w:ascii="Times New Roman" w:hAnsi="Times New Roman" w:cs="Times New Roman"/>
                <w:color w:val="000000" w:themeColor="text1"/>
                <w:sz w:val="18"/>
                <w:szCs w:val="18"/>
              </w:rPr>
              <w:t>MOGQ</w:t>
            </w:r>
          </w:p>
        </w:tc>
        <w:tc>
          <w:tcPr>
            <w:tcW w:w="985" w:type="dxa"/>
            <w:tcBorders>
              <w:bottom w:val="single" w:sz="4" w:space="0" w:color="auto"/>
            </w:tcBorders>
          </w:tcPr>
          <w:p w14:paraId="06279AA4" w14:textId="77777777" w:rsidR="00FE6B3F" w:rsidRPr="004F51D2" w:rsidRDefault="00FE6B3F" w:rsidP="00FE6B3F">
            <w:pPr>
              <w:bidi w:val="0"/>
              <w:jc w:val="center"/>
              <w:rPr>
                <w:rFonts w:ascii="Times New Roman" w:eastAsia="Calibri" w:hAnsi="Times New Roman" w:cs="Times New Roman"/>
                <w:color w:val="000000" w:themeColor="text1"/>
                <w:sz w:val="18"/>
                <w:szCs w:val="18"/>
                <w:rtl/>
              </w:rPr>
            </w:pPr>
          </w:p>
        </w:tc>
      </w:tr>
      <w:tr w:rsidR="00803207" w:rsidRPr="004F51D2" w14:paraId="73E96E1B" w14:textId="77777777" w:rsidTr="00C42534">
        <w:tc>
          <w:tcPr>
            <w:tcW w:w="1172" w:type="dxa"/>
            <w:tcBorders>
              <w:top w:val="single" w:sz="4" w:space="0" w:color="auto"/>
            </w:tcBorders>
          </w:tcPr>
          <w:p w14:paraId="765B31DC" w14:textId="77777777" w:rsidR="00803207" w:rsidRPr="004F51D2" w:rsidRDefault="00803207" w:rsidP="00DC18BE">
            <w:pPr>
              <w:bidi w:val="0"/>
              <w:jc w:val="center"/>
              <w:rPr>
                <w:rFonts w:asciiTheme="majorBidi" w:eastAsia="Calibri" w:hAnsiTheme="majorBidi" w:cstheme="majorBidi"/>
                <w:color w:val="000000" w:themeColor="text1"/>
                <w:sz w:val="18"/>
                <w:szCs w:val="18"/>
              </w:rPr>
            </w:pPr>
          </w:p>
        </w:tc>
        <w:tc>
          <w:tcPr>
            <w:tcW w:w="1096" w:type="dxa"/>
            <w:tcBorders>
              <w:top w:val="single" w:sz="4" w:space="0" w:color="auto"/>
            </w:tcBorders>
          </w:tcPr>
          <w:p w14:paraId="2394C62D" w14:textId="77777777" w:rsidR="00803207" w:rsidRPr="004F51D2" w:rsidRDefault="00803207" w:rsidP="00DC18BE">
            <w:pPr>
              <w:bidi w:val="0"/>
              <w:jc w:val="center"/>
              <w:rPr>
                <w:rFonts w:asciiTheme="majorBidi" w:eastAsia="Calibri" w:hAnsiTheme="majorBidi" w:cstheme="majorBidi"/>
                <w:color w:val="000000" w:themeColor="text1"/>
                <w:sz w:val="18"/>
                <w:szCs w:val="18"/>
              </w:rPr>
            </w:pPr>
          </w:p>
        </w:tc>
        <w:tc>
          <w:tcPr>
            <w:tcW w:w="879" w:type="dxa"/>
            <w:tcBorders>
              <w:top w:val="single" w:sz="4" w:space="0" w:color="auto"/>
            </w:tcBorders>
          </w:tcPr>
          <w:p w14:paraId="1D836C90" w14:textId="77777777" w:rsidR="00803207" w:rsidRPr="004F51D2" w:rsidRDefault="00803207" w:rsidP="00DC18BE">
            <w:pPr>
              <w:bidi w:val="0"/>
              <w:jc w:val="center"/>
              <w:rPr>
                <w:rFonts w:asciiTheme="majorBidi" w:eastAsia="Calibri" w:hAnsiTheme="majorBidi" w:cstheme="majorBidi"/>
                <w:color w:val="000000" w:themeColor="text1"/>
                <w:sz w:val="18"/>
                <w:szCs w:val="18"/>
              </w:rPr>
            </w:pPr>
          </w:p>
        </w:tc>
        <w:tc>
          <w:tcPr>
            <w:tcW w:w="881" w:type="dxa"/>
            <w:tcBorders>
              <w:top w:val="single" w:sz="4" w:space="0" w:color="auto"/>
            </w:tcBorders>
          </w:tcPr>
          <w:p w14:paraId="55E89D56" w14:textId="77777777" w:rsidR="00803207" w:rsidRPr="004F51D2" w:rsidRDefault="00803207" w:rsidP="00DC18BE">
            <w:pPr>
              <w:bidi w:val="0"/>
              <w:jc w:val="center"/>
              <w:rPr>
                <w:rFonts w:asciiTheme="majorBidi" w:eastAsia="Calibri" w:hAnsiTheme="majorBidi" w:cstheme="majorBidi"/>
                <w:color w:val="000000" w:themeColor="text1"/>
                <w:sz w:val="18"/>
                <w:szCs w:val="18"/>
              </w:rPr>
            </w:pPr>
          </w:p>
        </w:tc>
        <w:tc>
          <w:tcPr>
            <w:tcW w:w="1051" w:type="dxa"/>
            <w:tcBorders>
              <w:top w:val="single" w:sz="4" w:space="0" w:color="auto"/>
            </w:tcBorders>
          </w:tcPr>
          <w:p w14:paraId="57E8E1F4" w14:textId="77777777" w:rsidR="00803207" w:rsidRPr="004F51D2" w:rsidRDefault="00803207" w:rsidP="00DC18BE">
            <w:pPr>
              <w:bidi w:val="0"/>
              <w:jc w:val="center"/>
              <w:rPr>
                <w:rFonts w:asciiTheme="majorBidi" w:eastAsia="Calibri" w:hAnsiTheme="majorBidi" w:cstheme="majorBidi"/>
                <w:color w:val="000000" w:themeColor="text1"/>
                <w:sz w:val="18"/>
                <w:szCs w:val="18"/>
              </w:rPr>
            </w:pPr>
          </w:p>
        </w:tc>
        <w:tc>
          <w:tcPr>
            <w:tcW w:w="1268" w:type="dxa"/>
            <w:tcBorders>
              <w:top w:val="single" w:sz="4" w:space="0" w:color="auto"/>
            </w:tcBorders>
          </w:tcPr>
          <w:p w14:paraId="1C313532" w14:textId="50862713" w:rsidR="00803207" w:rsidRPr="004F51D2" w:rsidRDefault="00CD12F6" w:rsidP="00D60E0E">
            <w:pPr>
              <w:bidi w:val="0"/>
              <w:jc w:val="center"/>
              <w:rPr>
                <w:rFonts w:ascii="Times New Roman" w:eastAsia="Calibri" w:hAnsi="Times New Roman" w:cs="Times New Roman"/>
                <w:color w:val="000000" w:themeColor="text1"/>
                <w:sz w:val="18"/>
                <w:szCs w:val="18"/>
                <w:rtl/>
              </w:rPr>
            </w:pPr>
            <w:r w:rsidRPr="004F51D2">
              <w:rPr>
                <w:rFonts w:ascii="Times New Roman" w:eastAsia="Calibri" w:hAnsi="Times New Roman" w:cs="Times New Roman"/>
                <w:color w:val="000000" w:themeColor="text1"/>
                <w:sz w:val="18"/>
                <w:szCs w:val="18"/>
              </w:rPr>
              <w:t>0.33</w:t>
            </w:r>
            <w:r w:rsidR="00D60E0E" w:rsidRPr="004F51D2">
              <w:rPr>
                <w:rFonts w:ascii="Times New Roman" w:eastAsia="Calibri" w:hAnsi="Times New Roman" w:cs="Times New Roman"/>
                <w:color w:val="000000" w:themeColor="text1"/>
                <w:sz w:val="18"/>
                <w:szCs w:val="18"/>
              </w:rPr>
              <w:t>9</w:t>
            </w:r>
            <w:r w:rsidRPr="004F51D2">
              <w:rPr>
                <w:rFonts w:ascii="Times New Roman" w:eastAsia="Calibri" w:hAnsi="Times New Roman" w:cs="Times New Roman"/>
                <w:color w:val="000000" w:themeColor="text1"/>
                <w:sz w:val="18"/>
                <w:szCs w:val="18"/>
              </w:rPr>
              <w:t>**</w:t>
            </w:r>
          </w:p>
        </w:tc>
        <w:tc>
          <w:tcPr>
            <w:tcW w:w="1694" w:type="dxa"/>
            <w:tcBorders>
              <w:top w:val="single" w:sz="4" w:space="0" w:color="auto"/>
            </w:tcBorders>
          </w:tcPr>
          <w:p w14:paraId="26D273B1" w14:textId="77777777" w:rsidR="00803207" w:rsidRPr="004F51D2" w:rsidRDefault="00803207" w:rsidP="00DC18BE">
            <w:pPr>
              <w:bidi w:val="0"/>
              <w:jc w:val="center"/>
              <w:rPr>
                <w:rFonts w:ascii="Times New Roman" w:eastAsia="Calibri" w:hAnsi="Times New Roman" w:cs="Times New Roman"/>
                <w:color w:val="000000" w:themeColor="text1"/>
                <w:sz w:val="18"/>
                <w:szCs w:val="18"/>
              </w:rPr>
            </w:pPr>
          </w:p>
        </w:tc>
        <w:tc>
          <w:tcPr>
            <w:tcW w:w="985" w:type="dxa"/>
            <w:tcBorders>
              <w:top w:val="single" w:sz="4" w:space="0" w:color="auto"/>
            </w:tcBorders>
          </w:tcPr>
          <w:p w14:paraId="72AD0D70" w14:textId="77777777" w:rsidR="00803207" w:rsidRPr="004F51D2" w:rsidRDefault="00803207" w:rsidP="00DC18BE">
            <w:pPr>
              <w:bidi w:val="0"/>
              <w:jc w:val="center"/>
              <w:rPr>
                <w:rFonts w:ascii="Times New Roman" w:eastAsia="Calibri" w:hAnsi="Times New Roman" w:cs="Times New Roman"/>
                <w:color w:val="000000" w:themeColor="text1"/>
                <w:sz w:val="18"/>
                <w:szCs w:val="18"/>
                <w:rtl/>
              </w:rPr>
            </w:pPr>
          </w:p>
        </w:tc>
      </w:tr>
      <w:tr w:rsidR="00395F85" w:rsidRPr="004F51D2" w14:paraId="18CFD638" w14:textId="77777777" w:rsidTr="005D078C">
        <w:tc>
          <w:tcPr>
            <w:tcW w:w="1172" w:type="dxa"/>
            <w:vAlign w:val="center"/>
          </w:tcPr>
          <w:p w14:paraId="5D31FBB7" w14:textId="7AB7C0FF" w:rsidR="00395F85" w:rsidRPr="004F51D2" w:rsidRDefault="00395F85" w:rsidP="00395F85">
            <w:pPr>
              <w:bidi w:val="0"/>
              <w:jc w:val="center"/>
              <w:rPr>
                <w:rFonts w:asciiTheme="majorBidi" w:eastAsia="Calibri" w:hAnsiTheme="majorBidi" w:cstheme="majorBidi"/>
                <w:color w:val="000000" w:themeColor="text1"/>
                <w:sz w:val="18"/>
                <w:szCs w:val="18"/>
              </w:rPr>
            </w:pPr>
            <w:r w:rsidRPr="004F51D2">
              <w:rPr>
                <w:rFonts w:asciiTheme="majorBidi" w:hAnsiTheme="majorBidi" w:cstheme="majorBidi"/>
                <w:color w:val="000000"/>
                <w:sz w:val="18"/>
                <w:szCs w:val="18"/>
              </w:rPr>
              <w:t>1.117</w:t>
            </w:r>
          </w:p>
        </w:tc>
        <w:tc>
          <w:tcPr>
            <w:tcW w:w="1096" w:type="dxa"/>
            <w:vAlign w:val="center"/>
          </w:tcPr>
          <w:p w14:paraId="619289B3" w14:textId="744230A9" w:rsidR="00395F85" w:rsidRPr="004F51D2" w:rsidRDefault="00395F85" w:rsidP="00395F85">
            <w:pPr>
              <w:bidi w:val="0"/>
              <w:jc w:val="center"/>
              <w:rPr>
                <w:rFonts w:asciiTheme="majorBidi" w:eastAsia="Calibri" w:hAnsiTheme="majorBidi" w:cstheme="majorBidi"/>
                <w:color w:val="000000" w:themeColor="text1"/>
                <w:sz w:val="18"/>
                <w:szCs w:val="18"/>
              </w:rPr>
            </w:pPr>
            <w:r w:rsidRPr="004F51D2">
              <w:rPr>
                <w:rFonts w:asciiTheme="majorBidi" w:hAnsiTheme="majorBidi" w:cstheme="majorBidi"/>
                <w:color w:val="000000"/>
                <w:sz w:val="18"/>
                <w:szCs w:val="18"/>
              </w:rPr>
              <w:t>0.893</w:t>
            </w:r>
          </w:p>
        </w:tc>
        <w:tc>
          <w:tcPr>
            <w:tcW w:w="879" w:type="dxa"/>
            <w:vAlign w:val="center"/>
          </w:tcPr>
          <w:p w14:paraId="4DB97949" w14:textId="53FEA1D4" w:rsidR="00395F85" w:rsidRPr="004F51D2" w:rsidRDefault="00395F85" w:rsidP="00395F85">
            <w:pPr>
              <w:bidi w:val="0"/>
              <w:jc w:val="center"/>
              <w:rPr>
                <w:rFonts w:asciiTheme="majorBidi" w:eastAsia="Calibri" w:hAnsiTheme="majorBidi" w:cstheme="majorBidi"/>
                <w:color w:val="000000" w:themeColor="text1"/>
                <w:sz w:val="18"/>
                <w:szCs w:val="18"/>
              </w:rPr>
            </w:pPr>
            <w:r w:rsidRPr="004F51D2">
              <w:rPr>
                <w:rFonts w:asciiTheme="majorBidi" w:hAnsiTheme="majorBidi" w:cstheme="majorBidi"/>
                <w:color w:val="000000"/>
                <w:sz w:val="18"/>
                <w:szCs w:val="18"/>
              </w:rPr>
              <w:t>0.593</w:t>
            </w:r>
          </w:p>
        </w:tc>
        <w:tc>
          <w:tcPr>
            <w:tcW w:w="881" w:type="dxa"/>
            <w:vAlign w:val="center"/>
          </w:tcPr>
          <w:p w14:paraId="5F6EB684" w14:textId="4B831421" w:rsidR="00395F85" w:rsidRPr="004F51D2" w:rsidRDefault="00395F85" w:rsidP="00395F85">
            <w:pPr>
              <w:bidi w:val="0"/>
              <w:jc w:val="center"/>
              <w:rPr>
                <w:rFonts w:asciiTheme="majorBidi" w:eastAsia="Calibri" w:hAnsiTheme="majorBidi" w:cstheme="majorBidi"/>
                <w:color w:val="000000" w:themeColor="text1"/>
                <w:sz w:val="18"/>
                <w:szCs w:val="18"/>
              </w:rPr>
            </w:pPr>
            <w:r w:rsidRPr="004F51D2">
              <w:rPr>
                <w:rFonts w:asciiTheme="majorBidi" w:hAnsiTheme="majorBidi" w:cstheme="majorBidi"/>
                <w:color w:val="000000"/>
                <w:sz w:val="18"/>
                <w:szCs w:val="18"/>
              </w:rPr>
              <w:t>-0.524</w:t>
            </w:r>
          </w:p>
        </w:tc>
        <w:tc>
          <w:tcPr>
            <w:tcW w:w="1051" w:type="dxa"/>
            <w:vAlign w:val="center"/>
          </w:tcPr>
          <w:p w14:paraId="355CCD5B" w14:textId="36213869" w:rsidR="00395F85" w:rsidRPr="004F51D2" w:rsidRDefault="00395F85" w:rsidP="00395F85">
            <w:pPr>
              <w:bidi w:val="0"/>
              <w:jc w:val="center"/>
              <w:rPr>
                <w:rFonts w:asciiTheme="majorBidi" w:eastAsia="Calibri" w:hAnsiTheme="majorBidi" w:cstheme="majorBidi"/>
                <w:color w:val="000000" w:themeColor="text1"/>
                <w:sz w:val="18"/>
                <w:szCs w:val="18"/>
              </w:rPr>
            </w:pPr>
            <w:r w:rsidRPr="004F51D2">
              <w:rPr>
                <w:rFonts w:asciiTheme="majorBidi" w:hAnsiTheme="majorBidi" w:cstheme="majorBidi"/>
                <w:color w:val="000000"/>
                <w:sz w:val="18"/>
                <w:szCs w:val="18"/>
              </w:rPr>
              <w:t>-0.017</w:t>
            </w:r>
          </w:p>
        </w:tc>
        <w:tc>
          <w:tcPr>
            <w:tcW w:w="1268" w:type="dxa"/>
          </w:tcPr>
          <w:p w14:paraId="443EE903" w14:textId="77777777" w:rsidR="00395F85" w:rsidRPr="004F51D2" w:rsidRDefault="00395F85" w:rsidP="00395F85">
            <w:pPr>
              <w:bidi w:val="0"/>
              <w:jc w:val="center"/>
              <w:rPr>
                <w:rFonts w:ascii="Times New Roman" w:eastAsia="Calibri" w:hAnsi="Times New Roman" w:cs="Times New Roman"/>
                <w:color w:val="000000" w:themeColor="text1"/>
                <w:sz w:val="18"/>
                <w:szCs w:val="18"/>
                <w:rtl/>
              </w:rPr>
            </w:pPr>
          </w:p>
        </w:tc>
        <w:tc>
          <w:tcPr>
            <w:tcW w:w="1694" w:type="dxa"/>
          </w:tcPr>
          <w:p w14:paraId="3C7DE079" w14:textId="460B2610" w:rsidR="00395F85" w:rsidRPr="004F51D2" w:rsidRDefault="00395F85" w:rsidP="00395F85">
            <w:pPr>
              <w:bidi w:val="0"/>
              <w:rPr>
                <w:rFonts w:ascii="Times New Roman" w:eastAsia="Calibri" w:hAnsi="Times New Roman" w:cs="Times New Roman"/>
                <w:color w:val="000000" w:themeColor="text1"/>
                <w:sz w:val="18"/>
                <w:szCs w:val="18"/>
              </w:rPr>
            </w:pPr>
            <w:r w:rsidRPr="004F51D2">
              <w:rPr>
                <w:rFonts w:ascii="Times New Roman" w:hAnsi="Times New Roman" w:cs="Times New Roman"/>
                <w:color w:val="000000" w:themeColor="text1"/>
                <w:sz w:val="18"/>
                <w:szCs w:val="18"/>
              </w:rPr>
              <w:t>BFI-E</w:t>
            </w:r>
          </w:p>
        </w:tc>
        <w:tc>
          <w:tcPr>
            <w:tcW w:w="985" w:type="dxa"/>
          </w:tcPr>
          <w:p w14:paraId="44194744" w14:textId="44B60C70" w:rsidR="00395F85" w:rsidRPr="004F51D2" w:rsidRDefault="00395F85" w:rsidP="00395F85">
            <w:pPr>
              <w:bidi w:val="0"/>
              <w:jc w:val="center"/>
              <w:rPr>
                <w:rFonts w:ascii="Times New Roman" w:eastAsia="Calibri" w:hAnsi="Times New Roman" w:cs="Times New Roman"/>
                <w:color w:val="000000" w:themeColor="text1"/>
                <w:sz w:val="18"/>
                <w:szCs w:val="18"/>
                <w:rtl/>
              </w:rPr>
            </w:pPr>
            <w:r w:rsidRPr="004F51D2">
              <w:rPr>
                <w:rFonts w:ascii="Times New Roman" w:eastAsia="Calibri" w:hAnsi="Times New Roman" w:cs="Times New Roman"/>
                <w:color w:val="000000" w:themeColor="text1"/>
                <w:sz w:val="18"/>
                <w:szCs w:val="18"/>
              </w:rPr>
              <w:t>Step 5</w:t>
            </w:r>
          </w:p>
        </w:tc>
      </w:tr>
      <w:tr w:rsidR="00395F85" w:rsidRPr="004F51D2" w14:paraId="3380D223" w14:textId="77777777" w:rsidTr="005D078C">
        <w:tc>
          <w:tcPr>
            <w:tcW w:w="1172" w:type="dxa"/>
            <w:vAlign w:val="center"/>
          </w:tcPr>
          <w:p w14:paraId="7859E600" w14:textId="56B80B8C" w:rsidR="00395F85" w:rsidRPr="004F51D2" w:rsidRDefault="00395F85" w:rsidP="00395F85">
            <w:pPr>
              <w:bidi w:val="0"/>
              <w:jc w:val="center"/>
              <w:rPr>
                <w:rFonts w:asciiTheme="majorBidi" w:eastAsia="Calibri" w:hAnsiTheme="majorBidi" w:cstheme="majorBidi"/>
                <w:color w:val="000000" w:themeColor="text1"/>
                <w:sz w:val="18"/>
                <w:szCs w:val="18"/>
              </w:rPr>
            </w:pPr>
            <w:r w:rsidRPr="004F51D2">
              <w:rPr>
                <w:rFonts w:asciiTheme="majorBidi" w:hAnsiTheme="majorBidi" w:cstheme="majorBidi"/>
                <w:color w:val="000000"/>
                <w:sz w:val="18"/>
                <w:szCs w:val="18"/>
              </w:rPr>
              <w:t>1.146</w:t>
            </w:r>
          </w:p>
        </w:tc>
        <w:tc>
          <w:tcPr>
            <w:tcW w:w="1096" w:type="dxa"/>
            <w:vAlign w:val="center"/>
          </w:tcPr>
          <w:p w14:paraId="2BD98F07" w14:textId="670170F8" w:rsidR="00395F85" w:rsidRPr="004F51D2" w:rsidRDefault="00395F85" w:rsidP="00395F85">
            <w:pPr>
              <w:bidi w:val="0"/>
              <w:jc w:val="center"/>
              <w:rPr>
                <w:rFonts w:asciiTheme="majorBidi" w:eastAsia="Calibri" w:hAnsiTheme="majorBidi" w:cstheme="majorBidi"/>
                <w:color w:val="000000" w:themeColor="text1"/>
                <w:sz w:val="18"/>
                <w:szCs w:val="18"/>
              </w:rPr>
            </w:pPr>
            <w:r w:rsidRPr="004F51D2">
              <w:rPr>
                <w:rFonts w:asciiTheme="majorBidi" w:hAnsiTheme="majorBidi" w:cstheme="majorBidi"/>
                <w:color w:val="000000"/>
                <w:sz w:val="18"/>
                <w:szCs w:val="18"/>
              </w:rPr>
              <w:t>0.871</w:t>
            </w:r>
          </w:p>
        </w:tc>
        <w:tc>
          <w:tcPr>
            <w:tcW w:w="879" w:type="dxa"/>
            <w:vAlign w:val="center"/>
          </w:tcPr>
          <w:p w14:paraId="5450D14A" w14:textId="2ADF585E" w:rsidR="00395F85" w:rsidRPr="004F51D2" w:rsidRDefault="00395F85" w:rsidP="00395F85">
            <w:pPr>
              <w:bidi w:val="0"/>
              <w:jc w:val="center"/>
              <w:rPr>
                <w:rFonts w:asciiTheme="majorBidi" w:eastAsia="Calibri" w:hAnsiTheme="majorBidi" w:cstheme="majorBidi"/>
                <w:color w:val="000000" w:themeColor="text1"/>
                <w:sz w:val="18"/>
                <w:szCs w:val="18"/>
              </w:rPr>
            </w:pPr>
            <w:r w:rsidRPr="004F51D2">
              <w:rPr>
                <w:rFonts w:asciiTheme="majorBidi" w:hAnsiTheme="majorBidi" w:cstheme="majorBidi"/>
                <w:color w:val="000000"/>
                <w:sz w:val="18"/>
                <w:szCs w:val="18"/>
              </w:rPr>
              <w:t>0.290</w:t>
            </w:r>
          </w:p>
        </w:tc>
        <w:tc>
          <w:tcPr>
            <w:tcW w:w="881" w:type="dxa"/>
            <w:vAlign w:val="center"/>
          </w:tcPr>
          <w:p w14:paraId="3B79E43E" w14:textId="10D5C54B" w:rsidR="00395F85" w:rsidRPr="004F51D2" w:rsidRDefault="00395F85" w:rsidP="00395F85">
            <w:pPr>
              <w:bidi w:val="0"/>
              <w:jc w:val="center"/>
              <w:rPr>
                <w:rFonts w:asciiTheme="majorBidi" w:eastAsia="Calibri" w:hAnsiTheme="majorBidi" w:cstheme="majorBidi"/>
                <w:color w:val="000000" w:themeColor="text1"/>
                <w:sz w:val="18"/>
                <w:szCs w:val="18"/>
              </w:rPr>
            </w:pPr>
            <w:r w:rsidRPr="004F51D2">
              <w:rPr>
                <w:rFonts w:asciiTheme="majorBidi" w:hAnsiTheme="majorBidi" w:cstheme="majorBidi"/>
                <w:color w:val="000000"/>
                <w:sz w:val="18"/>
                <w:szCs w:val="18"/>
              </w:rPr>
              <w:t>-1.011</w:t>
            </w:r>
          </w:p>
        </w:tc>
        <w:tc>
          <w:tcPr>
            <w:tcW w:w="1051" w:type="dxa"/>
            <w:vAlign w:val="center"/>
          </w:tcPr>
          <w:p w14:paraId="4E35E8A1" w14:textId="0067B680" w:rsidR="00395F85" w:rsidRPr="004F51D2" w:rsidRDefault="00395F85" w:rsidP="00395F85">
            <w:pPr>
              <w:bidi w:val="0"/>
              <w:jc w:val="center"/>
              <w:rPr>
                <w:rFonts w:asciiTheme="majorBidi" w:eastAsia="Calibri" w:hAnsiTheme="majorBidi" w:cstheme="majorBidi"/>
                <w:color w:val="000000" w:themeColor="text1"/>
                <w:sz w:val="18"/>
                <w:szCs w:val="18"/>
              </w:rPr>
            </w:pPr>
            <w:r w:rsidRPr="004F51D2">
              <w:rPr>
                <w:rFonts w:asciiTheme="majorBidi" w:hAnsiTheme="majorBidi" w:cstheme="majorBidi"/>
                <w:color w:val="000000"/>
                <w:sz w:val="18"/>
                <w:szCs w:val="18"/>
              </w:rPr>
              <w:t>-0.037</w:t>
            </w:r>
          </w:p>
        </w:tc>
        <w:tc>
          <w:tcPr>
            <w:tcW w:w="1268" w:type="dxa"/>
          </w:tcPr>
          <w:p w14:paraId="052A349F" w14:textId="77777777" w:rsidR="00395F85" w:rsidRPr="004F51D2" w:rsidRDefault="00395F85" w:rsidP="00395F85">
            <w:pPr>
              <w:bidi w:val="0"/>
              <w:jc w:val="center"/>
              <w:rPr>
                <w:rFonts w:ascii="Times New Roman" w:eastAsia="Calibri" w:hAnsi="Times New Roman" w:cs="Times New Roman"/>
                <w:color w:val="000000" w:themeColor="text1"/>
                <w:sz w:val="18"/>
                <w:szCs w:val="18"/>
                <w:rtl/>
              </w:rPr>
            </w:pPr>
          </w:p>
        </w:tc>
        <w:tc>
          <w:tcPr>
            <w:tcW w:w="1694" w:type="dxa"/>
          </w:tcPr>
          <w:p w14:paraId="3F3159DB" w14:textId="465A1708" w:rsidR="00395F85" w:rsidRPr="004F51D2" w:rsidRDefault="00395F85" w:rsidP="00395F85">
            <w:pPr>
              <w:bidi w:val="0"/>
              <w:rPr>
                <w:rFonts w:ascii="Times New Roman" w:eastAsia="Calibri" w:hAnsi="Times New Roman" w:cs="Times New Roman"/>
                <w:color w:val="000000" w:themeColor="text1"/>
                <w:sz w:val="18"/>
                <w:szCs w:val="18"/>
              </w:rPr>
            </w:pPr>
            <w:r w:rsidRPr="004F51D2">
              <w:rPr>
                <w:rFonts w:ascii="Times New Roman" w:hAnsi="Times New Roman" w:cs="Times New Roman"/>
                <w:color w:val="000000" w:themeColor="text1"/>
                <w:sz w:val="18"/>
                <w:szCs w:val="18"/>
              </w:rPr>
              <w:t>BFI-A</w:t>
            </w:r>
          </w:p>
        </w:tc>
        <w:tc>
          <w:tcPr>
            <w:tcW w:w="985" w:type="dxa"/>
          </w:tcPr>
          <w:p w14:paraId="6350F2D5" w14:textId="77777777" w:rsidR="00395F85" w:rsidRPr="004F51D2" w:rsidRDefault="00395F85" w:rsidP="00395F85">
            <w:pPr>
              <w:bidi w:val="0"/>
              <w:jc w:val="center"/>
              <w:rPr>
                <w:rFonts w:ascii="Times New Roman" w:eastAsia="Calibri" w:hAnsi="Times New Roman" w:cs="Times New Roman"/>
                <w:color w:val="000000" w:themeColor="text1"/>
                <w:sz w:val="18"/>
                <w:szCs w:val="18"/>
                <w:rtl/>
              </w:rPr>
            </w:pPr>
          </w:p>
        </w:tc>
      </w:tr>
      <w:tr w:rsidR="00395F85" w:rsidRPr="004F51D2" w14:paraId="40F91B0F" w14:textId="77777777" w:rsidTr="005D078C">
        <w:tc>
          <w:tcPr>
            <w:tcW w:w="1172" w:type="dxa"/>
            <w:vAlign w:val="center"/>
          </w:tcPr>
          <w:p w14:paraId="0AF23997" w14:textId="2680D799" w:rsidR="00395F85" w:rsidRPr="004F51D2" w:rsidRDefault="00395F85" w:rsidP="00395F85">
            <w:pPr>
              <w:bidi w:val="0"/>
              <w:jc w:val="center"/>
              <w:rPr>
                <w:rFonts w:asciiTheme="majorBidi" w:eastAsia="Calibri" w:hAnsiTheme="majorBidi" w:cstheme="majorBidi"/>
                <w:color w:val="000000" w:themeColor="text1"/>
                <w:sz w:val="18"/>
                <w:szCs w:val="18"/>
              </w:rPr>
            </w:pPr>
            <w:r w:rsidRPr="004F51D2">
              <w:rPr>
                <w:rFonts w:asciiTheme="majorBidi" w:hAnsiTheme="majorBidi" w:cstheme="majorBidi"/>
                <w:color w:val="000000"/>
                <w:sz w:val="18"/>
                <w:szCs w:val="18"/>
              </w:rPr>
              <w:t>1.040</w:t>
            </w:r>
          </w:p>
        </w:tc>
        <w:tc>
          <w:tcPr>
            <w:tcW w:w="1096" w:type="dxa"/>
            <w:vAlign w:val="center"/>
          </w:tcPr>
          <w:p w14:paraId="099800A5" w14:textId="196888C5" w:rsidR="00395F85" w:rsidRPr="004F51D2" w:rsidRDefault="00395F85" w:rsidP="00395F85">
            <w:pPr>
              <w:bidi w:val="0"/>
              <w:jc w:val="center"/>
              <w:rPr>
                <w:rFonts w:asciiTheme="majorBidi" w:eastAsia="Calibri" w:hAnsiTheme="majorBidi" w:cstheme="majorBidi"/>
                <w:color w:val="000000" w:themeColor="text1"/>
                <w:sz w:val="18"/>
                <w:szCs w:val="18"/>
              </w:rPr>
            </w:pPr>
            <w:r w:rsidRPr="004F51D2">
              <w:rPr>
                <w:rFonts w:asciiTheme="majorBidi" w:hAnsiTheme="majorBidi" w:cstheme="majorBidi"/>
                <w:color w:val="000000"/>
                <w:sz w:val="18"/>
                <w:szCs w:val="18"/>
              </w:rPr>
              <w:t>0.962</w:t>
            </w:r>
          </w:p>
        </w:tc>
        <w:tc>
          <w:tcPr>
            <w:tcW w:w="879" w:type="dxa"/>
            <w:vAlign w:val="center"/>
          </w:tcPr>
          <w:p w14:paraId="275D628E" w14:textId="712B6B4A" w:rsidR="00395F85" w:rsidRPr="004F51D2" w:rsidRDefault="00395F85" w:rsidP="00395F85">
            <w:pPr>
              <w:bidi w:val="0"/>
              <w:jc w:val="center"/>
              <w:rPr>
                <w:rFonts w:asciiTheme="majorBidi" w:eastAsia="Calibri" w:hAnsiTheme="majorBidi" w:cstheme="majorBidi"/>
                <w:color w:val="000000" w:themeColor="text1"/>
                <w:sz w:val="18"/>
                <w:szCs w:val="18"/>
              </w:rPr>
            </w:pPr>
            <w:r w:rsidRPr="004F51D2">
              <w:rPr>
                <w:rFonts w:asciiTheme="majorBidi" w:hAnsiTheme="majorBidi" w:cstheme="majorBidi"/>
                <w:color w:val="000000"/>
                <w:sz w:val="18"/>
                <w:szCs w:val="18"/>
              </w:rPr>
              <w:t>0.688</w:t>
            </w:r>
          </w:p>
        </w:tc>
        <w:tc>
          <w:tcPr>
            <w:tcW w:w="881" w:type="dxa"/>
            <w:vAlign w:val="center"/>
          </w:tcPr>
          <w:p w14:paraId="449AA64C" w14:textId="07B1D1A3" w:rsidR="00395F85" w:rsidRPr="004F51D2" w:rsidRDefault="00395F85" w:rsidP="00395F85">
            <w:pPr>
              <w:bidi w:val="0"/>
              <w:jc w:val="center"/>
              <w:rPr>
                <w:rFonts w:asciiTheme="majorBidi" w:eastAsia="Calibri" w:hAnsiTheme="majorBidi" w:cstheme="majorBidi"/>
                <w:color w:val="000000" w:themeColor="text1"/>
                <w:sz w:val="18"/>
                <w:szCs w:val="18"/>
              </w:rPr>
            </w:pPr>
            <w:r w:rsidRPr="004F51D2">
              <w:rPr>
                <w:rFonts w:asciiTheme="majorBidi" w:hAnsiTheme="majorBidi" w:cstheme="majorBidi"/>
                <w:color w:val="000000"/>
                <w:sz w:val="18"/>
                <w:szCs w:val="18"/>
              </w:rPr>
              <w:t>-0.375</w:t>
            </w:r>
          </w:p>
        </w:tc>
        <w:tc>
          <w:tcPr>
            <w:tcW w:w="1051" w:type="dxa"/>
            <w:vAlign w:val="center"/>
          </w:tcPr>
          <w:p w14:paraId="7BEA7ABC" w14:textId="5D2FB48C" w:rsidR="00395F85" w:rsidRPr="004F51D2" w:rsidRDefault="00395F85" w:rsidP="00395F85">
            <w:pPr>
              <w:bidi w:val="0"/>
              <w:jc w:val="center"/>
              <w:rPr>
                <w:rFonts w:asciiTheme="majorBidi" w:eastAsia="Calibri" w:hAnsiTheme="majorBidi" w:cstheme="majorBidi"/>
                <w:color w:val="000000" w:themeColor="text1"/>
                <w:sz w:val="18"/>
                <w:szCs w:val="18"/>
              </w:rPr>
            </w:pPr>
            <w:r w:rsidRPr="004F51D2">
              <w:rPr>
                <w:rFonts w:asciiTheme="majorBidi" w:hAnsiTheme="majorBidi" w:cstheme="majorBidi"/>
                <w:color w:val="000000"/>
                <w:sz w:val="18"/>
                <w:szCs w:val="18"/>
              </w:rPr>
              <w:t>-0.013</w:t>
            </w:r>
          </w:p>
        </w:tc>
        <w:tc>
          <w:tcPr>
            <w:tcW w:w="1268" w:type="dxa"/>
          </w:tcPr>
          <w:p w14:paraId="6D738949" w14:textId="77777777" w:rsidR="00395F85" w:rsidRPr="004F51D2" w:rsidRDefault="00395F85" w:rsidP="00395F85">
            <w:pPr>
              <w:bidi w:val="0"/>
              <w:jc w:val="center"/>
              <w:rPr>
                <w:rFonts w:ascii="Times New Roman" w:eastAsia="Calibri" w:hAnsi="Times New Roman" w:cs="Times New Roman"/>
                <w:color w:val="000000" w:themeColor="text1"/>
                <w:sz w:val="18"/>
                <w:szCs w:val="18"/>
                <w:rtl/>
              </w:rPr>
            </w:pPr>
          </w:p>
        </w:tc>
        <w:tc>
          <w:tcPr>
            <w:tcW w:w="1694" w:type="dxa"/>
          </w:tcPr>
          <w:p w14:paraId="0466B3A1" w14:textId="6C1F2EF0" w:rsidR="00395F85" w:rsidRPr="004F51D2" w:rsidRDefault="00395F85" w:rsidP="00395F85">
            <w:pPr>
              <w:bidi w:val="0"/>
              <w:rPr>
                <w:rFonts w:ascii="Times New Roman" w:eastAsia="Calibri" w:hAnsi="Times New Roman" w:cs="Times New Roman"/>
                <w:color w:val="000000" w:themeColor="text1"/>
                <w:sz w:val="18"/>
                <w:szCs w:val="18"/>
              </w:rPr>
            </w:pPr>
            <w:r w:rsidRPr="004F51D2">
              <w:rPr>
                <w:rFonts w:ascii="Times New Roman" w:hAnsi="Times New Roman" w:cs="Times New Roman"/>
                <w:color w:val="000000" w:themeColor="text1"/>
                <w:sz w:val="18"/>
                <w:szCs w:val="18"/>
              </w:rPr>
              <w:t>BFI-O</w:t>
            </w:r>
          </w:p>
        </w:tc>
        <w:tc>
          <w:tcPr>
            <w:tcW w:w="985" w:type="dxa"/>
          </w:tcPr>
          <w:p w14:paraId="7305CF92" w14:textId="77777777" w:rsidR="00395F85" w:rsidRPr="004F51D2" w:rsidRDefault="00395F85" w:rsidP="00395F85">
            <w:pPr>
              <w:bidi w:val="0"/>
              <w:jc w:val="center"/>
              <w:rPr>
                <w:rFonts w:ascii="Times New Roman" w:eastAsia="Calibri" w:hAnsi="Times New Roman" w:cs="Times New Roman"/>
                <w:color w:val="000000" w:themeColor="text1"/>
                <w:sz w:val="18"/>
                <w:szCs w:val="18"/>
                <w:rtl/>
              </w:rPr>
            </w:pPr>
          </w:p>
        </w:tc>
      </w:tr>
      <w:tr w:rsidR="000A1231" w:rsidRPr="004F51D2" w14:paraId="16C781CF" w14:textId="77777777" w:rsidTr="005D078C">
        <w:tc>
          <w:tcPr>
            <w:tcW w:w="1172" w:type="dxa"/>
            <w:vAlign w:val="center"/>
          </w:tcPr>
          <w:p w14:paraId="2F8FF494" w14:textId="08D22330" w:rsidR="000A1231" w:rsidRPr="004F51D2" w:rsidRDefault="000A1231" w:rsidP="00D60E0E">
            <w:pPr>
              <w:bidi w:val="0"/>
              <w:jc w:val="center"/>
              <w:rPr>
                <w:rFonts w:asciiTheme="majorBidi" w:eastAsia="Calibri" w:hAnsiTheme="majorBidi" w:cstheme="majorBidi"/>
                <w:color w:val="000000" w:themeColor="text1"/>
                <w:sz w:val="18"/>
                <w:szCs w:val="18"/>
              </w:rPr>
            </w:pPr>
            <w:r w:rsidRPr="004F51D2">
              <w:rPr>
                <w:rFonts w:asciiTheme="majorBidi" w:hAnsiTheme="majorBidi" w:cstheme="majorBidi"/>
                <w:color w:val="000000"/>
                <w:sz w:val="18"/>
                <w:szCs w:val="18"/>
              </w:rPr>
              <w:t>2.73</w:t>
            </w:r>
            <w:r w:rsidR="00D60E0E" w:rsidRPr="004F51D2">
              <w:rPr>
                <w:rFonts w:asciiTheme="majorBidi" w:hAnsiTheme="majorBidi" w:cstheme="majorBidi"/>
                <w:color w:val="000000"/>
                <w:sz w:val="18"/>
                <w:szCs w:val="18"/>
              </w:rPr>
              <w:t>3</w:t>
            </w:r>
          </w:p>
        </w:tc>
        <w:tc>
          <w:tcPr>
            <w:tcW w:w="1096" w:type="dxa"/>
            <w:vAlign w:val="center"/>
          </w:tcPr>
          <w:p w14:paraId="40A69B58" w14:textId="55B4D066" w:rsidR="000A1231" w:rsidRPr="004F51D2" w:rsidRDefault="000A1231" w:rsidP="00D60E0E">
            <w:pPr>
              <w:bidi w:val="0"/>
              <w:jc w:val="center"/>
              <w:rPr>
                <w:rFonts w:asciiTheme="majorBidi" w:eastAsia="Calibri" w:hAnsiTheme="majorBidi" w:cstheme="majorBidi"/>
                <w:color w:val="000000" w:themeColor="text1"/>
                <w:sz w:val="18"/>
                <w:szCs w:val="18"/>
              </w:rPr>
            </w:pPr>
            <w:r w:rsidRPr="004F51D2">
              <w:rPr>
                <w:rFonts w:asciiTheme="majorBidi" w:hAnsiTheme="majorBidi" w:cstheme="majorBidi"/>
                <w:color w:val="000000"/>
                <w:sz w:val="18"/>
                <w:szCs w:val="18"/>
              </w:rPr>
              <w:t>0.76</w:t>
            </w:r>
            <w:r w:rsidR="00D60E0E" w:rsidRPr="004F51D2">
              <w:rPr>
                <w:rFonts w:asciiTheme="majorBidi" w:hAnsiTheme="majorBidi" w:cstheme="majorBidi"/>
                <w:color w:val="000000"/>
                <w:sz w:val="18"/>
                <w:szCs w:val="18"/>
              </w:rPr>
              <w:t>1</w:t>
            </w:r>
          </w:p>
        </w:tc>
        <w:tc>
          <w:tcPr>
            <w:tcW w:w="879" w:type="dxa"/>
            <w:vAlign w:val="center"/>
          </w:tcPr>
          <w:p w14:paraId="52A2670B" w14:textId="3FCFCFAD" w:rsidR="000A1231" w:rsidRPr="004F51D2" w:rsidRDefault="000A1231" w:rsidP="00D60E0E">
            <w:pPr>
              <w:bidi w:val="0"/>
              <w:jc w:val="center"/>
              <w:rPr>
                <w:rFonts w:asciiTheme="majorBidi" w:eastAsia="Calibri" w:hAnsiTheme="majorBidi" w:cstheme="majorBidi"/>
                <w:color w:val="000000" w:themeColor="text1"/>
                <w:sz w:val="18"/>
                <w:szCs w:val="18"/>
              </w:rPr>
            </w:pPr>
            <w:r w:rsidRPr="004F51D2">
              <w:rPr>
                <w:rFonts w:asciiTheme="majorBidi" w:hAnsiTheme="majorBidi" w:cstheme="majorBidi"/>
                <w:color w:val="000000"/>
                <w:sz w:val="18"/>
                <w:szCs w:val="18"/>
              </w:rPr>
              <w:t>0.</w:t>
            </w:r>
            <w:r w:rsidR="006A0570" w:rsidRPr="004F51D2">
              <w:rPr>
                <w:rFonts w:asciiTheme="majorBidi" w:hAnsiTheme="majorBidi" w:cstheme="majorBidi"/>
                <w:color w:val="000000"/>
                <w:sz w:val="18"/>
                <w:szCs w:val="18"/>
              </w:rPr>
              <w:t>80</w:t>
            </w:r>
            <w:r w:rsidR="00D60E0E" w:rsidRPr="004F51D2">
              <w:rPr>
                <w:rFonts w:asciiTheme="majorBidi" w:hAnsiTheme="majorBidi" w:cstheme="majorBidi"/>
                <w:color w:val="000000"/>
                <w:sz w:val="18"/>
                <w:szCs w:val="18"/>
              </w:rPr>
              <w:t>7</w:t>
            </w:r>
          </w:p>
        </w:tc>
        <w:tc>
          <w:tcPr>
            <w:tcW w:w="881" w:type="dxa"/>
            <w:vAlign w:val="center"/>
          </w:tcPr>
          <w:p w14:paraId="3B57F64D" w14:textId="3E44EED5" w:rsidR="000A1231" w:rsidRPr="004F51D2" w:rsidRDefault="000A1231" w:rsidP="00D60E0E">
            <w:pPr>
              <w:bidi w:val="0"/>
              <w:jc w:val="center"/>
              <w:rPr>
                <w:rFonts w:asciiTheme="majorBidi" w:eastAsia="Calibri" w:hAnsiTheme="majorBidi" w:cstheme="majorBidi"/>
                <w:color w:val="000000" w:themeColor="text1"/>
                <w:sz w:val="18"/>
                <w:szCs w:val="18"/>
              </w:rPr>
            </w:pPr>
            <w:r w:rsidRPr="004F51D2">
              <w:rPr>
                <w:rFonts w:asciiTheme="majorBidi" w:hAnsiTheme="majorBidi" w:cstheme="majorBidi"/>
                <w:color w:val="000000"/>
                <w:sz w:val="18"/>
                <w:szCs w:val="18"/>
              </w:rPr>
              <w:t>0.25</w:t>
            </w:r>
            <w:r w:rsidR="00D60E0E" w:rsidRPr="004F51D2">
              <w:rPr>
                <w:rFonts w:asciiTheme="majorBidi" w:hAnsiTheme="majorBidi" w:cstheme="majorBidi"/>
                <w:color w:val="000000"/>
                <w:sz w:val="18"/>
                <w:szCs w:val="18"/>
              </w:rPr>
              <w:t>2</w:t>
            </w:r>
          </w:p>
        </w:tc>
        <w:tc>
          <w:tcPr>
            <w:tcW w:w="1051" w:type="dxa"/>
            <w:vAlign w:val="center"/>
          </w:tcPr>
          <w:p w14:paraId="3890B1A1" w14:textId="29958476" w:rsidR="000A1231" w:rsidRPr="004F51D2" w:rsidRDefault="000A1231" w:rsidP="00D60E0E">
            <w:pPr>
              <w:bidi w:val="0"/>
              <w:jc w:val="center"/>
              <w:rPr>
                <w:rFonts w:asciiTheme="majorBidi" w:eastAsia="Calibri" w:hAnsiTheme="majorBidi" w:cstheme="majorBidi"/>
                <w:color w:val="000000" w:themeColor="text1"/>
                <w:sz w:val="18"/>
                <w:szCs w:val="18"/>
              </w:rPr>
            </w:pPr>
            <w:r w:rsidRPr="004F51D2">
              <w:rPr>
                <w:rFonts w:asciiTheme="majorBidi" w:hAnsiTheme="majorBidi" w:cstheme="majorBidi"/>
                <w:color w:val="000000"/>
                <w:sz w:val="18"/>
                <w:szCs w:val="18"/>
              </w:rPr>
              <w:t>0.01</w:t>
            </w:r>
            <w:r w:rsidR="00D60E0E" w:rsidRPr="004F51D2">
              <w:rPr>
                <w:rFonts w:asciiTheme="majorBidi" w:hAnsiTheme="majorBidi" w:cstheme="majorBidi"/>
                <w:color w:val="000000"/>
                <w:sz w:val="18"/>
                <w:szCs w:val="18"/>
              </w:rPr>
              <w:t>1</w:t>
            </w:r>
          </w:p>
        </w:tc>
        <w:tc>
          <w:tcPr>
            <w:tcW w:w="1268" w:type="dxa"/>
          </w:tcPr>
          <w:p w14:paraId="21FB362C" w14:textId="77777777" w:rsidR="000A1231" w:rsidRPr="004F51D2" w:rsidRDefault="000A1231" w:rsidP="000A1231">
            <w:pPr>
              <w:bidi w:val="0"/>
              <w:jc w:val="center"/>
              <w:rPr>
                <w:rFonts w:ascii="Times New Roman" w:eastAsia="Calibri" w:hAnsi="Times New Roman" w:cs="Times New Roman"/>
                <w:color w:val="000000" w:themeColor="text1"/>
                <w:sz w:val="18"/>
                <w:szCs w:val="18"/>
                <w:rtl/>
              </w:rPr>
            </w:pPr>
          </w:p>
        </w:tc>
        <w:tc>
          <w:tcPr>
            <w:tcW w:w="1694" w:type="dxa"/>
          </w:tcPr>
          <w:p w14:paraId="3D59F0CE" w14:textId="5BFEF905" w:rsidR="000A1231" w:rsidRPr="004F51D2" w:rsidRDefault="000A1231" w:rsidP="000A1231">
            <w:pPr>
              <w:bidi w:val="0"/>
              <w:rPr>
                <w:rFonts w:ascii="Times New Roman" w:eastAsia="Calibri" w:hAnsi="Times New Roman" w:cs="Times New Roman"/>
                <w:color w:val="000000" w:themeColor="text1"/>
                <w:sz w:val="18"/>
                <w:szCs w:val="18"/>
              </w:rPr>
            </w:pPr>
            <w:r w:rsidRPr="004F51D2">
              <w:rPr>
                <w:rFonts w:ascii="Times New Roman" w:eastAsia="Calibri" w:hAnsi="Times New Roman" w:cs="Times New Roman"/>
                <w:color w:val="000000" w:themeColor="text1"/>
                <w:sz w:val="18"/>
                <w:szCs w:val="18"/>
              </w:rPr>
              <w:t>DASS-</w:t>
            </w:r>
            <w:r w:rsidR="007753A0" w:rsidRPr="004F51D2">
              <w:rPr>
                <w:rFonts w:ascii="Times New Roman" w:eastAsia="Calibri" w:hAnsi="Times New Roman" w:cs="Times New Roman"/>
                <w:color w:val="000000" w:themeColor="text1"/>
                <w:sz w:val="18"/>
                <w:szCs w:val="18"/>
              </w:rPr>
              <w:t>21-</w:t>
            </w:r>
            <w:r w:rsidRPr="004F51D2">
              <w:rPr>
                <w:rFonts w:ascii="Times New Roman" w:eastAsia="Calibri" w:hAnsi="Times New Roman" w:cs="Times New Roman"/>
                <w:color w:val="000000" w:themeColor="text1"/>
                <w:sz w:val="18"/>
                <w:szCs w:val="18"/>
              </w:rPr>
              <w:t>D</w:t>
            </w:r>
          </w:p>
        </w:tc>
        <w:tc>
          <w:tcPr>
            <w:tcW w:w="985" w:type="dxa"/>
          </w:tcPr>
          <w:p w14:paraId="3E77D8DE" w14:textId="77777777" w:rsidR="000A1231" w:rsidRPr="004F51D2" w:rsidRDefault="000A1231" w:rsidP="000A1231">
            <w:pPr>
              <w:bidi w:val="0"/>
              <w:jc w:val="center"/>
              <w:rPr>
                <w:rFonts w:ascii="Times New Roman" w:eastAsia="Calibri" w:hAnsi="Times New Roman" w:cs="Times New Roman"/>
                <w:color w:val="000000" w:themeColor="text1"/>
                <w:sz w:val="18"/>
                <w:szCs w:val="18"/>
                <w:rtl/>
              </w:rPr>
            </w:pPr>
          </w:p>
        </w:tc>
      </w:tr>
      <w:tr w:rsidR="000A1231" w:rsidRPr="004F51D2" w14:paraId="27B5286F" w14:textId="77777777" w:rsidTr="005D078C">
        <w:tc>
          <w:tcPr>
            <w:tcW w:w="1172" w:type="dxa"/>
            <w:vAlign w:val="center"/>
          </w:tcPr>
          <w:p w14:paraId="7ECBAEC6" w14:textId="124CFABC" w:rsidR="000A1231" w:rsidRPr="004F51D2" w:rsidRDefault="000A1231" w:rsidP="00D60E0E">
            <w:pPr>
              <w:bidi w:val="0"/>
              <w:jc w:val="center"/>
              <w:rPr>
                <w:rFonts w:asciiTheme="majorBidi" w:eastAsia="Calibri" w:hAnsiTheme="majorBidi" w:cstheme="majorBidi"/>
                <w:color w:val="000000" w:themeColor="text1"/>
                <w:sz w:val="18"/>
                <w:szCs w:val="18"/>
              </w:rPr>
            </w:pPr>
            <w:r w:rsidRPr="004F51D2">
              <w:rPr>
                <w:rFonts w:asciiTheme="majorBidi" w:hAnsiTheme="majorBidi" w:cstheme="majorBidi"/>
                <w:color w:val="000000"/>
                <w:sz w:val="18"/>
                <w:szCs w:val="18"/>
              </w:rPr>
              <w:t>2.13</w:t>
            </w:r>
            <w:r w:rsidR="00D60E0E" w:rsidRPr="004F51D2">
              <w:rPr>
                <w:rFonts w:asciiTheme="majorBidi" w:hAnsiTheme="majorBidi" w:cstheme="majorBidi"/>
                <w:color w:val="000000"/>
                <w:sz w:val="18"/>
                <w:szCs w:val="18"/>
              </w:rPr>
              <w:t>2</w:t>
            </w:r>
          </w:p>
        </w:tc>
        <w:tc>
          <w:tcPr>
            <w:tcW w:w="1096" w:type="dxa"/>
            <w:vAlign w:val="center"/>
          </w:tcPr>
          <w:p w14:paraId="66FCD431" w14:textId="43FF533B" w:rsidR="000A1231" w:rsidRPr="004F51D2" w:rsidRDefault="000A1231" w:rsidP="000A1231">
            <w:pPr>
              <w:bidi w:val="0"/>
              <w:jc w:val="center"/>
              <w:rPr>
                <w:rFonts w:asciiTheme="majorBidi" w:eastAsia="Calibri" w:hAnsiTheme="majorBidi" w:cstheme="majorBidi"/>
                <w:color w:val="000000" w:themeColor="text1"/>
                <w:sz w:val="18"/>
                <w:szCs w:val="18"/>
              </w:rPr>
            </w:pPr>
            <w:r w:rsidRPr="004F51D2">
              <w:rPr>
                <w:rFonts w:asciiTheme="majorBidi" w:hAnsiTheme="majorBidi" w:cstheme="majorBidi"/>
                <w:color w:val="000000"/>
                <w:sz w:val="18"/>
                <w:szCs w:val="18"/>
              </w:rPr>
              <w:t>0.642</w:t>
            </w:r>
          </w:p>
        </w:tc>
        <w:tc>
          <w:tcPr>
            <w:tcW w:w="879" w:type="dxa"/>
            <w:vAlign w:val="center"/>
          </w:tcPr>
          <w:p w14:paraId="0C655C28" w14:textId="2D536C81" w:rsidR="000A1231" w:rsidRPr="004F51D2" w:rsidRDefault="000A1231" w:rsidP="00D60E0E">
            <w:pPr>
              <w:bidi w:val="0"/>
              <w:jc w:val="center"/>
              <w:rPr>
                <w:rFonts w:asciiTheme="majorBidi" w:eastAsia="Calibri" w:hAnsiTheme="majorBidi" w:cstheme="majorBidi"/>
                <w:color w:val="000000" w:themeColor="text1"/>
                <w:sz w:val="18"/>
                <w:szCs w:val="18"/>
              </w:rPr>
            </w:pPr>
            <w:r w:rsidRPr="004F51D2">
              <w:rPr>
                <w:rFonts w:asciiTheme="majorBidi" w:hAnsiTheme="majorBidi" w:cstheme="majorBidi"/>
                <w:color w:val="000000"/>
                <w:sz w:val="18"/>
                <w:szCs w:val="18"/>
              </w:rPr>
              <w:t>0.8</w:t>
            </w:r>
            <w:r w:rsidR="006A0570" w:rsidRPr="004F51D2">
              <w:rPr>
                <w:rFonts w:asciiTheme="majorBidi" w:hAnsiTheme="majorBidi" w:cstheme="majorBidi"/>
                <w:color w:val="000000"/>
                <w:sz w:val="18"/>
                <w:szCs w:val="18"/>
              </w:rPr>
              <w:t>5</w:t>
            </w:r>
            <w:r w:rsidR="00D60E0E" w:rsidRPr="004F51D2">
              <w:rPr>
                <w:rFonts w:asciiTheme="majorBidi" w:hAnsiTheme="majorBidi" w:cstheme="majorBidi"/>
                <w:color w:val="000000"/>
                <w:sz w:val="18"/>
                <w:szCs w:val="18"/>
              </w:rPr>
              <w:t>3</w:t>
            </w:r>
          </w:p>
        </w:tc>
        <w:tc>
          <w:tcPr>
            <w:tcW w:w="881" w:type="dxa"/>
            <w:vAlign w:val="center"/>
          </w:tcPr>
          <w:p w14:paraId="278D23C7" w14:textId="77497D96" w:rsidR="000A1231" w:rsidRPr="004F51D2" w:rsidRDefault="000A1231" w:rsidP="00D60E0E">
            <w:pPr>
              <w:bidi w:val="0"/>
              <w:jc w:val="center"/>
              <w:rPr>
                <w:rFonts w:asciiTheme="majorBidi" w:eastAsia="Calibri" w:hAnsiTheme="majorBidi" w:cstheme="majorBidi"/>
                <w:color w:val="000000" w:themeColor="text1"/>
                <w:sz w:val="18"/>
                <w:szCs w:val="18"/>
              </w:rPr>
            </w:pPr>
            <w:r w:rsidRPr="004F51D2">
              <w:rPr>
                <w:rFonts w:asciiTheme="majorBidi" w:hAnsiTheme="majorBidi" w:cstheme="majorBidi"/>
                <w:color w:val="000000"/>
                <w:sz w:val="18"/>
                <w:szCs w:val="18"/>
              </w:rPr>
              <w:t>0.20</w:t>
            </w:r>
            <w:r w:rsidR="00D60E0E" w:rsidRPr="004F51D2">
              <w:rPr>
                <w:rFonts w:asciiTheme="majorBidi" w:hAnsiTheme="majorBidi" w:cstheme="majorBidi"/>
                <w:color w:val="000000"/>
                <w:sz w:val="18"/>
                <w:szCs w:val="18"/>
              </w:rPr>
              <w:t>7</w:t>
            </w:r>
          </w:p>
        </w:tc>
        <w:tc>
          <w:tcPr>
            <w:tcW w:w="1051" w:type="dxa"/>
            <w:vAlign w:val="center"/>
          </w:tcPr>
          <w:p w14:paraId="6CA25A70" w14:textId="7F0662ED" w:rsidR="000A1231" w:rsidRPr="004F51D2" w:rsidRDefault="000A1231" w:rsidP="00D60E0E">
            <w:pPr>
              <w:bidi w:val="0"/>
              <w:jc w:val="center"/>
              <w:rPr>
                <w:rFonts w:asciiTheme="majorBidi" w:eastAsia="Calibri" w:hAnsiTheme="majorBidi" w:cstheme="majorBidi"/>
                <w:color w:val="000000" w:themeColor="text1"/>
                <w:sz w:val="18"/>
                <w:szCs w:val="18"/>
              </w:rPr>
            </w:pPr>
            <w:r w:rsidRPr="004F51D2">
              <w:rPr>
                <w:rFonts w:asciiTheme="majorBidi" w:hAnsiTheme="majorBidi" w:cstheme="majorBidi"/>
                <w:color w:val="000000"/>
                <w:sz w:val="18"/>
                <w:szCs w:val="18"/>
              </w:rPr>
              <w:t>0.01</w:t>
            </w:r>
            <w:r w:rsidR="00D60E0E" w:rsidRPr="004F51D2">
              <w:rPr>
                <w:rFonts w:asciiTheme="majorBidi" w:hAnsiTheme="majorBidi" w:cstheme="majorBidi"/>
                <w:color w:val="000000"/>
                <w:sz w:val="18"/>
                <w:szCs w:val="18"/>
              </w:rPr>
              <w:t>4</w:t>
            </w:r>
          </w:p>
        </w:tc>
        <w:tc>
          <w:tcPr>
            <w:tcW w:w="1268" w:type="dxa"/>
          </w:tcPr>
          <w:p w14:paraId="2B747007" w14:textId="77777777" w:rsidR="000A1231" w:rsidRPr="004F51D2" w:rsidRDefault="000A1231" w:rsidP="000A1231">
            <w:pPr>
              <w:bidi w:val="0"/>
              <w:jc w:val="center"/>
              <w:rPr>
                <w:rFonts w:ascii="Times New Roman" w:eastAsia="Calibri" w:hAnsi="Times New Roman" w:cs="Times New Roman"/>
                <w:color w:val="000000" w:themeColor="text1"/>
                <w:sz w:val="18"/>
                <w:szCs w:val="18"/>
                <w:rtl/>
              </w:rPr>
            </w:pPr>
          </w:p>
        </w:tc>
        <w:tc>
          <w:tcPr>
            <w:tcW w:w="1694" w:type="dxa"/>
          </w:tcPr>
          <w:p w14:paraId="2CFA8167" w14:textId="57137505" w:rsidR="000A1231" w:rsidRPr="004F51D2" w:rsidRDefault="000A1231" w:rsidP="000A1231">
            <w:pPr>
              <w:bidi w:val="0"/>
              <w:rPr>
                <w:rFonts w:ascii="Times New Roman" w:eastAsia="Calibri" w:hAnsi="Times New Roman" w:cs="Times New Roman"/>
                <w:color w:val="000000" w:themeColor="text1"/>
                <w:sz w:val="18"/>
                <w:szCs w:val="18"/>
              </w:rPr>
            </w:pPr>
            <w:r w:rsidRPr="004F51D2">
              <w:rPr>
                <w:rFonts w:ascii="Times New Roman" w:eastAsia="Calibri" w:hAnsi="Times New Roman" w:cs="Times New Roman"/>
                <w:color w:val="000000" w:themeColor="text1"/>
                <w:sz w:val="18"/>
                <w:szCs w:val="18"/>
              </w:rPr>
              <w:t>DASS-</w:t>
            </w:r>
            <w:r w:rsidR="007753A0" w:rsidRPr="004F51D2">
              <w:rPr>
                <w:rFonts w:ascii="Times New Roman" w:eastAsia="Calibri" w:hAnsi="Times New Roman" w:cs="Times New Roman"/>
                <w:color w:val="000000" w:themeColor="text1"/>
                <w:sz w:val="18"/>
                <w:szCs w:val="18"/>
              </w:rPr>
              <w:t>21-A</w:t>
            </w:r>
          </w:p>
        </w:tc>
        <w:tc>
          <w:tcPr>
            <w:tcW w:w="985" w:type="dxa"/>
          </w:tcPr>
          <w:p w14:paraId="2143237D" w14:textId="77777777" w:rsidR="000A1231" w:rsidRPr="004F51D2" w:rsidRDefault="000A1231" w:rsidP="000A1231">
            <w:pPr>
              <w:bidi w:val="0"/>
              <w:jc w:val="center"/>
              <w:rPr>
                <w:rFonts w:ascii="Times New Roman" w:eastAsia="Calibri" w:hAnsi="Times New Roman" w:cs="Times New Roman"/>
                <w:color w:val="000000" w:themeColor="text1"/>
                <w:sz w:val="18"/>
                <w:szCs w:val="18"/>
                <w:rtl/>
              </w:rPr>
            </w:pPr>
          </w:p>
        </w:tc>
      </w:tr>
      <w:tr w:rsidR="000A1231" w:rsidRPr="004F51D2" w14:paraId="01F97FE6" w14:textId="77777777" w:rsidTr="005D078C">
        <w:tc>
          <w:tcPr>
            <w:tcW w:w="1172" w:type="dxa"/>
            <w:vAlign w:val="center"/>
          </w:tcPr>
          <w:p w14:paraId="69CD2D01" w14:textId="460B347A" w:rsidR="000A1231" w:rsidRPr="004F51D2" w:rsidRDefault="000A1231" w:rsidP="00D60E0E">
            <w:pPr>
              <w:bidi w:val="0"/>
              <w:jc w:val="center"/>
              <w:rPr>
                <w:rFonts w:asciiTheme="majorBidi" w:eastAsia="Calibri" w:hAnsiTheme="majorBidi" w:cstheme="majorBidi"/>
                <w:color w:val="000000" w:themeColor="text1"/>
                <w:sz w:val="18"/>
                <w:szCs w:val="18"/>
              </w:rPr>
            </w:pPr>
            <w:r w:rsidRPr="004F51D2">
              <w:rPr>
                <w:rFonts w:asciiTheme="majorBidi" w:hAnsiTheme="majorBidi" w:cstheme="majorBidi"/>
                <w:color w:val="000000"/>
                <w:sz w:val="18"/>
                <w:szCs w:val="18"/>
              </w:rPr>
              <w:t>1.58</w:t>
            </w:r>
            <w:r w:rsidR="00D60E0E" w:rsidRPr="004F51D2">
              <w:rPr>
                <w:rFonts w:asciiTheme="majorBidi" w:hAnsiTheme="majorBidi" w:cstheme="majorBidi"/>
                <w:color w:val="000000"/>
                <w:sz w:val="18"/>
                <w:szCs w:val="18"/>
              </w:rPr>
              <w:t>8</w:t>
            </w:r>
          </w:p>
        </w:tc>
        <w:tc>
          <w:tcPr>
            <w:tcW w:w="1096" w:type="dxa"/>
            <w:vAlign w:val="center"/>
          </w:tcPr>
          <w:p w14:paraId="7F447C31" w14:textId="1C874F82" w:rsidR="000A1231" w:rsidRPr="004F51D2" w:rsidRDefault="000A1231" w:rsidP="00D60E0E">
            <w:pPr>
              <w:bidi w:val="0"/>
              <w:jc w:val="center"/>
              <w:rPr>
                <w:rFonts w:asciiTheme="majorBidi" w:eastAsia="Calibri" w:hAnsiTheme="majorBidi" w:cstheme="majorBidi"/>
                <w:color w:val="000000" w:themeColor="text1"/>
                <w:sz w:val="18"/>
                <w:szCs w:val="18"/>
              </w:rPr>
            </w:pPr>
            <w:r w:rsidRPr="004F51D2">
              <w:rPr>
                <w:rFonts w:asciiTheme="majorBidi" w:hAnsiTheme="majorBidi" w:cstheme="majorBidi"/>
                <w:color w:val="000000"/>
                <w:sz w:val="18"/>
                <w:szCs w:val="18"/>
              </w:rPr>
              <w:t>0.67</w:t>
            </w:r>
            <w:r w:rsidR="00D60E0E" w:rsidRPr="004F51D2">
              <w:rPr>
                <w:rFonts w:asciiTheme="majorBidi" w:hAnsiTheme="majorBidi" w:cstheme="majorBidi"/>
                <w:color w:val="000000"/>
                <w:sz w:val="18"/>
                <w:szCs w:val="18"/>
              </w:rPr>
              <w:t>8</w:t>
            </w:r>
          </w:p>
        </w:tc>
        <w:tc>
          <w:tcPr>
            <w:tcW w:w="879" w:type="dxa"/>
            <w:vAlign w:val="center"/>
          </w:tcPr>
          <w:p w14:paraId="015D552C" w14:textId="7AD1D0A0" w:rsidR="000A1231" w:rsidRPr="004F51D2" w:rsidRDefault="000A1231" w:rsidP="00D60E0E">
            <w:pPr>
              <w:bidi w:val="0"/>
              <w:jc w:val="center"/>
              <w:rPr>
                <w:rFonts w:asciiTheme="majorBidi" w:eastAsia="Calibri" w:hAnsiTheme="majorBidi" w:cstheme="majorBidi"/>
                <w:color w:val="000000" w:themeColor="text1"/>
                <w:sz w:val="18"/>
                <w:szCs w:val="18"/>
              </w:rPr>
            </w:pPr>
            <w:r w:rsidRPr="004F51D2">
              <w:rPr>
                <w:rFonts w:asciiTheme="majorBidi" w:hAnsiTheme="majorBidi" w:cstheme="majorBidi"/>
                <w:color w:val="000000"/>
                <w:sz w:val="18"/>
                <w:szCs w:val="18"/>
              </w:rPr>
              <w:t>0.01</w:t>
            </w:r>
            <w:r w:rsidR="00D60E0E" w:rsidRPr="004F51D2">
              <w:rPr>
                <w:rFonts w:asciiTheme="majorBidi" w:hAnsiTheme="majorBidi" w:cstheme="majorBidi"/>
                <w:color w:val="000000"/>
                <w:sz w:val="18"/>
                <w:szCs w:val="18"/>
              </w:rPr>
              <w:t>9</w:t>
            </w:r>
          </w:p>
        </w:tc>
        <w:tc>
          <w:tcPr>
            <w:tcW w:w="881" w:type="dxa"/>
            <w:vAlign w:val="center"/>
          </w:tcPr>
          <w:p w14:paraId="749925B7" w14:textId="64AD9D3E" w:rsidR="000A1231" w:rsidRPr="004F51D2" w:rsidRDefault="000A1231" w:rsidP="00D60E0E">
            <w:pPr>
              <w:bidi w:val="0"/>
              <w:jc w:val="center"/>
              <w:rPr>
                <w:rFonts w:asciiTheme="majorBidi" w:eastAsia="Calibri" w:hAnsiTheme="majorBidi" w:cstheme="majorBidi"/>
                <w:color w:val="000000" w:themeColor="text1"/>
                <w:sz w:val="18"/>
                <w:szCs w:val="18"/>
              </w:rPr>
            </w:pPr>
            <w:r w:rsidRPr="004F51D2">
              <w:rPr>
                <w:rFonts w:asciiTheme="majorBidi" w:hAnsiTheme="majorBidi" w:cstheme="majorBidi"/>
                <w:color w:val="000000"/>
                <w:sz w:val="18"/>
                <w:szCs w:val="18"/>
              </w:rPr>
              <w:t>2.37</w:t>
            </w:r>
            <w:r w:rsidR="00D60E0E" w:rsidRPr="004F51D2">
              <w:rPr>
                <w:rFonts w:asciiTheme="majorBidi" w:hAnsiTheme="majorBidi" w:cstheme="majorBidi"/>
                <w:color w:val="000000"/>
                <w:sz w:val="18"/>
                <w:szCs w:val="18"/>
              </w:rPr>
              <w:t>5</w:t>
            </w:r>
          </w:p>
        </w:tc>
        <w:tc>
          <w:tcPr>
            <w:tcW w:w="1051" w:type="dxa"/>
            <w:vAlign w:val="center"/>
          </w:tcPr>
          <w:p w14:paraId="3248C82E" w14:textId="6FBEC1A2" w:rsidR="000A1231" w:rsidRPr="004F51D2" w:rsidRDefault="00BE5324" w:rsidP="00D60E0E">
            <w:pPr>
              <w:bidi w:val="0"/>
              <w:jc w:val="center"/>
              <w:rPr>
                <w:rFonts w:asciiTheme="majorBidi" w:eastAsia="Calibri" w:hAnsiTheme="majorBidi" w:cstheme="majorBidi"/>
                <w:color w:val="000000" w:themeColor="text1"/>
                <w:sz w:val="18"/>
                <w:szCs w:val="18"/>
              </w:rPr>
            </w:pPr>
            <w:r w:rsidRPr="004F51D2">
              <w:rPr>
                <w:rFonts w:asciiTheme="majorBidi" w:hAnsiTheme="majorBidi" w:cstheme="majorBidi"/>
                <w:color w:val="000000"/>
                <w:sz w:val="18"/>
                <w:szCs w:val="18"/>
              </w:rPr>
              <w:t xml:space="preserve">  </w:t>
            </w:r>
            <w:r w:rsidR="000A1231" w:rsidRPr="004F51D2">
              <w:rPr>
                <w:rFonts w:asciiTheme="majorBidi" w:hAnsiTheme="majorBidi" w:cstheme="majorBidi"/>
                <w:color w:val="000000"/>
                <w:sz w:val="18"/>
                <w:szCs w:val="18"/>
              </w:rPr>
              <w:t>0.12</w:t>
            </w:r>
            <w:r w:rsidR="00D60E0E" w:rsidRPr="004F51D2">
              <w:rPr>
                <w:rFonts w:asciiTheme="majorBidi" w:hAnsiTheme="majorBidi" w:cstheme="majorBidi"/>
                <w:color w:val="000000"/>
                <w:sz w:val="18"/>
                <w:szCs w:val="18"/>
              </w:rPr>
              <w:t>2</w:t>
            </w:r>
            <w:r w:rsidRPr="004F51D2">
              <w:rPr>
                <w:rFonts w:ascii="Times New Roman" w:eastAsia="Calibri" w:hAnsi="Times New Roman" w:cs="Times New Roman"/>
                <w:color w:val="000000" w:themeColor="text1"/>
                <w:sz w:val="18"/>
                <w:szCs w:val="18"/>
              </w:rPr>
              <w:t>*</w:t>
            </w:r>
          </w:p>
        </w:tc>
        <w:tc>
          <w:tcPr>
            <w:tcW w:w="1268" w:type="dxa"/>
          </w:tcPr>
          <w:p w14:paraId="2D3464E7" w14:textId="77777777" w:rsidR="000A1231" w:rsidRPr="004F51D2" w:rsidRDefault="000A1231" w:rsidP="000A1231">
            <w:pPr>
              <w:bidi w:val="0"/>
              <w:jc w:val="center"/>
              <w:rPr>
                <w:rFonts w:ascii="Times New Roman" w:eastAsia="Calibri" w:hAnsi="Times New Roman" w:cs="Times New Roman"/>
                <w:color w:val="000000" w:themeColor="text1"/>
                <w:sz w:val="18"/>
                <w:szCs w:val="18"/>
                <w:rtl/>
              </w:rPr>
            </w:pPr>
          </w:p>
        </w:tc>
        <w:tc>
          <w:tcPr>
            <w:tcW w:w="1694" w:type="dxa"/>
          </w:tcPr>
          <w:p w14:paraId="4E0FC3BD" w14:textId="08985577" w:rsidR="000A1231" w:rsidRPr="004F51D2" w:rsidRDefault="000A1231" w:rsidP="000A1231">
            <w:pPr>
              <w:bidi w:val="0"/>
              <w:rPr>
                <w:rFonts w:ascii="Times New Roman" w:eastAsia="Calibri" w:hAnsi="Times New Roman" w:cs="Times New Roman"/>
                <w:color w:val="000000" w:themeColor="text1"/>
                <w:sz w:val="18"/>
                <w:szCs w:val="18"/>
              </w:rPr>
            </w:pPr>
            <w:r w:rsidRPr="004F51D2">
              <w:rPr>
                <w:rFonts w:ascii="Times New Roman" w:eastAsia="Calibri" w:hAnsi="Times New Roman" w:cs="Times New Roman"/>
                <w:color w:val="000000" w:themeColor="text1"/>
                <w:sz w:val="18"/>
                <w:szCs w:val="18"/>
              </w:rPr>
              <w:t>DASS-</w:t>
            </w:r>
            <w:r w:rsidR="007753A0" w:rsidRPr="004F51D2">
              <w:rPr>
                <w:rFonts w:ascii="Times New Roman" w:eastAsia="Calibri" w:hAnsi="Times New Roman" w:cs="Times New Roman"/>
                <w:color w:val="000000" w:themeColor="text1"/>
                <w:sz w:val="18"/>
                <w:szCs w:val="18"/>
              </w:rPr>
              <w:t>21-</w:t>
            </w:r>
            <w:r w:rsidRPr="004F51D2">
              <w:rPr>
                <w:rFonts w:ascii="Times New Roman" w:eastAsia="Calibri" w:hAnsi="Times New Roman" w:cs="Times New Roman"/>
                <w:color w:val="000000" w:themeColor="text1"/>
                <w:sz w:val="18"/>
                <w:szCs w:val="18"/>
              </w:rPr>
              <w:t>S</w:t>
            </w:r>
          </w:p>
        </w:tc>
        <w:tc>
          <w:tcPr>
            <w:tcW w:w="985" w:type="dxa"/>
          </w:tcPr>
          <w:p w14:paraId="4DD510FC" w14:textId="77777777" w:rsidR="000A1231" w:rsidRPr="004F51D2" w:rsidRDefault="000A1231" w:rsidP="000A1231">
            <w:pPr>
              <w:bidi w:val="0"/>
              <w:jc w:val="center"/>
              <w:rPr>
                <w:rFonts w:ascii="Times New Roman" w:eastAsia="Calibri" w:hAnsi="Times New Roman" w:cs="Times New Roman"/>
                <w:color w:val="000000" w:themeColor="text1"/>
                <w:sz w:val="18"/>
                <w:szCs w:val="18"/>
                <w:rtl/>
              </w:rPr>
            </w:pPr>
          </w:p>
        </w:tc>
      </w:tr>
      <w:tr w:rsidR="000A1231" w:rsidRPr="004F51D2" w14:paraId="6467B148" w14:textId="77777777" w:rsidTr="007E04AD">
        <w:tc>
          <w:tcPr>
            <w:tcW w:w="1172" w:type="dxa"/>
            <w:vAlign w:val="center"/>
          </w:tcPr>
          <w:p w14:paraId="0EF55D7E" w14:textId="27265771" w:rsidR="000A1231" w:rsidRPr="004F51D2" w:rsidRDefault="000A1231" w:rsidP="00D60E0E">
            <w:pPr>
              <w:bidi w:val="0"/>
              <w:jc w:val="center"/>
              <w:rPr>
                <w:rFonts w:asciiTheme="majorBidi" w:eastAsia="Calibri" w:hAnsiTheme="majorBidi" w:cstheme="majorBidi"/>
                <w:color w:val="000000" w:themeColor="text1"/>
                <w:sz w:val="18"/>
                <w:szCs w:val="18"/>
              </w:rPr>
            </w:pPr>
            <w:r w:rsidRPr="004F51D2">
              <w:rPr>
                <w:rFonts w:asciiTheme="majorBidi" w:hAnsiTheme="majorBidi" w:cstheme="majorBidi"/>
                <w:color w:val="000000"/>
                <w:sz w:val="18"/>
                <w:szCs w:val="18"/>
              </w:rPr>
              <w:t>2.60</w:t>
            </w:r>
            <w:r w:rsidR="00D60E0E" w:rsidRPr="004F51D2">
              <w:rPr>
                <w:rFonts w:asciiTheme="majorBidi" w:hAnsiTheme="majorBidi" w:cstheme="majorBidi"/>
                <w:color w:val="000000"/>
                <w:sz w:val="18"/>
                <w:szCs w:val="18"/>
              </w:rPr>
              <w:t>4</w:t>
            </w:r>
          </w:p>
        </w:tc>
        <w:tc>
          <w:tcPr>
            <w:tcW w:w="1096" w:type="dxa"/>
            <w:vAlign w:val="center"/>
          </w:tcPr>
          <w:p w14:paraId="76105554" w14:textId="7CB4C019" w:rsidR="000A1231" w:rsidRPr="004F51D2" w:rsidRDefault="000A1231" w:rsidP="00D60E0E">
            <w:pPr>
              <w:bidi w:val="0"/>
              <w:jc w:val="center"/>
              <w:rPr>
                <w:rFonts w:asciiTheme="majorBidi" w:eastAsia="Calibri" w:hAnsiTheme="majorBidi" w:cstheme="majorBidi"/>
                <w:color w:val="000000" w:themeColor="text1"/>
                <w:sz w:val="18"/>
                <w:szCs w:val="18"/>
              </w:rPr>
            </w:pPr>
            <w:r w:rsidRPr="004F51D2">
              <w:rPr>
                <w:rFonts w:asciiTheme="majorBidi" w:hAnsiTheme="majorBidi" w:cstheme="majorBidi"/>
                <w:color w:val="000000"/>
                <w:sz w:val="18"/>
                <w:szCs w:val="18"/>
              </w:rPr>
              <w:t>0.78</w:t>
            </w:r>
            <w:r w:rsidR="00D60E0E" w:rsidRPr="004F51D2">
              <w:rPr>
                <w:rFonts w:asciiTheme="majorBidi" w:hAnsiTheme="majorBidi" w:cstheme="majorBidi"/>
                <w:color w:val="000000"/>
                <w:sz w:val="18"/>
                <w:szCs w:val="18"/>
              </w:rPr>
              <w:t>4</w:t>
            </w:r>
          </w:p>
        </w:tc>
        <w:tc>
          <w:tcPr>
            <w:tcW w:w="879" w:type="dxa"/>
          </w:tcPr>
          <w:p w14:paraId="6BA67E4F" w14:textId="40FB8C89" w:rsidR="000A1231" w:rsidRPr="004F51D2" w:rsidRDefault="000A1231" w:rsidP="006A0570">
            <w:pPr>
              <w:bidi w:val="0"/>
              <w:jc w:val="center"/>
              <w:rPr>
                <w:rFonts w:asciiTheme="majorBidi" w:eastAsia="Calibri" w:hAnsiTheme="majorBidi" w:cstheme="majorBidi"/>
                <w:color w:val="000000" w:themeColor="text1"/>
                <w:sz w:val="18"/>
                <w:szCs w:val="18"/>
              </w:rPr>
            </w:pPr>
            <w:r w:rsidRPr="004F51D2">
              <w:rPr>
                <w:rFonts w:asciiTheme="majorBidi" w:eastAsia="Calibri" w:hAnsiTheme="majorBidi" w:cstheme="majorBidi"/>
                <w:color w:val="000000" w:themeColor="text1"/>
                <w:sz w:val="18"/>
                <w:szCs w:val="18"/>
              </w:rPr>
              <w:t>0.</w:t>
            </w:r>
            <w:r w:rsidR="006A0570" w:rsidRPr="004F51D2">
              <w:rPr>
                <w:rFonts w:asciiTheme="majorBidi" w:eastAsia="Calibri" w:hAnsiTheme="majorBidi" w:cstheme="majorBidi"/>
                <w:color w:val="000000" w:themeColor="text1"/>
                <w:sz w:val="18"/>
                <w:szCs w:val="18"/>
              </w:rPr>
              <w:t>000</w:t>
            </w:r>
          </w:p>
        </w:tc>
        <w:tc>
          <w:tcPr>
            <w:tcW w:w="881" w:type="dxa"/>
            <w:vAlign w:val="center"/>
          </w:tcPr>
          <w:p w14:paraId="6D489435" w14:textId="192FA985" w:rsidR="000A1231" w:rsidRPr="004F51D2" w:rsidRDefault="000A1231" w:rsidP="00D60E0E">
            <w:pPr>
              <w:bidi w:val="0"/>
              <w:jc w:val="center"/>
              <w:rPr>
                <w:rFonts w:asciiTheme="majorBidi" w:eastAsia="Calibri" w:hAnsiTheme="majorBidi" w:cstheme="majorBidi"/>
                <w:color w:val="000000" w:themeColor="text1"/>
                <w:sz w:val="18"/>
                <w:szCs w:val="18"/>
              </w:rPr>
            </w:pPr>
            <w:r w:rsidRPr="004F51D2">
              <w:rPr>
                <w:rFonts w:asciiTheme="majorBidi" w:hAnsiTheme="majorBidi" w:cstheme="majorBidi"/>
                <w:color w:val="000000"/>
                <w:sz w:val="18"/>
                <w:szCs w:val="18"/>
              </w:rPr>
              <w:t>4.43</w:t>
            </w:r>
            <w:r w:rsidR="00D60E0E" w:rsidRPr="004F51D2">
              <w:rPr>
                <w:rFonts w:asciiTheme="majorBidi" w:hAnsiTheme="majorBidi" w:cstheme="majorBidi"/>
                <w:color w:val="000000"/>
                <w:sz w:val="18"/>
                <w:szCs w:val="18"/>
              </w:rPr>
              <w:t>4</w:t>
            </w:r>
          </w:p>
        </w:tc>
        <w:tc>
          <w:tcPr>
            <w:tcW w:w="1051" w:type="dxa"/>
            <w:vAlign w:val="center"/>
          </w:tcPr>
          <w:p w14:paraId="146AAAAB" w14:textId="61798D1D" w:rsidR="000A1231" w:rsidRPr="004F51D2" w:rsidRDefault="00BE5324" w:rsidP="00D60E0E">
            <w:pPr>
              <w:bidi w:val="0"/>
              <w:jc w:val="center"/>
              <w:rPr>
                <w:rFonts w:asciiTheme="majorBidi" w:eastAsia="Calibri" w:hAnsiTheme="majorBidi" w:cstheme="majorBidi"/>
                <w:color w:val="000000" w:themeColor="text1"/>
                <w:sz w:val="18"/>
                <w:szCs w:val="18"/>
              </w:rPr>
            </w:pPr>
            <w:r w:rsidRPr="004F51D2">
              <w:rPr>
                <w:rFonts w:asciiTheme="majorBidi" w:hAnsiTheme="majorBidi" w:cstheme="majorBidi"/>
                <w:color w:val="000000"/>
                <w:sz w:val="18"/>
                <w:szCs w:val="18"/>
              </w:rPr>
              <w:t xml:space="preserve">    </w:t>
            </w:r>
            <w:r w:rsidR="000A1231" w:rsidRPr="004F51D2">
              <w:rPr>
                <w:rFonts w:asciiTheme="majorBidi" w:hAnsiTheme="majorBidi" w:cstheme="majorBidi"/>
                <w:color w:val="000000"/>
                <w:sz w:val="18"/>
                <w:szCs w:val="18"/>
              </w:rPr>
              <w:t>0.27</w:t>
            </w:r>
            <w:r w:rsidR="00D60E0E" w:rsidRPr="004F51D2">
              <w:rPr>
                <w:rFonts w:asciiTheme="majorBidi" w:hAnsiTheme="majorBidi" w:cstheme="majorBidi"/>
                <w:color w:val="000000"/>
                <w:sz w:val="18"/>
                <w:szCs w:val="18"/>
              </w:rPr>
              <w:t>6</w:t>
            </w:r>
            <w:r w:rsidRPr="004F51D2">
              <w:rPr>
                <w:rFonts w:ascii="Times New Roman" w:eastAsia="Calibri" w:hAnsi="Times New Roman" w:cs="Times New Roman"/>
                <w:color w:val="000000" w:themeColor="text1"/>
                <w:sz w:val="18"/>
                <w:szCs w:val="18"/>
              </w:rPr>
              <w:t>**</w:t>
            </w:r>
          </w:p>
        </w:tc>
        <w:tc>
          <w:tcPr>
            <w:tcW w:w="1268" w:type="dxa"/>
          </w:tcPr>
          <w:p w14:paraId="5B222DDF" w14:textId="77777777" w:rsidR="000A1231" w:rsidRPr="004F51D2" w:rsidRDefault="000A1231" w:rsidP="000A1231">
            <w:pPr>
              <w:bidi w:val="0"/>
              <w:jc w:val="center"/>
              <w:rPr>
                <w:rFonts w:ascii="Times New Roman" w:eastAsia="Calibri" w:hAnsi="Times New Roman" w:cs="Times New Roman"/>
                <w:color w:val="000000" w:themeColor="text1"/>
                <w:sz w:val="18"/>
                <w:szCs w:val="18"/>
                <w:rtl/>
              </w:rPr>
            </w:pPr>
          </w:p>
        </w:tc>
        <w:tc>
          <w:tcPr>
            <w:tcW w:w="1694" w:type="dxa"/>
          </w:tcPr>
          <w:p w14:paraId="4946B65A" w14:textId="2A8F7F29" w:rsidR="000A1231" w:rsidRPr="004F51D2" w:rsidRDefault="000A1231" w:rsidP="000A1231">
            <w:pPr>
              <w:bidi w:val="0"/>
              <w:rPr>
                <w:rFonts w:ascii="Times New Roman" w:eastAsia="Calibri" w:hAnsi="Times New Roman" w:cs="Times New Roman"/>
                <w:color w:val="000000" w:themeColor="text1"/>
                <w:sz w:val="18"/>
                <w:szCs w:val="18"/>
              </w:rPr>
            </w:pPr>
            <w:r w:rsidRPr="004F51D2">
              <w:rPr>
                <w:rFonts w:ascii="Times New Roman" w:hAnsi="Times New Roman" w:cs="Times New Roman"/>
                <w:color w:val="000000" w:themeColor="text1"/>
                <w:sz w:val="18"/>
                <w:szCs w:val="18"/>
              </w:rPr>
              <w:t>VGCS</w:t>
            </w:r>
          </w:p>
        </w:tc>
        <w:tc>
          <w:tcPr>
            <w:tcW w:w="985" w:type="dxa"/>
          </w:tcPr>
          <w:p w14:paraId="38CE7B94" w14:textId="77777777" w:rsidR="000A1231" w:rsidRPr="004F51D2" w:rsidRDefault="000A1231" w:rsidP="000A1231">
            <w:pPr>
              <w:bidi w:val="0"/>
              <w:jc w:val="center"/>
              <w:rPr>
                <w:rFonts w:ascii="Times New Roman" w:eastAsia="Calibri" w:hAnsi="Times New Roman" w:cs="Times New Roman"/>
                <w:color w:val="000000" w:themeColor="text1"/>
                <w:sz w:val="18"/>
                <w:szCs w:val="18"/>
                <w:rtl/>
              </w:rPr>
            </w:pPr>
          </w:p>
        </w:tc>
      </w:tr>
      <w:tr w:rsidR="000A1231" w:rsidRPr="004F51D2" w14:paraId="65B193E5" w14:textId="77777777" w:rsidTr="007E04AD">
        <w:tc>
          <w:tcPr>
            <w:tcW w:w="1172" w:type="dxa"/>
            <w:vAlign w:val="center"/>
          </w:tcPr>
          <w:p w14:paraId="79091329" w14:textId="54313D12" w:rsidR="000A1231" w:rsidRPr="004F51D2" w:rsidRDefault="000A1231" w:rsidP="00D60E0E">
            <w:pPr>
              <w:bidi w:val="0"/>
              <w:jc w:val="center"/>
              <w:rPr>
                <w:rFonts w:asciiTheme="majorBidi" w:eastAsia="Calibri" w:hAnsiTheme="majorBidi" w:cstheme="majorBidi"/>
                <w:color w:val="000000" w:themeColor="text1"/>
                <w:sz w:val="18"/>
                <w:szCs w:val="18"/>
              </w:rPr>
            </w:pPr>
            <w:r w:rsidRPr="004F51D2">
              <w:rPr>
                <w:rFonts w:asciiTheme="majorBidi" w:hAnsiTheme="majorBidi" w:cstheme="majorBidi"/>
                <w:color w:val="000000"/>
                <w:sz w:val="18"/>
                <w:szCs w:val="18"/>
              </w:rPr>
              <w:t>1.99</w:t>
            </w:r>
            <w:r w:rsidR="00D60E0E" w:rsidRPr="004F51D2">
              <w:rPr>
                <w:rFonts w:asciiTheme="majorBidi" w:hAnsiTheme="majorBidi" w:cstheme="majorBidi"/>
                <w:color w:val="000000"/>
                <w:sz w:val="18"/>
                <w:szCs w:val="18"/>
              </w:rPr>
              <w:t>4</w:t>
            </w:r>
          </w:p>
        </w:tc>
        <w:tc>
          <w:tcPr>
            <w:tcW w:w="1096" w:type="dxa"/>
            <w:vAlign w:val="center"/>
          </w:tcPr>
          <w:p w14:paraId="6C30FD55" w14:textId="070412ED" w:rsidR="000A1231" w:rsidRPr="004F51D2" w:rsidRDefault="000A1231" w:rsidP="00D60E0E">
            <w:pPr>
              <w:bidi w:val="0"/>
              <w:jc w:val="center"/>
              <w:rPr>
                <w:rFonts w:asciiTheme="majorBidi" w:eastAsia="Calibri" w:hAnsiTheme="majorBidi" w:cstheme="majorBidi"/>
                <w:color w:val="000000" w:themeColor="text1"/>
                <w:sz w:val="18"/>
                <w:szCs w:val="18"/>
              </w:rPr>
            </w:pPr>
            <w:r w:rsidRPr="004F51D2">
              <w:rPr>
                <w:rFonts w:asciiTheme="majorBidi" w:hAnsiTheme="majorBidi" w:cstheme="majorBidi"/>
                <w:color w:val="000000"/>
                <w:sz w:val="18"/>
                <w:szCs w:val="18"/>
              </w:rPr>
              <w:t>0.60</w:t>
            </w:r>
            <w:r w:rsidR="00D60E0E" w:rsidRPr="004F51D2">
              <w:rPr>
                <w:rFonts w:asciiTheme="majorBidi" w:hAnsiTheme="majorBidi" w:cstheme="majorBidi"/>
                <w:color w:val="000000"/>
                <w:sz w:val="18"/>
                <w:szCs w:val="18"/>
              </w:rPr>
              <w:t>3</w:t>
            </w:r>
          </w:p>
        </w:tc>
        <w:tc>
          <w:tcPr>
            <w:tcW w:w="879" w:type="dxa"/>
            <w:vAlign w:val="center"/>
          </w:tcPr>
          <w:p w14:paraId="2E73A662" w14:textId="39F1C6F0" w:rsidR="000A1231" w:rsidRPr="004F51D2" w:rsidRDefault="000A1231" w:rsidP="00D60E0E">
            <w:pPr>
              <w:bidi w:val="0"/>
              <w:jc w:val="center"/>
              <w:rPr>
                <w:rFonts w:asciiTheme="majorBidi" w:eastAsia="Calibri" w:hAnsiTheme="majorBidi" w:cstheme="majorBidi"/>
                <w:color w:val="000000" w:themeColor="text1"/>
                <w:sz w:val="18"/>
                <w:szCs w:val="18"/>
              </w:rPr>
            </w:pPr>
            <w:r w:rsidRPr="004F51D2">
              <w:rPr>
                <w:rFonts w:asciiTheme="majorBidi" w:hAnsiTheme="majorBidi" w:cstheme="majorBidi"/>
                <w:color w:val="000000"/>
                <w:sz w:val="18"/>
                <w:szCs w:val="18"/>
              </w:rPr>
              <w:t>0.</w:t>
            </w:r>
            <w:r w:rsidR="006A0570" w:rsidRPr="004F51D2">
              <w:rPr>
                <w:rFonts w:asciiTheme="majorBidi" w:hAnsiTheme="majorBidi" w:cstheme="majorBidi"/>
                <w:color w:val="000000"/>
                <w:sz w:val="18"/>
                <w:szCs w:val="18"/>
              </w:rPr>
              <w:t>6</w:t>
            </w:r>
            <w:r w:rsidR="00D60E0E" w:rsidRPr="004F51D2">
              <w:rPr>
                <w:rFonts w:asciiTheme="majorBidi" w:hAnsiTheme="majorBidi" w:cstheme="majorBidi"/>
                <w:color w:val="000000"/>
                <w:sz w:val="18"/>
                <w:szCs w:val="18"/>
              </w:rPr>
              <w:t>31</w:t>
            </w:r>
          </w:p>
        </w:tc>
        <w:tc>
          <w:tcPr>
            <w:tcW w:w="881" w:type="dxa"/>
          </w:tcPr>
          <w:p w14:paraId="25C2C4DC" w14:textId="5AA3B0D9" w:rsidR="000A1231" w:rsidRPr="004F51D2" w:rsidRDefault="000A1231" w:rsidP="00D60E0E">
            <w:pPr>
              <w:bidi w:val="0"/>
              <w:jc w:val="center"/>
              <w:rPr>
                <w:rFonts w:asciiTheme="majorBidi" w:eastAsia="Calibri" w:hAnsiTheme="majorBidi" w:cstheme="majorBidi"/>
                <w:color w:val="000000" w:themeColor="text1"/>
                <w:sz w:val="18"/>
                <w:szCs w:val="18"/>
              </w:rPr>
            </w:pPr>
            <w:r w:rsidRPr="004F51D2">
              <w:rPr>
                <w:rFonts w:asciiTheme="majorBidi" w:eastAsia="Calibri" w:hAnsiTheme="majorBidi" w:cstheme="majorBidi"/>
                <w:color w:val="000000" w:themeColor="text1"/>
                <w:sz w:val="18"/>
                <w:szCs w:val="18"/>
              </w:rPr>
              <w:t>1.00</w:t>
            </w:r>
            <w:r w:rsidR="00D60E0E" w:rsidRPr="004F51D2">
              <w:rPr>
                <w:rFonts w:asciiTheme="majorBidi" w:eastAsia="Calibri" w:hAnsiTheme="majorBidi" w:cstheme="majorBidi"/>
                <w:color w:val="000000" w:themeColor="text1"/>
                <w:sz w:val="18"/>
                <w:szCs w:val="18"/>
              </w:rPr>
              <w:t>1</w:t>
            </w:r>
          </w:p>
        </w:tc>
        <w:tc>
          <w:tcPr>
            <w:tcW w:w="1051" w:type="dxa"/>
          </w:tcPr>
          <w:p w14:paraId="3C06FBCC" w14:textId="086B16CC" w:rsidR="000A1231" w:rsidRPr="004F51D2" w:rsidRDefault="000A1231" w:rsidP="00D60E0E">
            <w:pPr>
              <w:bidi w:val="0"/>
              <w:jc w:val="center"/>
              <w:rPr>
                <w:rFonts w:asciiTheme="majorBidi" w:eastAsia="Calibri" w:hAnsiTheme="majorBidi" w:cstheme="majorBidi"/>
                <w:color w:val="000000" w:themeColor="text1"/>
                <w:sz w:val="18"/>
                <w:szCs w:val="18"/>
              </w:rPr>
            </w:pPr>
            <w:r w:rsidRPr="004F51D2">
              <w:rPr>
                <w:rFonts w:asciiTheme="majorBidi" w:eastAsia="Calibri" w:hAnsiTheme="majorBidi" w:cstheme="majorBidi"/>
                <w:color w:val="000000" w:themeColor="text1"/>
                <w:sz w:val="18"/>
                <w:szCs w:val="18"/>
              </w:rPr>
              <w:t>0.03</w:t>
            </w:r>
            <w:r w:rsidR="00D60E0E" w:rsidRPr="004F51D2">
              <w:rPr>
                <w:rFonts w:asciiTheme="majorBidi" w:eastAsia="Calibri" w:hAnsiTheme="majorBidi" w:cstheme="majorBidi"/>
                <w:color w:val="000000" w:themeColor="text1"/>
                <w:sz w:val="18"/>
                <w:szCs w:val="18"/>
              </w:rPr>
              <w:t>1</w:t>
            </w:r>
          </w:p>
        </w:tc>
        <w:tc>
          <w:tcPr>
            <w:tcW w:w="1268" w:type="dxa"/>
          </w:tcPr>
          <w:p w14:paraId="72F68CB6" w14:textId="77777777" w:rsidR="000A1231" w:rsidRPr="004F51D2" w:rsidRDefault="000A1231" w:rsidP="000A1231">
            <w:pPr>
              <w:bidi w:val="0"/>
              <w:jc w:val="center"/>
              <w:rPr>
                <w:rFonts w:ascii="Times New Roman" w:eastAsia="Calibri" w:hAnsi="Times New Roman" w:cs="Times New Roman"/>
                <w:color w:val="000000" w:themeColor="text1"/>
                <w:sz w:val="18"/>
                <w:szCs w:val="18"/>
                <w:rtl/>
              </w:rPr>
            </w:pPr>
          </w:p>
        </w:tc>
        <w:tc>
          <w:tcPr>
            <w:tcW w:w="1694" w:type="dxa"/>
          </w:tcPr>
          <w:p w14:paraId="77810685" w14:textId="5E0E1D3D" w:rsidR="000A1231" w:rsidRPr="004F51D2" w:rsidRDefault="000A1231" w:rsidP="000A1231">
            <w:pPr>
              <w:bidi w:val="0"/>
              <w:rPr>
                <w:rFonts w:ascii="Times New Roman" w:eastAsia="Calibri" w:hAnsi="Times New Roman" w:cs="Times New Roman"/>
                <w:color w:val="000000" w:themeColor="text1"/>
                <w:sz w:val="18"/>
                <w:szCs w:val="18"/>
              </w:rPr>
            </w:pPr>
            <w:r w:rsidRPr="004F51D2">
              <w:rPr>
                <w:rFonts w:ascii="Times New Roman" w:hAnsi="Times New Roman" w:cs="Times New Roman"/>
                <w:color w:val="000000" w:themeColor="text1"/>
                <w:sz w:val="18"/>
                <w:szCs w:val="18"/>
              </w:rPr>
              <w:t>MOGQ</w:t>
            </w:r>
          </w:p>
        </w:tc>
        <w:tc>
          <w:tcPr>
            <w:tcW w:w="985" w:type="dxa"/>
          </w:tcPr>
          <w:p w14:paraId="2BE40571" w14:textId="77777777" w:rsidR="000A1231" w:rsidRPr="004F51D2" w:rsidRDefault="000A1231" w:rsidP="000A1231">
            <w:pPr>
              <w:bidi w:val="0"/>
              <w:jc w:val="center"/>
              <w:rPr>
                <w:rFonts w:ascii="Times New Roman" w:eastAsia="Calibri" w:hAnsi="Times New Roman" w:cs="Times New Roman"/>
                <w:color w:val="000000" w:themeColor="text1"/>
                <w:sz w:val="18"/>
                <w:szCs w:val="18"/>
                <w:rtl/>
              </w:rPr>
            </w:pPr>
          </w:p>
        </w:tc>
      </w:tr>
      <w:tr w:rsidR="000A1231" w:rsidRPr="004F51D2" w14:paraId="6051F2F8" w14:textId="77777777" w:rsidTr="005D078C">
        <w:tc>
          <w:tcPr>
            <w:tcW w:w="1172" w:type="dxa"/>
            <w:vAlign w:val="center"/>
          </w:tcPr>
          <w:p w14:paraId="68839BD8" w14:textId="35DF200D" w:rsidR="000A1231" w:rsidRPr="004F51D2" w:rsidRDefault="000A1231" w:rsidP="00D60E0E">
            <w:pPr>
              <w:bidi w:val="0"/>
              <w:jc w:val="center"/>
              <w:rPr>
                <w:rFonts w:asciiTheme="majorBidi" w:eastAsia="Calibri" w:hAnsiTheme="majorBidi" w:cstheme="majorBidi"/>
                <w:color w:val="000000" w:themeColor="text1"/>
                <w:sz w:val="18"/>
                <w:szCs w:val="18"/>
              </w:rPr>
            </w:pPr>
            <w:r w:rsidRPr="004F51D2">
              <w:rPr>
                <w:rFonts w:asciiTheme="majorBidi" w:hAnsiTheme="majorBidi" w:cstheme="majorBidi"/>
                <w:color w:val="000000"/>
                <w:sz w:val="18"/>
                <w:szCs w:val="18"/>
              </w:rPr>
              <w:t>1.89</w:t>
            </w:r>
            <w:r w:rsidR="00D60E0E" w:rsidRPr="004F51D2">
              <w:rPr>
                <w:rFonts w:asciiTheme="majorBidi" w:hAnsiTheme="majorBidi" w:cstheme="majorBidi"/>
                <w:color w:val="000000"/>
                <w:sz w:val="18"/>
                <w:szCs w:val="18"/>
              </w:rPr>
              <w:t>5</w:t>
            </w:r>
          </w:p>
        </w:tc>
        <w:tc>
          <w:tcPr>
            <w:tcW w:w="1096" w:type="dxa"/>
            <w:vAlign w:val="center"/>
          </w:tcPr>
          <w:p w14:paraId="1BFE9DA4" w14:textId="132DAE85" w:rsidR="000A1231" w:rsidRPr="004F51D2" w:rsidRDefault="000A1231" w:rsidP="00D60E0E">
            <w:pPr>
              <w:bidi w:val="0"/>
              <w:jc w:val="center"/>
              <w:rPr>
                <w:rFonts w:asciiTheme="majorBidi" w:eastAsia="Calibri" w:hAnsiTheme="majorBidi" w:cstheme="majorBidi"/>
                <w:color w:val="000000" w:themeColor="text1"/>
                <w:sz w:val="18"/>
                <w:szCs w:val="18"/>
              </w:rPr>
            </w:pPr>
            <w:r w:rsidRPr="004F51D2">
              <w:rPr>
                <w:rFonts w:asciiTheme="majorBidi" w:hAnsiTheme="majorBidi" w:cstheme="majorBidi"/>
                <w:color w:val="000000"/>
                <w:sz w:val="18"/>
                <w:szCs w:val="18"/>
              </w:rPr>
              <w:t>0.72</w:t>
            </w:r>
            <w:r w:rsidR="00D60E0E" w:rsidRPr="004F51D2">
              <w:rPr>
                <w:rFonts w:asciiTheme="majorBidi" w:hAnsiTheme="majorBidi" w:cstheme="majorBidi"/>
                <w:color w:val="000000"/>
                <w:sz w:val="18"/>
                <w:szCs w:val="18"/>
              </w:rPr>
              <w:t>7</w:t>
            </w:r>
          </w:p>
        </w:tc>
        <w:tc>
          <w:tcPr>
            <w:tcW w:w="879" w:type="dxa"/>
            <w:vAlign w:val="center"/>
          </w:tcPr>
          <w:p w14:paraId="11F24CD6" w14:textId="07A14111" w:rsidR="000A1231" w:rsidRPr="004F51D2" w:rsidRDefault="000A1231" w:rsidP="000A1231">
            <w:pPr>
              <w:bidi w:val="0"/>
              <w:jc w:val="center"/>
              <w:rPr>
                <w:rFonts w:asciiTheme="majorBidi" w:eastAsia="Calibri" w:hAnsiTheme="majorBidi" w:cstheme="majorBidi"/>
                <w:color w:val="000000" w:themeColor="text1"/>
                <w:sz w:val="18"/>
                <w:szCs w:val="18"/>
              </w:rPr>
            </w:pPr>
            <w:r w:rsidRPr="004F51D2">
              <w:rPr>
                <w:rFonts w:asciiTheme="majorBidi" w:hAnsiTheme="majorBidi" w:cstheme="majorBidi"/>
                <w:color w:val="000000"/>
                <w:sz w:val="18"/>
                <w:szCs w:val="18"/>
              </w:rPr>
              <w:t>0.000</w:t>
            </w:r>
          </w:p>
        </w:tc>
        <w:tc>
          <w:tcPr>
            <w:tcW w:w="881" w:type="dxa"/>
            <w:vAlign w:val="center"/>
          </w:tcPr>
          <w:p w14:paraId="177A6052" w14:textId="0CEACD0D" w:rsidR="000A1231" w:rsidRPr="004F51D2" w:rsidRDefault="000A1231" w:rsidP="00D60E0E">
            <w:pPr>
              <w:bidi w:val="0"/>
              <w:jc w:val="center"/>
              <w:rPr>
                <w:rFonts w:asciiTheme="majorBidi" w:eastAsia="Calibri" w:hAnsiTheme="majorBidi" w:cstheme="majorBidi"/>
                <w:color w:val="000000" w:themeColor="text1"/>
                <w:sz w:val="18"/>
                <w:szCs w:val="18"/>
              </w:rPr>
            </w:pPr>
            <w:r w:rsidRPr="004F51D2">
              <w:rPr>
                <w:rFonts w:asciiTheme="majorBidi" w:hAnsiTheme="majorBidi" w:cstheme="majorBidi"/>
                <w:color w:val="000000"/>
                <w:sz w:val="18"/>
                <w:szCs w:val="18"/>
              </w:rPr>
              <w:t>9.33</w:t>
            </w:r>
            <w:r w:rsidR="00D60E0E" w:rsidRPr="004F51D2">
              <w:rPr>
                <w:rFonts w:asciiTheme="majorBidi" w:hAnsiTheme="majorBidi" w:cstheme="majorBidi"/>
                <w:color w:val="000000"/>
                <w:sz w:val="18"/>
                <w:szCs w:val="18"/>
              </w:rPr>
              <w:t>5</w:t>
            </w:r>
          </w:p>
        </w:tc>
        <w:tc>
          <w:tcPr>
            <w:tcW w:w="1051" w:type="dxa"/>
            <w:vAlign w:val="center"/>
          </w:tcPr>
          <w:p w14:paraId="4CCDF491" w14:textId="07E9EE47" w:rsidR="000A1231" w:rsidRPr="004F51D2" w:rsidRDefault="00BE5324" w:rsidP="00D60E0E">
            <w:pPr>
              <w:bidi w:val="0"/>
              <w:jc w:val="center"/>
              <w:rPr>
                <w:rFonts w:asciiTheme="majorBidi" w:eastAsia="Calibri" w:hAnsiTheme="majorBidi" w:cstheme="majorBidi"/>
                <w:color w:val="000000" w:themeColor="text1"/>
                <w:sz w:val="18"/>
                <w:szCs w:val="18"/>
              </w:rPr>
            </w:pPr>
            <w:r w:rsidRPr="004F51D2">
              <w:rPr>
                <w:rFonts w:asciiTheme="majorBidi" w:hAnsiTheme="majorBidi" w:cstheme="majorBidi"/>
                <w:color w:val="000000"/>
                <w:sz w:val="18"/>
                <w:szCs w:val="18"/>
              </w:rPr>
              <w:t xml:space="preserve">    </w:t>
            </w:r>
            <w:r w:rsidR="000A1231" w:rsidRPr="004F51D2">
              <w:rPr>
                <w:rFonts w:asciiTheme="majorBidi" w:hAnsiTheme="majorBidi" w:cstheme="majorBidi"/>
                <w:color w:val="000000"/>
                <w:sz w:val="18"/>
                <w:szCs w:val="18"/>
              </w:rPr>
              <w:t>0.43</w:t>
            </w:r>
            <w:r w:rsidR="00D60E0E" w:rsidRPr="004F51D2">
              <w:rPr>
                <w:rFonts w:asciiTheme="majorBidi" w:hAnsiTheme="majorBidi" w:cstheme="majorBidi"/>
                <w:color w:val="000000"/>
                <w:sz w:val="18"/>
                <w:szCs w:val="18"/>
              </w:rPr>
              <w:t>3</w:t>
            </w:r>
            <w:r w:rsidRPr="004F51D2">
              <w:rPr>
                <w:rFonts w:ascii="Times New Roman" w:eastAsia="Calibri" w:hAnsi="Times New Roman" w:cs="Times New Roman"/>
                <w:color w:val="000000" w:themeColor="text1"/>
                <w:sz w:val="18"/>
                <w:szCs w:val="18"/>
              </w:rPr>
              <w:t>**</w:t>
            </w:r>
          </w:p>
        </w:tc>
        <w:tc>
          <w:tcPr>
            <w:tcW w:w="1268" w:type="dxa"/>
          </w:tcPr>
          <w:p w14:paraId="142C4328" w14:textId="77777777" w:rsidR="000A1231" w:rsidRPr="004F51D2" w:rsidRDefault="000A1231" w:rsidP="000A1231">
            <w:pPr>
              <w:bidi w:val="0"/>
              <w:jc w:val="center"/>
              <w:rPr>
                <w:rFonts w:ascii="Times New Roman" w:eastAsia="Calibri" w:hAnsi="Times New Roman" w:cs="Times New Roman"/>
                <w:color w:val="000000" w:themeColor="text1"/>
                <w:sz w:val="18"/>
                <w:szCs w:val="18"/>
                <w:rtl/>
              </w:rPr>
            </w:pPr>
          </w:p>
        </w:tc>
        <w:tc>
          <w:tcPr>
            <w:tcW w:w="1694" w:type="dxa"/>
          </w:tcPr>
          <w:p w14:paraId="01191F44" w14:textId="6FE18CD1" w:rsidR="000A1231" w:rsidRPr="004F51D2" w:rsidRDefault="000A1231" w:rsidP="000A1231">
            <w:pPr>
              <w:bidi w:val="0"/>
              <w:rPr>
                <w:rFonts w:ascii="Times New Roman" w:eastAsia="Calibri" w:hAnsi="Times New Roman" w:cs="Times New Roman"/>
                <w:color w:val="000000" w:themeColor="text1"/>
                <w:sz w:val="18"/>
                <w:szCs w:val="18"/>
              </w:rPr>
            </w:pPr>
            <w:r w:rsidRPr="004F51D2">
              <w:rPr>
                <w:rFonts w:ascii="Times New Roman" w:eastAsia="Calibri" w:hAnsi="Times New Roman" w:cs="Times New Roman"/>
                <w:color w:val="000000" w:themeColor="text1"/>
                <w:sz w:val="18"/>
                <w:szCs w:val="18"/>
              </w:rPr>
              <w:t>N</w:t>
            </w:r>
            <w:r w:rsidR="009154D8" w:rsidRPr="004F51D2">
              <w:rPr>
                <w:rFonts w:ascii="Times New Roman" w:eastAsia="Calibri" w:hAnsi="Times New Roman" w:cs="Times New Roman"/>
                <w:color w:val="000000" w:themeColor="text1"/>
                <w:sz w:val="18"/>
                <w:szCs w:val="18"/>
              </w:rPr>
              <w:t>-</w:t>
            </w:r>
            <w:r w:rsidRPr="004F51D2">
              <w:rPr>
                <w:rFonts w:ascii="Times New Roman" w:eastAsia="Calibri" w:hAnsi="Times New Roman" w:cs="Times New Roman"/>
                <w:color w:val="000000" w:themeColor="text1"/>
                <w:sz w:val="18"/>
                <w:szCs w:val="18"/>
              </w:rPr>
              <w:t>MOGU</w:t>
            </w:r>
          </w:p>
        </w:tc>
        <w:tc>
          <w:tcPr>
            <w:tcW w:w="985" w:type="dxa"/>
          </w:tcPr>
          <w:p w14:paraId="3BD11CFD" w14:textId="77777777" w:rsidR="000A1231" w:rsidRPr="004F51D2" w:rsidRDefault="000A1231" w:rsidP="000A1231">
            <w:pPr>
              <w:bidi w:val="0"/>
              <w:jc w:val="center"/>
              <w:rPr>
                <w:rFonts w:ascii="Times New Roman" w:eastAsia="Calibri" w:hAnsi="Times New Roman" w:cs="Times New Roman"/>
                <w:color w:val="000000" w:themeColor="text1"/>
                <w:sz w:val="18"/>
                <w:szCs w:val="18"/>
                <w:rtl/>
              </w:rPr>
            </w:pPr>
          </w:p>
        </w:tc>
      </w:tr>
      <w:tr w:rsidR="000A1231" w:rsidRPr="004F51D2" w14:paraId="4F2B14F0" w14:textId="77777777" w:rsidTr="005D078C">
        <w:tc>
          <w:tcPr>
            <w:tcW w:w="1172" w:type="dxa"/>
            <w:vAlign w:val="center"/>
          </w:tcPr>
          <w:p w14:paraId="42E31053" w14:textId="054D95CC" w:rsidR="000A1231" w:rsidRPr="004F51D2" w:rsidRDefault="000A1231" w:rsidP="00D60E0E">
            <w:pPr>
              <w:bidi w:val="0"/>
              <w:jc w:val="center"/>
              <w:rPr>
                <w:rFonts w:asciiTheme="majorBidi" w:eastAsia="Calibri" w:hAnsiTheme="majorBidi" w:cstheme="majorBidi"/>
                <w:color w:val="000000" w:themeColor="text1"/>
                <w:sz w:val="18"/>
                <w:szCs w:val="18"/>
              </w:rPr>
            </w:pPr>
            <w:r w:rsidRPr="004F51D2">
              <w:rPr>
                <w:rFonts w:asciiTheme="majorBidi" w:hAnsiTheme="majorBidi" w:cstheme="majorBidi"/>
                <w:color w:val="000000"/>
                <w:sz w:val="18"/>
                <w:szCs w:val="18"/>
              </w:rPr>
              <w:t>2.10</w:t>
            </w:r>
            <w:r w:rsidR="00D60E0E" w:rsidRPr="004F51D2">
              <w:rPr>
                <w:rFonts w:asciiTheme="majorBidi" w:hAnsiTheme="majorBidi" w:cstheme="majorBidi"/>
                <w:color w:val="000000"/>
                <w:sz w:val="18"/>
                <w:szCs w:val="18"/>
              </w:rPr>
              <w:t>5</w:t>
            </w:r>
          </w:p>
        </w:tc>
        <w:tc>
          <w:tcPr>
            <w:tcW w:w="1096" w:type="dxa"/>
            <w:vAlign w:val="center"/>
          </w:tcPr>
          <w:p w14:paraId="1BF62023" w14:textId="69EBA525" w:rsidR="000A1231" w:rsidRPr="004F51D2" w:rsidRDefault="000A1231" w:rsidP="00D60E0E">
            <w:pPr>
              <w:bidi w:val="0"/>
              <w:jc w:val="center"/>
              <w:rPr>
                <w:rFonts w:asciiTheme="majorBidi" w:eastAsia="Calibri" w:hAnsiTheme="majorBidi" w:cstheme="majorBidi"/>
                <w:color w:val="000000" w:themeColor="text1"/>
                <w:sz w:val="18"/>
                <w:szCs w:val="18"/>
              </w:rPr>
            </w:pPr>
            <w:r w:rsidRPr="004F51D2">
              <w:rPr>
                <w:rFonts w:asciiTheme="majorBidi" w:hAnsiTheme="majorBidi" w:cstheme="majorBidi"/>
                <w:color w:val="000000"/>
                <w:sz w:val="18"/>
                <w:szCs w:val="18"/>
              </w:rPr>
              <w:t>0.77</w:t>
            </w:r>
            <w:r w:rsidR="00D60E0E" w:rsidRPr="004F51D2">
              <w:rPr>
                <w:rFonts w:asciiTheme="majorBidi" w:hAnsiTheme="majorBidi" w:cstheme="majorBidi"/>
                <w:color w:val="000000"/>
                <w:sz w:val="18"/>
                <w:szCs w:val="18"/>
              </w:rPr>
              <w:t>4</w:t>
            </w:r>
          </w:p>
        </w:tc>
        <w:tc>
          <w:tcPr>
            <w:tcW w:w="879" w:type="dxa"/>
            <w:vAlign w:val="center"/>
          </w:tcPr>
          <w:p w14:paraId="4C3BAC57" w14:textId="3EA54D31" w:rsidR="000A1231" w:rsidRPr="004F51D2" w:rsidRDefault="000A1231" w:rsidP="000A1231">
            <w:pPr>
              <w:bidi w:val="0"/>
              <w:jc w:val="center"/>
              <w:rPr>
                <w:rFonts w:asciiTheme="majorBidi" w:eastAsia="Calibri" w:hAnsiTheme="majorBidi" w:cstheme="majorBidi"/>
                <w:color w:val="000000" w:themeColor="text1"/>
                <w:sz w:val="18"/>
                <w:szCs w:val="18"/>
              </w:rPr>
            </w:pPr>
            <w:r w:rsidRPr="004F51D2">
              <w:rPr>
                <w:rFonts w:asciiTheme="majorBidi" w:hAnsiTheme="majorBidi" w:cstheme="majorBidi"/>
                <w:color w:val="000000"/>
                <w:sz w:val="18"/>
                <w:szCs w:val="18"/>
              </w:rPr>
              <w:t>0.000</w:t>
            </w:r>
          </w:p>
        </w:tc>
        <w:tc>
          <w:tcPr>
            <w:tcW w:w="881" w:type="dxa"/>
            <w:vAlign w:val="center"/>
          </w:tcPr>
          <w:p w14:paraId="284F6657" w14:textId="0F8D58DF" w:rsidR="000A1231" w:rsidRPr="004F51D2" w:rsidRDefault="000A1231" w:rsidP="00D60E0E">
            <w:pPr>
              <w:bidi w:val="0"/>
              <w:jc w:val="center"/>
              <w:rPr>
                <w:rFonts w:asciiTheme="majorBidi" w:eastAsia="Calibri" w:hAnsiTheme="majorBidi" w:cstheme="majorBidi"/>
                <w:color w:val="000000" w:themeColor="text1"/>
                <w:sz w:val="18"/>
                <w:szCs w:val="18"/>
              </w:rPr>
            </w:pPr>
            <w:r w:rsidRPr="004F51D2">
              <w:rPr>
                <w:rFonts w:asciiTheme="majorBidi" w:hAnsiTheme="majorBidi" w:cstheme="majorBidi"/>
                <w:color w:val="000000"/>
                <w:sz w:val="18"/>
                <w:szCs w:val="18"/>
              </w:rPr>
              <w:t>5.31</w:t>
            </w:r>
            <w:r w:rsidR="00D60E0E" w:rsidRPr="004F51D2">
              <w:rPr>
                <w:rFonts w:asciiTheme="majorBidi" w:hAnsiTheme="majorBidi" w:cstheme="majorBidi"/>
                <w:color w:val="000000"/>
                <w:sz w:val="18"/>
                <w:szCs w:val="18"/>
              </w:rPr>
              <w:t>4</w:t>
            </w:r>
          </w:p>
        </w:tc>
        <w:tc>
          <w:tcPr>
            <w:tcW w:w="1051" w:type="dxa"/>
            <w:vAlign w:val="center"/>
          </w:tcPr>
          <w:p w14:paraId="0915DE31" w14:textId="3466CFF8" w:rsidR="000A1231" w:rsidRPr="004F51D2" w:rsidRDefault="00BE5324" w:rsidP="00D60E0E">
            <w:pPr>
              <w:bidi w:val="0"/>
              <w:jc w:val="center"/>
              <w:rPr>
                <w:rFonts w:asciiTheme="majorBidi" w:eastAsia="Calibri" w:hAnsiTheme="majorBidi" w:cstheme="majorBidi"/>
                <w:color w:val="000000" w:themeColor="text1"/>
                <w:sz w:val="18"/>
                <w:szCs w:val="18"/>
              </w:rPr>
            </w:pPr>
            <w:r w:rsidRPr="004F51D2">
              <w:rPr>
                <w:rFonts w:asciiTheme="majorBidi" w:hAnsiTheme="majorBidi" w:cstheme="majorBidi"/>
                <w:color w:val="000000"/>
                <w:sz w:val="18"/>
                <w:szCs w:val="18"/>
              </w:rPr>
              <w:t xml:space="preserve">    </w:t>
            </w:r>
            <w:r w:rsidR="000A1231" w:rsidRPr="004F51D2">
              <w:rPr>
                <w:rFonts w:asciiTheme="majorBidi" w:hAnsiTheme="majorBidi" w:cstheme="majorBidi"/>
                <w:color w:val="000000"/>
                <w:sz w:val="18"/>
                <w:szCs w:val="18"/>
              </w:rPr>
              <w:t>0.37</w:t>
            </w:r>
            <w:r w:rsidR="00D60E0E" w:rsidRPr="004F51D2">
              <w:rPr>
                <w:rFonts w:asciiTheme="majorBidi" w:hAnsiTheme="majorBidi" w:cstheme="majorBidi"/>
                <w:color w:val="000000"/>
                <w:sz w:val="18"/>
                <w:szCs w:val="18"/>
              </w:rPr>
              <w:t>0</w:t>
            </w:r>
            <w:r w:rsidRPr="004F51D2">
              <w:rPr>
                <w:rFonts w:ascii="Times New Roman" w:eastAsia="Calibri" w:hAnsi="Times New Roman" w:cs="Times New Roman"/>
                <w:color w:val="000000" w:themeColor="text1"/>
                <w:sz w:val="18"/>
                <w:szCs w:val="18"/>
              </w:rPr>
              <w:t>**</w:t>
            </w:r>
          </w:p>
        </w:tc>
        <w:tc>
          <w:tcPr>
            <w:tcW w:w="1268" w:type="dxa"/>
          </w:tcPr>
          <w:p w14:paraId="26F9B553" w14:textId="77777777" w:rsidR="000A1231" w:rsidRPr="004F51D2" w:rsidRDefault="000A1231" w:rsidP="000A1231">
            <w:pPr>
              <w:bidi w:val="0"/>
              <w:jc w:val="center"/>
              <w:rPr>
                <w:rFonts w:ascii="Times New Roman" w:eastAsia="Calibri" w:hAnsi="Times New Roman" w:cs="Times New Roman"/>
                <w:color w:val="000000" w:themeColor="text1"/>
                <w:sz w:val="18"/>
                <w:szCs w:val="18"/>
                <w:rtl/>
              </w:rPr>
            </w:pPr>
          </w:p>
        </w:tc>
        <w:tc>
          <w:tcPr>
            <w:tcW w:w="1694" w:type="dxa"/>
          </w:tcPr>
          <w:p w14:paraId="54ADFB7B" w14:textId="1E098FE2" w:rsidR="000A1231" w:rsidRPr="004F51D2" w:rsidRDefault="000A1231" w:rsidP="000A1231">
            <w:pPr>
              <w:bidi w:val="0"/>
              <w:rPr>
                <w:rFonts w:ascii="Times New Roman" w:eastAsia="Calibri" w:hAnsi="Times New Roman" w:cs="Times New Roman"/>
                <w:color w:val="000000" w:themeColor="text1"/>
                <w:sz w:val="18"/>
                <w:szCs w:val="18"/>
              </w:rPr>
            </w:pPr>
            <w:r w:rsidRPr="004F51D2">
              <w:rPr>
                <w:rFonts w:ascii="Times New Roman" w:eastAsia="Calibri" w:hAnsi="Times New Roman" w:cs="Times New Roman"/>
                <w:color w:val="000000" w:themeColor="text1"/>
                <w:sz w:val="18"/>
                <w:szCs w:val="18"/>
              </w:rPr>
              <w:t>N</w:t>
            </w:r>
            <w:r w:rsidR="009154D8" w:rsidRPr="004F51D2">
              <w:rPr>
                <w:rFonts w:ascii="Times New Roman" w:eastAsia="Calibri" w:hAnsi="Times New Roman" w:cs="Times New Roman"/>
                <w:color w:val="000000" w:themeColor="text1"/>
                <w:sz w:val="18"/>
                <w:szCs w:val="18"/>
              </w:rPr>
              <w:t>-</w:t>
            </w:r>
            <w:r w:rsidRPr="004F51D2">
              <w:rPr>
                <w:rFonts w:ascii="Times New Roman" w:eastAsia="Calibri" w:hAnsi="Times New Roman" w:cs="Times New Roman"/>
                <w:color w:val="000000" w:themeColor="text1"/>
                <w:sz w:val="18"/>
                <w:szCs w:val="18"/>
              </w:rPr>
              <w:t>MOGD</w:t>
            </w:r>
          </w:p>
        </w:tc>
        <w:tc>
          <w:tcPr>
            <w:tcW w:w="985" w:type="dxa"/>
          </w:tcPr>
          <w:p w14:paraId="31957EB8" w14:textId="77777777" w:rsidR="000A1231" w:rsidRPr="004F51D2" w:rsidRDefault="000A1231" w:rsidP="000A1231">
            <w:pPr>
              <w:bidi w:val="0"/>
              <w:jc w:val="center"/>
              <w:rPr>
                <w:rFonts w:ascii="Times New Roman" w:eastAsia="Calibri" w:hAnsi="Times New Roman" w:cs="Times New Roman"/>
                <w:color w:val="000000" w:themeColor="text1"/>
                <w:sz w:val="18"/>
                <w:szCs w:val="18"/>
                <w:rtl/>
              </w:rPr>
            </w:pPr>
          </w:p>
        </w:tc>
      </w:tr>
      <w:tr w:rsidR="00FE6B3F" w:rsidRPr="004F51D2" w14:paraId="12DB86A4" w14:textId="77777777" w:rsidTr="005D078C">
        <w:tc>
          <w:tcPr>
            <w:tcW w:w="1172" w:type="dxa"/>
            <w:tcBorders>
              <w:bottom w:val="single" w:sz="4" w:space="0" w:color="000000" w:themeColor="text1"/>
            </w:tcBorders>
            <w:vAlign w:val="center"/>
          </w:tcPr>
          <w:p w14:paraId="60AAEB3F" w14:textId="01F8DAAF" w:rsidR="00FE6B3F" w:rsidRPr="004F51D2" w:rsidRDefault="00FE6B3F" w:rsidP="00D60E0E">
            <w:pPr>
              <w:bidi w:val="0"/>
              <w:jc w:val="center"/>
              <w:rPr>
                <w:rFonts w:asciiTheme="majorBidi" w:eastAsia="Calibri" w:hAnsiTheme="majorBidi" w:cstheme="majorBidi"/>
                <w:color w:val="000000" w:themeColor="text1"/>
                <w:sz w:val="18"/>
                <w:szCs w:val="18"/>
              </w:rPr>
            </w:pPr>
            <w:r w:rsidRPr="004F51D2">
              <w:rPr>
                <w:rFonts w:asciiTheme="majorBidi" w:hAnsiTheme="majorBidi" w:cstheme="majorBidi"/>
                <w:color w:val="000000"/>
                <w:sz w:val="18"/>
                <w:szCs w:val="18"/>
              </w:rPr>
              <w:t>1.64</w:t>
            </w:r>
            <w:r w:rsidR="00D60E0E" w:rsidRPr="004F51D2">
              <w:rPr>
                <w:rFonts w:asciiTheme="majorBidi" w:hAnsiTheme="majorBidi" w:cstheme="majorBidi"/>
                <w:color w:val="000000"/>
                <w:sz w:val="18"/>
                <w:szCs w:val="18"/>
              </w:rPr>
              <w:t>0</w:t>
            </w:r>
          </w:p>
        </w:tc>
        <w:tc>
          <w:tcPr>
            <w:tcW w:w="1096" w:type="dxa"/>
            <w:tcBorders>
              <w:bottom w:val="single" w:sz="4" w:space="0" w:color="000000" w:themeColor="text1"/>
            </w:tcBorders>
            <w:vAlign w:val="center"/>
          </w:tcPr>
          <w:p w14:paraId="180FAFCC" w14:textId="6F3FB8C6" w:rsidR="00FE6B3F" w:rsidRPr="004F51D2" w:rsidRDefault="005D078C" w:rsidP="00D60E0E">
            <w:pPr>
              <w:bidi w:val="0"/>
              <w:jc w:val="center"/>
              <w:rPr>
                <w:rFonts w:asciiTheme="majorBidi" w:eastAsia="Calibri" w:hAnsiTheme="majorBidi" w:cstheme="majorBidi"/>
                <w:color w:val="000000" w:themeColor="text1"/>
                <w:sz w:val="18"/>
                <w:szCs w:val="18"/>
              </w:rPr>
            </w:pPr>
            <w:r w:rsidRPr="004F51D2">
              <w:rPr>
                <w:rFonts w:asciiTheme="majorBidi" w:hAnsiTheme="majorBidi" w:cstheme="majorBidi"/>
                <w:color w:val="000000"/>
                <w:sz w:val="18"/>
                <w:szCs w:val="18"/>
              </w:rPr>
              <w:t>0</w:t>
            </w:r>
            <w:r w:rsidR="00FE6B3F" w:rsidRPr="004F51D2">
              <w:rPr>
                <w:rFonts w:asciiTheme="majorBidi" w:hAnsiTheme="majorBidi" w:cstheme="majorBidi"/>
                <w:color w:val="000000"/>
                <w:sz w:val="18"/>
                <w:szCs w:val="18"/>
              </w:rPr>
              <w:t>.</w:t>
            </w:r>
            <w:r w:rsidRPr="004F51D2">
              <w:rPr>
                <w:rFonts w:asciiTheme="majorBidi" w:hAnsiTheme="majorBidi" w:cstheme="majorBidi"/>
                <w:color w:val="000000"/>
                <w:sz w:val="18"/>
                <w:szCs w:val="18"/>
              </w:rPr>
              <w:t>8</w:t>
            </w:r>
            <w:r w:rsidR="00FE6B3F" w:rsidRPr="004F51D2">
              <w:rPr>
                <w:rFonts w:asciiTheme="majorBidi" w:hAnsiTheme="majorBidi" w:cstheme="majorBidi"/>
                <w:color w:val="000000"/>
                <w:sz w:val="18"/>
                <w:szCs w:val="18"/>
              </w:rPr>
              <w:t>0</w:t>
            </w:r>
            <w:r w:rsidR="00D60E0E" w:rsidRPr="004F51D2">
              <w:rPr>
                <w:rFonts w:asciiTheme="majorBidi" w:hAnsiTheme="majorBidi" w:cstheme="majorBidi"/>
                <w:color w:val="000000"/>
                <w:sz w:val="18"/>
                <w:szCs w:val="18"/>
              </w:rPr>
              <w:t>6</w:t>
            </w:r>
          </w:p>
        </w:tc>
        <w:tc>
          <w:tcPr>
            <w:tcW w:w="879" w:type="dxa"/>
            <w:tcBorders>
              <w:bottom w:val="single" w:sz="4" w:space="0" w:color="000000" w:themeColor="text1"/>
            </w:tcBorders>
            <w:vAlign w:val="center"/>
          </w:tcPr>
          <w:p w14:paraId="2CD7EBC5" w14:textId="3AB20F2D" w:rsidR="00FE6B3F" w:rsidRPr="004F51D2" w:rsidRDefault="005D078C" w:rsidP="00FE6B3F">
            <w:pPr>
              <w:bidi w:val="0"/>
              <w:jc w:val="center"/>
              <w:rPr>
                <w:rFonts w:asciiTheme="majorBidi" w:eastAsia="Calibri" w:hAnsiTheme="majorBidi" w:cstheme="majorBidi"/>
                <w:color w:val="000000" w:themeColor="text1"/>
                <w:sz w:val="18"/>
                <w:szCs w:val="18"/>
              </w:rPr>
            </w:pPr>
            <w:r w:rsidRPr="004F51D2">
              <w:rPr>
                <w:rFonts w:asciiTheme="majorBidi" w:hAnsiTheme="majorBidi" w:cstheme="majorBidi"/>
                <w:color w:val="000000"/>
                <w:sz w:val="18"/>
                <w:szCs w:val="18"/>
              </w:rPr>
              <w:t>0</w:t>
            </w:r>
            <w:r w:rsidR="00FE6B3F" w:rsidRPr="004F51D2">
              <w:rPr>
                <w:rFonts w:asciiTheme="majorBidi" w:hAnsiTheme="majorBidi" w:cstheme="majorBidi"/>
                <w:color w:val="000000"/>
                <w:sz w:val="18"/>
                <w:szCs w:val="18"/>
              </w:rPr>
              <w:t>.000</w:t>
            </w:r>
          </w:p>
        </w:tc>
        <w:tc>
          <w:tcPr>
            <w:tcW w:w="881" w:type="dxa"/>
            <w:tcBorders>
              <w:bottom w:val="single" w:sz="4" w:space="0" w:color="000000" w:themeColor="text1"/>
            </w:tcBorders>
            <w:vAlign w:val="center"/>
          </w:tcPr>
          <w:p w14:paraId="727CA30E" w14:textId="0C0A024B" w:rsidR="00FE6B3F" w:rsidRPr="004F51D2" w:rsidRDefault="00FE6B3F" w:rsidP="00D60E0E">
            <w:pPr>
              <w:bidi w:val="0"/>
              <w:jc w:val="center"/>
              <w:rPr>
                <w:rFonts w:asciiTheme="majorBidi" w:eastAsia="Calibri" w:hAnsiTheme="majorBidi" w:cstheme="majorBidi"/>
                <w:color w:val="000000" w:themeColor="text1"/>
                <w:sz w:val="18"/>
                <w:szCs w:val="18"/>
              </w:rPr>
            </w:pPr>
            <w:r w:rsidRPr="004F51D2">
              <w:rPr>
                <w:rFonts w:asciiTheme="majorBidi" w:hAnsiTheme="majorBidi" w:cstheme="majorBidi"/>
                <w:color w:val="000000"/>
                <w:sz w:val="18"/>
                <w:szCs w:val="18"/>
              </w:rPr>
              <w:t>4.90</w:t>
            </w:r>
            <w:r w:rsidR="00D60E0E" w:rsidRPr="004F51D2">
              <w:rPr>
                <w:rFonts w:asciiTheme="majorBidi" w:hAnsiTheme="majorBidi" w:cstheme="majorBidi"/>
                <w:color w:val="000000"/>
                <w:sz w:val="18"/>
                <w:szCs w:val="18"/>
              </w:rPr>
              <w:t>8</w:t>
            </w:r>
          </w:p>
        </w:tc>
        <w:tc>
          <w:tcPr>
            <w:tcW w:w="1051" w:type="dxa"/>
            <w:tcBorders>
              <w:bottom w:val="single" w:sz="4" w:space="0" w:color="000000" w:themeColor="text1"/>
            </w:tcBorders>
            <w:vAlign w:val="center"/>
          </w:tcPr>
          <w:p w14:paraId="32883CA8" w14:textId="67451D15" w:rsidR="00FE6B3F" w:rsidRPr="004F51D2" w:rsidRDefault="00BE5324" w:rsidP="00BE5324">
            <w:pPr>
              <w:bidi w:val="0"/>
              <w:rPr>
                <w:rFonts w:asciiTheme="majorBidi" w:eastAsia="Calibri" w:hAnsiTheme="majorBidi" w:cstheme="majorBidi"/>
                <w:color w:val="000000" w:themeColor="text1"/>
                <w:sz w:val="18"/>
                <w:szCs w:val="18"/>
              </w:rPr>
            </w:pPr>
            <w:r w:rsidRPr="004F51D2">
              <w:rPr>
                <w:rFonts w:asciiTheme="majorBidi" w:hAnsiTheme="majorBidi" w:cstheme="majorBidi"/>
                <w:color w:val="000000"/>
                <w:sz w:val="18"/>
                <w:szCs w:val="18"/>
              </w:rPr>
              <w:t xml:space="preserve">     </w:t>
            </w:r>
            <w:r w:rsidR="00FE6B3F" w:rsidRPr="004F51D2">
              <w:rPr>
                <w:rFonts w:asciiTheme="majorBidi" w:hAnsiTheme="majorBidi" w:cstheme="majorBidi"/>
                <w:color w:val="000000"/>
                <w:sz w:val="18"/>
                <w:szCs w:val="18"/>
              </w:rPr>
              <w:t>0.286</w:t>
            </w:r>
            <w:r w:rsidRPr="004F51D2">
              <w:rPr>
                <w:rFonts w:ascii="Times New Roman" w:eastAsia="Calibri" w:hAnsi="Times New Roman" w:cs="Times New Roman"/>
                <w:color w:val="000000" w:themeColor="text1"/>
                <w:sz w:val="18"/>
                <w:szCs w:val="18"/>
              </w:rPr>
              <w:t>**</w:t>
            </w:r>
          </w:p>
        </w:tc>
        <w:tc>
          <w:tcPr>
            <w:tcW w:w="1268" w:type="dxa"/>
            <w:tcBorders>
              <w:bottom w:val="single" w:sz="4" w:space="0" w:color="000000" w:themeColor="text1"/>
            </w:tcBorders>
          </w:tcPr>
          <w:p w14:paraId="2F8BDA84" w14:textId="77777777" w:rsidR="00FE6B3F" w:rsidRPr="004F51D2" w:rsidRDefault="00FE6B3F" w:rsidP="00FE6B3F">
            <w:pPr>
              <w:bidi w:val="0"/>
              <w:jc w:val="center"/>
              <w:rPr>
                <w:rFonts w:ascii="Times New Roman" w:eastAsia="Calibri" w:hAnsi="Times New Roman" w:cs="Times New Roman"/>
                <w:color w:val="000000" w:themeColor="text1"/>
                <w:sz w:val="18"/>
                <w:szCs w:val="18"/>
                <w:rtl/>
              </w:rPr>
            </w:pPr>
          </w:p>
        </w:tc>
        <w:tc>
          <w:tcPr>
            <w:tcW w:w="1694" w:type="dxa"/>
            <w:tcBorders>
              <w:bottom w:val="single" w:sz="4" w:space="0" w:color="000000" w:themeColor="text1"/>
            </w:tcBorders>
          </w:tcPr>
          <w:p w14:paraId="234AB97F" w14:textId="56ABF602" w:rsidR="00FE6B3F" w:rsidRPr="004F51D2" w:rsidRDefault="00FE6B3F" w:rsidP="00FE6B3F">
            <w:pPr>
              <w:bidi w:val="0"/>
              <w:rPr>
                <w:rFonts w:ascii="Times New Roman" w:eastAsia="Calibri" w:hAnsi="Times New Roman" w:cs="Times New Roman"/>
                <w:color w:val="000000" w:themeColor="text1"/>
                <w:sz w:val="18"/>
                <w:szCs w:val="18"/>
              </w:rPr>
            </w:pPr>
            <w:r w:rsidRPr="004F51D2">
              <w:rPr>
                <w:rFonts w:ascii="Times New Roman" w:eastAsia="Calibri" w:hAnsi="Times New Roman" w:cs="Times New Roman"/>
                <w:color w:val="000000" w:themeColor="text1"/>
                <w:sz w:val="18"/>
                <w:szCs w:val="18"/>
              </w:rPr>
              <w:t>P</w:t>
            </w:r>
            <w:r w:rsidR="009154D8" w:rsidRPr="004F51D2">
              <w:rPr>
                <w:rFonts w:ascii="Times New Roman" w:eastAsia="Calibri" w:hAnsi="Times New Roman" w:cs="Times New Roman"/>
                <w:color w:val="000000" w:themeColor="text1"/>
                <w:sz w:val="18"/>
                <w:szCs w:val="18"/>
              </w:rPr>
              <w:t>-</w:t>
            </w:r>
            <w:r w:rsidRPr="004F51D2">
              <w:rPr>
                <w:rFonts w:ascii="Times New Roman" w:eastAsia="Calibri" w:hAnsi="Times New Roman" w:cs="Times New Roman"/>
                <w:color w:val="000000" w:themeColor="text1"/>
                <w:sz w:val="18"/>
                <w:szCs w:val="18"/>
              </w:rPr>
              <w:t>MOG</w:t>
            </w:r>
          </w:p>
        </w:tc>
        <w:tc>
          <w:tcPr>
            <w:tcW w:w="985" w:type="dxa"/>
            <w:tcBorders>
              <w:bottom w:val="single" w:sz="4" w:space="0" w:color="000000" w:themeColor="text1"/>
            </w:tcBorders>
          </w:tcPr>
          <w:p w14:paraId="04BAF1D1" w14:textId="77777777" w:rsidR="00FE6B3F" w:rsidRPr="004F51D2" w:rsidRDefault="00FE6B3F" w:rsidP="00FE6B3F">
            <w:pPr>
              <w:bidi w:val="0"/>
              <w:jc w:val="center"/>
              <w:rPr>
                <w:rFonts w:ascii="Times New Roman" w:eastAsia="Calibri" w:hAnsi="Times New Roman" w:cs="Times New Roman"/>
                <w:color w:val="000000" w:themeColor="text1"/>
                <w:sz w:val="18"/>
                <w:szCs w:val="18"/>
                <w:rtl/>
              </w:rPr>
            </w:pPr>
          </w:p>
        </w:tc>
      </w:tr>
    </w:tbl>
    <w:p w14:paraId="7BB0A279" w14:textId="77777777" w:rsidR="007753A0" w:rsidRPr="004F51D2" w:rsidRDefault="00BF3AC6" w:rsidP="007753A0">
      <w:pPr>
        <w:bidi w:val="0"/>
        <w:spacing w:after="0" w:line="240" w:lineRule="auto"/>
        <w:jc w:val="both"/>
        <w:rPr>
          <w:rFonts w:ascii="Times New Roman" w:hAnsi="Times New Roman" w:cs="Times New Roman"/>
          <w:color w:val="000000" w:themeColor="text1"/>
          <w:sz w:val="18"/>
          <w:szCs w:val="18"/>
        </w:rPr>
      </w:pPr>
      <w:r w:rsidRPr="004F51D2">
        <w:rPr>
          <w:rFonts w:ascii="Times New Roman" w:eastAsia="Calibri" w:hAnsi="Times New Roman" w:cs="Times New Roman"/>
          <w:i/>
          <w:iCs/>
          <w:color w:val="000000" w:themeColor="text1"/>
          <w:sz w:val="18"/>
          <w:szCs w:val="18"/>
        </w:rPr>
        <w:t>Not</w:t>
      </w:r>
      <w:r w:rsidRPr="004F51D2">
        <w:rPr>
          <w:rFonts w:ascii="Times New Roman" w:eastAsia="Calibri" w:hAnsi="Times New Roman" w:cs="Times New Roman"/>
          <w:color w:val="000000" w:themeColor="text1"/>
          <w:sz w:val="18"/>
          <w:szCs w:val="18"/>
        </w:rPr>
        <w:t xml:space="preserve">e. **p &lt; 0.01, *p &lt; 0.05. </w:t>
      </w:r>
      <w:r w:rsidR="00A02BB3" w:rsidRPr="004F51D2">
        <w:rPr>
          <w:rFonts w:ascii="Times New Roman" w:hAnsi="Times New Roman" w:cs="Times New Roman"/>
          <w:color w:val="000000" w:themeColor="text1"/>
          <w:sz w:val="18"/>
          <w:szCs w:val="18"/>
        </w:rPr>
        <w:t xml:space="preserve">POGQ: Problematic Online Gaming Questionnaire (as outcome variable); BFI-E: Big Five Inventory- Extroversion; BFI-A: Big Five Inventory- Agreeableness; BFI-C: Big Five Inventory- Conscientiousness; BFI-N: Big Five Inventory- Neuroticism; BFI-O: Big Five Inventory- Openness; </w:t>
      </w:r>
      <w:r w:rsidR="007753A0" w:rsidRPr="004F51D2">
        <w:rPr>
          <w:rFonts w:ascii="Times New Roman" w:hAnsi="Times New Roman" w:cs="Times New Roman"/>
          <w:color w:val="000000" w:themeColor="text1"/>
          <w:sz w:val="18"/>
          <w:szCs w:val="18"/>
        </w:rPr>
        <w:t xml:space="preserve">Depression, Anxiety and Stress Scale 21 - Depression subscale; DASS-21-A: Depression, Anxiety and Stress Scale 21 - Anxiety subscale; DASS-21-S: Depression, Anxiety and Stress Scale 21 - Stress subscale; VGCS: Video-Game related Cognitions Scale; MOGQ: Motives for Online Gaming Questionnaire; N-MOGU: Negative Metacognitions about Uncontrollability of Online Gaming; N-MOGD: Negative Metacognitions about Dangers of Online Gaming; P-MOG: Positive Metacognitions about Online Gaming. </w:t>
      </w:r>
    </w:p>
    <w:p w14:paraId="0E721441" w14:textId="425602C1" w:rsidR="00760E2F" w:rsidRPr="004F51D2" w:rsidRDefault="00760E2F" w:rsidP="007753A0">
      <w:pPr>
        <w:bidi w:val="0"/>
        <w:spacing w:after="0" w:line="240" w:lineRule="auto"/>
        <w:jc w:val="both"/>
        <w:rPr>
          <w:rFonts w:ascii="Times New Roman" w:hAnsi="Times New Roman" w:cs="Times New Roman"/>
          <w:color w:val="000000" w:themeColor="text1"/>
          <w:sz w:val="18"/>
          <w:szCs w:val="18"/>
        </w:rPr>
      </w:pPr>
      <w:r w:rsidRPr="004F51D2">
        <w:rPr>
          <w:rFonts w:ascii="Times New Roman" w:hAnsi="Times New Roman" w:cs="Times New Roman"/>
          <w:color w:val="000000" w:themeColor="text1"/>
          <w:sz w:val="18"/>
          <w:szCs w:val="18"/>
        </w:rPr>
        <w:t>.</w:t>
      </w:r>
    </w:p>
    <w:p w14:paraId="1FEBB323" w14:textId="203C97B5" w:rsidR="003F41C7" w:rsidRPr="004F51D2" w:rsidRDefault="003F41C7" w:rsidP="003F41C7">
      <w:pPr>
        <w:bidi w:val="0"/>
        <w:spacing w:after="0" w:line="480" w:lineRule="auto"/>
        <w:ind w:firstLine="624"/>
        <w:jc w:val="both"/>
        <w:rPr>
          <w:rFonts w:ascii="Times New Roman" w:hAnsi="Times New Roman" w:cs="Times New Roman"/>
          <w:color w:val="000000" w:themeColor="text1"/>
          <w:sz w:val="20"/>
          <w:szCs w:val="20"/>
          <w:rtl/>
        </w:rPr>
      </w:pPr>
    </w:p>
    <w:p w14:paraId="4F94BFE9" w14:textId="3CA704EB" w:rsidR="00336051" w:rsidRPr="004F51D2" w:rsidRDefault="00336051" w:rsidP="00336051">
      <w:pPr>
        <w:bidi w:val="0"/>
        <w:spacing w:after="0" w:line="480" w:lineRule="auto"/>
        <w:ind w:firstLine="624"/>
        <w:jc w:val="both"/>
        <w:rPr>
          <w:rFonts w:ascii="Times New Roman" w:hAnsi="Times New Roman" w:cs="Times New Roman"/>
          <w:color w:val="000000" w:themeColor="text1"/>
          <w:sz w:val="20"/>
          <w:szCs w:val="20"/>
          <w:rtl/>
        </w:rPr>
      </w:pPr>
    </w:p>
    <w:p w14:paraId="6E747B78" w14:textId="77777777" w:rsidR="001A40CF" w:rsidRPr="004F51D2" w:rsidRDefault="001A40CF" w:rsidP="001A40CF">
      <w:pPr>
        <w:bidi w:val="0"/>
        <w:spacing w:after="0" w:line="480" w:lineRule="auto"/>
        <w:ind w:firstLine="624"/>
        <w:jc w:val="both"/>
        <w:rPr>
          <w:rFonts w:ascii="Times New Roman" w:hAnsi="Times New Roman" w:cs="Times New Roman"/>
          <w:color w:val="000000" w:themeColor="text1"/>
          <w:sz w:val="20"/>
          <w:szCs w:val="20"/>
        </w:rPr>
      </w:pPr>
    </w:p>
    <w:p w14:paraId="25420C2E" w14:textId="77777777" w:rsidR="0091754E" w:rsidRPr="004F51D2" w:rsidRDefault="0091754E">
      <w:pPr>
        <w:bidi w:val="0"/>
        <w:rPr>
          <w:rFonts w:ascii="Times New Roman" w:hAnsi="Times New Roman" w:cs="Times New Roman"/>
          <w:b/>
          <w:bCs/>
          <w:color w:val="000000" w:themeColor="text1"/>
          <w:sz w:val="24"/>
          <w:szCs w:val="24"/>
        </w:rPr>
      </w:pPr>
      <w:r w:rsidRPr="004F51D2">
        <w:rPr>
          <w:rFonts w:ascii="Times New Roman" w:hAnsi="Times New Roman" w:cs="Times New Roman"/>
          <w:b/>
          <w:bCs/>
          <w:color w:val="000000" w:themeColor="text1"/>
          <w:sz w:val="24"/>
          <w:szCs w:val="24"/>
        </w:rPr>
        <w:br w:type="page"/>
      </w:r>
    </w:p>
    <w:p w14:paraId="59368DDD" w14:textId="77777777" w:rsidR="00834955" w:rsidRPr="004F51D2" w:rsidRDefault="00834955" w:rsidP="00834955">
      <w:pPr>
        <w:bidi w:val="0"/>
        <w:spacing w:after="0" w:line="480" w:lineRule="auto"/>
        <w:jc w:val="both"/>
        <w:rPr>
          <w:rFonts w:ascii="Times New Roman" w:hAnsi="Times New Roman" w:cs="Times New Roman"/>
          <w:b/>
          <w:bCs/>
          <w:color w:val="000000" w:themeColor="text1"/>
          <w:sz w:val="24"/>
          <w:szCs w:val="24"/>
        </w:rPr>
      </w:pPr>
      <w:r w:rsidRPr="004F51D2">
        <w:rPr>
          <w:rFonts w:ascii="Times New Roman" w:hAnsi="Times New Roman" w:cs="Times New Roman"/>
          <w:b/>
          <w:bCs/>
          <w:color w:val="000000" w:themeColor="text1"/>
          <w:sz w:val="24"/>
          <w:szCs w:val="24"/>
        </w:rPr>
        <w:t>References</w:t>
      </w:r>
    </w:p>
    <w:p w14:paraId="1CED4AD4" w14:textId="209CD133" w:rsidR="00834955" w:rsidRPr="004F51D2" w:rsidRDefault="00834955" w:rsidP="00834955">
      <w:pPr>
        <w:bidi w:val="0"/>
        <w:spacing w:after="0" w:line="480" w:lineRule="auto"/>
        <w:ind w:left="720" w:hanging="720"/>
        <w:jc w:val="both"/>
        <w:rPr>
          <w:rFonts w:ascii="Times New Roman" w:eastAsia="Calibri" w:hAnsi="Times New Roman" w:cs="Times New Roman"/>
          <w:spacing w:val="-4"/>
          <w:sz w:val="24"/>
          <w:szCs w:val="24"/>
          <w:lang w:bidi="ar-SA"/>
        </w:rPr>
      </w:pPr>
      <w:r w:rsidRPr="004F51D2">
        <w:rPr>
          <w:rFonts w:ascii="Times New Roman" w:eastAsia="Calibri" w:hAnsi="Times New Roman" w:cs="Times New Roman"/>
          <w:spacing w:val="-4"/>
          <w:sz w:val="24"/>
          <w:szCs w:val="24"/>
          <w:lang w:bidi="ar-SA"/>
        </w:rPr>
        <w:t xml:space="preserve">Ahmadi, J., Amiri, A., Ghanizadeh, A., Khademalhosseini, M., Khademalhosseini, Z., Gholami, Z., &amp; Sharifian, M. (2014). Prevalence of addiction to the internet, computer games, DVD, and video and its relationship to anxiety and depression in a sample of Iranian high school students. </w:t>
      </w:r>
      <w:r w:rsidRPr="004F51D2">
        <w:rPr>
          <w:rFonts w:ascii="Times New Roman" w:eastAsia="Calibri" w:hAnsi="Times New Roman" w:cs="Times New Roman"/>
          <w:i/>
          <w:iCs/>
          <w:spacing w:val="-4"/>
          <w:sz w:val="24"/>
          <w:szCs w:val="24"/>
          <w:lang w:bidi="ar-SA"/>
        </w:rPr>
        <w:t>Iranian Journal of Psychiatry and Behavioral Sciences, 8</w:t>
      </w:r>
      <w:r w:rsidRPr="004F51D2">
        <w:rPr>
          <w:rFonts w:ascii="Times New Roman" w:eastAsia="Calibri" w:hAnsi="Times New Roman" w:cs="Times New Roman"/>
          <w:spacing w:val="-4"/>
          <w:sz w:val="24"/>
          <w:szCs w:val="24"/>
          <w:lang w:bidi="ar-SA"/>
        </w:rPr>
        <w:t xml:space="preserve">, 75–80. </w:t>
      </w:r>
    </w:p>
    <w:p w14:paraId="565C5DF0" w14:textId="77777777" w:rsidR="00834955" w:rsidRPr="004F51D2" w:rsidRDefault="00834955" w:rsidP="00834955">
      <w:pPr>
        <w:bidi w:val="0"/>
        <w:spacing w:after="0" w:line="480" w:lineRule="auto"/>
        <w:ind w:left="720" w:hanging="720"/>
        <w:jc w:val="both"/>
        <w:rPr>
          <w:rFonts w:ascii="Times New Roman" w:hAnsi="Times New Roman" w:cs="Times New Roman"/>
          <w:color w:val="000000" w:themeColor="text1"/>
          <w:spacing w:val="-4"/>
          <w:sz w:val="24"/>
          <w:szCs w:val="24"/>
          <w:shd w:val="clear" w:color="auto" w:fill="FFFFFF"/>
        </w:rPr>
      </w:pPr>
      <w:r w:rsidRPr="004F51D2">
        <w:rPr>
          <w:rFonts w:ascii="Times New Roman" w:eastAsia="Calibri" w:hAnsi="Times New Roman" w:cs="Times New Roman"/>
          <w:spacing w:val="-4"/>
          <w:sz w:val="24"/>
          <w:szCs w:val="24"/>
          <w:lang w:bidi="ar-SA"/>
        </w:rPr>
        <w:t xml:space="preserve">Akbari, M., Zamani, E., Fioravanti, G., &amp; Casale, S. (2020). Psychometric properties of the Metacognitions about Smartphone Use Questionnaire (MSUQ) in a sample of Iranians. </w:t>
      </w:r>
      <w:r w:rsidRPr="004F51D2">
        <w:rPr>
          <w:rFonts w:ascii="Times New Roman" w:eastAsia="Calibri" w:hAnsi="Times New Roman" w:cs="Times New Roman"/>
          <w:i/>
          <w:iCs/>
          <w:spacing w:val="-4"/>
          <w:sz w:val="24"/>
          <w:szCs w:val="24"/>
          <w:lang w:bidi="ar-SA"/>
        </w:rPr>
        <w:t>Addictive Behaviors, 114</w:t>
      </w:r>
      <w:r w:rsidRPr="004F51D2">
        <w:rPr>
          <w:rFonts w:ascii="Times New Roman" w:eastAsia="Calibri" w:hAnsi="Times New Roman" w:cs="Times New Roman"/>
          <w:spacing w:val="-4"/>
          <w:sz w:val="24"/>
          <w:szCs w:val="24"/>
          <w:lang w:bidi="ar-SA"/>
        </w:rPr>
        <w:t>, 106722.</w:t>
      </w:r>
      <w:r w:rsidRPr="004F51D2">
        <w:rPr>
          <w:rFonts w:ascii="Times New Roman" w:hAnsi="Times New Roman" w:cs="Times New Roman"/>
          <w:color w:val="000000" w:themeColor="text1"/>
          <w:spacing w:val="-4"/>
          <w:sz w:val="24"/>
          <w:szCs w:val="24"/>
        </w:rPr>
        <w:t xml:space="preserve"> https://doi.org/</w:t>
      </w:r>
      <w:hyperlink r:id="rId14" w:tgtFrame="_blank" w:history="1">
        <w:r w:rsidRPr="004F51D2">
          <w:rPr>
            <w:rStyle w:val="Hyperlink"/>
            <w:rFonts w:ascii="Times New Roman" w:hAnsi="Times New Roman" w:cs="Times New Roman"/>
            <w:color w:val="000000" w:themeColor="text1"/>
            <w:spacing w:val="-4"/>
            <w:sz w:val="24"/>
            <w:szCs w:val="24"/>
            <w:u w:val="none"/>
            <w:bdr w:val="none" w:sz="0" w:space="0" w:color="auto" w:frame="1"/>
            <w:shd w:val="clear" w:color="auto" w:fill="FFFFFF"/>
          </w:rPr>
          <w:t>10.1016/j.addbeh.2020.106722</w:t>
        </w:r>
      </w:hyperlink>
      <w:r w:rsidRPr="004F51D2">
        <w:rPr>
          <w:rFonts w:ascii="Times New Roman" w:hAnsi="Times New Roman" w:cs="Times New Roman"/>
          <w:color w:val="000000" w:themeColor="text1"/>
          <w:spacing w:val="-4"/>
          <w:sz w:val="24"/>
          <w:szCs w:val="24"/>
          <w:shd w:val="clear" w:color="auto" w:fill="FFFFFF"/>
        </w:rPr>
        <w:t>.</w:t>
      </w:r>
    </w:p>
    <w:p w14:paraId="0583FC24" w14:textId="336CB471" w:rsidR="00A777D6" w:rsidRPr="004F51D2" w:rsidRDefault="00A777D6" w:rsidP="00A777D6">
      <w:pPr>
        <w:bidi w:val="0"/>
        <w:spacing w:after="0" w:line="480" w:lineRule="auto"/>
        <w:ind w:left="720" w:hanging="720"/>
        <w:jc w:val="both"/>
        <w:rPr>
          <w:rFonts w:ascii="Times New Roman" w:hAnsi="Times New Roman" w:cs="Times New Roman"/>
          <w:color w:val="000000" w:themeColor="text1"/>
          <w:spacing w:val="-4"/>
          <w:sz w:val="24"/>
          <w:szCs w:val="24"/>
          <w:shd w:val="clear" w:color="auto" w:fill="FFFFFF"/>
        </w:rPr>
      </w:pPr>
      <w:r w:rsidRPr="004F51D2">
        <w:rPr>
          <w:rFonts w:ascii="Times New Roman" w:eastAsia="Calibri" w:hAnsi="Times New Roman" w:cs="Times New Roman"/>
          <w:spacing w:val="-4"/>
          <w:sz w:val="24"/>
          <w:szCs w:val="24"/>
          <w:lang w:bidi="ar-SA"/>
        </w:rPr>
        <w:t xml:space="preserve">American Psychiatric Association (2013). </w:t>
      </w:r>
      <w:r w:rsidRPr="004F51D2">
        <w:rPr>
          <w:rFonts w:ascii="Times New Roman" w:eastAsia="Calibri" w:hAnsi="Times New Roman" w:cs="Times New Roman"/>
          <w:i/>
          <w:iCs/>
          <w:spacing w:val="-4"/>
          <w:sz w:val="24"/>
          <w:szCs w:val="24"/>
          <w:lang w:bidi="ar-SA"/>
        </w:rPr>
        <w:t>Diagnostic and statistics manual of mental disorders</w:t>
      </w:r>
      <w:r w:rsidRPr="004F51D2">
        <w:rPr>
          <w:rFonts w:ascii="Times New Roman" w:eastAsia="Calibri" w:hAnsi="Times New Roman" w:cs="Times New Roman"/>
          <w:spacing w:val="-4"/>
          <w:sz w:val="24"/>
          <w:szCs w:val="24"/>
          <w:lang w:bidi="ar-SA"/>
        </w:rPr>
        <w:t xml:space="preserve"> (5th ed). Arlington: American Psychiatric Association.</w:t>
      </w:r>
    </w:p>
    <w:p w14:paraId="308C9F7F" w14:textId="4BBC51AF" w:rsidR="00834955" w:rsidRPr="004F51D2" w:rsidRDefault="00834955" w:rsidP="00834955">
      <w:pPr>
        <w:bidi w:val="0"/>
        <w:spacing w:after="0" w:line="480" w:lineRule="auto"/>
        <w:ind w:left="720" w:hanging="720"/>
        <w:jc w:val="both"/>
        <w:rPr>
          <w:rFonts w:ascii="Times New Roman" w:eastAsia="Calibri" w:hAnsi="Times New Roman" w:cs="Times New Roman"/>
          <w:spacing w:val="-4"/>
          <w:sz w:val="24"/>
          <w:szCs w:val="24"/>
          <w:lang w:bidi="ar-SA"/>
        </w:rPr>
      </w:pPr>
      <w:r w:rsidRPr="004F51D2">
        <w:rPr>
          <w:rFonts w:ascii="Times New Roman" w:eastAsia="Calibri" w:hAnsi="Times New Roman" w:cs="Times New Roman"/>
          <w:spacing w:val="-4"/>
          <w:sz w:val="24"/>
          <w:szCs w:val="24"/>
          <w:lang w:bidi="ar-SA"/>
        </w:rPr>
        <w:t xml:space="preserve">Amini, M. S., Nazari, A. M., Moradi, A., &amp; Farzad, V. (2014). Youth online gaming addiction: the role of self-esteem, anxiety and depression. </w:t>
      </w:r>
      <w:hyperlink r:id="rId15" w:history="1">
        <w:r w:rsidRPr="004F51D2">
          <w:rPr>
            <w:rFonts w:ascii="Times New Roman" w:eastAsia="Calibri" w:hAnsi="Times New Roman" w:cs="Times New Roman"/>
            <w:i/>
            <w:iCs/>
            <w:spacing w:val="-4"/>
            <w:sz w:val="24"/>
            <w:szCs w:val="24"/>
            <w:lang w:bidi="ar-SA"/>
          </w:rPr>
          <w:t xml:space="preserve">Strategic Studies </w:t>
        </w:r>
        <w:r w:rsidRPr="004F51D2">
          <w:rPr>
            <w:rFonts w:ascii="Times New Roman" w:eastAsia="Calibri" w:hAnsi="Times New Roman" w:cs="Times New Roman"/>
            <w:i/>
            <w:iCs/>
            <w:spacing w:val="-4"/>
            <w:sz w:val="24"/>
            <w:szCs w:val="24"/>
          </w:rPr>
          <w:t>o</w:t>
        </w:r>
        <w:r w:rsidRPr="004F51D2">
          <w:rPr>
            <w:rFonts w:ascii="Times New Roman" w:eastAsia="Calibri" w:hAnsi="Times New Roman" w:cs="Times New Roman"/>
            <w:i/>
            <w:iCs/>
            <w:spacing w:val="-4"/>
            <w:sz w:val="24"/>
            <w:szCs w:val="24"/>
            <w:lang w:bidi="ar-SA"/>
          </w:rPr>
          <w:t>n Youth and Sports</w:t>
        </w:r>
      </w:hyperlink>
      <w:r w:rsidRPr="004F51D2">
        <w:rPr>
          <w:rFonts w:ascii="Times New Roman" w:eastAsia="Calibri" w:hAnsi="Times New Roman" w:cs="Times New Roman"/>
          <w:i/>
          <w:iCs/>
          <w:spacing w:val="-4"/>
          <w:sz w:val="24"/>
          <w:szCs w:val="24"/>
          <w:lang w:bidi="ar-SA"/>
        </w:rPr>
        <w:t>, 13</w:t>
      </w:r>
      <w:r w:rsidRPr="004F51D2">
        <w:rPr>
          <w:rFonts w:ascii="Times New Roman" w:eastAsia="Calibri" w:hAnsi="Times New Roman" w:cs="Times New Roman"/>
          <w:spacing w:val="-4"/>
          <w:sz w:val="24"/>
          <w:szCs w:val="24"/>
          <w:lang w:bidi="ar-SA"/>
        </w:rPr>
        <w:t>,</w:t>
      </w:r>
      <w:r w:rsidRPr="004F51D2">
        <w:rPr>
          <w:color w:val="000000"/>
          <w:shd w:val="clear" w:color="auto" w:fill="FFFFFF"/>
        </w:rPr>
        <w:t xml:space="preserve"> </w:t>
      </w:r>
      <w:r w:rsidRPr="004F51D2">
        <w:rPr>
          <w:rFonts w:ascii="Times New Roman" w:eastAsia="Calibri" w:hAnsi="Times New Roman" w:cs="Times New Roman"/>
          <w:spacing w:val="-4"/>
          <w:sz w:val="24"/>
          <w:szCs w:val="24"/>
          <w:lang w:bidi="ar-SA"/>
        </w:rPr>
        <w:t>97–117.</w:t>
      </w:r>
    </w:p>
    <w:p w14:paraId="423DD963" w14:textId="43CBCAE4" w:rsidR="00834955" w:rsidRPr="004F51D2" w:rsidRDefault="00834955" w:rsidP="00A777D6">
      <w:pPr>
        <w:bidi w:val="0"/>
        <w:spacing w:after="0" w:line="480" w:lineRule="auto"/>
        <w:ind w:left="720" w:hanging="720"/>
        <w:jc w:val="both"/>
        <w:rPr>
          <w:rFonts w:ascii="Times New Roman" w:eastAsia="Calibri" w:hAnsi="Times New Roman" w:cs="Times New Roman"/>
          <w:spacing w:val="-4"/>
          <w:sz w:val="24"/>
          <w:szCs w:val="24"/>
          <w:lang w:bidi="ar-SA"/>
        </w:rPr>
      </w:pPr>
      <w:r w:rsidRPr="004F51D2">
        <w:rPr>
          <w:rFonts w:ascii="Times New Roman" w:eastAsia="Calibri" w:hAnsi="Times New Roman" w:cs="Times New Roman"/>
          <w:spacing w:val="-4"/>
          <w:sz w:val="24"/>
          <w:szCs w:val="24"/>
          <w:lang w:bidi="ar-SA"/>
        </w:rPr>
        <w:t xml:space="preserve">Aminimanesh, S., Nazari, A. M., Farzad, F., &amp; Khanzade, M. (2017). The role of psychological motivations in online gaming addiction among adolescents. </w:t>
      </w:r>
      <w:r w:rsidRPr="004F51D2">
        <w:rPr>
          <w:rFonts w:ascii="Times New Roman" w:eastAsia="Calibri" w:hAnsi="Times New Roman" w:cs="Times New Roman"/>
          <w:i/>
          <w:iCs/>
          <w:spacing w:val="-4"/>
          <w:sz w:val="24"/>
          <w:szCs w:val="24"/>
          <w:lang w:bidi="ar-SA"/>
        </w:rPr>
        <w:t>Journal of Health and Care, 19</w:t>
      </w:r>
      <w:r w:rsidR="00A777D6" w:rsidRPr="004F51D2">
        <w:rPr>
          <w:rFonts w:ascii="Times New Roman" w:eastAsia="Calibri" w:hAnsi="Times New Roman" w:cs="Times New Roman"/>
          <w:spacing w:val="-4"/>
          <w:sz w:val="24"/>
          <w:szCs w:val="24"/>
          <w:lang w:bidi="ar-SA"/>
        </w:rPr>
        <w:t>, 147-157.</w:t>
      </w:r>
    </w:p>
    <w:p w14:paraId="59C9948A" w14:textId="77777777" w:rsidR="00834955" w:rsidRPr="004F51D2" w:rsidRDefault="00834955" w:rsidP="00834955">
      <w:pPr>
        <w:bidi w:val="0"/>
        <w:spacing w:after="0" w:line="480" w:lineRule="auto"/>
        <w:ind w:left="720" w:hanging="720"/>
        <w:jc w:val="both"/>
        <w:rPr>
          <w:rFonts w:ascii="Times New Roman" w:eastAsia="Calibri" w:hAnsi="Times New Roman" w:cs="Times New Roman"/>
          <w:spacing w:val="-4"/>
          <w:sz w:val="24"/>
          <w:szCs w:val="24"/>
          <w:lang w:bidi="ar-SA"/>
        </w:rPr>
      </w:pPr>
      <w:r w:rsidRPr="004F51D2">
        <w:rPr>
          <w:rFonts w:ascii="Times New Roman" w:eastAsia="Calibri" w:hAnsi="Times New Roman" w:cs="Times New Roman"/>
          <w:spacing w:val="-4"/>
          <w:sz w:val="24"/>
          <w:szCs w:val="24"/>
          <w:lang w:bidi="ar-SA"/>
        </w:rPr>
        <w:t xml:space="preserve">Aydın, O., Güçlü, M., Ünal-Aydın, P., &amp; Spada, M. M. (2020). Metacognitions and emotion recognition in Internet Gaming Disorder among adolescents. </w:t>
      </w:r>
      <w:r w:rsidRPr="004F51D2">
        <w:rPr>
          <w:rFonts w:ascii="Times New Roman" w:eastAsia="Calibri" w:hAnsi="Times New Roman" w:cs="Times New Roman"/>
          <w:i/>
          <w:iCs/>
          <w:spacing w:val="-4"/>
          <w:sz w:val="24"/>
          <w:szCs w:val="24"/>
          <w:lang w:bidi="ar-SA"/>
        </w:rPr>
        <w:t>Addictive Behaviors Reports, 12</w:t>
      </w:r>
      <w:r w:rsidRPr="004F51D2">
        <w:rPr>
          <w:rFonts w:ascii="Times New Roman" w:eastAsia="Calibri" w:hAnsi="Times New Roman" w:cs="Times New Roman"/>
          <w:spacing w:val="-4"/>
          <w:sz w:val="24"/>
          <w:szCs w:val="24"/>
          <w:lang w:bidi="ar-SA"/>
        </w:rPr>
        <w:t>, 100296.</w:t>
      </w:r>
      <w:r w:rsidRPr="004F51D2">
        <w:rPr>
          <w:rFonts w:ascii="Times New Roman" w:hAnsi="Times New Roman" w:cs="Times New Roman"/>
          <w:color w:val="000000" w:themeColor="text1"/>
          <w:spacing w:val="-4"/>
          <w:sz w:val="24"/>
          <w:szCs w:val="24"/>
        </w:rPr>
        <w:t xml:space="preserve"> https://</w:t>
      </w:r>
      <w:hyperlink r:id="rId16" w:tgtFrame="_blank" w:tooltip="Persistent link using digital object identifier" w:history="1">
        <w:r w:rsidRPr="004F51D2">
          <w:rPr>
            <w:rStyle w:val="Hyperlink"/>
            <w:rFonts w:ascii="Times New Roman" w:hAnsi="Times New Roman" w:cs="Times New Roman"/>
            <w:color w:val="000000" w:themeColor="text1"/>
            <w:spacing w:val="-4"/>
            <w:sz w:val="24"/>
            <w:szCs w:val="24"/>
            <w:u w:val="none"/>
          </w:rPr>
          <w:t>doi.org/10.1016/j.abrep.2020.100296</w:t>
        </w:r>
      </w:hyperlink>
      <w:r w:rsidRPr="004F51D2">
        <w:rPr>
          <w:rStyle w:val="Hyperlink"/>
          <w:rFonts w:ascii="Times New Roman" w:hAnsi="Times New Roman" w:cs="Times New Roman"/>
          <w:color w:val="000000" w:themeColor="text1"/>
          <w:spacing w:val="-4"/>
          <w:sz w:val="24"/>
          <w:szCs w:val="24"/>
          <w:u w:val="none"/>
        </w:rPr>
        <w:t>.</w:t>
      </w:r>
    </w:p>
    <w:p w14:paraId="2554495A" w14:textId="77777777" w:rsidR="00834955" w:rsidRPr="004F51D2" w:rsidRDefault="00834955" w:rsidP="00834955">
      <w:pPr>
        <w:bidi w:val="0"/>
        <w:spacing w:after="0" w:line="480" w:lineRule="auto"/>
        <w:ind w:left="720" w:hanging="720"/>
        <w:jc w:val="both"/>
        <w:rPr>
          <w:rFonts w:ascii="Times New Roman" w:eastAsia="Calibri" w:hAnsi="Times New Roman" w:cs="Times New Roman"/>
          <w:spacing w:val="-4"/>
          <w:sz w:val="24"/>
          <w:szCs w:val="24"/>
          <w:lang w:bidi="ar-SA"/>
        </w:rPr>
      </w:pPr>
      <w:r w:rsidRPr="004F51D2">
        <w:rPr>
          <w:rFonts w:ascii="Times New Roman" w:eastAsia="Calibri" w:hAnsi="Times New Roman" w:cs="Times New Roman"/>
          <w:spacing w:val="-4"/>
          <w:sz w:val="24"/>
          <w:szCs w:val="24"/>
          <w:lang w:bidi="ar-SA"/>
        </w:rPr>
        <w:t xml:space="preserve">Beard, C. L., Haas, A. L., Wickham, R. E., &amp; Stavropoulos, V. (2017). Age of initiation and internet gaming disorder: The role of self-esteem. </w:t>
      </w:r>
      <w:r w:rsidRPr="004F51D2">
        <w:rPr>
          <w:rFonts w:ascii="Times New Roman" w:eastAsia="Calibri" w:hAnsi="Times New Roman" w:cs="Times New Roman"/>
          <w:i/>
          <w:iCs/>
          <w:spacing w:val="-4"/>
          <w:sz w:val="24"/>
          <w:szCs w:val="24"/>
          <w:lang w:bidi="ar-SA"/>
        </w:rPr>
        <w:t>Cyberpsychology, Behavior, and Social Networking, 20</w:t>
      </w:r>
      <w:r w:rsidRPr="004F51D2">
        <w:rPr>
          <w:rFonts w:ascii="Times New Roman" w:eastAsia="Calibri" w:hAnsi="Times New Roman" w:cs="Times New Roman"/>
          <w:spacing w:val="-4"/>
          <w:sz w:val="24"/>
          <w:szCs w:val="24"/>
          <w:lang w:bidi="ar-SA"/>
        </w:rPr>
        <w:t>, 397-401.</w:t>
      </w:r>
      <w:r w:rsidRPr="004F51D2">
        <w:rPr>
          <w:rFonts w:ascii="Times New Roman" w:hAnsi="Times New Roman" w:cs="Times New Roman"/>
          <w:spacing w:val="-4"/>
          <w:sz w:val="24"/>
          <w:szCs w:val="24"/>
        </w:rPr>
        <w:t xml:space="preserve"> </w:t>
      </w:r>
      <w:r w:rsidRPr="004F51D2">
        <w:rPr>
          <w:rFonts w:ascii="Times New Roman" w:hAnsi="Times New Roman" w:cs="Times New Roman"/>
          <w:color w:val="000000" w:themeColor="text1"/>
          <w:spacing w:val="-4"/>
          <w:sz w:val="24"/>
          <w:szCs w:val="24"/>
        </w:rPr>
        <w:t>https://</w:t>
      </w:r>
      <w:hyperlink r:id="rId17" w:tgtFrame="_blank" w:history="1">
        <w:r w:rsidRPr="004F51D2">
          <w:rPr>
            <w:rStyle w:val="Hyperlink"/>
            <w:rFonts w:ascii="Times New Roman" w:hAnsi="Times New Roman" w:cs="Times New Roman"/>
            <w:color w:val="000000" w:themeColor="text1"/>
            <w:spacing w:val="-4"/>
            <w:sz w:val="24"/>
            <w:szCs w:val="24"/>
            <w:u w:val="none"/>
            <w:shd w:val="clear" w:color="auto" w:fill="FFFFFF"/>
          </w:rPr>
          <w:t>doi.org/10.1089/cyber.2017.0011</w:t>
        </w:r>
      </w:hyperlink>
      <w:r w:rsidRPr="004F51D2">
        <w:rPr>
          <w:rStyle w:val="Hyperlink"/>
          <w:rFonts w:ascii="Times New Roman" w:hAnsi="Times New Roman" w:cs="Times New Roman"/>
          <w:color w:val="000000" w:themeColor="text1"/>
          <w:spacing w:val="-4"/>
          <w:sz w:val="24"/>
          <w:szCs w:val="24"/>
          <w:u w:val="none"/>
          <w:shd w:val="clear" w:color="auto" w:fill="FFFFFF"/>
        </w:rPr>
        <w:t>.</w:t>
      </w:r>
    </w:p>
    <w:p w14:paraId="2D8EC5A8" w14:textId="77777777" w:rsidR="00834955" w:rsidRPr="004F51D2" w:rsidRDefault="00834955" w:rsidP="00834955">
      <w:pPr>
        <w:bidi w:val="0"/>
        <w:spacing w:after="0" w:line="480" w:lineRule="auto"/>
        <w:ind w:left="720" w:hanging="720"/>
        <w:jc w:val="both"/>
        <w:rPr>
          <w:rFonts w:ascii="Times New Roman" w:eastAsia="Calibri" w:hAnsi="Times New Roman" w:cs="Times New Roman"/>
          <w:spacing w:val="-4"/>
          <w:sz w:val="24"/>
          <w:szCs w:val="24"/>
          <w:lang w:bidi="ar-SA"/>
        </w:rPr>
      </w:pPr>
      <w:r w:rsidRPr="004F51D2">
        <w:rPr>
          <w:rFonts w:ascii="Times New Roman" w:eastAsia="Calibri" w:hAnsi="Times New Roman" w:cs="Times New Roman"/>
          <w:spacing w:val="-4"/>
          <w:sz w:val="24"/>
          <w:szCs w:val="24"/>
          <w:lang w:bidi="ar-SA"/>
        </w:rPr>
        <w:t>Billieux, J., Potenza, M. N., Maurage, P., Brevers, D., Brand, M., &amp; King, D. L. (2020). Cognitive factors associated with gaming disorder</w:t>
      </w:r>
      <w:r w:rsidRPr="004F51D2">
        <w:rPr>
          <w:rFonts w:ascii="Times New Roman" w:eastAsia="Calibri" w:hAnsi="Times New Roman" w:cs="Times New Roman"/>
          <w:i/>
          <w:iCs/>
          <w:spacing w:val="-4"/>
          <w:sz w:val="24"/>
          <w:szCs w:val="24"/>
          <w:lang w:bidi="ar-SA"/>
        </w:rPr>
        <w:t>. Cognition and Addiction, 16</w:t>
      </w:r>
      <w:r w:rsidRPr="004F51D2">
        <w:rPr>
          <w:rFonts w:ascii="Times New Roman" w:eastAsia="Calibri" w:hAnsi="Times New Roman" w:cs="Times New Roman"/>
          <w:spacing w:val="-4"/>
          <w:sz w:val="24"/>
          <w:szCs w:val="24"/>
          <w:lang w:bidi="ar-SA"/>
        </w:rPr>
        <w:t>, 221-230. Academic Press.</w:t>
      </w:r>
    </w:p>
    <w:p w14:paraId="59418E34" w14:textId="77777777" w:rsidR="00834955" w:rsidRPr="004F51D2" w:rsidRDefault="00834955" w:rsidP="00834955">
      <w:pPr>
        <w:bidi w:val="0"/>
        <w:spacing w:after="0" w:line="480" w:lineRule="auto"/>
        <w:ind w:left="720" w:hanging="720"/>
        <w:jc w:val="both"/>
        <w:rPr>
          <w:rFonts w:ascii="Times New Roman" w:hAnsi="Times New Roman" w:cs="Times New Roman"/>
          <w:color w:val="000000" w:themeColor="text1"/>
          <w:spacing w:val="-4"/>
          <w:sz w:val="24"/>
          <w:szCs w:val="24"/>
          <w:shd w:val="clear" w:color="auto" w:fill="FFFFFF"/>
        </w:rPr>
      </w:pPr>
      <w:r w:rsidRPr="004F51D2">
        <w:rPr>
          <w:rFonts w:ascii="Times New Roman" w:eastAsia="Calibri" w:hAnsi="Times New Roman" w:cs="Times New Roman"/>
          <w:spacing w:val="-4"/>
          <w:sz w:val="24"/>
          <w:szCs w:val="24"/>
          <w:lang w:bidi="ar-SA"/>
        </w:rPr>
        <w:t xml:space="preserve">Bonnaire, C., &amp; Baptista, D. (2019). Internet gaming disorder in male and female young adults: The role of alexithymia, depression, anxiety and gaming type. </w:t>
      </w:r>
      <w:r w:rsidRPr="004F51D2">
        <w:rPr>
          <w:rFonts w:ascii="Times New Roman" w:eastAsia="Calibri" w:hAnsi="Times New Roman" w:cs="Times New Roman"/>
          <w:i/>
          <w:iCs/>
          <w:spacing w:val="-4"/>
          <w:sz w:val="24"/>
          <w:szCs w:val="24"/>
          <w:lang w:bidi="ar-SA"/>
        </w:rPr>
        <w:t>Psychiatry Research, 272</w:t>
      </w:r>
      <w:r w:rsidRPr="004F51D2">
        <w:rPr>
          <w:rFonts w:ascii="Times New Roman" w:eastAsia="Calibri" w:hAnsi="Times New Roman" w:cs="Times New Roman"/>
          <w:spacing w:val="-4"/>
          <w:sz w:val="24"/>
          <w:szCs w:val="24"/>
          <w:lang w:bidi="ar-SA"/>
        </w:rPr>
        <w:t>, 521-530.</w:t>
      </w:r>
      <w:r w:rsidRPr="004F51D2">
        <w:rPr>
          <w:rFonts w:ascii="Times New Roman" w:hAnsi="Times New Roman" w:cs="Times New Roman"/>
          <w:color w:val="000000" w:themeColor="text1"/>
          <w:spacing w:val="-4"/>
          <w:sz w:val="24"/>
          <w:szCs w:val="24"/>
          <w:shd w:val="clear" w:color="auto" w:fill="FFFFFF"/>
        </w:rPr>
        <w:t xml:space="preserve"> </w:t>
      </w:r>
      <w:hyperlink r:id="rId18" w:history="1">
        <w:r w:rsidRPr="004F51D2">
          <w:rPr>
            <w:rStyle w:val="Hyperlink"/>
            <w:rFonts w:ascii="Times New Roman" w:hAnsi="Times New Roman" w:cs="Times New Roman"/>
            <w:color w:val="auto"/>
            <w:spacing w:val="-4"/>
            <w:sz w:val="24"/>
            <w:szCs w:val="24"/>
            <w:u w:val="none"/>
          </w:rPr>
          <w:t>https://</w:t>
        </w:r>
        <w:r w:rsidRPr="004F51D2">
          <w:rPr>
            <w:rStyle w:val="Hyperlink"/>
            <w:rFonts w:ascii="Times New Roman" w:hAnsi="Times New Roman" w:cs="Times New Roman"/>
            <w:color w:val="auto"/>
            <w:spacing w:val="-4"/>
            <w:sz w:val="24"/>
            <w:szCs w:val="24"/>
            <w:u w:val="none"/>
            <w:shd w:val="clear" w:color="auto" w:fill="FFFFFF"/>
          </w:rPr>
          <w:t>doi.org/10.1016/j.psychres.2018.12.158</w:t>
        </w:r>
      </w:hyperlink>
      <w:r w:rsidRPr="004F51D2">
        <w:rPr>
          <w:rFonts w:ascii="Times New Roman" w:hAnsi="Times New Roman" w:cs="Times New Roman"/>
          <w:spacing w:val="-4"/>
          <w:sz w:val="24"/>
          <w:szCs w:val="24"/>
          <w:shd w:val="clear" w:color="auto" w:fill="FFFFFF"/>
        </w:rPr>
        <w:t>.</w:t>
      </w:r>
    </w:p>
    <w:p w14:paraId="42F9485E" w14:textId="77777777" w:rsidR="00834955" w:rsidRPr="004F51D2" w:rsidRDefault="00834955" w:rsidP="00834955">
      <w:pPr>
        <w:bidi w:val="0"/>
        <w:spacing w:after="0" w:line="480" w:lineRule="auto"/>
        <w:ind w:left="720" w:hanging="720"/>
        <w:jc w:val="both"/>
        <w:rPr>
          <w:rFonts w:ascii="Times New Roman" w:eastAsia="Calibri" w:hAnsi="Times New Roman" w:cs="Times New Roman"/>
          <w:color w:val="000000" w:themeColor="text1"/>
          <w:sz w:val="24"/>
          <w:szCs w:val="24"/>
        </w:rPr>
      </w:pPr>
      <w:r w:rsidRPr="004F51D2">
        <w:rPr>
          <w:rFonts w:ascii="Times New Roman" w:eastAsia="Calibri" w:hAnsi="Times New Roman" w:cs="Times New Roman"/>
          <w:color w:val="000000" w:themeColor="text1"/>
          <w:sz w:val="24"/>
          <w:szCs w:val="24"/>
        </w:rPr>
        <w:t xml:space="preserve">Brown, T. A. (2006). </w:t>
      </w:r>
      <w:r w:rsidRPr="004F51D2">
        <w:rPr>
          <w:rFonts w:ascii="Times New Roman" w:eastAsia="Calibri" w:hAnsi="Times New Roman" w:cs="Times New Roman"/>
          <w:i/>
          <w:iCs/>
          <w:color w:val="000000" w:themeColor="text1"/>
          <w:sz w:val="24"/>
          <w:szCs w:val="24"/>
        </w:rPr>
        <w:t>Confirmatory factor analysis for applied research</w:t>
      </w:r>
      <w:r w:rsidRPr="004F51D2">
        <w:rPr>
          <w:rFonts w:ascii="Times New Roman" w:eastAsia="Calibri" w:hAnsi="Times New Roman" w:cs="Times New Roman"/>
          <w:color w:val="000000" w:themeColor="text1"/>
          <w:sz w:val="24"/>
          <w:szCs w:val="24"/>
        </w:rPr>
        <w:t>. New York, NY: Guilford Press.</w:t>
      </w:r>
    </w:p>
    <w:p w14:paraId="705A1211" w14:textId="77777777" w:rsidR="00834955" w:rsidRPr="004F51D2" w:rsidRDefault="00834955" w:rsidP="00834955">
      <w:pPr>
        <w:bidi w:val="0"/>
        <w:spacing w:after="0" w:line="480" w:lineRule="auto"/>
        <w:ind w:left="720" w:hanging="720"/>
        <w:jc w:val="both"/>
        <w:rPr>
          <w:rFonts w:ascii="Times New Roman" w:eastAsia="Calibri" w:hAnsi="Times New Roman" w:cs="Times New Roman"/>
          <w:spacing w:val="-4"/>
          <w:sz w:val="24"/>
          <w:szCs w:val="24"/>
          <w:lang w:bidi="ar-SA"/>
        </w:rPr>
      </w:pPr>
      <w:r w:rsidRPr="004F51D2">
        <w:rPr>
          <w:rFonts w:ascii="Times New Roman" w:eastAsia="Calibri" w:hAnsi="Times New Roman" w:cs="Times New Roman"/>
          <w:spacing w:val="-4"/>
          <w:sz w:val="24"/>
          <w:szCs w:val="24"/>
          <w:lang w:bidi="ar-SA"/>
        </w:rPr>
        <w:t xml:space="preserve">Casale, S., Caplan, S. E., &amp; Fioravanti, G. (2016). Positive metacognitions about Internet use: The mediating role in the relationship between emotional dysregulation and problematic use. </w:t>
      </w:r>
      <w:r w:rsidRPr="004F51D2">
        <w:rPr>
          <w:rFonts w:ascii="Times New Roman" w:eastAsia="Calibri" w:hAnsi="Times New Roman" w:cs="Times New Roman"/>
          <w:i/>
          <w:iCs/>
          <w:spacing w:val="-4"/>
          <w:sz w:val="24"/>
          <w:szCs w:val="24"/>
          <w:lang w:bidi="ar-SA"/>
        </w:rPr>
        <w:t>Addictive Behaviors, 59</w:t>
      </w:r>
      <w:r w:rsidRPr="004F51D2">
        <w:rPr>
          <w:rFonts w:ascii="Times New Roman" w:eastAsia="Calibri" w:hAnsi="Times New Roman" w:cs="Times New Roman"/>
          <w:spacing w:val="-4"/>
          <w:sz w:val="24"/>
          <w:szCs w:val="24"/>
          <w:lang w:bidi="ar-SA"/>
        </w:rPr>
        <w:t>, 84-88. https://doi.org/10.1016/j.addbeh.2016.03.014.</w:t>
      </w:r>
    </w:p>
    <w:p w14:paraId="4A7400CC" w14:textId="77777777" w:rsidR="00834955" w:rsidRPr="004F51D2" w:rsidRDefault="00834955" w:rsidP="00834955">
      <w:pPr>
        <w:bidi w:val="0"/>
        <w:spacing w:after="0" w:line="480" w:lineRule="auto"/>
        <w:ind w:left="720" w:hanging="720"/>
        <w:jc w:val="both"/>
        <w:rPr>
          <w:rFonts w:ascii="Times New Roman" w:eastAsia="Calibri" w:hAnsi="Times New Roman" w:cs="Times New Roman"/>
          <w:spacing w:val="-4"/>
          <w:sz w:val="24"/>
          <w:szCs w:val="24"/>
          <w:lang w:bidi="ar-SA"/>
        </w:rPr>
      </w:pPr>
      <w:r w:rsidRPr="004F51D2">
        <w:rPr>
          <w:rFonts w:ascii="Times New Roman" w:eastAsia="Calibri" w:hAnsi="Times New Roman" w:cs="Times New Roman"/>
          <w:spacing w:val="-4"/>
          <w:sz w:val="24"/>
          <w:szCs w:val="24"/>
          <w:lang w:bidi="ar-SA"/>
        </w:rPr>
        <w:t>Casale, S., Caponi, L., &amp; Fioravanti, G. (2020). Metacognitions about problematic Smartphone use: Development of a self-report measure. </w:t>
      </w:r>
      <w:r w:rsidRPr="004F51D2">
        <w:rPr>
          <w:rFonts w:ascii="Times New Roman" w:eastAsia="Calibri" w:hAnsi="Times New Roman" w:cs="Times New Roman"/>
          <w:i/>
          <w:iCs/>
          <w:spacing w:val="-4"/>
          <w:sz w:val="24"/>
          <w:szCs w:val="24"/>
          <w:lang w:bidi="ar-SA"/>
        </w:rPr>
        <w:t>Addictive Behaviors, 109</w:t>
      </w:r>
      <w:r w:rsidRPr="004F51D2">
        <w:rPr>
          <w:rFonts w:ascii="Times New Roman" w:eastAsia="Calibri" w:hAnsi="Times New Roman" w:cs="Times New Roman"/>
          <w:spacing w:val="-4"/>
          <w:sz w:val="24"/>
          <w:szCs w:val="24"/>
          <w:lang w:bidi="ar-SA"/>
        </w:rPr>
        <w:t>, 106484.</w:t>
      </w:r>
      <w:r w:rsidRPr="004F51D2">
        <w:rPr>
          <w:rFonts w:ascii="Times New Roman" w:hAnsi="Times New Roman" w:cs="Times New Roman"/>
          <w:spacing w:val="-4"/>
          <w:sz w:val="24"/>
          <w:szCs w:val="24"/>
        </w:rPr>
        <w:t xml:space="preserve"> </w:t>
      </w:r>
      <w:hyperlink r:id="rId19" w:history="1">
        <w:r w:rsidRPr="004F51D2">
          <w:rPr>
            <w:rStyle w:val="Hyperlink"/>
            <w:rFonts w:ascii="Times New Roman" w:eastAsia="Calibri" w:hAnsi="Times New Roman" w:cs="Times New Roman"/>
            <w:color w:val="auto"/>
            <w:spacing w:val="-4"/>
            <w:sz w:val="24"/>
            <w:szCs w:val="24"/>
            <w:u w:val="none"/>
            <w:lang w:bidi="ar-SA"/>
          </w:rPr>
          <w:t>https://doi.org/10.1016/j.addbeh.2020.106484</w:t>
        </w:r>
      </w:hyperlink>
      <w:r w:rsidRPr="004F51D2">
        <w:rPr>
          <w:rFonts w:ascii="Times New Roman" w:eastAsia="Calibri" w:hAnsi="Times New Roman" w:cs="Times New Roman"/>
          <w:spacing w:val="-4"/>
          <w:sz w:val="24"/>
          <w:szCs w:val="24"/>
          <w:lang w:bidi="ar-SA"/>
        </w:rPr>
        <w:t>.</w:t>
      </w:r>
    </w:p>
    <w:p w14:paraId="5F4F7E3B" w14:textId="77777777" w:rsidR="00834955" w:rsidRPr="004F51D2" w:rsidRDefault="00834955" w:rsidP="00834955">
      <w:pPr>
        <w:bidi w:val="0"/>
        <w:spacing w:after="0" w:line="480" w:lineRule="auto"/>
        <w:ind w:left="720" w:hanging="720"/>
        <w:jc w:val="both"/>
        <w:rPr>
          <w:rFonts w:ascii="Times New Roman" w:eastAsia="Calibri" w:hAnsi="Times New Roman" w:cs="Times New Roman"/>
          <w:spacing w:val="-4"/>
          <w:sz w:val="24"/>
          <w:szCs w:val="24"/>
          <w:lang w:bidi="ar-SA"/>
        </w:rPr>
      </w:pPr>
      <w:r w:rsidRPr="004F51D2">
        <w:rPr>
          <w:rFonts w:ascii="Times New Roman" w:eastAsia="Calibri" w:hAnsi="Times New Roman" w:cs="Times New Roman"/>
          <w:spacing w:val="-4"/>
          <w:sz w:val="24"/>
          <w:szCs w:val="24"/>
          <w:lang w:bidi="ar-SA"/>
        </w:rPr>
        <w:t>Casale, S., Rugai, L., &amp; Fioravanti, G. (2018). Exploring the role of positive metacognitions in explaining the association between the fear of missing out and social media addiction. </w:t>
      </w:r>
      <w:r w:rsidRPr="004F51D2">
        <w:rPr>
          <w:rFonts w:ascii="Times New Roman" w:eastAsia="Calibri" w:hAnsi="Times New Roman" w:cs="Times New Roman"/>
          <w:i/>
          <w:iCs/>
          <w:spacing w:val="-4"/>
          <w:sz w:val="24"/>
          <w:szCs w:val="24"/>
          <w:lang w:bidi="ar-SA"/>
        </w:rPr>
        <w:t>Addictive Behaviors, 85</w:t>
      </w:r>
      <w:r w:rsidRPr="004F51D2">
        <w:rPr>
          <w:rFonts w:ascii="Times New Roman" w:eastAsia="Calibri" w:hAnsi="Times New Roman" w:cs="Times New Roman"/>
          <w:spacing w:val="-4"/>
          <w:sz w:val="24"/>
          <w:szCs w:val="24"/>
          <w:lang w:bidi="ar-SA"/>
        </w:rPr>
        <w:t xml:space="preserve">, 83-87. </w:t>
      </w:r>
      <w:hyperlink r:id="rId20" w:tgtFrame="_blank" w:tooltip="Persistent link using digital object identifier" w:history="1">
        <w:r w:rsidRPr="004F51D2">
          <w:rPr>
            <w:rFonts w:ascii="Times New Roman" w:hAnsi="Times New Roman" w:cs="Times New Roman"/>
            <w:sz w:val="24"/>
            <w:szCs w:val="24"/>
          </w:rPr>
          <w:t>https://doi.org/10.1016/j.addbeh.2018.05.020</w:t>
        </w:r>
      </w:hyperlink>
      <w:r w:rsidRPr="004F51D2">
        <w:rPr>
          <w:rFonts w:ascii="Times New Roman" w:eastAsia="Calibri" w:hAnsi="Times New Roman" w:cs="Times New Roman"/>
          <w:spacing w:val="-4"/>
          <w:sz w:val="24"/>
          <w:szCs w:val="24"/>
          <w:rtl/>
          <w:lang w:bidi="ar-SA"/>
        </w:rPr>
        <w:t>.</w:t>
      </w:r>
    </w:p>
    <w:p w14:paraId="07AA7B66" w14:textId="77777777" w:rsidR="00834955" w:rsidRPr="004F51D2" w:rsidRDefault="00834955" w:rsidP="00834955">
      <w:pPr>
        <w:bidi w:val="0"/>
        <w:spacing w:after="0" w:line="480" w:lineRule="auto"/>
        <w:ind w:left="720" w:hanging="720"/>
        <w:jc w:val="both"/>
        <w:rPr>
          <w:rFonts w:ascii="Times New Roman" w:eastAsia="Calibri" w:hAnsi="Times New Roman" w:cs="Times New Roman"/>
          <w:spacing w:val="-4"/>
          <w:sz w:val="24"/>
          <w:szCs w:val="24"/>
          <w:lang w:bidi="ar-SA"/>
        </w:rPr>
      </w:pPr>
      <w:r w:rsidRPr="004F51D2">
        <w:rPr>
          <w:rFonts w:ascii="Times New Roman" w:eastAsia="Calibri" w:hAnsi="Times New Roman" w:cs="Times New Roman"/>
          <w:spacing w:val="-4"/>
          <w:sz w:val="24"/>
          <w:szCs w:val="24"/>
          <w:lang w:bidi="ar-SA"/>
        </w:rPr>
        <w:t>Caselli, G., Fernie, B., Canfora, F., Mascolo, C., Ferrari, A., Antonioni, M., ... &amp; Spada, M. M. (2018). The metacognitions about gambling questionnaire</w:t>
      </w:r>
      <w:r w:rsidRPr="004F51D2">
        <w:rPr>
          <w:rFonts w:ascii="Times New Roman" w:eastAsia="Calibri" w:hAnsi="Times New Roman" w:cs="Times New Roman"/>
          <w:i/>
          <w:iCs/>
          <w:spacing w:val="-4"/>
          <w:sz w:val="24"/>
          <w:szCs w:val="24"/>
          <w:lang w:bidi="ar-SA"/>
        </w:rPr>
        <w:t xml:space="preserve">: </w:t>
      </w:r>
      <w:r w:rsidRPr="004F51D2">
        <w:rPr>
          <w:rFonts w:ascii="Times New Roman" w:eastAsia="Calibri" w:hAnsi="Times New Roman" w:cs="Times New Roman"/>
          <w:spacing w:val="-4"/>
          <w:sz w:val="24"/>
          <w:szCs w:val="24"/>
          <w:lang w:bidi="ar-SA"/>
        </w:rPr>
        <w:t>Development and Psychometric Properties</w:t>
      </w:r>
      <w:r w:rsidRPr="004F51D2">
        <w:rPr>
          <w:rFonts w:ascii="Times New Roman" w:eastAsia="Calibri" w:hAnsi="Times New Roman" w:cs="Times New Roman"/>
          <w:i/>
          <w:iCs/>
          <w:spacing w:val="-4"/>
          <w:sz w:val="24"/>
          <w:szCs w:val="24"/>
          <w:lang w:bidi="ar-SA"/>
        </w:rPr>
        <w:t>. Psychiatry Research, 261</w:t>
      </w:r>
      <w:r w:rsidRPr="004F51D2">
        <w:rPr>
          <w:rFonts w:ascii="Times New Roman" w:eastAsia="Calibri" w:hAnsi="Times New Roman" w:cs="Times New Roman"/>
          <w:spacing w:val="-4"/>
          <w:sz w:val="24"/>
          <w:szCs w:val="24"/>
          <w:lang w:bidi="ar-SA"/>
        </w:rPr>
        <w:t>, 367-374.</w:t>
      </w:r>
      <w:r w:rsidRPr="004F51D2">
        <w:rPr>
          <w:rFonts w:ascii="Times New Roman" w:hAnsi="Times New Roman" w:cs="Times New Roman"/>
          <w:spacing w:val="-4"/>
          <w:sz w:val="24"/>
          <w:szCs w:val="24"/>
        </w:rPr>
        <w:t xml:space="preserve"> </w:t>
      </w:r>
      <w:r w:rsidRPr="004F51D2">
        <w:rPr>
          <w:rFonts w:ascii="Times New Roman" w:hAnsi="Times New Roman" w:cs="Times New Roman"/>
          <w:color w:val="000000" w:themeColor="text1"/>
          <w:spacing w:val="-4"/>
          <w:sz w:val="24"/>
          <w:szCs w:val="24"/>
        </w:rPr>
        <w:t>https://</w:t>
      </w:r>
      <w:r w:rsidRPr="004F51D2">
        <w:rPr>
          <w:rFonts w:ascii="Times New Roman" w:eastAsia="Calibri" w:hAnsi="Times New Roman" w:cs="Times New Roman"/>
          <w:spacing w:val="-4"/>
          <w:sz w:val="24"/>
          <w:szCs w:val="24"/>
          <w:lang w:bidi="ar-SA"/>
        </w:rPr>
        <w:t>doi.org/10.1016/j.psychres.2018.01.018.</w:t>
      </w:r>
    </w:p>
    <w:p w14:paraId="324CA2FD" w14:textId="03EDB650" w:rsidR="00834955" w:rsidRPr="004F51D2" w:rsidRDefault="00834955" w:rsidP="006B37BD">
      <w:pPr>
        <w:bidi w:val="0"/>
        <w:spacing w:after="0" w:line="480" w:lineRule="auto"/>
        <w:ind w:left="720" w:hanging="720"/>
        <w:jc w:val="both"/>
        <w:rPr>
          <w:rFonts w:ascii="Times New Roman" w:eastAsia="Calibri" w:hAnsi="Times New Roman" w:cs="Times New Roman"/>
          <w:spacing w:val="-4"/>
          <w:sz w:val="24"/>
          <w:szCs w:val="24"/>
          <w:lang w:bidi="ar-SA"/>
        </w:rPr>
      </w:pPr>
      <w:r w:rsidRPr="004F51D2">
        <w:rPr>
          <w:rFonts w:ascii="Times New Roman" w:eastAsia="Calibri" w:hAnsi="Times New Roman" w:cs="Times New Roman"/>
          <w:spacing w:val="-4"/>
          <w:sz w:val="24"/>
          <w:szCs w:val="24"/>
          <w:lang w:bidi="ar-SA"/>
        </w:rPr>
        <w:t>Caselli, G., Marino, C., &amp; Spada, M. M. (2020). Modelling online gaming metacognitions: The role of time spent gaming in predicting problematic Internet use. </w:t>
      </w:r>
      <w:r w:rsidRPr="004F51D2">
        <w:rPr>
          <w:rFonts w:ascii="Times New Roman" w:eastAsia="Calibri" w:hAnsi="Times New Roman" w:cs="Times New Roman"/>
          <w:i/>
          <w:iCs/>
          <w:spacing w:val="-4"/>
          <w:sz w:val="24"/>
          <w:szCs w:val="24"/>
          <w:lang w:bidi="ar-SA"/>
        </w:rPr>
        <w:t>Journal of Rational-Emotive &amp; Cognitive-Behavior Therapy</w:t>
      </w:r>
      <w:r w:rsidRPr="004F51D2">
        <w:rPr>
          <w:rFonts w:ascii="Times New Roman" w:eastAsia="Calibri" w:hAnsi="Times New Roman" w:cs="Times New Roman"/>
          <w:spacing w:val="-4"/>
          <w:sz w:val="24"/>
          <w:szCs w:val="24"/>
          <w:lang w:bidi="ar-SA"/>
        </w:rPr>
        <w:t>. https://doi.org/10.1007/s10942-020-00365-0.</w:t>
      </w:r>
    </w:p>
    <w:p w14:paraId="4115A0D2" w14:textId="207A5109" w:rsidR="00834955" w:rsidRPr="004F51D2" w:rsidRDefault="00834955" w:rsidP="00834955">
      <w:pPr>
        <w:bidi w:val="0"/>
        <w:spacing w:after="0" w:line="480" w:lineRule="auto"/>
        <w:ind w:left="720" w:hanging="720"/>
        <w:jc w:val="both"/>
        <w:rPr>
          <w:rFonts w:ascii="Times New Roman" w:eastAsia="Calibri" w:hAnsi="Times New Roman" w:cs="Times New Roman"/>
          <w:spacing w:val="-4"/>
          <w:sz w:val="24"/>
          <w:szCs w:val="24"/>
          <w:lang w:bidi="ar-SA"/>
        </w:rPr>
      </w:pPr>
      <w:r w:rsidRPr="004F51D2">
        <w:rPr>
          <w:rFonts w:ascii="Times New Roman" w:eastAsia="Calibri" w:hAnsi="Times New Roman" w:cs="Times New Roman"/>
          <w:spacing w:val="-4"/>
          <w:sz w:val="24"/>
          <w:szCs w:val="24"/>
          <w:lang w:bidi="ar-SA"/>
        </w:rPr>
        <w:t xml:space="preserve">Caselli, G., Martino, F., Spada, M. M. &amp; Wells, A. (2018). Metacognitive Therapy for Alcohol Use Disorder: A systematic case series. </w:t>
      </w:r>
      <w:r w:rsidRPr="004F51D2">
        <w:rPr>
          <w:rFonts w:ascii="Times New Roman" w:eastAsia="Calibri" w:hAnsi="Times New Roman" w:cs="Times New Roman"/>
          <w:i/>
          <w:iCs/>
          <w:spacing w:val="-4"/>
          <w:sz w:val="24"/>
          <w:szCs w:val="24"/>
          <w:lang w:bidi="ar-SA"/>
        </w:rPr>
        <w:t>Frontiers in Psychology, 9</w:t>
      </w:r>
      <w:r w:rsidR="006B37BD" w:rsidRPr="004F51D2">
        <w:rPr>
          <w:rFonts w:ascii="Times New Roman" w:eastAsia="Calibri" w:hAnsi="Times New Roman" w:cs="Times New Roman"/>
          <w:spacing w:val="-4"/>
          <w:sz w:val="24"/>
          <w:szCs w:val="24"/>
          <w:lang w:bidi="ar-SA"/>
        </w:rPr>
        <w:t>,</w:t>
      </w:r>
      <w:r w:rsidRPr="004F51D2">
        <w:rPr>
          <w:rFonts w:ascii="Times New Roman" w:eastAsia="Calibri" w:hAnsi="Times New Roman" w:cs="Times New Roman"/>
          <w:spacing w:val="-4"/>
          <w:sz w:val="24"/>
          <w:szCs w:val="24"/>
          <w:lang w:bidi="ar-SA"/>
        </w:rPr>
        <w:t xml:space="preserve"> 1-11. </w:t>
      </w:r>
      <w:hyperlink r:id="rId21" w:history="1">
        <w:r w:rsidRPr="004F51D2">
          <w:rPr>
            <w:rFonts w:ascii="Times New Roman" w:eastAsia="Calibri" w:hAnsi="Times New Roman" w:cs="Times New Roman"/>
            <w:spacing w:val="-4"/>
            <w:sz w:val="24"/>
            <w:szCs w:val="24"/>
            <w:lang w:bidi="ar-SA"/>
          </w:rPr>
          <w:t>https://doi.org/10.3389/fpsyg.2018.02619</w:t>
        </w:r>
      </w:hyperlink>
      <w:r w:rsidRPr="004F51D2">
        <w:rPr>
          <w:rFonts w:ascii="Times New Roman" w:eastAsia="Calibri" w:hAnsi="Times New Roman" w:cs="Times New Roman"/>
          <w:spacing w:val="-4"/>
          <w:sz w:val="24"/>
          <w:szCs w:val="24"/>
          <w:lang w:bidi="ar-SA"/>
        </w:rPr>
        <w:t>.</w:t>
      </w:r>
    </w:p>
    <w:p w14:paraId="75C77B1E" w14:textId="77777777" w:rsidR="00834955" w:rsidRPr="004F51D2" w:rsidRDefault="00834955" w:rsidP="00834955">
      <w:pPr>
        <w:bidi w:val="0"/>
        <w:spacing w:after="0" w:line="480" w:lineRule="auto"/>
        <w:ind w:left="720" w:hanging="720"/>
        <w:jc w:val="both"/>
        <w:rPr>
          <w:rFonts w:ascii="Times New Roman" w:eastAsia="Calibri" w:hAnsi="Times New Roman" w:cs="Times New Roman"/>
          <w:spacing w:val="-4"/>
          <w:sz w:val="24"/>
          <w:szCs w:val="24"/>
          <w:lang w:bidi="ar-SA"/>
        </w:rPr>
      </w:pPr>
      <w:r w:rsidRPr="004F51D2">
        <w:rPr>
          <w:rFonts w:ascii="Times New Roman" w:eastAsia="Calibri" w:hAnsi="Times New Roman" w:cs="Times New Roman"/>
          <w:spacing w:val="-4"/>
          <w:sz w:val="24"/>
          <w:szCs w:val="24"/>
          <w:lang w:bidi="ar-SA"/>
        </w:rPr>
        <w:t xml:space="preserve">Collins, E., Freeman, J., &amp; Chamarro-Premuzic, T. (2012). Personality traits associated with problematic and non-problematic massively multiplayer online role playing game use. </w:t>
      </w:r>
      <w:r w:rsidRPr="004F51D2">
        <w:rPr>
          <w:rFonts w:ascii="Times New Roman" w:eastAsia="Calibri" w:hAnsi="Times New Roman" w:cs="Times New Roman"/>
          <w:i/>
          <w:iCs/>
          <w:spacing w:val="-4"/>
          <w:sz w:val="24"/>
          <w:szCs w:val="24"/>
          <w:lang w:bidi="ar-SA"/>
        </w:rPr>
        <w:t>Personality and Individual Differences, 52</w:t>
      </w:r>
      <w:r w:rsidRPr="004F51D2">
        <w:rPr>
          <w:rFonts w:ascii="Times New Roman" w:eastAsia="Calibri" w:hAnsi="Times New Roman" w:cs="Times New Roman"/>
          <w:spacing w:val="-4"/>
          <w:sz w:val="24"/>
          <w:szCs w:val="24"/>
          <w:lang w:bidi="ar-SA"/>
        </w:rPr>
        <w:t>, 133-138.</w:t>
      </w:r>
      <w:r w:rsidRPr="004F51D2">
        <w:rPr>
          <w:rFonts w:ascii="Times New Roman" w:hAnsi="Times New Roman" w:cs="Times New Roman"/>
          <w:spacing w:val="-4"/>
          <w:sz w:val="24"/>
          <w:szCs w:val="24"/>
        </w:rPr>
        <w:t xml:space="preserve"> </w:t>
      </w:r>
      <w:r w:rsidRPr="004F51D2">
        <w:rPr>
          <w:rFonts w:ascii="Times New Roman" w:hAnsi="Times New Roman" w:cs="Times New Roman"/>
          <w:color w:val="000000" w:themeColor="text1"/>
          <w:spacing w:val="-4"/>
          <w:sz w:val="24"/>
          <w:szCs w:val="24"/>
        </w:rPr>
        <w:t>https://</w:t>
      </w:r>
      <w:r w:rsidRPr="004F51D2">
        <w:rPr>
          <w:rFonts w:ascii="Times New Roman" w:eastAsia="Calibri" w:hAnsi="Times New Roman" w:cs="Times New Roman"/>
          <w:spacing w:val="-4"/>
          <w:sz w:val="24"/>
          <w:szCs w:val="24"/>
          <w:lang w:bidi="ar-SA"/>
        </w:rPr>
        <w:t>doi.org/10.1016/j.paid.2011.09.015.</w:t>
      </w:r>
    </w:p>
    <w:p w14:paraId="00CB1E25" w14:textId="77777777" w:rsidR="00834955" w:rsidRPr="004F51D2" w:rsidRDefault="00834955" w:rsidP="00834955">
      <w:pPr>
        <w:bidi w:val="0"/>
        <w:spacing w:after="0" w:line="480" w:lineRule="auto"/>
        <w:ind w:left="720" w:hanging="720"/>
        <w:jc w:val="both"/>
        <w:rPr>
          <w:rFonts w:ascii="Times New Roman" w:eastAsia="Calibri" w:hAnsi="Times New Roman" w:cs="Times New Roman"/>
          <w:spacing w:val="-4"/>
          <w:sz w:val="24"/>
          <w:szCs w:val="24"/>
          <w:lang w:bidi="ar-SA"/>
        </w:rPr>
      </w:pPr>
      <w:r w:rsidRPr="004F51D2">
        <w:rPr>
          <w:rFonts w:ascii="Times New Roman" w:eastAsia="Calibri" w:hAnsi="Times New Roman" w:cs="Times New Roman"/>
          <w:spacing w:val="-4"/>
          <w:sz w:val="24"/>
          <w:szCs w:val="24"/>
          <w:lang w:bidi="ar-SA"/>
        </w:rPr>
        <w:t>Costello, A. B., &amp; Osborne, J. (2005). Best practices in exploratory factor analysis: Four recommendations for getting the most from your analysis. </w:t>
      </w:r>
      <w:r w:rsidRPr="004F51D2">
        <w:rPr>
          <w:rFonts w:ascii="Times New Roman" w:eastAsia="Calibri" w:hAnsi="Times New Roman" w:cs="Times New Roman"/>
          <w:i/>
          <w:iCs/>
          <w:spacing w:val="-4"/>
          <w:sz w:val="24"/>
          <w:szCs w:val="24"/>
          <w:lang w:bidi="ar-SA"/>
        </w:rPr>
        <w:t>Practical Assessment, Research, and Evaluation, 10</w:t>
      </w:r>
      <w:r w:rsidRPr="004F51D2">
        <w:rPr>
          <w:rFonts w:ascii="Times New Roman" w:eastAsia="Calibri" w:hAnsi="Times New Roman" w:cs="Times New Roman"/>
          <w:spacing w:val="-4"/>
          <w:sz w:val="24"/>
          <w:szCs w:val="24"/>
          <w:lang w:bidi="ar-SA"/>
        </w:rPr>
        <w:t xml:space="preserve">. </w:t>
      </w:r>
      <w:r w:rsidRPr="004F51D2">
        <w:rPr>
          <w:rFonts w:ascii="Times New Roman" w:hAnsi="Times New Roman" w:cs="Times New Roman"/>
          <w:color w:val="000000" w:themeColor="text1"/>
          <w:spacing w:val="-4"/>
          <w:sz w:val="24"/>
          <w:szCs w:val="24"/>
        </w:rPr>
        <w:t>https://</w:t>
      </w:r>
      <w:r w:rsidRPr="004F51D2">
        <w:rPr>
          <w:rFonts w:ascii="Times New Roman" w:hAnsi="Times New Roman" w:cs="Times New Roman"/>
          <w:spacing w:val="-4"/>
          <w:sz w:val="24"/>
          <w:szCs w:val="24"/>
          <w:shd w:val="clear" w:color="auto" w:fill="FFFFFF"/>
        </w:rPr>
        <w:t>doi.org/10.7275/jyj1-4868.</w:t>
      </w:r>
    </w:p>
    <w:p w14:paraId="452E91BE" w14:textId="36BD7375" w:rsidR="00A777D6" w:rsidRPr="004F51D2" w:rsidRDefault="00A777D6" w:rsidP="00834955">
      <w:pPr>
        <w:bidi w:val="0"/>
        <w:spacing w:after="0" w:line="480" w:lineRule="auto"/>
        <w:ind w:left="720" w:hanging="720"/>
        <w:jc w:val="both"/>
        <w:rPr>
          <w:rFonts w:ascii="Times New Roman" w:eastAsia="Calibri" w:hAnsi="Times New Roman" w:cs="Times New Roman"/>
          <w:spacing w:val="-4"/>
          <w:sz w:val="24"/>
          <w:szCs w:val="24"/>
          <w:lang w:bidi="ar-SA"/>
        </w:rPr>
      </w:pPr>
      <w:r w:rsidRPr="004F51D2">
        <w:rPr>
          <w:rFonts w:ascii="Times New Roman" w:eastAsia="Calibri" w:hAnsi="Times New Roman" w:cs="Times New Roman"/>
          <w:spacing w:val="-4"/>
          <w:sz w:val="24"/>
          <w:szCs w:val="24"/>
          <w:lang w:bidi="ar-SA"/>
        </w:rPr>
        <w:t>Demetrovics, Z., Urbán, R., Nagygyörgy, K., Farkas, J., Griffiths, M. D., Pápay, O., ... &amp; Oláh, A. (2012). The development of the problematic online gaming questionnaire (POGQ). </w:t>
      </w:r>
      <w:r w:rsidRPr="004F51D2">
        <w:rPr>
          <w:rFonts w:ascii="Times New Roman" w:eastAsia="Calibri" w:hAnsi="Times New Roman" w:cs="Times New Roman"/>
          <w:i/>
          <w:iCs/>
          <w:spacing w:val="-4"/>
          <w:sz w:val="24"/>
          <w:szCs w:val="24"/>
          <w:lang w:bidi="ar-SA"/>
        </w:rPr>
        <w:t>PloS one</w:t>
      </w:r>
      <w:r w:rsidRPr="004F51D2">
        <w:rPr>
          <w:rFonts w:ascii="Times New Roman" w:eastAsia="Calibri" w:hAnsi="Times New Roman" w:cs="Times New Roman"/>
          <w:spacing w:val="-4"/>
          <w:sz w:val="24"/>
          <w:szCs w:val="24"/>
          <w:lang w:bidi="ar-SA"/>
        </w:rPr>
        <w:t>, </w:t>
      </w:r>
      <w:r w:rsidRPr="004F51D2">
        <w:rPr>
          <w:rFonts w:ascii="Times New Roman" w:eastAsia="Calibri" w:hAnsi="Times New Roman" w:cs="Times New Roman"/>
          <w:i/>
          <w:iCs/>
          <w:spacing w:val="-4"/>
          <w:sz w:val="24"/>
          <w:szCs w:val="24"/>
          <w:lang w:bidi="ar-SA"/>
        </w:rPr>
        <w:t>7</w:t>
      </w:r>
      <w:r w:rsidRPr="004F51D2">
        <w:rPr>
          <w:rFonts w:ascii="Times New Roman" w:eastAsia="Calibri" w:hAnsi="Times New Roman" w:cs="Times New Roman"/>
          <w:spacing w:val="-4"/>
          <w:sz w:val="24"/>
          <w:szCs w:val="24"/>
          <w:lang w:bidi="ar-SA"/>
        </w:rPr>
        <w:t>, e36417.</w:t>
      </w:r>
      <w:r w:rsidRPr="004F51D2">
        <w:rPr>
          <w:rFonts w:ascii="Times New Roman" w:hAnsi="Times New Roman" w:cs="Times New Roman"/>
          <w:spacing w:val="-4"/>
          <w:sz w:val="24"/>
          <w:szCs w:val="24"/>
        </w:rPr>
        <w:t xml:space="preserve"> </w:t>
      </w:r>
      <w:hyperlink r:id="rId22" w:history="1">
        <w:r w:rsidRPr="004F51D2">
          <w:rPr>
            <w:rStyle w:val="Hyperlink"/>
            <w:rFonts w:ascii="Times New Roman" w:hAnsi="Times New Roman" w:cs="Times New Roman"/>
            <w:spacing w:val="-4"/>
            <w:sz w:val="24"/>
            <w:szCs w:val="24"/>
          </w:rPr>
          <w:t>https://</w:t>
        </w:r>
        <w:r w:rsidRPr="004F51D2">
          <w:rPr>
            <w:rStyle w:val="Hyperlink"/>
            <w:rFonts w:ascii="Times New Roman" w:eastAsia="Calibri" w:hAnsi="Times New Roman" w:cs="Times New Roman"/>
            <w:spacing w:val="-4"/>
            <w:sz w:val="24"/>
            <w:szCs w:val="24"/>
            <w:lang w:bidi="ar-SA"/>
          </w:rPr>
          <w:t>doi.org/10.1371/journal.pone.0036417</w:t>
        </w:r>
      </w:hyperlink>
      <w:r w:rsidRPr="004F51D2">
        <w:rPr>
          <w:rFonts w:ascii="Times New Roman" w:eastAsia="Calibri" w:hAnsi="Times New Roman" w:cs="Times New Roman"/>
          <w:spacing w:val="-4"/>
          <w:sz w:val="24"/>
          <w:szCs w:val="24"/>
          <w:lang w:bidi="ar-SA"/>
        </w:rPr>
        <w:t>.</w:t>
      </w:r>
    </w:p>
    <w:p w14:paraId="1D3A9652" w14:textId="1D028A65" w:rsidR="00834955" w:rsidRPr="004F51D2" w:rsidRDefault="00834955" w:rsidP="00A777D6">
      <w:pPr>
        <w:bidi w:val="0"/>
        <w:spacing w:after="0" w:line="480" w:lineRule="auto"/>
        <w:ind w:left="720" w:hanging="720"/>
        <w:jc w:val="both"/>
        <w:rPr>
          <w:rFonts w:ascii="Times New Roman" w:eastAsia="Calibri" w:hAnsi="Times New Roman" w:cs="Times New Roman"/>
          <w:spacing w:val="-4"/>
          <w:sz w:val="24"/>
          <w:szCs w:val="24"/>
          <w:lang w:bidi="ar-SA"/>
        </w:rPr>
      </w:pPr>
      <w:r w:rsidRPr="004F51D2">
        <w:rPr>
          <w:rFonts w:ascii="Times New Roman" w:eastAsia="Calibri" w:hAnsi="Times New Roman" w:cs="Times New Roman"/>
          <w:spacing w:val="-4"/>
          <w:sz w:val="24"/>
          <w:szCs w:val="24"/>
          <w:lang w:bidi="ar-SA"/>
        </w:rPr>
        <w:t xml:space="preserve">Demetrovics, Z., Urbán, R., Nagygyörgy, K., Farkas, J., Zilahy, D., Mervó, B., ... &amp; Harmath, E. (2011). Why do you play? The development of the motives for online gaming questionnaire (MOGQ). </w:t>
      </w:r>
      <w:r w:rsidRPr="004F51D2">
        <w:rPr>
          <w:rFonts w:ascii="Times New Roman" w:eastAsia="Calibri" w:hAnsi="Times New Roman" w:cs="Times New Roman"/>
          <w:i/>
          <w:iCs/>
          <w:spacing w:val="-4"/>
          <w:sz w:val="24"/>
          <w:szCs w:val="24"/>
          <w:lang w:bidi="ar-SA"/>
        </w:rPr>
        <w:t>Behavior Research Methods</w:t>
      </w:r>
      <w:r w:rsidRPr="004F51D2">
        <w:rPr>
          <w:rFonts w:ascii="Times New Roman" w:eastAsia="Calibri" w:hAnsi="Times New Roman" w:cs="Times New Roman"/>
          <w:spacing w:val="-4"/>
          <w:sz w:val="24"/>
          <w:szCs w:val="24"/>
          <w:lang w:bidi="ar-SA"/>
        </w:rPr>
        <w:t>, 43, 814-825.</w:t>
      </w:r>
      <w:r w:rsidRPr="004F51D2">
        <w:rPr>
          <w:rFonts w:ascii="Times New Roman" w:hAnsi="Times New Roman" w:cs="Times New Roman"/>
          <w:spacing w:val="-4"/>
          <w:sz w:val="24"/>
          <w:szCs w:val="24"/>
        </w:rPr>
        <w:t xml:space="preserve"> </w:t>
      </w:r>
      <w:r w:rsidRPr="004F51D2">
        <w:rPr>
          <w:rFonts w:ascii="Times New Roman" w:hAnsi="Times New Roman" w:cs="Times New Roman"/>
          <w:color w:val="000000" w:themeColor="text1"/>
          <w:spacing w:val="-4"/>
          <w:sz w:val="24"/>
          <w:szCs w:val="24"/>
        </w:rPr>
        <w:t>https://</w:t>
      </w:r>
      <w:r w:rsidRPr="004F51D2">
        <w:rPr>
          <w:rFonts w:ascii="Times New Roman" w:eastAsia="Calibri" w:hAnsi="Times New Roman" w:cs="Times New Roman"/>
          <w:spacing w:val="-4"/>
          <w:sz w:val="24"/>
          <w:szCs w:val="24"/>
          <w:lang w:bidi="ar-SA"/>
        </w:rPr>
        <w:t>doi</w:t>
      </w:r>
      <w:r w:rsidR="00A777D6" w:rsidRPr="004F51D2">
        <w:rPr>
          <w:rFonts w:ascii="Times New Roman" w:eastAsia="Calibri" w:hAnsi="Times New Roman" w:cs="Times New Roman"/>
          <w:spacing w:val="-4"/>
          <w:sz w:val="24"/>
          <w:szCs w:val="24"/>
          <w:lang w:bidi="ar-SA"/>
        </w:rPr>
        <w:t>.org/10.3758/s13428-011-0091-y.</w:t>
      </w:r>
    </w:p>
    <w:p w14:paraId="6BA59633" w14:textId="77777777" w:rsidR="00834955" w:rsidRPr="004F51D2" w:rsidRDefault="00834955" w:rsidP="00834955">
      <w:pPr>
        <w:bidi w:val="0"/>
        <w:spacing w:after="0" w:line="480" w:lineRule="auto"/>
        <w:ind w:left="720" w:hanging="720"/>
        <w:jc w:val="both"/>
        <w:rPr>
          <w:rFonts w:ascii="Times New Roman" w:eastAsia="Calibri" w:hAnsi="Times New Roman" w:cs="Times New Roman"/>
          <w:spacing w:val="-4"/>
          <w:sz w:val="24"/>
          <w:szCs w:val="24"/>
          <w:lang w:bidi="ar-SA"/>
        </w:rPr>
      </w:pPr>
      <w:r w:rsidRPr="004F51D2">
        <w:rPr>
          <w:rFonts w:ascii="Times New Roman" w:eastAsia="Calibri" w:hAnsi="Times New Roman" w:cs="Times New Roman"/>
          <w:spacing w:val="-4"/>
          <w:sz w:val="24"/>
          <w:szCs w:val="24"/>
          <w:lang w:bidi="ar-SA"/>
        </w:rPr>
        <w:t xml:space="preserve">Du, X., Qi, X., Yang, Y., Du, G., Gao, P., Zhang, Y., ... &amp; Zhang, Q. (2016). Altered structural correlates of impulsivity in adolescents with internet gaming disorder. </w:t>
      </w:r>
      <w:r w:rsidRPr="004F51D2">
        <w:rPr>
          <w:rFonts w:ascii="Times New Roman" w:eastAsia="Calibri" w:hAnsi="Times New Roman" w:cs="Times New Roman"/>
          <w:i/>
          <w:iCs/>
          <w:spacing w:val="-4"/>
          <w:sz w:val="24"/>
          <w:szCs w:val="24"/>
          <w:lang w:bidi="ar-SA"/>
        </w:rPr>
        <w:t>Frontiers in Human Neuroscience, 10</w:t>
      </w:r>
      <w:r w:rsidRPr="004F51D2">
        <w:rPr>
          <w:rFonts w:ascii="Times New Roman" w:eastAsia="Calibri" w:hAnsi="Times New Roman" w:cs="Times New Roman"/>
          <w:spacing w:val="-4"/>
          <w:sz w:val="24"/>
          <w:szCs w:val="24"/>
          <w:lang w:bidi="ar-SA"/>
        </w:rPr>
        <w:t>.</w:t>
      </w:r>
      <w:r w:rsidRPr="004F51D2">
        <w:rPr>
          <w:rFonts w:ascii="Times New Roman" w:hAnsi="Times New Roman" w:cs="Times New Roman"/>
          <w:spacing w:val="-4"/>
          <w:sz w:val="24"/>
          <w:szCs w:val="24"/>
        </w:rPr>
        <w:t xml:space="preserve"> </w:t>
      </w:r>
      <w:hyperlink r:id="rId23" w:history="1">
        <w:r w:rsidRPr="004F51D2">
          <w:rPr>
            <w:rStyle w:val="Hyperlink"/>
            <w:rFonts w:ascii="Times New Roman" w:hAnsi="Times New Roman" w:cs="Times New Roman"/>
            <w:color w:val="auto"/>
            <w:spacing w:val="-4"/>
            <w:sz w:val="24"/>
            <w:szCs w:val="24"/>
            <w:u w:val="none"/>
          </w:rPr>
          <w:t>https://</w:t>
        </w:r>
        <w:r w:rsidRPr="004F51D2">
          <w:rPr>
            <w:rStyle w:val="Hyperlink"/>
            <w:rFonts w:ascii="Times New Roman" w:eastAsia="Calibri" w:hAnsi="Times New Roman" w:cs="Times New Roman"/>
            <w:color w:val="auto"/>
            <w:spacing w:val="-4"/>
            <w:sz w:val="24"/>
            <w:szCs w:val="24"/>
            <w:u w:val="none"/>
            <w:lang w:bidi="ar-SA"/>
          </w:rPr>
          <w:t>doi.org/10.3389/fnhum.2016.00004</w:t>
        </w:r>
      </w:hyperlink>
      <w:r w:rsidRPr="004F51D2">
        <w:rPr>
          <w:rFonts w:ascii="Times New Roman" w:eastAsia="Calibri" w:hAnsi="Times New Roman" w:cs="Times New Roman"/>
          <w:spacing w:val="-4"/>
          <w:sz w:val="24"/>
          <w:szCs w:val="24"/>
          <w:lang w:bidi="ar-SA"/>
        </w:rPr>
        <w:t>.</w:t>
      </w:r>
    </w:p>
    <w:p w14:paraId="4A8012E2" w14:textId="77777777" w:rsidR="00834955" w:rsidRPr="004F51D2" w:rsidRDefault="00834955" w:rsidP="00834955">
      <w:pPr>
        <w:bidi w:val="0"/>
        <w:spacing w:after="0" w:line="480" w:lineRule="auto"/>
        <w:ind w:left="720" w:hanging="720"/>
        <w:jc w:val="both"/>
        <w:rPr>
          <w:rFonts w:ascii="Times New Roman" w:eastAsia="Calibri" w:hAnsi="Times New Roman" w:cs="Times New Roman"/>
          <w:spacing w:val="-4"/>
          <w:sz w:val="24"/>
          <w:szCs w:val="24"/>
          <w:lang w:bidi="ar-SA"/>
        </w:rPr>
      </w:pPr>
      <w:r w:rsidRPr="004F51D2">
        <w:rPr>
          <w:rFonts w:ascii="Times New Roman" w:eastAsia="Calibri" w:hAnsi="Times New Roman" w:cs="Times New Roman"/>
          <w:spacing w:val="-4"/>
          <w:sz w:val="24"/>
          <w:szCs w:val="24"/>
          <w:lang w:bidi="ar-SA"/>
        </w:rPr>
        <w:t>Fabrigar, L. R., Wegener, D. T., MacCallum, R. C., &amp; Strahan, E. J. (1999). Evaluating the use of exploratory factor analysis in psychological research. </w:t>
      </w:r>
      <w:r w:rsidRPr="004F51D2">
        <w:rPr>
          <w:rFonts w:ascii="Times New Roman" w:eastAsia="Calibri" w:hAnsi="Times New Roman" w:cs="Times New Roman"/>
          <w:i/>
          <w:iCs/>
          <w:spacing w:val="-4"/>
          <w:sz w:val="24"/>
          <w:szCs w:val="24"/>
          <w:lang w:bidi="ar-SA"/>
        </w:rPr>
        <w:t>Psychological Methods, 4</w:t>
      </w:r>
      <w:r w:rsidRPr="004F51D2">
        <w:rPr>
          <w:rFonts w:ascii="Times New Roman" w:eastAsia="Calibri" w:hAnsi="Times New Roman" w:cs="Times New Roman"/>
          <w:spacing w:val="-4"/>
          <w:sz w:val="24"/>
          <w:szCs w:val="24"/>
          <w:lang w:bidi="ar-SA"/>
        </w:rPr>
        <w:t>, 272. https://</w:t>
      </w:r>
      <w:hyperlink r:id="rId24" w:tgtFrame="_blank" w:history="1">
        <w:r w:rsidRPr="004F51D2">
          <w:rPr>
            <w:rFonts w:ascii="Times New Roman" w:eastAsia="Calibri" w:hAnsi="Times New Roman" w:cs="Times New Roman"/>
            <w:spacing w:val="-4"/>
            <w:sz w:val="24"/>
            <w:szCs w:val="24"/>
            <w:lang w:bidi="ar-SA"/>
          </w:rPr>
          <w:t>doi.org/10.1037/1082-989X.4.3.272</w:t>
        </w:r>
      </w:hyperlink>
      <w:r w:rsidRPr="004F51D2">
        <w:rPr>
          <w:rFonts w:ascii="Times New Roman" w:eastAsia="Calibri" w:hAnsi="Times New Roman" w:cs="Times New Roman"/>
          <w:spacing w:val="-4"/>
          <w:sz w:val="24"/>
          <w:szCs w:val="24"/>
          <w:lang w:bidi="ar-SA"/>
        </w:rPr>
        <w:t>.</w:t>
      </w:r>
    </w:p>
    <w:p w14:paraId="2E613CFF" w14:textId="77777777" w:rsidR="00834955" w:rsidRPr="004F51D2" w:rsidRDefault="00834955" w:rsidP="00834955">
      <w:pPr>
        <w:bidi w:val="0"/>
        <w:spacing w:after="0" w:line="480" w:lineRule="auto"/>
        <w:ind w:left="720" w:hanging="720"/>
        <w:jc w:val="both"/>
        <w:rPr>
          <w:rFonts w:ascii="Times New Roman" w:eastAsia="Calibri" w:hAnsi="Times New Roman" w:cs="Times New Roman"/>
          <w:spacing w:val="-4"/>
          <w:sz w:val="24"/>
          <w:szCs w:val="24"/>
          <w:lang w:bidi="ar-SA"/>
        </w:rPr>
      </w:pPr>
      <w:r w:rsidRPr="004F51D2">
        <w:rPr>
          <w:rFonts w:ascii="Times New Roman" w:eastAsia="Calibri" w:hAnsi="Times New Roman" w:cs="Times New Roman"/>
          <w:spacing w:val="-4"/>
          <w:sz w:val="24"/>
          <w:szCs w:val="24"/>
          <w:lang w:bidi="ar-SA"/>
        </w:rPr>
        <w:t xml:space="preserve">Fam, J. Y. (2018). Prevalence of internet gaming disorder in adolescents: A meta‐analysis across three decades. </w:t>
      </w:r>
      <w:r w:rsidRPr="004F51D2">
        <w:rPr>
          <w:rFonts w:ascii="Times New Roman" w:eastAsia="Calibri" w:hAnsi="Times New Roman" w:cs="Times New Roman"/>
          <w:i/>
          <w:iCs/>
          <w:spacing w:val="-4"/>
          <w:sz w:val="24"/>
          <w:szCs w:val="24"/>
          <w:lang w:bidi="ar-SA"/>
        </w:rPr>
        <w:t>Scandinavian Journal of Psychology, 59</w:t>
      </w:r>
      <w:r w:rsidRPr="004F51D2">
        <w:rPr>
          <w:rFonts w:ascii="Times New Roman" w:eastAsia="Calibri" w:hAnsi="Times New Roman" w:cs="Times New Roman"/>
          <w:spacing w:val="-4"/>
          <w:sz w:val="24"/>
          <w:szCs w:val="24"/>
          <w:lang w:bidi="ar-SA"/>
        </w:rPr>
        <w:t>, 524-531.</w:t>
      </w:r>
      <w:r w:rsidRPr="004F51D2">
        <w:rPr>
          <w:rFonts w:ascii="Times New Roman" w:hAnsi="Times New Roman" w:cs="Times New Roman"/>
          <w:spacing w:val="-4"/>
          <w:sz w:val="24"/>
          <w:szCs w:val="24"/>
        </w:rPr>
        <w:t xml:space="preserve"> </w:t>
      </w:r>
      <w:r w:rsidRPr="004F51D2">
        <w:rPr>
          <w:rFonts w:ascii="Times New Roman" w:hAnsi="Times New Roman" w:cs="Times New Roman"/>
          <w:color w:val="000000" w:themeColor="text1"/>
          <w:spacing w:val="-4"/>
          <w:sz w:val="24"/>
          <w:szCs w:val="24"/>
        </w:rPr>
        <w:t>https://</w:t>
      </w:r>
      <w:r w:rsidRPr="004F51D2">
        <w:rPr>
          <w:rFonts w:ascii="Times New Roman" w:eastAsia="Calibri" w:hAnsi="Times New Roman" w:cs="Times New Roman"/>
          <w:spacing w:val="-4"/>
          <w:sz w:val="24"/>
          <w:szCs w:val="24"/>
          <w:lang w:bidi="ar-SA"/>
        </w:rPr>
        <w:t>doi.org/10.1111/sjop.12459.</w:t>
      </w:r>
    </w:p>
    <w:p w14:paraId="636DD4C2" w14:textId="77777777" w:rsidR="00834955" w:rsidRPr="004F51D2" w:rsidRDefault="00834955" w:rsidP="00834955">
      <w:pPr>
        <w:bidi w:val="0"/>
        <w:spacing w:after="0" w:line="480" w:lineRule="auto"/>
        <w:ind w:left="720" w:hanging="720"/>
        <w:jc w:val="both"/>
        <w:rPr>
          <w:rFonts w:ascii="Times New Roman" w:eastAsia="Calibri" w:hAnsi="Times New Roman" w:cs="Times New Roman"/>
          <w:spacing w:val="-4"/>
          <w:sz w:val="24"/>
          <w:szCs w:val="24"/>
          <w:lang w:bidi="ar-SA"/>
        </w:rPr>
      </w:pPr>
    </w:p>
    <w:p w14:paraId="0787F351" w14:textId="77777777" w:rsidR="00834955" w:rsidRPr="004F51D2" w:rsidRDefault="00834955" w:rsidP="00834955">
      <w:pPr>
        <w:bidi w:val="0"/>
        <w:spacing w:after="0" w:line="480" w:lineRule="auto"/>
        <w:ind w:left="720" w:hanging="720"/>
        <w:jc w:val="both"/>
        <w:rPr>
          <w:rFonts w:ascii="Times New Roman" w:eastAsia="Calibri" w:hAnsi="Times New Roman" w:cs="Times New Roman"/>
          <w:spacing w:val="-4"/>
          <w:sz w:val="24"/>
          <w:szCs w:val="24"/>
          <w:lang w:bidi="ar-SA"/>
        </w:rPr>
      </w:pPr>
      <w:r w:rsidRPr="004F51D2">
        <w:rPr>
          <w:rFonts w:ascii="Times New Roman" w:eastAsia="Calibri" w:hAnsi="Times New Roman" w:cs="Times New Roman"/>
          <w:spacing w:val="-4"/>
          <w:sz w:val="24"/>
          <w:szCs w:val="24"/>
          <w:lang w:bidi="ar-SA"/>
        </w:rPr>
        <w:t xml:space="preserve">Fazeli, S., Zeidi, I. M., Lin, C. Y., Namdar, P., Griffiths, M. D., Ahorsu, D. K., &amp; Pakpour, A. H. (2020). Depression, anxiety, and stress mediate the associations between internet gaming disorder, insomnia, and quality of life during the COVID-19 outbreak. </w:t>
      </w:r>
      <w:r w:rsidRPr="004F51D2">
        <w:rPr>
          <w:rFonts w:ascii="Times New Roman" w:eastAsia="Calibri" w:hAnsi="Times New Roman" w:cs="Times New Roman"/>
          <w:i/>
          <w:iCs/>
          <w:spacing w:val="-4"/>
          <w:sz w:val="24"/>
          <w:szCs w:val="24"/>
          <w:lang w:bidi="ar-SA"/>
        </w:rPr>
        <w:t>Addictive Behaviors Reports, 12</w:t>
      </w:r>
      <w:r w:rsidRPr="004F51D2">
        <w:rPr>
          <w:rFonts w:ascii="Times New Roman" w:eastAsia="Calibri" w:hAnsi="Times New Roman" w:cs="Times New Roman"/>
          <w:spacing w:val="-4"/>
          <w:sz w:val="24"/>
          <w:szCs w:val="24"/>
          <w:lang w:bidi="ar-SA"/>
        </w:rPr>
        <w:t>, 100307.</w:t>
      </w:r>
      <w:r w:rsidRPr="004F51D2">
        <w:rPr>
          <w:rFonts w:ascii="Times New Roman" w:hAnsi="Times New Roman" w:cs="Times New Roman"/>
          <w:spacing w:val="-4"/>
          <w:sz w:val="24"/>
          <w:szCs w:val="24"/>
        </w:rPr>
        <w:t xml:space="preserve"> </w:t>
      </w:r>
      <w:hyperlink r:id="rId25" w:history="1">
        <w:r w:rsidRPr="004F51D2">
          <w:rPr>
            <w:rStyle w:val="Hyperlink"/>
            <w:rFonts w:ascii="Times New Roman" w:hAnsi="Times New Roman" w:cs="Times New Roman"/>
            <w:color w:val="auto"/>
            <w:spacing w:val="-4"/>
            <w:sz w:val="24"/>
            <w:szCs w:val="24"/>
            <w:u w:val="none"/>
          </w:rPr>
          <w:t>https://</w:t>
        </w:r>
        <w:r w:rsidRPr="004F51D2">
          <w:rPr>
            <w:rStyle w:val="Hyperlink"/>
            <w:rFonts w:ascii="Times New Roman" w:eastAsia="Calibri" w:hAnsi="Times New Roman" w:cs="Times New Roman"/>
            <w:color w:val="auto"/>
            <w:spacing w:val="-4"/>
            <w:sz w:val="24"/>
            <w:szCs w:val="24"/>
            <w:u w:val="none"/>
            <w:lang w:bidi="ar-SA"/>
          </w:rPr>
          <w:t>doi.org/10.1016/j.abrep.2020.100307</w:t>
        </w:r>
      </w:hyperlink>
      <w:r w:rsidRPr="004F51D2">
        <w:rPr>
          <w:rFonts w:ascii="Times New Roman" w:eastAsia="Calibri" w:hAnsi="Times New Roman" w:cs="Times New Roman"/>
          <w:spacing w:val="-4"/>
          <w:sz w:val="24"/>
          <w:szCs w:val="24"/>
          <w:lang w:bidi="ar-SA"/>
        </w:rPr>
        <w:t>.</w:t>
      </w:r>
    </w:p>
    <w:p w14:paraId="058E1FEE" w14:textId="77777777" w:rsidR="00834955" w:rsidRPr="004F51D2" w:rsidRDefault="00834955" w:rsidP="00834955">
      <w:pPr>
        <w:bidi w:val="0"/>
        <w:spacing w:after="0" w:line="480" w:lineRule="auto"/>
        <w:ind w:left="720" w:hanging="720"/>
        <w:jc w:val="both"/>
        <w:rPr>
          <w:rFonts w:ascii="Times New Roman" w:eastAsia="Calibri" w:hAnsi="Times New Roman" w:cs="Times New Roman"/>
          <w:spacing w:val="-4"/>
          <w:sz w:val="24"/>
          <w:szCs w:val="24"/>
          <w:lang w:bidi="ar-SA"/>
        </w:rPr>
      </w:pPr>
      <w:r w:rsidRPr="004F51D2">
        <w:rPr>
          <w:rFonts w:ascii="Times New Roman" w:eastAsia="Calibri" w:hAnsi="Times New Roman" w:cs="Times New Roman"/>
          <w:spacing w:val="-4"/>
          <w:sz w:val="24"/>
          <w:szCs w:val="24"/>
          <w:lang w:bidi="ar-SA"/>
        </w:rPr>
        <w:t>Fioravanti, G., Dèttore, D., &amp; Casale, S. (2012). Adolescent Internet addiction: testing the association between self-esteem, the perception of Internet attributes, and preference for online social interactions. </w:t>
      </w:r>
      <w:r w:rsidRPr="004F51D2">
        <w:rPr>
          <w:rFonts w:ascii="Times New Roman" w:eastAsia="Calibri" w:hAnsi="Times New Roman" w:cs="Times New Roman"/>
          <w:i/>
          <w:iCs/>
          <w:spacing w:val="-4"/>
          <w:sz w:val="24"/>
          <w:szCs w:val="24"/>
          <w:lang w:bidi="ar-SA"/>
        </w:rPr>
        <w:t>Cyberpsychology, Behavior, and Social Networking, 15</w:t>
      </w:r>
      <w:r w:rsidRPr="004F51D2">
        <w:rPr>
          <w:rFonts w:ascii="Times New Roman" w:eastAsia="Calibri" w:hAnsi="Times New Roman" w:cs="Times New Roman"/>
          <w:spacing w:val="-4"/>
          <w:sz w:val="24"/>
          <w:szCs w:val="24"/>
          <w:lang w:bidi="ar-SA"/>
        </w:rPr>
        <w:t xml:space="preserve">, 318-323. </w:t>
      </w:r>
      <w:hyperlink r:id="rId26" w:history="1">
        <w:r w:rsidRPr="004F51D2">
          <w:rPr>
            <w:rFonts w:ascii="Times New Roman" w:hAnsi="Times New Roman" w:cs="Times New Roman"/>
            <w:sz w:val="24"/>
            <w:szCs w:val="24"/>
          </w:rPr>
          <w:t>https://doi.org/10.1089/cyber.2011.0358</w:t>
        </w:r>
      </w:hyperlink>
      <w:r w:rsidRPr="004F51D2">
        <w:rPr>
          <w:rFonts w:ascii="Times New Roman" w:eastAsia="Calibri" w:hAnsi="Times New Roman" w:cs="Times New Roman"/>
          <w:spacing w:val="-4"/>
          <w:sz w:val="24"/>
          <w:szCs w:val="24"/>
          <w:lang w:bidi="ar-SA"/>
        </w:rPr>
        <w:t>.</w:t>
      </w:r>
    </w:p>
    <w:p w14:paraId="386B9519" w14:textId="77777777" w:rsidR="00834955" w:rsidRPr="004F51D2" w:rsidRDefault="00834955" w:rsidP="00834955">
      <w:pPr>
        <w:bidi w:val="0"/>
        <w:spacing w:after="0" w:line="480" w:lineRule="auto"/>
        <w:ind w:left="720" w:hanging="720"/>
        <w:jc w:val="both"/>
        <w:rPr>
          <w:rFonts w:ascii="Times New Roman" w:eastAsia="Calibri" w:hAnsi="Times New Roman" w:cs="Times New Roman"/>
          <w:spacing w:val="-4"/>
          <w:sz w:val="24"/>
          <w:szCs w:val="24"/>
          <w:lang w:bidi="ar-SA"/>
        </w:rPr>
      </w:pPr>
      <w:r w:rsidRPr="004F51D2">
        <w:rPr>
          <w:rFonts w:ascii="Times New Roman" w:eastAsia="Calibri" w:hAnsi="Times New Roman" w:cs="Times New Roman"/>
          <w:spacing w:val="-4"/>
          <w:sz w:val="24"/>
          <w:szCs w:val="24"/>
          <w:lang w:bidi="ar-SA"/>
        </w:rPr>
        <w:t xml:space="preserve">Forrest, C. J., King, D. L., &amp; Delfabbro, P. H. (2016). The measurement of maladaptive cognitions underlying problematic video-game playing among adults. </w:t>
      </w:r>
      <w:r w:rsidRPr="004F51D2">
        <w:rPr>
          <w:rFonts w:ascii="Times New Roman" w:eastAsia="Calibri" w:hAnsi="Times New Roman" w:cs="Times New Roman"/>
          <w:i/>
          <w:iCs/>
          <w:spacing w:val="-4"/>
          <w:sz w:val="24"/>
          <w:szCs w:val="24"/>
          <w:lang w:bidi="ar-SA"/>
        </w:rPr>
        <w:t>Computers in Human Behavior, 55</w:t>
      </w:r>
      <w:r w:rsidRPr="004F51D2">
        <w:rPr>
          <w:rFonts w:ascii="Times New Roman" w:eastAsia="Calibri" w:hAnsi="Times New Roman" w:cs="Times New Roman"/>
          <w:spacing w:val="-4"/>
          <w:sz w:val="24"/>
          <w:szCs w:val="24"/>
          <w:lang w:bidi="ar-SA"/>
        </w:rPr>
        <w:t>, 399-405.</w:t>
      </w:r>
      <w:r w:rsidRPr="004F51D2">
        <w:rPr>
          <w:rFonts w:ascii="Times New Roman" w:hAnsi="Times New Roman" w:cs="Times New Roman"/>
          <w:spacing w:val="-4"/>
          <w:sz w:val="24"/>
          <w:szCs w:val="24"/>
        </w:rPr>
        <w:t xml:space="preserve"> </w:t>
      </w:r>
      <w:r w:rsidRPr="004F51D2">
        <w:rPr>
          <w:rFonts w:ascii="Times New Roman" w:hAnsi="Times New Roman" w:cs="Times New Roman"/>
          <w:color w:val="000000" w:themeColor="text1"/>
          <w:spacing w:val="-4"/>
          <w:sz w:val="24"/>
          <w:szCs w:val="24"/>
        </w:rPr>
        <w:t>https://</w:t>
      </w:r>
      <w:r w:rsidRPr="004F51D2">
        <w:rPr>
          <w:rFonts w:ascii="Times New Roman" w:eastAsia="Calibri" w:hAnsi="Times New Roman" w:cs="Times New Roman"/>
          <w:spacing w:val="-4"/>
          <w:sz w:val="24"/>
          <w:szCs w:val="24"/>
          <w:lang w:bidi="ar-SA"/>
        </w:rPr>
        <w:t>doi.org/10.1016/j.chb.2015.09.017.</w:t>
      </w:r>
    </w:p>
    <w:p w14:paraId="1243BD4C" w14:textId="5FB955EB" w:rsidR="00834955" w:rsidRPr="004F51D2" w:rsidRDefault="00834955" w:rsidP="00834955">
      <w:pPr>
        <w:bidi w:val="0"/>
        <w:spacing w:after="0" w:line="480" w:lineRule="auto"/>
        <w:ind w:left="720" w:hanging="720"/>
        <w:jc w:val="both"/>
        <w:rPr>
          <w:rFonts w:ascii="Times New Roman" w:eastAsia="Calibri" w:hAnsi="Times New Roman" w:cs="Times New Roman"/>
          <w:spacing w:val="-4"/>
          <w:sz w:val="24"/>
          <w:szCs w:val="24"/>
          <w:lang w:bidi="ar-SA"/>
        </w:rPr>
      </w:pPr>
      <w:r w:rsidRPr="004F51D2">
        <w:rPr>
          <w:rFonts w:ascii="Times New Roman" w:eastAsia="Calibri" w:hAnsi="Times New Roman" w:cs="Times New Roman"/>
          <w:spacing w:val="-4"/>
          <w:sz w:val="24"/>
          <w:szCs w:val="24"/>
          <w:lang w:bidi="ar-SA"/>
        </w:rPr>
        <w:t xml:space="preserve">Forrest, C. J., King, D. L., &amp; Delfabbro, P. H. (2017). Maladaptive cognitions predict changes in problematic gaming in highly-engaged adults: A 12-month longitudinal study. </w:t>
      </w:r>
      <w:r w:rsidRPr="004F51D2">
        <w:rPr>
          <w:rFonts w:ascii="Times New Roman" w:eastAsia="Calibri" w:hAnsi="Times New Roman" w:cs="Times New Roman"/>
          <w:i/>
          <w:iCs/>
          <w:spacing w:val="-4"/>
          <w:sz w:val="24"/>
          <w:szCs w:val="24"/>
          <w:lang w:bidi="ar-SA"/>
        </w:rPr>
        <w:t>Addictive Behaviors, 65</w:t>
      </w:r>
      <w:r w:rsidRPr="004F51D2">
        <w:rPr>
          <w:rFonts w:ascii="Times New Roman" w:eastAsia="Calibri" w:hAnsi="Times New Roman" w:cs="Times New Roman"/>
          <w:spacing w:val="-4"/>
          <w:sz w:val="24"/>
          <w:szCs w:val="24"/>
          <w:lang w:bidi="ar-SA"/>
        </w:rPr>
        <w:t>, 125-130.</w:t>
      </w:r>
      <w:r w:rsidRPr="004F51D2">
        <w:rPr>
          <w:rFonts w:ascii="Times New Roman" w:hAnsi="Times New Roman" w:cs="Times New Roman"/>
          <w:spacing w:val="-4"/>
          <w:sz w:val="24"/>
          <w:szCs w:val="24"/>
        </w:rPr>
        <w:t xml:space="preserve"> </w:t>
      </w:r>
      <w:hyperlink r:id="rId27" w:history="1">
        <w:r w:rsidR="0045744C" w:rsidRPr="004F51D2">
          <w:rPr>
            <w:rStyle w:val="Hyperlink"/>
            <w:rFonts w:ascii="Times New Roman" w:hAnsi="Times New Roman" w:cs="Times New Roman"/>
            <w:spacing w:val="-4"/>
            <w:sz w:val="24"/>
            <w:szCs w:val="24"/>
          </w:rPr>
          <w:t>https://</w:t>
        </w:r>
        <w:r w:rsidR="0045744C" w:rsidRPr="004F51D2">
          <w:rPr>
            <w:rStyle w:val="Hyperlink"/>
            <w:rFonts w:ascii="Times New Roman" w:eastAsia="Calibri" w:hAnsi="Times New Roman" w:cs="Times New Roman"/>
            <w:spacing w:val="-4"/>
            <w:sz w:val="24"/>
            <w:szCs w:val="24"/>
            <w:lang w:bidi="ar-SA"/>
          </w:rPr>
          <w:t>doi.org/10.1016/j.addbeh.2016.10.013</w:t>
        </w:r>
      </w:hyperlink>
      <w:r w:rsidRPr="004F51D2">
        <w:rPr>
          <w:rFonts w:ascii="Times New Roman" w:eastAsia="Calibri" w:hAnsi="Times New Roman" w:cs="Times New Roman"/>
          <w:spacing w:val="-4"/>
          <w:sz w:val="24"/>
          <w:szCs w:val="24"/>
          <w:lang w:bidi="ar-SA"/>
        </w:rPr>
        <w:t>.</w:t>
      </w:r>
    </w:p>
    <w:p w14:paraId="1D265567" w14:textId="1AD22DCB" w:rsidR="0045744C" w:rsidRPr="004F51D2" w:rsidRDefault="0045744C" w:rsidP="0045744C">
      <w:pPr>
        <w:bidi w:val="0"/>
        <w:spacing w:after="0" w:line="480" w:lineRule="auto"/>
        <w:ind w:left="720" w:hanging="720"/>
        <w:jc w:val="both"/>
        <w:rPr>
          <w:rFonts w:asciiTheme="majorBidi" w:eastAsia="Calibri" w:hAnsiTheme="majorBidi" w:cstheme="majorBidi"/>
          <w:spacing w:val="-4"/>
          <w:sz w:val="32"/>
          <w:szCs w:val="32"/>
          <w:lang w:bidi="ar-SA"/>
        </w:rPr>
      </w:pPr>
      <w:r w:rsidRPr="004F51D2">
        <w:rPr>
          <w:rFonts w:asciiTheme="majorBidi" w:hAnsiTheme="majorBidi" w:cstheme="majorBidi"/>
          <w:color w:val="222222"/>
          <w:sz w:val="24"/>
          <w:szCs w:val="24"/>
          <w:shd w:val="clear" w:color="auto" w:fill="FFFFFF"/>
        </w:rPr>
        <w:t>Garey, L., Zvolensky, M. J., &amp; Spada, M. M. (2020). Third Wave Cognitive and Behavioural Processes and Therapies for Addictive Behaviours: An Introduction to the Special Issue.</w:t>
      </w:r>
      <w:r w:rsidRPr="004F51D2">
        <w:rPr>
          <w:rFonts w:ascii="Times New Roman" w:eastAsia="Calibri" w:hAnsi="Times New Roman" w:cs="Times New Roman"/>
          <w:i/>
          <w:iCs/>
          <w:spacing w:val="-4"/>
          <w:sz w:val="24"/>
          <w:szCs w:val="24"/>
          <w:lang w:bidi="ar-SA"/>
        </w:rPr>
        <w:t xml:space="preserve"> Addictive Behaviors</w:t>
      </w:r>
      <w:r w:rsidRPr="004F51D2">
        <w:rPr>
          <w:rFonts w:asciiTheme="majorBidi" w:eastAsia="Calibri" w:hAnsiTheme="majorBidi" w:cstheme="majorBidi"/>
          <w:spacing w:val="-4"/>
          <w:sz w:val="32"/>
          <w:szCs w:val="32"/>
          <w:lang w:bidi="ar-SA"/>
        </w:rPr>
        <w:t>,</w:t>
      </w:r>
      <w:r w:rsidRPr="004F51D2">
        <w:rPr>
          <w:rFonts w:asciiTheme="majorBidi" w:eastAsia="Calibri" w:hAnsiTheme="majorBidi" w:cstheme="majorBidi"/>
          <w:i/>
          <w:iCs/>
          <w:spacing w:val="-4"/>
          <w:sz w:val="24"/>
          <w:szCs w:val="24"/>
          <w:lang w:bidi="ar-SA"/>
        </w:rPr>
        <w:t xml:space="preserve"> 108</w:t>
      </w:r>
      <w:r w:rsidRPr="004F51D2">
        <w:rPr>
          <w:rFonts w:asciiTheme="majorBidi" w:eastAsia="Calibri" w:hAnsiTheme="majorBidi" w:cstheme="majorBidi"/>
          <w:spacing w:val="-4"/>
          <w:sz w:val="32"/>
          <w:szCs w:val="32"/>
          <w:lang w:bidi="ar-SA"/>
        </w:rPr>
        <w:t>,</w:t>
      </w:r>
      <w:r w:rsidRPr="004F51D2">
        <w:rPr>
          <w:rFonts w:ascii="Arial" w:hAnsi="Arial" w:cs="Arial"/>
          <w:color w:val="2E2E2E"/>
          <w:sz w:val="21"/>
          <w:szCs w:val="21"/>
        </w:rPr>
        <w:t xml:space="preserve"> </w:t>
      </w:r>
      <w:r w:rsidRPr="004F51D2">
        <w:rPr>
          <w:rFonts w:asciiTheme="majorBidi" w:hAnsiTheme="majorBidi" w:cstheme="majorBidi"/>
          <w:color w:val="2E2E2E"/>
          <w:sz w:val="24"/>
          <w:szCs w:val="24"/>
        </w:rPr>
        <w:t>106465</w:t>
      </w:r>
      <w:r w:rsidRPr="004F51D2">
        <w:rPr>
          <w:rFonts w:asciiTheme="majorBidi" w:eastAsia="Calibri" w:hAnsiTheme="majorBidi" w:cstheme="majorBidi"/>
          <w:spacing w:val="-4"/>
          <w:sz w:val="32"/>
          <w:szCs w:val="32"/>
          <w:lang w:bidi="ar-SA"/>
        </w:rPr>
        <w:t xml:space="preserve">. </w:t>
      </w:r>
      <w:r w:rsidRPr="004F51D2">
        <w:rPr>
          <w:rFonts w:asciiTheme="majorBidi" w:eastAsia="Calibri" w:hAnsiTheme="majorBidi" w:cstheme="majorBidi"/>
          <w:spacing w:val="-4"/>
          <w:sz w:val="24"/>
          <w:szCs w:val="24"/>
          <w:lang w:bidi="ar-SA"/>
        </w:rPr>
        <w:t>https://doi.org/10.1016/j.addbeh.2020.106465</w:t>
      </w:r>
      <w:r w:rsidR="00F12B51" w:rsidRPr="004F51D2">
        <w:rPr>
          <w:rFonts w:asciiTheme="majorBidi" w:eastAsia="Calibri" w:hAnsiTheme="majorBidi" w:cstheme="majorBidi"/>
          <w:spacing w:val="-4"/>
          <w:sz w:val="24"/>
          <w:szCs w:val="24"/>
          <w:lang w:bidi="ar-SA"/>
        </w:rPr>
        <w:t>.</w:t>
      </w:r>
    </w:p>
    <w:p w14:paraId="11E08928" w14:textId="77777777" w:rsidR="000C7826" w:rsidRPr="004F51D2" w:rsidRDefault="00834955" w:rsidP="000C7826">
      <w:pPr>
        <w:bidi w:val="0"/>
        <w:spacing w:after="0" w:line="480" w:lineRule="auto"/>
        <w:ind w:left="720" w:hanging="720"/>
        <w:jc w:val="both"/>
        <w:rPr>
          <w:rFonts w:ascii="Times New Roman" w:eastAsia="Calibri" w:hAnsi="Times New Roman" w:cs="Times New Roman"/>
          <w:spacing w:val="-4"/>
          <w:sz w:val="24"/>
          <w:szCs w:val="24"/>
          <w:lang w:bidi="ar-SA"/>
        </w:rPr>
      </w:pPr>
      <w:r w:rsidRPr="004F51D2">
        <w:rPr>
          <w:rFonts w:ascii="Times New Roman" w:eastAsia="Calibri" w:hAnsi="Times New Roman" w:cs="Times New Roman"/>
          <w:spacing w:val="-4"/>
          <w:sz w:val="24"/>
          <w:szCs w:val="24"/>
          <w:lang w:bidi="ar-SA"/>
        </w:rPr>
        <w:t xml:space="preserve">Gervasi, A. M., La Marca, L., Costanzo, A., Pace, U., Guglielmucci, F., &amp; Schimmenti, A. (2017). Personality and Internet gaming disorder: a systematic review of recent literature. </w:t>
      </w:r>
      <w:r w:rsidRPr="004F51D2">
        <w:rPr>
          <w:rFonts w:ascii="Times New Roman" w:eastAsia="Calibri" w:hAnsi="Times New Roman" w:cs="Times New Roman"/>
          <w:i/>
          <w:iCs/>
          <w:spacing w:val="-4"/>
          <w:sz w:val="24"/>
          <w:szCs w:val="24"/>
          <w:lang w:bidi="ar-SA"/>
        </w:rPr>
        <w:t>Current Addiction Reports, 4</w:t>
      </w:r>
      <w:r w:rsidRPr="004F51D2">
        <w:rPr>
          <w:rFonts w:ascii="Times New Roman" w:eastAsia="Calibri" w:hAnsi="Times New Roman" w:cs="Times New Roman"/>
          <w:spacing w:val="-4"/>
          <w:sz w:val="24"/>
          <w:szCs w:val="24"/>
          <w:lang w:bidi="ar-SA"/>
        </w:rPr>
        <w:t>, 293-307.</w:t>
      </w:r>
      <w:r w:rsidRPr="004F51D2">
        <w:rPr>
          <w:rFonts w:ascii="Times New Roman" w:hAnsi="Times New Roman" w:cs="Times New Roman"/>
          <w:color w:val="000000" w:themeColor="text1"/>
          <w:spacing w:val="-4"/>
          <w:sz w:val="24"/>
          <w:szCs w:val="24"/>
        </w:rPr>
        <w:t xml:space="preserve"> https://</w:t>
      </w:r>
      <w:r w:rsidRPr="004F51D2">
        <w:rPr>
          <w:rFonts w:ascii="Times New Roman" w:hAnsi="Times New Roman" w:cs="Times New Roman"/>
          <w:spacing w:val="-4"/>
          <w:sz w:val="24"/>
          <w:szCs w:val="24"/>
        </w:rPr>
        <w:t xml:space="preserve"> </w:t>
      </w:r>
      <w:r w:rsidRPr="004F51D2">
        <w:rPr>
          <w:rFonts w:ascii="Times New Roman" w:eastAsia="Calibri" w:hAnsi="Times New Roman" w:cs="Times New Roman"/>
          <w:spacing w:val="-4"/>
          <w:sz w:val="24"/>
          <w:szCs w:val="24"/>
          <w:lang w:bidi="ar-SA"/>
        </w:rPr>
        <w:t>doi.org/10.3389/fpsyt.2018.00304.</w:t>
      </w:r>
    </w:p>
    <w:p w14:paraId="0FED2328" w14:textId="336DB090" w:rsidR="007753A0" w:rsidRPr="004F51D2" w:rsidRDefault="00834955" w:rsidP="006C4D6C">
      <w:pPr>
        <w:bidi w:val="0"/>
        <w:spacing w:after="0" w:line="480" w:lineRule="auto"/>
        <w:ind w:left="720" w:hanging="720"/>
        <w:jc w:val="both"/>
        <w:rPr>
          <w:rFonts w:ascii="Times New Roman" w:eastAsia="Calibri" w:hAnsi="Times New Roman" w:cs="Times New Roman"/>
          <w:spacing w:val="-4"/>
          <w:sz w:val="24"/>
          <w:szCs w:val="24"/>
          <w:lang w:bidi="ar-SA"/>
        </w:rPr>
      </w:pPr>
      <w:r w:rsidRPr="004F51D2">
        <w:rPr>
          <w:rFonts w:ascii="Times New Roman" w:eastAsia="Calibri" w:hAnsi="Times New Roman" w:cs="Times New Roman"/>
          <w:spacing w:val="-4"/>
          <w:sz w:val="24"/>
          <w:szCs w:val="24"/>
          <w:lang w:bidi="ar-SA"/>
        </w:rPr>
        <w:t xml:space="preserve">González-Bueso, V., Santamaría, J. J., Fernández, D., Merino, L., Montero, E., Jiménez-Murcia, S., ... &amp; Ribas, J. (2018). Internet gaming disorder in adolescents: Personality, psychopathology and evaluation of a psychological intervention combined with parent psychoeducation. </w:t>
      </w:r>
      <w:r w:rsidRPr="004F51D2">
        <w:rPr>
          <w:rFonts w:ascii="Times New Roman" w:eastAsia="Calibri" w:hAnsi="Times New Roman" w:cs="Times New Roman"/>
          <w:i/>
          <w:iCs/>
          <w:spacing w:val="-4"/>
          <w:sz w:val="24"/>
          <w:szCs w:val="24"/>
          <w:lang w:bidi="ar-SA"/>
        </w:rPr>
        <w:t>Frontiers in Psychology, 9</w:t>
      </w:r>
      <w:r w:rsidRPr="004F51D2">
        <w:rPr>
          <w:rFonts w:ascii="Times New Roman" w:eastAsia="Calibri" w:hAnsi="Times New Roman" w:cs="Times New Roman"/>
          <w:spacing w:val="-4"/>
          <w:sz w:val="24"/>
          <w:szCs w:val="24"/>
          <w:lang w:bidi="ar-SA"/>
        </w:rPr>
        <w:t>, 787.</w:t>
      </w:r>
      <w:r w:rsidRPr="004F51D2">
        <w:rPr>
          <w:rFonts w:ascii="Times New Roman" w:hAnsi="Times New Roman" w:cs="Times New Roman"/>
          <w:spacing w:val="-4"/>
          <w:sz w:val="24"/>
          <w:szCs w:val="24"/>
        </w:rPr>
        <w:t xml:space="preserve"> </w:t>
      </w:r>
      <w:r w:rsidRPr="004F51D2">
        <w:rPr>
          <w:rFonts w:ascii="Times New Roman" w:hAnsi="Times New Roman" w:cs="Times New Roman"/>
          <w:color w:val="000000" w:themeColor="text1"/>
          <w:spacing w:val="-4"/>
          <w:sz w:val="24"/>
          <w:szCs w:val="24"/>
        </w:rPr>
        <w:t>https://</w:t>
      </w:r>
      <w:r w:rsidRPr="004F51D2">
        <w:rPr>
          <w:rFonts w:ascii="Times New Roman" w:eastAsia="Calibri" w:hAnsi="Times New Roman" w:cs="Times New Roman"/>
          <w:spacing w:val="-4"/>
          <w:sz w:val="24"/>
          <w:szCs w:val="24"/>
          <w:lang w:bidi="ar-SA"/>
        </w:rPr>
        <w:t>doi.org/10.3389/fpsyg.2018.00787.</w:t>
      </w:r>
    </w:p>
    <w:p w14:paraId="7CAE5655" w14:textId="4F0863E5" w:rsidR="00834955" w:rsidRPr="004F51D2" w:rsidRDefault="00834955" w:rsidP="007753A0">
      <w:pPr>
        <w:bidi w:val="0"/>
        <w:spacing w:after="0" w:line="480" w:lineRule="auto"/>
        <w:ind w:left="720" w:hanging="720"/>
        <w:jc w:val="both"/>
        <w:rPr>
          <w:rFonts w:ascii="Times New Roman" w:eastAsia="Calibri" w:hAnsi="Times New Roman" w:cs="Times New Roman"/>
          <w:spacing w:val="-4"/>
          <w:sz w:val="24"/>
          <w:szCs w:val="24"/>
          <w:lang w:bidi="ar-SA"/>
        </w:rPr>
      </w:pPr>
      <w:r w:rsidRPr="004F51D2">
        <w:rPr>
          <w:rFonts w:ascii="Times New Roman" w:eastAsia="Calibri" w:hAnsi="Times New Roman" w:cs="Times New Roman"/>
          <w:spacing w:val="-4"/>
          <w:sz w:val="24"/>
          <w:szCs w:val="24"/>
          <w:lang w:bidi="ar-SA"/>
        </w:rPr>
        <w:t xml:space="preserve">González-Bueso, V., Santamaría, J. J., Oliveras, I., Fernández, D., Montero, E., Baño, M., ... &amp; Ribas, J. (2020). Internet Gaming Disorder Clustering Based on Personality Traits in Adolescents, and Its relation with Comorbid Psychological Symptoms. </w:t>
      </w:r>
      <w:r w:rsidRPr="004F51D2">
        <w:rPr>
          <w:rFonts w:ascii="Times New Roman" w:eastAsia="Calibri" w:hAnsi="Times New Roman" w:cs="Times New Roman"/>
          <w:i/>
          <w:iCs/>
          <w:spacing w:val="-4"/>
          <w:sz w:val="24"/>
          <w:szCs w:val="24"/>
          <w:lang w:bidi="ar-SA"/>
        </w:rPr>
        <w:t>International Journal of Environmental Research and Public Health, 17</w:t>
      </w:r>
      <w:r w:rsidRPr="004F51D2">
        <w:rPr>
          <w:rFonts w:ascii="Times New Roman" w:eastAsia="Calibri" w:hAnsi="Times New Roman" w:cs="Times New Roman"/>
          <w:spacing w:val="-4"/>
          <w:sz w:val="24"/>
          <w:szCs w:val="24"/>
          <w:lang w:bidi="ar-SA"/>
        </w:rPr>
        <w:t>, 1516.</w:t>
      </w:r>
      <w:r w:rsidRPr="004F51D2">
        <w:rPr>
          <w:rFonts w:ascii="Times New Roman" w:hAnsi="Times New Roman" w:cs="Times New Roman"/>
          <w:spacing w:val="-4"/>
          <w:sz w:val="24"/>
          <w:szCs w:val="24"/>
        </w:rPr>
        <w:t xml:space="preserve"> </w:t>
      </w:r>
      <w:r w:rsidRPr="004F51D2">
        <w:rPr>
          <w:rFonts w:ascii="Times New Roman" w:hAnsi="Times New Roman" w:cs="Times New Roman"/>
          <w:color w:val="000000" w:themeColor="text1"/>
          <w:spacing w:val="-4"/>
          <w:sz w:val="24"/>
          <w:szCs w:val="24"/>
        </w:rPr>
        <w:t>https://</w:t>
      </w:r>
      <w:r w:rsidRPr="004F51D2">
        <w:rPr>
          <w:rFonts w:ascii="Times New Roman" w:eastAsia="Calibri" w:hAnsi="Times New Roman" w:cs="Times New Roman"/>
          <w:spacing w:val="-4"/>
          <w:sz w:val="24"/>
          <w:szCs w:val="24"/>
          <w:lang w:bidi="ar-SA"/>
        </w:rPr>
        <w:t>doi.org/10.3390/ijerph17051516.</w:t>
      </w:r>
    </w:p>
    <w:p w14:paraId="4732E7F9" w14:textId="77777777" w:rsidR="00834955" w:rsidRPr="004F51D2" w:rsidRDefault="00834955" w:rsidP="00834955">
      <w:pPr>
        <w:bidi w:val="0"/>
        <w:spacing w:after="0" w:line="480" w:lineRule="auto"/>
        <w:ind w:left="720" w:hanging="720"/>
        <w:jc w:val="both"/>
        <w:rPr>
          <w:rFonts w:ascii="Times New Roman" w:eastAsia="Calibri" w:hAnsi="Times New Roman" w:cs="Times New Roman"/>
          <w:spacing w:val="-4"/>
          <w:sz w:val="24"/>
          <w:szCs w:val="24"/>
          <w:lang w:bidi="ar-SA"/>
        </w:rPr>
      </w:pPr>
      <w:r w:rsidRPr="004F51D2">
        <w:rPr>
          <w:rFonts w:ascii="Times New Roman" w:eastAsia="Calibri" w:hAnsi="Times New Roman" w:cs="Times New Roman"/>
          <w:spacing w:val="-4"/>
          <w:sz w:val="24"/>
          <w:szCs w:val="24"/>
          <w:lang w:bidi="ar-SA"/>
        </w:rPr>
        <w:t xml:space="preserve">Hamonniere, T., &amp; Varescon, I. (2018). Metacognitive beliefs in addictive behaviours: A systematic review. </w:t>
      </w:r>
      <w:r w:rsidRPr="004F51D2">
        <w:rPr>
          <w:rFonts w:ascii="Times New Roman" w:eastAsia="Calibri" w:hAnsi="Times New Roman" w:cs="Times New Roman"/>
          <w:i/>
          <w:iCs/>
          <w:spacing w:val="-4"/>
          <w:sz w:val="24"/>
          <w:szCs w:val="24"/>
          <w:lang w:bidi="ar-SA"/>
        </w:rPr>
        <w:t>Addictive Behaviors, 85</w:t>
      </w:r>
      <w:r w:rsidRPr="004F51D2">
        <w:rPr>
          <w:rFonts w:ascii="Times New Roman" w:eastAsia="Calibri" w:hAnsi="Times New Roman" w:cs="Times New Roman"/>
          <w:spacing w:val="-4"/>
          <w:sz w:val="24"/>
          <w:szCs w:val="24"/>
          <w:lang w:bidi="ar-SA"/>
        </w:rPr>
        <w:t>, 51-63.</w:t>
      </w:r>
      <w:r w:rsidRPr="004F51D2">
        <w:rPr>
          <w:rFonts w:ascii="Times New Roman" w:hAnsi="Times New Roman" w:cs="Times New Roman"/>
          <w:spacing w:val="-4"/>
          <w:sz w:val="24"/>
          <w:szCs w:val="24"/>
        </w:rPr>
        <w:t xml:space="preserve"> </w:t>
      </w:r>
      <w:r w:rsidRPr="004F51D2">
        <w:rPr>
          <w:rFonts w:ascii="Times New Roman" w:hAnsi="Times New Roman" w:cs="Times New Roman"/>
          <w:color w:val="000000" w:themeColor="text1"/>
          <w:spacing w:val="-4"/>
          <w:sz w:val="24"/>
          <w:szCs w:val="24"/>
        </w:rPr>
        <w:t>https://</w:t>
      </w:r>
      <w:r w:rsidRPr="004F51D2">
        <w:rPr>
          <w:rFonts w:ascii="Times New Roman" w:eastAsia="Calibri" w:hAnsi="Times New Roman" w:cs="Times New Roman"/>
          <w:spacing w:val="-4"/>
          <w:sz w:val="24"/>
          <w:szCs w:val="24"/>
          <w:lang w:bidi="ar-SA"/>
        </w:rPr>
        <w:t>doi.org/10.1016/j.addbeh.2018.05.018.</w:t>
      </w:r>
    </w:p>
    <w:p w14:paraId="06FA2748" w14:textId="77777777" w:rsidR="00834955" w:rsidRPr="004F51D2" w:rsidRDefault="00834955" w:rsidP="00834955">
      <w:pPr>
        <w:bidi w:val="0"/>
        <w:spacing w:after="0" w:line="480" w:lineRule="auto"/>
        <w:ind w:left="720" w:hanging="720"/>
        <w:jc w:val="both"/>
        <w:rPr>
          <w:rFonts w:ascii="Times New Roman" w:eastAsia="Calibri" w:hAnsi="Times New Roman" w:cs="Times New Roman"/>
          <w:spacing w:val="-4"/>
          <w:sz w:val="24"/>
          <w:szCs w:val="24"/>
          <w:lang w:bidi="ar-SA"/>
        </w:rPr>
      </w:pPr>
      <w:r w:rsidRPr="004F51D2">
        <w:rPr>
          <w:rFonts w:ascii="Times New Roman" w:eastAsia="Calibri" w:hAnsi="Times New Roman" w:cs="Times New Roman"/>
          <w:spacing w:val="-4"/>
          <w:sz w:val="24"/>
          <w:szCs w:val="24"/>
          <w:lang w:bidi="ar-SA"/>
        </w:rPr>
        <w:t xml:space="preserve">Han, J., Seo, Y., Hwang, H., Kim, S. M., &amp; Han, D. H. (2020). Efficacy of cognitive behavioural therapy for internet gaming disorder. </w:t>
      </w:r>
      <w:r w:rsidRPr="004F51D2">
        <w:rPr>
          <w:rFonts w:ascii="Times New Roman" w:eastAsia="Calibri" w:hAnsi="Times New Roman" w:cs="Times New Roman"/>
          <w:i/>
          <w:iCs/>
          <w:spacing w:val="-4"/>
          <w:sz w:val="24"/>
          <w:szCs w:val="24"/>
          <w:lang w:bidi="ar-SA"/>
        </w:rPr>
        <w:t>Clinical Psychology &amp; Psychotherapy, 27</w:t>
      </w:r>
      <w:r w:rsidRPr="004F51D2">
        <w:rPr>
          <w:rFonts w:ascii="Times New Roman" w:eastAsia="Calibri" w:hAnsi="Times New Roman" w:cs="Times New Roman"/>
          <w:spacing w:val="-4"/>
          <w:sz w:val="24"/>
          <w:szCs w:val="24"/>
          <w:lang w:bidi="ar-SA"/>
        </w:rPr>
        <w:t>, 203-213.</w:t>
      </w:r>
      <w:r w:rsidRPr="004F51D2">
        <w:rPr>
          <w:rFonts w:ascii="Times New Roman" w:hAnsi="Times New Roman" w:cs="Times New Roman"/>
          <w:spacing w:val="-4"/>
          <w:sz w:val="24"/>
          <w:szCs w:val="24"/>
        </w:rPr>
        <w:t xml:space="preserve"> </w:t>
      </w:r>
      <w:r w:rsidRPr="004F51D2">
        <w:rPr>
          <w:rFonts w:ascii="Times New Roman" w:hAnsi="Times New Roman" w:cs="Times New Roman"/>
          <w:color w:val="000000" w:themeColor="text1"/>
          <w:spacing w:val="-4"/>
          <w:sz w:val="24"/>
          <w:szCs w:val="24"/>
        </w:rPr>
        <w:t>https://</w:t>
      </w:r>
      <w:r w:rsidRPr="004F51D2">
        <w:rPr>
          <w:rFonts w:ascii="Times New Roman" w:eastAsia="Calibri" w:hAnsi="Times New Roman" w:cs="Times New Roman"/>
          <w:spacing w:val="-4"/>
          <w:sz w:val="24"/>
          <w:szCs w:val="24"/>
          <w:lang w:bidi="ar-SA"/>
        </w:rPr>
        <w:t>doi.org/10.1002/cpp.2419.</w:t>
      </w:r>
    </w:p>
    <w:p w14:paraId="45C1B73E" w14:textId="77777777" w:rsidR="00834955" w:rsidRPr="004F51D2" w:rsidRDefault="00834955" w:rsidP="00834955">
      <w:pPr>
        <w:bidi w:val="0"/>
        <w:spacing w:after="0" w:line="480" w:lineRule="auto"/>
        <w:ind w:left="720" w:hanging="720"/>
        <w:jc w:val="both"/>
        <w:rPr>
          <w:rFonts w:ascii="Times New Roman" w:eastAsia="Calibri" w:hAnsi="Times New Roman" w:cs="Times New Roman"/>
          <w:spacing w:val="-4"/>
          <w:sz w:val="24"/>
          <w:szCs w:val="24"/>
          <w:lang w:bidi="ar-SA"/>
        </w:rPr>
      </w:pPr>
      <w:r w:rsidRPr="004F51D2">
        <w:rPr>
          <w:rFonts w:ascii="Times New Roman" w:eastAsia="Calibri" w:hAnsi="Times New Roman" w:cs="Times New Roman"/>
          <w:spacing w:val="-4"/>
          <w:sz w:val="24"/>
          <w:szCs w:val="24"/>
          <w:lang w:bidi="ar-SA"/>
        </w:rPr>
        <w:t xml:space="preserve">Hawi, N. S., Samaha, M., &amp; Griffiths, M. D. (2018). Internet gaming disorder in Lebanon: Relationships with age, sleep habits, and academic achievement. </w:t>
      </w:r>
      <w:r w:rsidRPr="004F51D2">
        <w:rPr>
          <w:rFonts w:ascii="Times New Roman" w:eastAsia="Calibri" w:hAnsi="Times New Roman" w:cs="Times New Roman"/>
          <w:i/>
          <w:iCs/>
          <w:spacing w:val="-4"/>
          <w:sz w:val="24"/>
          <w:szCs w:val="24"/>
          <w:lang w:bidi="ar-SA"/>
        </w:rPr>
        <w:t>Journal of Behavioral Addictions, 7</w:t>
      </w:r>
      <w:r w:rsidRPr="004F51D2">
        <w:rPr>
          <w:rFonts w:ascii="Times New Roman" w:eastAsia="Calibri" w:hAnsi="Times New Roman" w:cs="Times New Roman"/>
          <w:spacing w:val="-4"/>
          <w:sz w:val="24"/>
          <w:szCs w:val="24"/>
          <w:lang w:bidi="ar-SA"/>
        </w:rPr>
        <w:t>, 70-78.</w:t>
      </w:r>
      <w:r w:rsidRPr="004F51D2">
        <w:rPr>
          <w:rFonts w:ascii="Times New Roman" w:hAnsi="Times New Roman" w:cs="Times New Roman"/>
          <w:spacing w:val="-4"/>
          <w:sz w:val="24"/>
          <w:szCs w:val="24"/>
        </w:rPr>
        <w:t xml:space="preserve"> </w:t>
      </w:r>
      <w:r w:rsidRPr="004F51D2">
        <w:rPr>
          <w:rFonts w:ascii="Times New Roman" w:hAnsi="Times New Roman" w:cs="Times New Roman"/>
          <w:color w:val="000000" w:themeColor="text1"/>
          <w:spacing w:val="-4"/>
          <w:sz w:val="24"/>
          <w:szCs w:val="24"/>
        </w:rPr>
        <w:t>https://</w:t>
      </w:r>
      <w:r w:rsidRPr="004F51D2">
        <w:rPr>
          <w:rFonts w:ascii="Times New Roman" w:eastAsia="Calibri" w:hAnsi="Times New Roman" w:cs="Times New Roman"/>
          <w:spacing w:val="-4"/>
          <w:sz w:val="24"/>
          <w:szCs w:val="24"/>
          <w:lang w:bidi="ar-SA"/>
        </w:rPr>
        <w:t>doi.org/10.1556/2006.7.2018.16.</w:t>
      </w:r>
    </w:p>
    <w:p w14:paraId="339FA74E" w14:textId="77777777" w:rsidR="00834955" w:rsidRPr="004F51D2" w:rsidRDefault="00834955" w:rsidP="00834955">
      <w:pPr>
        <w:bidi w:val="0"/>
        <w:spacing w:after="0" w:line="480" w:lineRule="auto"/>
        <w:ind w:left="720" w:hanging="720"/>
        <w:jc w:val="both"/>
        <w:rPr>
          <w:rFonts w:ascii="Times New Roman" w:eastAsia="Calibri" w:hAnsi="Times New Roman" w:cs="Times New Roman"/>
          <w:spacing w:val="-4"/>
          <w:sz w:val="24"/>
          <w:szCs w:val="24"/>
          <w:lang w:bidi="ar-SA"/>
        </w:rPr>
      </w:pPr>
      <w:r w:rsidRPr="004F51D2">
        <w:rPr>
          <w:rFonts w:ascii="Times New Roman" w:eastAsia="Calibri" w:hAnsi="Times New Roman" w:cs="Times New Roman"/>
          <w:spacing w:val="-4"/>
          <w:sz w:val="24"/>
          <w:szCs w:val="24"/>
          <w:lang w:bidi="ar-SA"/>
        </w:rPr>
        <w:t>Henry, J. D., &amp; Crawford, J. R. (2005). The short‐form version of the Depression Anxiety Stress Scales (DASS‐21): Construct validity and normative data in a large non‐clinical sample. </w:t>
      </w:r>
      <w:r w:rsidRPr="004F51D2">
        <w:rPr>
          <w:rFonts w:ascii="Times New Roman" w:eastAsia="Calibri" w:hAnsi="Times New Roman" w:cs="Times New Roman"/>
          <w:i/>
          <w:iCs/>
          <w:spacing w:val="-4"/>
          <w:sz w:val="24"/>
          <w:szCs w:val="24"/>
          <w:lang w:bidi="ar-SA"/>
        </w:rPr>
        <w:t>British Journal of Clinical Psychology</w:t>
      </w:r>
      <w:r w:rsidRPr="004F51D2">
        <w:rPr>
          <w:rFonts w:ascii="Times New Roman" w:eastAsia="Calibri" w:hAnsi="Times New Roman" w:cs="Times New Roman"/>
          <w:spacing w:val="-4"/>
          <w:sz w:val="24"/>
          <w:szCs w:val="24"/>
          <w:lang w:bidi="ar-SA"/>
        </w:rPr>
        <w:t>, </w:t>
      </w:r>
      <w:r w:rsidRPr="004F51D2">
        <w:rPr>
          <w:rFonts w:ascii="Times New Roman" w:eastAsia="Calibri" w:hAnsi="Times New Roman" w:cs="Times New Roman"/>
          <w:i/>
          <w:iCs/>
          <w:spacing w:val="-4"/>
          <w:sz w:val="24"/>
          <w:szCs w:val="24"/>
          <w:lang w:bidi="ar-SA"/>
        </w:rPr>
        <w:t>44</w:t>
      </w:r>
      <w:r w:rsidRPr="004F51D2">
        <w:rPr>
          <w:rFonts w:ascii="Times New Roman" w:eastAsia="Calibri" w:hAnsi="Times New Roman" w:cs="Times New Roman"/>
          <w:spacing w:val="-4"/>
          <w:sz w:val="24"/>
          <w:szCs w:val="24"/>
          <w:lang w:bidi="ar-SA"/>
        </w:rPr>
        <w:t>, 227-239.</w:t>
      </w:r>
      <w:r w:rsidRPr="004F51D2">
        <w:rPr>
          <w:rFonts w:ascii="Times New Roman" w:hAnsi="Times New Roman" w:cs="Times New Roman"/>
          <w:spacing w:val="-4"/>
          <w:sz w:val="24"/>
          <w:szCs w:val="24"/>
        </w:rPr>
        <w:t xml:space="preserve"> </w:t>
      </w:r>
      <w:hyperlink r:id="rId28" w:history="1">
        <w:r w:rsidRPr="004F51D2">
          <w:rPr>
            <w:rStyle w:val="Hyperlink"/>
            <w:rFonts w:ascii="Times New Roman" w:hAnsi="Times New Roman" w:cs="Times New Roman"/>
            <w:color w:val="auto"/>
            <w:spacing w:val="-4"/>
            <w:sz w:val="24"/>
            <w:szCs w:val="24"/>
            <w:u w:val="none"/>
          </w:rPr>
          <w:t>https://</w:t>
        </w:r>
        <w:r w:rsidRPr="004F51D2">
          <w:rPr>
            <w:rStyle w:val="Hyperlink"/>
            <w:rFonts w:ascii="Times New Roman" w:eastAsia="Calibri" w:hAnsi="Times New Roman" w:cs="Times New Roman"/>
            <w:color w:val="auto"/>
            <w:spacing w:val="-4"/>
            <w:sz w:val="24"/>
            <w:szCs w:val="24"/>
            <w:u w:val="none"/>
            <w:lang w:bidi="ar-SA"/>
          </w:rPr>
          <w:t>doi.org/10.1348/014466505x29657</w:t>
        </w:r>
      </w:hyperlink>
      <w:r w:rsidRPr="004F51D2">
        <w:rPr>
          <w:rFonts w:ascii="Times New Roman" w:eastAsia="Calibri" w:hAnsi="Times New Roman" w:cs="Times New Roman"/>
          <w:spacing w:val="-4"/>
          <w:sz w:val="24"/>
          <w:szCs w:val="24"/>
          <w:lang w:bidi="ar-SA"/>
        </w:rPr>
        <w:t>.</w:t>
      </w:r>
    </w:p>
    <w:p w14:paraId="0EE236C0" w14:textId="77777777" w:rsidR="00834955" w:rsidRPr="004F51D2" w:rsidRDefault="00834955" w:rsidP="00834955">
      <w:pPr>
        <w:bidi w:val="0"/>
        <w:spacing w:after="0" w:line="480" w:lineRule="auto"/>
        <w:ind w:left="720" w:hanging="720"/>
        <w:jc w:val="both"/>
        <w:rPr>
          <w:rFonts w:ascii="Times New Roman" w:eastAsia="Calibri" w:hAnsi="Times New Roman" w:cs="Times New Roman"/>
          <w:spacing w:val="-4"/>
          <w:sz w:val="24"/>
          <w:szCs w:val="24"/>
          <w:lang w:bidi="ar-SA"/>
        </w:rPr>
      </w:pPr>
      <w:r w:rsidRPr="004F51D2">
        <w:rPr>
          <w:rFonts w:ascii="Times New Roman" w:eastAsia="Calibri" w:hAnsi="Times New Roman" w:cs="Times New Roman"/>
          <w:spacing w:val="-4"/>
          <w:sz w:val="24"/>
          <w:szCs w:val="24"/>
          <w:lang w:bidi="ar-SA"/>
        </w:rPr>
        <w:t xml:space="preserve">Horn, J. L. (1965). A rationale and test for the number of factors in factor analysis. </w:t>
      </w:r>
      <w:r w:rsidRPr="004F51D2">
        <w:rPr>
          <w:rFonts w:ascii="Times New Roman" w:eastAsia="Calibri" w:hAnsi="Times New Roman" w:cs="Times New Roman"/>
          <w:i/>
          <w:iCs/>
          <w:spacing w:val="-4"/>
          <w:sz w:val="24"/>
          <w:szCs w:val="24"/>
          <w:lang w:bidi="ar-SA"/>
        </w:rPr>
        <w:t>Psychometrika, 30</w:t>
      </w:r>
      <w:r w:rsidRPr="004F51D2">
        <w:rPr>
          <w:rFonts w:ascii="Times New Roman" w:eastAsia="Calibri" w:hAnsi="Times New Roman" w:cs="Times New Roman"/>
          <w:spacing w:val="-4"/>
          <w:sz w:val="24"/>
          <w:szCs w:val="24"/>
          <w:lang w:bidi="ar-SA"/>
        </w:rPr>
        <w:t>, 179-185. https://</w:t>
      </w:r>
      <w:hyperlink r:id="rId29" w:tgtFrame="_blank" w:history="1">
        <w:r w:rsidRPr="004F51D2">
          <w:rPr>
            <w:rFonts w:ascii="Times New Roman" w:eastAsia="Calibri" w:hAnsi="Times New Roman" w:cs="Times New Roman"/>
            <w:spacing w:val="-4"/>
            <w:sz w:val="24"/>
            <w:szCs w:val="24"/>
            <w:lang w:bidi="ar-SA"/>
          </w:rPr>
          <w:t>doi.org/10.1007/BF02289447</w:t>
        </w:r>
      </w:hyperlink>
      <w:r w:rsidRPr="004F51D2">
        <w:rPr>
          <w:rFonts w:ascii="Times New Roman" w:eastAsia="Calibri" w:hAnsi="Times New Roman" w:cs="Times New Roman"/>
          <w:spacing w:val="-4"/>
          <w:sz w:val="24"/>
          <w:szCs w:val="24"/>
          <w:lang w:bidi="ar-SA"/>
        </w:rPr>
        <w:t>.</w:t>
      </w:r>
    </w:p>
    <w:p w14:paraId="175B2E4E" w14:textId="2D468B5D" w:rsidR="00834955" w:rsidRPr="004F51D2" w:rsidRDefault="00834955" w:rsidP="006B37BD">
      <w:pPr>
        <w:bidi w:val="0"/>
        <w:spacing w:after="0" w:line="480" w:lineRule="auto"/>
        <w:ind w:left="720" w:hanging="720"/>
        <w:jc w:val="both"/>
        <w:rPr>
          <w:rFonts w:ascii="Times New Roman" w:eastAsia="Calibri" w:hAnsi="Times New Roman" w:cs="Times New Roman"/>
          <w:spacing w:val="-4"/>
          <w:sz w:val="24"/>
          <w:szCs w:val="24"/>
          <w:lang w:bidi="ar-SA"/>
        </w:rPr>
      </w:pPr>
      <w:r w:rsidRPr="004F51D2">
        <w:rPr>
          <w:rFonts w:ascii="Times New Roman" w:eastAsia="Calibri" w:hAnsi="Times New Roman" w:cs="Times New Roman"/>
          <w:spacing w:val="-4"/>
          <w:sz w:val="24"/>
          <w:szCs w:val="24"/>
          <w:lang w:bidi="ar-SA"/>
        </w:rPr>
        <w:t xml:space="preserve">Jöreskog, K. G., &amp; Sörbom, D. (2006). </w:t>
      </w:r>
      <w:r w:rsidRPr="004F51D2">
        <w:rPr>
          <w:rFonts w:ascii="Times New Roman" w:eastAsia="Calibri" w:hAnsi="Times New Roman" w:cs="Times New Roman"/>
          <w:i/>
          <w:iCs/>
          <w:spacing w:val="-4"/>
          <w:sz w:val="24"/>
          <w:szCs w:val="24"/>
          <w:lang w:bidi="ar-SA"/>
        </w:rPr>
        <w:t>LISREL 8.80</w:t>
      </w:r>
      <w:r w:rsidR="006B37BD" w:rsidRPr="004F51D2">
        <w:rPr>
          <w:rFonts w:ascii="Times New Roman" w:eastAsia="Calibri" w:hAnsi="Times New Roman" w:cs="Times New Roman"/>
          <w:i/>
          <w:iCs/>
          <w:spacing w:val="-4"/>
          <w:sz w:val="24"/>
          <w:szCs w:val="24"/>
          <w:lang w:bidi="ar-SA"/>
        </w:rPr>
        <w:t xml:space="preserve"> for windows</w:t>
      </w:r>
      <w:r w:rsidRPr="004F51D2">
        <w:rPr>
          <w:rFonts w:ascii="Times New Roman" w:eastAsia="Calibri" w:hAnsi="Times New Roman" w:cs="Times New Roman"/>
          <w:spacing w:val="-4"/>
          <w:sz w:val="24"/>
          <w:szCs w:val="24"/>
          <w:lang w:bidi="ar-SA"/>
        </w:rPr>
        <w:t>. </w:t>
      </w:r>
      <w:r w:rsidR="006B37BD" w:rsidRPr="004F51D2">
        <w:rPr>
          <w:rFonts w:ascii="Times New Roman" w:eastAsia="Calibri" w:hAnsi="Times New Roman" w:cs="Times New Roman"/>
          <w:spacing w:val="-4"/>
          <w:sz w:val="24"/>
          <w:szCs w:val="24"/>
          <w:lang w:bidi="ar-SA"/>
        </w:rPr>
        <w:t>Lincolnwood, IL:</w:t>
      </w:r>
      <w:r w:rsidRPr="004F51D2">
        <w:rPr>
          <w:rFonts w:ascii="Times New Roman" w:eastAsia="Calibri" w:hAnsi="Times New Roman" w:cs="Times New Roman"/>
          <w:spacing w:val="-4"/>
          <w:sz w:val="24"/>
          <w:szCs w:val="24"/>
          <w:lang w:bidi="ar-SA"/>
        </w:rPr>
        <w:t xml:space="preserve"> Scientific Software International</w:t>
      </w:r>
      <w:r w:rsidR="006B37BD" w:rsidRPr="004F51D2">
        <w:rPr>
          <w:rFonts w:ascii="Times New Roman" w:eastAsia="Calibri" w:hAnsi="Times New Roman" w:cs="Times New Roman"/>
          <w:spacing w:val="-4"/>
          <w:sz w:val="24"/>
          <w:szCs w:val="24"/>
          <w:lang w:bidi="ar-SA"/>
        </w:rPr>
        <w:t xml:space="preserve"> Inc</w:t>
      </w:r>
      <w:r w:rsidRPr="004F51D2">
        <w:rPr>
          <w:rFonts w:ascii="Times New Roman" w:eastAsia="Calibri" w:hAnsi="Times New Roman" w:cs="Times New Roman"/>
          <w:spacing w:val="-4"/>
          <w:sz w:val="24"/>
          <w:szCs w:val="24"/>
          <w:lang w:bidi="ar-SA"/>
        </w:rPr>
        <w:t>.</w:t>
      </w:r>
    </w:p>
    <w:p w14:paraId="200C35E9" w14:textId="77777777" w:rsidR="00834955" w:rsidRPr="004F51D2" w:rsidRDefault="00834955" w:rsidP="00834955">
      <w:pPr>
        <w:bidi w:val="0"/>
        <w:spacing w:after="0" w:line="480" w:lineRule="auto"/>
        <w:ind w:left="720" w:hanging="720"/>
        <w:jc w:val="both"/>
        <w:rPr>
          <w:rFonts w:ascii="Times New Roman" w:eastAsia="Calibri" w:hAnsi="Times New Roman" w:cs="Times New Roman"/>
          <w:spacing w:val="-4"/>
          <w:sz w:val="24"/>
          <w:szCs w:val="24"/>
          <w:lang w:bidi="ar-SA"/>
        </w:rPr>
      </w:pPr>
      <w:r w:rsidRPr="004F51D2">
        <w:rPr>
          <w:rFonts w:ascii="Times New Roman" w:eastAsia="Calibri" w:hAnsi="Times New Roman" w:cs="Times New Roman"/>
          <w:spacing w:val="-4"/>
          <w:sz w:val="24"/>
          <w:szCs w:val="24"/>
          <w:lang w:bidi="ar-SA"/>
        </w:rPr>
        <w:t>Kline, R. B. (2015). </w:t>
      </w:r>
      <w:r w:rsidRPr="004F51D2">
        <w:rPr>
          <w:rFonts w:ascii="Times New Roman" w:eastAsia="Calibri" w:hAnsi="Times New Roman" w:cs="Times New Roman"/>
          <w:i/>
          <w:iCs/>
          <w:spacing w:val="-4"/>
          <w:sz w:val="24"/>
          <w:szCs w:val="24"/>
          <w:lang w:bidi="ar-SA"/>
        </w:rPr>
        <w:t>Principles and Practice of Structural Equation Modeling</w:t>
      </w:r>
      <w:r w:rsidRPr="004F51D2">
        <w:rPr>
          <w:rFonts w:ascii="Times New Roman" w:eastAsia="Calibri" w:hAnsi="Times New Roman" w:cs="Times New Roman"/>
          <w:spacing w:val="-4"/>
          <w:sz w:val="24"/>
          <w:szCs w:val="24"/>
          <w:lang w:bidi="ar-SA"/>
        </w:rPr>
        <w:t>. Guilford publications.</w:t>
      </w:r>
    </w:p>
    <w:p w14:paraId="0F7D01BE" w14:textId="77777777" w:rsidR="00834955" w:rsidRPr="004F51D2" w:rsidRDefault="00834955" w:rsidP="00834955">
      <w:pPr>
        <w:bidi w:val="0"/>
        <w:spacing w:after="0" w:line="480" w:lineRule="auto"/>
        <w:ind w:left="720" w:hanging="720"/>
        <w:jc w:val="both"/>
        <w:rPr>
          <w:rFonts w:asciiTheme="majorBidi" w:hAnsiTheme="majorBidi" w:cstheme="majorBidi"/>
          <w:color w:val="222222"/>
          <w:sz w:val="24"/>
          <w:szCs w:val="24"/>
          <w:shd w:val="clear" w:color="auto" w:fill="FFFFFF"/>
        </w:rPr>
      </w:pPr>
      <w:r w:rsidRPr="004F51D2">
        <w:rPr>
          <w:rFonts w:asciiTheme="majorBidi" w:hAnsiTheme="majorBidi" w:cstheme="majorBidi"/>
          <w:color w:val="333333"/>
          <w:sz w:val="24"/>
          <w:szCs w:val="24"/>
          <w:shd w:val="clear" w:color="auto" w:fill="FCFCFC"/>
        </w:rPr>
        <w:t xml:space="preserve">King, D. L., &amp; Delfabbro, P. (2009). Motivational differences in problem video game play. </w:t>
      </w:r>
      <w:r w:rsidRPr="004F51D2">
        <w:rPr>
          <w:rFonts w:asciiTheme="majorBidi" w:hAnsiTheme="majorBidi" w:cstheme="majorBidi"/>
          <w:i/>
          <w:iCs/>
          <w:color w:val="333333"/>
          <w:sz w:val="24"/>
          <w:szCs w:val="24"/>
          <w:shd w:val="clear" w:color="auto" w:fill="FCFCFC"/>
        </w:rPr>
        <w:t>Journal of Cybertherapy and Rehabilitation</w:t>
      </w:r>
      <w:r w:rsidRPr="004F51D2">
        <w:rPr>
          <w:rFonts w:asciiTheme="majorBidi" w:hAnsiTheme="majorBidi" w:cstheme="majorBidi"/>
          <w:color w:val="333333"/>
          <w:sz w:val="24"/>
          <w:szCs w:val="24"/>
          <w:shd w:val="clear" w:color="auto" w:fill="FCFCFC"/>
        </w:rPr>
        <w:t xml:space="preserve">, </w:t>
      </w:r>
      <w:r w:rsidRPr="004F51D2">
        <w:rPr>
          <w:rFonts w:asciiTheme="majorBidi" w:hAnsiTheme="majorBidi" w:cstheme="majorBidi"/>
          <w:i/>
          <w:iCs/>
          <w:color w:val="333333"/>
          <w:sz w:val="24"/>
          <w:szCs w:val="24"/>
          <w:shd w:val="clear" w:color="auto" w:fill="FCFCFC"/>
        </w:rPr>
        <w:t>2</w:t>
      </w:r>
      <w:r w:rsidRPr="004F51D2">
        <w:rPr>
          <w:rFonts w:asciiTheme="majorBidi" w:hAnsiTheme="majorBidi" w:cstheme="majorBidi"/>
          <w:color w:val="333333"/>
          <w:sz w:val="24"/>
          <w:szCs w:val="24"/>
          <w:shd w:val="clear" w:color="auto" w:fill="FCFCFC"/>
        </w:rPr>
        <w:t>, 139–149.</w:t>
      </w:r>
    </w:p>
    <w:p w14:paraId="49B87E2F" w14:textId="77777777" w:rsidR="00834955" w:rsidRPr="004F51D2" w:rsidRDefault="00834955" w:rsidP="00834955">
      <w:pPr>
        <w:bidi w:val="0"/>
        <w:spacing w:after="0" w:line="480" w:lineRule="auto"/>
        <w:ind w:left="720" w:hanging="720"/>
        <w:jc w:val="both"/>
        <w:rPr>
          <w:rFonts w:ascii="Times New Roman" w:eastAsia="Calibri" w:hAnsi="Times New Roman" w:cs="Times New Roman"/>
          <w:spacing w:val="-4"/>
          <w:sz w:val="24"/>
          <w:szCs w:val="24"/>
          <w:lang w:bidi="ar-SA"/>
        </w:rPr>
      </w:pPr>
      <w:r w:rsidRPr="004F51D2">
        <w:rPr>
          <w:rFonts w:asciiTheme="majorBidi" w:hAnsiTheme="majorBidi" w:cstheme="majorBidi"/>
          <w:color w:val="222222"/>
          <w:sz w:val="24"/>
          <w:szCs w:val="24"/>
          <w:shd w:val="clear" w:color="auto" w:fill="FFFFFF"/>
        </w:rPr>
        <w:t>King, D. L., &amp; Delfabbro, P. H. (2014). The cognitive psychology of Internet gaming disorder. </w:t>
      </w:r>
      <w:r w:rsidRPr="004F51D2">
        <w:rPr>
          <w:rFonts w:asciiTheme="majorBidi" w:hAnsiTheme="majorBidi" w:cstheme="majorBidi"/>
          <w:i/>
          <w:iCs/>
          <w:color w:val="222222"/>
          <w:sz w:val="24"/>
          <w:szCs w:val="24"/>
          <w:shd w:val="clear" w:color="auto" w:fill="FFFFFF"/>
        </w:rPr>
        <w:t>Clinical Psychology Review</w:t>
      </w:r>
      <w:r w:rsidRPr="004F51D2">
        <w:rPr>
          <w:rFonts w:asciiTheme="majorBidi" w:hAnsiTheme="majorBidi" w:cstheme="majorBidi"/>
          <w:color w:val="222222"/>
          <w:sz w:val="24"/>
          <w:szCs w:val="24"/>
          <w:shd w:val="clear" w:color="auto" w:fill="FFFFFF"/>
        </w:rPr>
        <w:t>, </w:t>
      </w:r>
      <w:r w:rsidRPr="004F51D2">
        <w:rPr>
          <w:rFonts w:asciiTheme="majorBidi" w:hAnsiTheme="majorBidi" w:cstheme="majorBidi"/>
          <w:i/>
          <w:iCs/>
          <w:color w:val="222222"/>
          <w:sz w:val="24"/>
          <w:szCs w:val="24"/>
          <w:shd w:val="clear" w:color="auto" w:fill="FFFFFF"/>
        </w:rPr>
        <w:t>34</w:t>
      </w:r>
      <w:r w:rsidRPr="004F51D2">
        <w:rPr>
          <w:rFonts w:asciiTheme="majorBidi" w:hAnsiTheme="majorBidi" w:cstheme="majorBidi"/>
          <w:color w:val="222222"/>
          <w:sz w:val="24"/>
          <w:szCs w:val="24"/>
          <w:shd w:val="clear" w:color="auto" w:fill="FFFFFF"/>
        </w:rPr>
        <w:t>, 298-308.</w:t>
      </w:r>
      <w:r w:rsidRPr="004F51D2">
        <w:rPr>
          <w:rFonts w:ascii="Times New Roman" w:eastAsia="Calibri" w:hAnsi="Times New Roman" w:cs="Times New Roman"/>
          <w:spacing w:val="-4"/>
          <w:sz w:val="24"/>
          <w:szCs w:val="24"/>
          <w:lang w:bidi="ar-SA"/>
        </w:rPr>
        <w:t xml:space="preserve"> </w:t>
      </w:r>
      <w:hyperlink r:id="rId30" w:history="1">
        <w:r w:rsidRPr="004F51D2">
          <w:rPr>
            <w:rFonts w:ascii="Times New Roman" w:eastAsia="Calibri" w:hAnsi="Times New Roman" w:cs="Times New Roman"/>
            <w:spacing w:val="-4"/>
            <w:sz w:val="24"/>
            <w:szCs w:val="24"/>
            <w:lang w:bidi="ar-SA"/>
          </w:rPr>
          <w:t>https://doi.org/10.1016/j.cpr.2014.03.006</w:t>
        </w:r>
      </w:hyperlink>
      <w:r w:rsidRPr="004F51D2">
        <w:rPr>
          <w:rFonts w:ascii="Times New Roman" w:eastAsia="Calibri" w:hAnsi="Times New Roman" w:cs="Times New Roman"/>
          <w:spacing w:val="-4"/>
          <w:sz w:val="24"/>
          <w:szCs w:val="24"/>
          <w:lang w:bidi="ar-SA"/>
        </w:rPr>
        <w:t>.</w:t>
      </w:r>
    </w:p>
    <w:p w14:paraId="45CDB8B3" w14:textId="77777777" w:rsidR="00834955" w:rsidRPr="004F51D2" w:rsidRDefault="00834955" w:rsidP="00834955">
      <w:pPr>
        <w:bidi w:val="0"/>
        <w:spacing w:after="0" w:line="480" w:lineRule="auto"/>
        <w:ind w:left="720" w:hanging="720"/>
        <w:jc w:val="both"/>
        <w:rPr>
          <w:rFonts w:asciiTheme="majorBidi" w:eastAsia="Calibri" w:hAnsiTheme="majorBidi" w:cstheme="majorBidi"/>
          <w:spacing w:val="-4"/>
          <w:sz w:val="28"/>
          <w:szCs w:val="28"/>
          <w:lang w:bidi="ar-SA"/>
        </w:rPr>
      </w:pPr>
      <w:r w:rsidRPr="004F51D2">
        <w:rPr>
          <w:rFonts w:asciiTheme="majorBidi" w:hAnsiTheme="majorBidi" w:cstheme="majorBidi"/>
          <w:sz w:val="24"/>
          <w:szCs w:val="24"/>
        </w:rPr>
        <w:t xml:space="preserve">Király, O., Urbán, R., Griffiths, M. D., Ágoston, C., Nagygyörgy, K., Kökönyei, G., &amp; Demetrovics, Z. (2015). The mediating effect of gaming motivation between psychiatric symptoms and problematic online gaming: an online survey. </w:t>
      </w:r>
      <w:r w:rsidRPr="004F51D2">
        <w:rPr>
          <w:rFonts w:asciiTheme="majorBidi" w:hAnsiTheme="majorBidi" w:cstheme="majorBidi"/>
          <w:i/>
          <w:iCs/>
          <w:sz w:val="24"/>
          <w:szCs w:val="24"/>
        </w:rPr>
        <w:t>Journal of Medical Internet Research</w:t>
      </w:r>
      <w:r w:rsidRPr="004F51D2">
        <w:rPr>
          <w:rFonts w:asciiTheme="majorBidi" w:hAnsiTheme="majorBidi" w:cstheme="majorBidi"/>
          <w:sz w:val="24"/>
          <w:szCs w:val="24"/>
        </w:rPr>
        <w:t xml:space="preserve">, </w:t>
      </w:r>
      <w:r w:rsidRPr="004F51D2">
        <w:rPr>
          <w:rFonts w:asciiTheme="majorBidi" w:hAnsiTheme="majorBidi" w:cstheme="majorBidi"/>
          <w:i/>
          <w:iCs/>
          <w:sz w:val="24"/>
          <w:szCs w:val="24"/>
        </w:rPr>
        <w:t>17</w:t>
      </w:r>
      <w:r w:rsidRPr="004F51D2">
        <w:rPr>
          <w:rFonts w:asciiTheme="majorBidi" w:hAnsiTheme="majorBidi" w:cstheme="majorBidi"/>
          <w:sz w:val="24"/>
          <w:szCs w:val="24"/>
        </w:rPr>
        <w:t>, e88</w:t>
      </w:r>
      <w:r w:rsidRPr="004F51D2">
        <w:rPr>
          <w:rFonts w:asciiTheme="majorBidi" w:eastAsia="Calibri" w:hAnsiTheme="majorBidi" w:cstheme="majorBidi"/>
          <w:spacing w:val="-4"/>
          <w:sz w:val="28"/>
          <w:szCs w:val="28"/>
          <w:lang w:bidi="ar-SA"/>
        </w:rPr>
        <w:t xml:space="preserve">. </w:t>
      </w:r>
      <w:hyperlink r:id="rId31" w:history="1">
        <w:r w:rsidRPr="004F51D2">
          <w:rPr>
            <w:rFonts w:ascii="Times New Roman" w:hAnsi="Times New Roman" w:cs="Times New Roman"/>
            <w:spacing w:val="-4"/>
            <w:sz w:val="24"/>
            <w:szCs w:val="24"/>
          </w:rPr>
          <w:t>https://</w:t>
        </w:r>
        <w:r w:rsidRPr="004F51D2">
          <w:rPr>
            <w:rFonts w:ascii="Times New Roman" w:eastAsia="Calibri" w:hAnsi="Times New Roman" w:cs="Times New Roman"/>
            <w:spacing w:val="-4"/>
            <w:sz w:val="24"/>
            <w:szCs w:val="24"/>
            <w:lang w:bidi="ar-SA"/>
          </w:rPr>
          <w:t>doi.org/10.2196%2Fjmir.3515</w:t>
        </w:r>
      </w:hyperlink>
      <w:r w:rsidRPr="004F51D2">
        <w:rPr>
          <w:rFonts w:ascii="Times New Roman" w:eastAsia="Calibri" w:hAnsi="Times New Roman" w:cs="Times New Roman"/>
          <w:spacing w:val="-4"/>
          <w:sz w:val="24"/>
          <w:szCs w:val="24"/>
          <w:lang w:bidi="ar-SA"/>
        </w:rPr>
        <w:t>.</w:t>
      </w:r>
    </w:p>
    <w:p w14:paraId="00338CE3" w14:textId="77777777" w:rsidR="00834955" w:rsidRPr="004F51D2" w:rsidRDefault="00834955" w:rsidP="00834955">
      <w:pPr>
        <w:bidi w:val="0"/>
        <w:spacing w:after="0" w:line="480" w:lineRule="auto"/>
        <w:ind w:left="720" w:hanging="720"/>
        <w:jc w:val="both"/>
        <w:rPr>
          <w:rFonts w:asciiTheme="majorBidi" w:eastAsia="Calibri" w:hAnsiTheme="majorBidi" w:cstheme="majorBidi"/>
          <w:spacing w:val="-4"/>
          <w:sz w:val="32"/>
          <w:szCs w:val="32"/>
          <w:lang w:bidi="ar-SA"/>
        </w:rPr>
      </w:pPr>
      <w:r w:rsidRPr="004F51D2">
        <w:rPr>
          <w:rFonts w:asciiTheme="majorBidi" w:hAnsiTheme="majorBidi" w:cstheme="majorBidi"/>
          <w:sz w:val="24"/>
          <w:szCs w:val="24"/>
        </w:rPr>
        <w:t xml:space="preserve">Ko, C. H., Liu, T. L., Wang, P. W., Chen, C. S., Yen, C. F., &amp; Yen, J. Y. (2014). The exacerbation of depression, hostility, and social anxiety in the course of internet addiction among adolescents: A prospective study. </w:t>
      </w:r>
      <w:r w:rsidRPr="004F51D2">
        <w:rPr>
          <w:rFonts w:asciiTheme="majorBidi" w:hAnsiTheme="majorBidi" w:cstheme="majorBidi"/>
          <w:i/>
          <w:iCs/>
          <w:sz w:val="24"/>
          <w:szCs w:val="24"/>
        </w:rPr>
        <w:t>Comprehensive Psychiatry</w:t>
      </w:r>
      <w:r w:rsidRPr="004F51D2">
        <w:rPr>
          <w:rFonts w:asciiTheme="majorBidi" w:hAnsiTheme="majorBidi" w:cstheme="majorBidi"/>
          <w:sz w:val="24"/>
          <w:szCs w:val="24"/>
        </w:rPr>
        <w:t xml:space="preserve">, </w:t>
      </w:r>
      <w:r w:rsidRPr="004F51D2">
        <w:rPr>
          <w:rFonts w:asciiTheme="majorBidi" w:hAnsiTheme="majorBidi" w:cstheme="majorBidi"/>
          <w:i/>
          <w:iCs/>
          <w:sz w:val="24"/>
          <w:szCs w:val="24"/>
        </w:rPr>
        <w:t>55</w:t>
      </w:r>
      <w:r w:rsidRPr="004F51D2">
        <w:rPr>
          <w:rFonts w:asciiTheme="majorBidi" w:hAnsiTheme="majorBidi" w:cstheme="majorBidi"/>
          <w:sz w:val="24"/>
          <w:szCs w:val="24"/>
        </w:rPr>
        <w:t>, 1377–1384.</w:t>
      </w:r>
      <w:r w:rsidRPr="004F51D2">
        <w:rPr>
          <w:rFonts w:ascii="Times New Roman" w:eastAsia="Calibri" w:hAnsi="Times New Roman" w:cs="Times New Roman"/>
          <w:spacing w:val="-4"/>
          <w:sz w:val="24"/>
          <w:szCs w:val="24"/>
          <w:lang w:bidi="ar-SA"/>
        </w:rPr>
        <w:t xml:space="preserve"> </w:t>
      </w:r>
      <w:hyperlink r:id="rId32" w:history="1">
        <w:r w:rsidRPr="004F51D2">
          <w:rPr>
            <w:rFonts w:ascii="Times New Roman" w:eastAsia="Calibri" w:hAnsi="Times New Roman" w:cs="Times New Roman"/>
            <w:spacing w:val="-4"/>
            <w:sz w:val="24"/>
            <w:szCs w:val="24"/>
            <w:lang w:bidi="ar-SA"/>
          </w:rPr>
          <w:t>https://doi.org/10.1016/j.comppsych.2014.05.003</w:t>
        </w:r>
      </w:hyperlink>
      <w:r w:rsidRPr="004F51D2">
        <w:rPr>
          <w:rFonts w:ascii="Times New Roman" w:eastAsia="Calibri" w:hAnsi="Times New Roman" w:cs="Times New Roman"/>
          <w:spacing w:val="-4"/>
          <w:sz w:val="24"/>
          <w:szCs w:val="24"/>
          <w:lang w:bidi="ar-SA"/>
        </w:rPr>
        <w:t>.</w:t>
      </w:r>
    </w:p>
    <w:p w14:paraId="54B09C7B" w14:textId="77777777" w:rsidR="00834955" w:rsidRPr="004F51D2" w:rsidRDefault="00834955" w:rsidP="00834955">
      <w:pPr>
        <w:bidi w:val="0"/>
        <w:spacing w:after="0" w:line="480" w:lineRule="auto"/>
        <w:ind w:left="720" w:hanging="720"/>
        <w:jc w:val="both"/>
        <w:rPr>
          <w:rFonts w:asciiTheme="majorBidi" w:hAnsiTheme="majorBidi" w:cstheme="majorBidi"/>
          <w:spacing w:val="-4"/>
          <w:sz w:val="24"/>
          <w:szCs w:val="24"/>
        </w:rPr>
      </w:pPr>
      <w:r w:rsidRPr="004F51D2">
        <w:rPr>
          <w:rFonts w:asciiTheme="majorBidi" w:hAnsiTheme="majorBidi" w:cstheme="majorBidi"/>
          <w:sz w:val="24"/>
          <w:szCs w:val="24"/>
        </w:rPr>
        <w:t xml:space="preserve">Kuss, D. J., &amp; Griffiths, M. D. (2012). Online gaming addiction in adolescence: a literature review of empirical research. </w:t>
      </w:r>
      <w:r w:rsidRPr="004F51D2">
        <w:rPr>
          <w:rFonts w:asciiTheme="majorBidi" w:hAnsiTheme="majorBidi" w:cstheme="majorBidi"/>
          <w:i/>
          <w:iCs/>
          <w:sz w:val="24"/>
          <w:szCs w:val="24"/>
        </w:rPr>
        <w:t>Journal of Behavioral Addictions, 1</w:t>
      </w:r>
      <w:r w:rsidRPr="004F51D2">
        <w:rPr>
          <w:rFonts w:asciiTheme="majorBidi" w:hAnsiTheme="majorBidi" w:cstheme="majorBidi"/>
          <w:sz w:val="24"/>
          <w:szCs w:val="24"/>
        </w:rPr>
        <w:t>, 3–22</w:t>
      </w:r>
      <w:r w:rsidRPr="004F51D2">
        <w:rPr>
          <w:rFonts w:asciiTheme="majorBidi" w:eastAsia="Calibri" w:hAnsiTheme="majorBidi" w:cstheme="majorBidi"/>
          <w:spacing w:val="-4"/>
          <w:sz w:val="24"/>
          <w:szCs w:val="24"/>
          <w:lang w:bidi="ar-SA"/>
        </w:rPr>
        <w:t>.</w:t>
      </w:r>
      <w:r w:rsidRPr="004F51D2">
        <w:t xml:space="preserve"> </w:t>
      </w:r>
      <w:hyperlink r:id="rId33" w:history="1">
        <w:r w:rsidRPr="004F51D2">
          <w:rPr>
            <w:rFonts w:asciiTheme="majorBidi" w:hAnsiTheme="majorBidi" w:cstheme="majorBidi"/>
            <w:spacing w:val="-4"/>
            <w:sz w:val="24"/>
            <w:szCs w:val="24"/>
          </w:rPr>
          <w:t>https://doi.org/10.1556/jba.1.2012.1.1</w:t>
        </w:r>
      </w:hyperlink>
      <w:r w:rsidRPr="004F51D2">
        <w:rPr>
          <w:rFonts w:asciiTheme="majorBidi" w:hAnsiTheme="majorBidi" w:cstheme="majorBidi"/>
          <w:spacing w:val="-4"/>
          <w:sz w:val="24"/>
          <w:szCs w:val="24"/>
        </w:rPr>
        <w:t>.</w:t>
      </w:r>
    </w:p>
    <w:p w14:paraId="1670077C" w14:textId="77777777" w:rsidR="00834955" w:rsidRPr="004F51D2" w:rsidRDefault="00834955" w:rsidP="00834955">
      <w:pPr>
        <w:bidi w:val="0"/>
        <w:spacing w:after="0" w:line="480" w:lineRule="auto"/>
        <w:ind w:left="720" w:hanging="720"/>
        <w:jc w:val="both"/>
        <w:rPr>
          <w:rFonts w:ascii="Times New Roman" w:eastAsia="Calibri" w:hAnsi="Times New Roman" w:cs="Times New Roman"/>
          <w:spacing w:val="-4"/>
          <w:sz w:val="24"/>
          <w:szCs w:val="24"/>
          <w:lang w:bidi="ar-SA"/>
        </w:rPr>
      </w:pPr>
      <w:r w:rsidRPr="004F51D2">
        <w:rPr>
          <w:rFonts w:ascii="Times New Roman" w:eastAsia="Calibri" w:hAnsi="Times New Roman" w:cs="Times New Roman"/>
          <w:spacing w:val="-4"/>
          <w:sz w:val="24"/>
          <w:szCs w:val="24"/>
          <w:lang w:bidi="ar-SA"/>
        </w:rPr>
        <w:t>Lafrenière, M. A. K., Verner-Filion, J., &amp; Vallerand, R. J. (2012). Development and validation of the Gaming Motivation Scale (GAMS)</w:t>
      </w:r>
      <w:r w:rsidRPr="004F51D2">
        <w:rPr>
          <w:rFonts w:ascii="Times New Roman" w:eastAsia="Calibri" w:hAnsi="Times New Roman" w:cs="Times New Roman"/>
          <w:i/>
          <w:iCs/>
          <w:spacing w:val="-4"/>
          <w:sz w:val="24"/>
          <w:szCs w:val="24"/>
          <w:lang w:bidi="ar-SA"/>
        </w:rPr>
        <w:t>. Personality and Individual Differences, 53</w:t>
      </w:r>
      <w:r w:rsidRPr="004F51D2">
        <w:rPr>
          <w:rFonts w:ascii="Times New Roman" w:eastAsia="Calibri" w:hAnsi="Times New Roman" w:cs="Times New Roman"/>
          <w:spacing w:val="-4"/>
          <w:sz w:val="24"/>
          <w:szCs w:val="24"/>
          <w:lang w:bidi="ar-SA"/>
        </w:rPr>
        <w:t>, 827-831.</w:t>
      </w:r>
      <w:r w:rsidRPr="004F51D2">
        <w:rPr>
          <w:rFonts w:ascii="Times New Roman" w:hAnsi="Times New Roman" w:cs="Times New Roman"/>
          <w:spacing w:val="-4"/>
          <w:sz w:val="24"/>
          <w:szCs w:val="24"/>
        </w:rPr>
        <w:t xml:space="preserve"> </w:t>
      </w:r>
      <w:hyperlink r:id="rId34" w:history="1">
        <w:r w:rsidRPr="004F51D2">
          <w:rPr>
            <w:rFonts w:ascii="Times New Roman" w:hAnsi="Times New Roman" w:cs="Times New Roman"/>
            <w:spacing w:val="-4"/>
            <w:sz w:val="24"/>
            <w:szCs w:val="24"/>
          </w:rPr>
          <w:t>https://</w:t>
        </w:r>
        <w:r w:rsidRPr="004F51D2">
          <w:rPr>
            <w:rFonts w:ascii="Times New Roman" w:eastAsia="Calibri" w:hAnsi="Times New Roman" w:cs="Times New Roman"/>
            <w:spacing w:val="-4"/>
            <w:sz w:val="24"/>
            <w:szCs w:val="24"/>
            <w:lang w:bidi="ar-SA"/>
          </w:rPr>
          <w:t>doi.org/10.1016/j.paid.2012.06.013</w:t>
        </w:r>
      </w:hyperlink>
      <w:r w:rsidRPr="004F51D2">
        <w:rPr>
          <w:rFonts w:ascii="Times New Roman" w:eastAsia="Calibri" w:hAnsi="Times New Roman" w:cs="Times New Roman"/>
          <w:spacing w:val="-4"/>
          <w:sz w:val="24"/>
          <w:szCs w:val="24"/>
          <w:lang w:bidi="ar-SA"/>
        </w:rPr>
        <w:t>.</w:t>
      </w:r>
    </w:p>
    <w:p w14:paraId="720AEDD6" w14:textId="49B8EDC1" w:rsidR="007753A0" w:rsidRPr="004F51D2" w:rsidRDefault="00834955" w:rsidP="000C7826">
      <w:pPr>
        <w:bidi w:val="0"/>
        <w:spacing w:after="0" w:line="480" w:lineRule="auto"/>
        <w:ind w:left="720" w:hanging="720"/>
        <w:jc w:val="both"/>
        <w:rPr>
          <w:rFonts w:ascii="Times New Roman" w:eastAsia="Calibri" w:hAnsi="Times New Roman" w:cs="Times New Roman"/>
          <w:spacing w:val="-4"/>
          <w:sz w:val="24"/>
          <w:szCs w:val="24"/>
          <w:lang w:bidi="ar-SA"/>
        </w:rPr>
      </w:pPr>
      <w:r w:rsidRPr="004F51D2">
        <w:rPr>
          <w:rFonts w:ascii="Times New Roman" w:eastAsia="Calibri" w:hAnsi="Times New Roman" w:cs="Times New Roman"/>
          <w:spacing w:val="-4"/>
          <w:sz w:val="24"/>
          <w:szCs w:val="24"/>
          <w:lang w:bidi="ar-SA"/>
        </w:rPr>
        <w:t>Lemmens, J. S., Valkenburg, P. M., &amp; Peter, J. (2009). Development and validation of a Game Addiction Scale for adolescents. </w:t>
      </w:r>
      <w:r w:rsidRPr="004F51D2">
        <w:rPr>
          <w:rFonts w:ascii="Times New Roman" w:eastAsia="Calibri" w:hAnsi="Times New Roman" w:cs="Times New Roman"/>
          <w:i/>
          <w:iCs/>
          <w:spacing w:val="-4"/>
          <w:sz w:val="24"/>
          <w:szCs w:val="24"/>
          <w:lang w:bidi="ar-SA"/>
        </w:rPr>
        <w:t xml:space="preserve">Media </w:t>
      </w:r>
      <w:r w:rsidR="006B37BD" w:rsidRPr="004F51D2">
        <w:rPr>
          <w:rFonts w:ascii="Times New Roman" w:eastAsia="Calibri" w:hAnsi="Times New Roman" w:cs="Times New Roman"/>
          <w:i/>
          <w:iCs/>
          <w:spacing w:val="-4"/>
          <w:sz w:val="24"/>
          <w:szCs w:val="24"/>
          <w:lang w:bidi="ar-SA"/>
        </w:rPr>
        <w:t>Psychology</w:t>
      </w:r>
      <w:r w:rsidRPr="004F51D2">
        <w:rPr>
          <w:rFonts w:ascii="Times New Roman" w:eastAsia="Calibri" w:hAnsi="Times New Roman" w:cs="Times New Roman"/>
          <w:spacing w:val="-4"/>
          <w:sz w:val="24"/>
          <w:szCs w:val="24"/>
          <w:lang w:bidi="ar-SA"/>
        </w:rPr>
        <w:t>, </w:t>
      </w:r>
      <w:r w:rsidRPr="004F51D2">
        <w:rPr>
          <w:rFonts w:ascii="Times New Roman" w:eastAsia="Calibri" w:hAnsi="Times New Roman" w:cs="Times New Roman"/>
          <w:i/>
          <w:iCs/>
          <w:spacing w:val="-4"/>
          <w:sz w:val="24"/>
          <w:szCs w:val="24"/>
          <w:lang w:bidi="ar-SA"/>
        </w:rPr>
        <w:t>12</w:t>
      </w:r>
      <w:r w:rsidRPr="004F51D2">
        <w:rPr>
          <w:rFonts w:ascii="Times New Roman" w:eastAsia="Calibri" w:hAnsi="Times New Roman" w:cs="Times New Roman"/>
          <w:spacing w:val="-4"/>
          <w:sz w:val="24"/>
          <w:szCs w:val="24"/>
          <w:lang w:bidi="ar-SA"/>
        </w:rPr>
        <w:t>, 77-95.</w:t>
      </w:r>
      <w:r w:rsidRPr="004F51D2">
        <w:rPr>
          <w:rFonts w:ascii="Times New Roman" w:hAnsi="Times New Roman" w:cs="Times New Roman"/>
          <w:spacing w:val="-4"/>
          <w:sz w:val="24"/>
          <w:szCs w:val="24"/>
        </w:rPr>
        <w:t xml:space="preserve"> </w:t>
      </w:r>
      <w:hyperlink r:id="rId35" w:history="1">
        <w:r w:rsidRPr="004F51D2">
          <w:rPr>
            <w:rFonts w:ascii="Times New Roman" w:hAnsi="Times New Roman" w:cs="Times New Roman"/>
            <w:spacing w:val="-4"/>
            <w:sz w:val="24"/>
            <w:szCs w:val="24"/>
          </w:rPr>
          <w:t>https://</w:t>
        </w:r>
        <w:r w:rsidRPr="004F51D2">
          <w:rPr>
            <w:rFonts w:ascii="Times New Roman" w:eastAsia="Calibri" w:hAnsi="Times New Roman" w:cs="Times New Roman"/>
            <w:spacing w:val="-4"/>
            <w:sz w:val="24"/>
            <w:szCs w:val="24"/>
            <w:lang w:bidi="ar-SA"/>
          </w:rPr>
          <w:t>doi.org/10.1080/15213260802669458</w:t>
        </w:r>
      </w:hyperlink>
      <w:r w:rsidR="000C7826" w:rsidRPr="004F51D2">
        <w:rPr>
          <w:rFonts w:ascii="Times New Roman" w:eastAsia="Calibri" w:hAnsi="Times New Roman" w:cs="Times New Roman"/>
          <w:spacing w:val="-4"/>
          <w:sz w:val="24"/>
          <w:szCs w:val="24"/>
          <w:lang w:bidi="ar-SA"/>
        </w:rPr>
        <w:t>.</w:t>
      </w:r>
    </w:p>
    <w:p w14:paraId="26FB0598" w14:textId="0675D8CD" w:rsidR="00834955" w:rsidRPr="004F51D2" w:rsidRDefault="00834955" w:rsidP="007753A0">
      <w:pPr>
        <w:bidi w:val="0"/>
        <w:spacing w:after="0" w:line="480" w:lineRule="auto"/>
        <w:ind w:left="720" w:hanging="720"/>
        <w:jc w:val="both"/>
        <w:rPr>
          <w:rFonts w:asciiTheme="majorBidi" w:eastAsia="Calibri" w:hAnsiTheme="majorBidi" w:cstheme="majorBidi"/>
          <w:spacing w:val="-4"/>
          <w:sz w:val="32"/>
          <w:szCs w:val="32"/>
          <w:lang w:bidi="ar-SA"/>
        </w:rPr>
      </w:pPr>
      <w:r w:rsidRPr="004F51D2">
        <w:rPr>
          <w:rFonts w:asciiTheme="majorBidi" w:hAnsiTheme="majorBidi" w:cstheme="majorBidi"/>
          <w:color w:val="222222"/>
          <w:sz w:val="24"/>
          <w:szCs w:val="24"/>
          <w:shd w:val="clear" w:color="auto" w:fill="FFFFFF"/>
        </w:rPr>
        <w:t>Liao, Z., Huang, Q., Huang, S., Tan, L., Shao, T., Fang, T., &amp; Shen, H. (2020). Prevalence of Internet gaming disorder and its association with personality traits and gaming characteristics among adolescent gamers. </w:t>
      </w:r>
      <w:r w:rsidRPr="004F51D2">
        <w:rPr>
          <w:rFonts w:asciiTheme="majorBidi" w:hAnsiTheme="majorBidi" w:cstheme="majorBidi"/>
          <w:i/>
          <w:iCs/>
          <w:color w:val="222222"/>
          <w:sz w:val="24"/>
          <w:szCs w:val="24"/>
          <w:shd w:val="clear" w:color="auto" w:fill="FFFFFF"/>
        </w:rPr>
        <w:t>Frontiers in Psychiatry</w:t>
      </w:r>
      <w:r w:rsidRPr="004F51D2">
        <w:rPr>
          <w:rFonts w:asciiTheme="majorBidi" w:hAnsiTheme="majorBidi" w:cstheme="majorBidi"/>
          <w:color w:val="222222"/>
          <w:sz w:val="24"/>
          <w:szCs w:val="24"/>
          <w:shd w:val="clear" w:color="auto" w:fill="FFFFFF"/>
        </w:rPr>
        <w:t>, </w:t>
      </w:r>
      <w:r w:rsidRPr="004F51D2">
        <w:rPr>
          <w:rFonts w:asciiTheme="majorBidi" w:hAnsiTheme="majorBidi" w:cstheme="majorBidi"/>
          <w:i/>
          <w:iCs/>
          <w:color w:val="222222"/>
          <w:sz w:val="24"/>
          <w:szCs w:val="24"/>
          <w:shd w:val="clear" w:color="auto" w:fill="FFFFFF"/>
        </w:rPr>
        <w:t>11</w:t>
      </w:r>
      <w:r w:rsidRPr="004F51D2">
        <w:rPr>
          <w:rFonts w:asciiTheme="majorBidi" w:hAnsiTheme="majorBidi" w:cstheme="majorBidi"/>
          <w:color w:val="222222"/>
          <w:sz w:val="24"/>
          <w:szCs w:val="24"/>
          <w:shd w:val="clear" w:color="auto" w:fill="FFFFFF"/>
        </w:rPr>
        <w:t>, 1266.</w:t>
      </w:r>
      <w:r w:rsidRPr="004F51D2">
        <w:rPr>
          <w:rFonts w:ascii="Times New Roman" w:hAnsi="Times New Roman" w:cs="Times New Roman"/>
          <w:color w:val="000000" w:themeColor="text1"/>
          <w:spacing w:val="-4"/>
          <w:sz w:val="24"/>
          <w:szCs w:val="24"/>
        </w:rPr>
        <w:t xml:space="preserve"> https://</w:t>
      </w:r>
      <w:r w:rsidRPr="004F51D2">
        <w:rPr>
          <w:rFonts w:ascii="Times New Roman" w:hAnsi="Times New Roman" w:cs="Times New Roman"/>
          <w:spacing w:val="-4"/>
          <w:sz w:val="24"/>
          <w:szCs w:val="24"/>
        </w:rPr>
        <w:t xml:space="preserve"> </w:t>
      </w:r>
      <w:r w:rsidRPr="004F51D2">
        <w:rPr>
          <w:rFonts w:ascii="Times New Roman" w:eastAsia="Calibri" w:hAnsi="Times New Roman" w:cs="Times New Roman"/>
          <w:spacing w:val="-4"/>
          <w:sz w:val="24"/>
          <w:szCs w:val="24"/>
          <w:lang w:bidi="ar-SA"/>
        </w:rPr>
        <w:t>doi.org/10.3389/fpsyt.2020.598585.</w:t>
      </w:r>
    </w:p>
    <w:p w14:paraId="07126087" w14:textId="3A0A00D4" w:rsidR="00834955" w:rsidRPr="004F51D2" w:rsidRDefault="00834955" w:rsidP="00834955">
      <w:pPr>
        <w:bidi w:val="0"/>
        <w:spacing w:after="0" w:line="480" w:lineRule="auto"/>
        <w:ind w:left="720" w:hanging="720"/>
        <w:jc w:val="both"/>
        <w:rPr>
          <w:rFonts w:ascii="Times New Roman" w:eastAsia="Calibri" w:hAnsi="Times New Roman" w:cs="Times New Roman"/>
          <w:spacing w:val="-4"/>
          <w:sz w:val="24"/>
          <w:szCs w:val="24"/>
          <w:lang w:bidi="ar-SA"/>
        </w:rPr>
      </w:pPr>
      <w:r w:rsidRPr="004F51D2">
        <w:rPr>
          <w:rFonts w:ascii="Times New Roman" w:eastAsia="Calibri" w:hAnsi="Times New Roman" w:cs="Times New Roman"/>
          <w:spacing w:val="-4"/>
          <w:sz w:val="24"/>
          <w:szCs w:val="24"/>
          <w:lang w:bidi="ar-SA"/>
        </w:rPr>
        <w:t>Lin, C. Y., Imani, V., Broström, A., Årestedt, K., Pakpour, A. H., &amp; Griffiths, M. D. (2019). Evaluating the psychometric properties of the 7-item Persian Game Addiction Scale for Iranian adolescents</w:t>
      </w:r>
      <w:r w:rsidRPr="004F51D2">
        <w:rPr>
          <w:rFonts w:ascii="Times New Roman" w:eastAsia="Calibri" w:hAnsi="Times New Roman" w:cs="Times New Roman"/>
          <w:i/>
          <w:iCs/>
          <w:spacing w:val="-4"/>
          <w:sz w:val="24"/>
          <w:szCs w:val="24"/>
          <w:lang w:bidi="ar-SA"/>
        </w:rPr>
        <w:t xml:space="preserve">. Frontiers in </w:t>
      </w:r>
      <w:r w:rsidR="006B37BD" w:rsidRPr="004F51D2">
        <w:rPr>
          <w:rFonts w:ascii="Times New Roman" w:eastAsia="Calibri" w:hAnsi="Times New Roman" w:cs="Times New Roman"/>
          <w:i/>
          <w:iCs/>
          <w:spacing w:val="-4"/>
          <w:sz w:val="24"/>
          <w:szCs w:val="24"/>
          <w:lang w:bidi="ar-SA"/>
        </w:rPr>
        <w:t>Psychology</w:t>
      </w:r>
      <w:r w:rsidRPr="004F51D2">
        <w:rPr>
          <w:rFonts w:ascii="Times New Roman" w:eastAsia="Calibri" w:hAnsi="Times New Roman" w:cs="Times New Roman"/>
          <w:i/>
          <w:iCs/>
          <w:spacing w:val="-4"/>
          <w:sz w:val="24"/>
          <w:szCs w:val="24"/>
          <w:lang w:bidi="ar-SA"/>
        </w:rPr>
        <w:t>, 10</w:t>
      </w:r>
      <w:r w:rsidRPr="004F51D2">
        <w:rPr>
          <w:rFonts w:ascii="Times New Roman" w:eastAsia="Calibri" w:hAnsi="Times New Roman" w:cs="Times New Roman"/>
          <w:spacing w:val="-4"/>
          <w:sz w:val="24"/>
          <w:szCs w:val="24"/>
          <w:lang w:bidi="ar-SA"/>
        </w:rPr>
        <w:t>, 149.</w:t>
      </w:r>
      <w:r w:rsidRPr="004F51D2">
        <w:rPr>
          <w:rFonts w:ascii="Times New Roman" w:hAnsi="Times New Roman" w:cs="Times New Roman"/>
          <w:spacing w:val="-4"/>
          <w:sz w:val="24"/>
          <w:szCs w:val="24"/>
        </w:rPr>
        <w:t xml:space="preserve"> </w:t>
      </w:r>
      <w:r w:rsidRPr="004F51D2">
        <w:rPr>
          <w:rFonts w:ascii="Times New Roman" w:hAnsi="Times New Roman" w:cs="Times New Roman"/>
          <w:color w:val="000000" w:themeColor="text1"/>
          <w:spacing w:val="-4"/>
          <w:sz w:val="24"/>
          <w:szCs w:val="24"/>
        </w:rPr>
        <w:t>https://</w:t>
      </w:r>
      <w:r w:rsidRPr="004F51D2">
        <w:rPr>
          <w:rFonts w:ascii="Times New Roman" w:eastAsia="Calibri" w:hAnsi="Times New Roman" w:cs="Times New Roman"/>
          <w:spacing w:val="-4"/>
          <w:sz w:val="24"/>
          <w:szCs w:val="24"/>
          <w:lang w:bidi="ar-SA"/>
        </w:rPr>
        <w:t>doi.org/10.3389/fpsyg.2019.00149.</w:t>
      </w:r>
    </w:p>
    <w:p w14:paraId="670DD962" w14:textId="77777777" w:rsidR="00834955" w:rsidRPr="004F51D2" w:rsidRDefault="00834955" w:rsidP="00834955">
      <w:pPr>
        <w:bidi w:val="0"/>
        <w:spacing w:after="0" w:line="480" w:lineRule="auto"/>
        <w:ind w:left="720" w:hanging="720"/>
        <w:jc w:val="both"/>
        <w:rPr>
          <w:color w:val="0000FF"/>
          <w:u w:val="single"/>
        </w:rPr>
      </w:pPr>
      <w:r w:rsidRPr="004F51D2">
        <w:rPr>
          <w:rFonts w:ascii="Times New Roman" w:eastAsia="Calibri" w:hAnsi="Times New Roman" w:cs="Times New Roman"/>
          <w:spacing w:val="-4"/>
          <w:sz w:val="24"/>
          <w:szCs w:val="24"/>
          <w:lang w:bidi="ar-SA"/>
        </w:rPr>
        <w:t>Lin, C. Y., Potenza, M. N., Broström, A., &amp; Pakpour, A. H. (2020). Internet gaming disorder, psychological distress, and insomnia in adolescent students and their siblings: An actor-partner interdependence model approach. </w:t>
      </w:r>
      <w:r w:rsidRPr="004F51D2">
        <w:rPr>
          <w:rFonts w:ascii="Times New Roman" w:eastAsia="Calibri" w:hAnsi="Times New Roman" w:cs="Times New Roman"/>
          <w:i/>
          <w:iCs/>
          <w:spacing w:val="-4"/>
          <w:sz w:val="24"/>
          <w:szCs w:val="24"/>
          <w:lang w:bidi="ar-SA"/>
        </w:rPr>
        <w:t>Addictive Behaviors Reports, 13</w:t>
      </w:r>
      <w:r w:rsidRPr="004F51D2">
        <w:rPr>
          <w:rFonts w:ascii="Times New Roman" w:eastAsia="Calibri" w:hAnsi="Times New Roman" w:cs="Times New Roman"/>
          <w:spacing w:val="-4"/>
          <w:sz w:val="24"/>
          <w:szCs w:val="24"/>
          <w:lang w:bidi="ar-SA"/>
        </w:rPr>
        <w:t xml:space="preserve">, 100332. </w:t>
      </w:r>
      <w:hyperlink r:id="rId36" w:tgtFrame="_blank" w:tooltip="Persistent link using digital object identifier" w:history="1">
        <w:r w:rsidRPr="004F51D2">
          <w:rPr>
            <w:rFonts w:ascii="Times New Roman" w:eastAsia="Calibri" w:hAnsi="Times New Roman" w:cs="Times New Roman"/>
            <w:spacing w:val="-4"/>
            <w:sz w:val="24"/>
            <w:szCs w:val="24"/>
            <w:lang w:bidi="ar-SA"/>
          </w:rPr>
          <w:t>https://doi.org/10.1016/j.abrep.2020.100332</w:t>
        </w:r>
      </w:hyperlink>
      <w:r w:rsidRPr="004F51D2">
        <w:rPr>
          <w:rFonts w:ascii="Times New Roman" w:eastAsia="Calibri" w:hAnsi="Times New Roman" w:cs="Times New Roman"/>
          <w:spacing w:val="-4"/>
          <w:sz w:val="24"/>
          <w:szCs w:val="24"/>
          <w:lang w:bidi="ar-SA"/>
        </w:rPr>
        <w:t>.</w:t>
      </w:r>
    </w:p>
    <w:p w14:paraId="1959633D" w14:textId="7879A832" w:rsidR="00834955" w:rsidRPr="004F51D2" w:rsidRDefault="00834955" w:rsidP="00834955">
      <w:pPr>
        <w:bidi w:val="0"/>
        <w:spacing w:after="0" w:line="480" w:lineRule="auto"/>
        <w:ind w:left="720" w:hanging="720"/>
        <w:jc w:val="both"/>
        <w:rPr>
          <w:rFonts w:ascii="Times New Roman" w:eastAsia="Calibri" w:hAnsi="Times New Roman" w:cs="Times New Roman"/>
          <w:spacing w:val="-4"/>
          <w:sz w:val="24"/>
          <w:szCs w:val="24"/>
          <w:lang w:bidi="ar-SA"/>
        </w:rPr>
      </w:pPr>
      <w:r w:rsidRPr="004F51D2">
        <w:rPr>
          <w:rFonts w:ascii="Times New Roman" w:eastAsia="Calibri" w:hAnsi="Times New Roman" w:cs="Times New Roman"/>
          <w:spacing w:val="-4"/>
          <w:sz w:val="24"/>
          <w:szCs w:val="24"/>
          <w:lang w:bidi="ar-SA"/>
        </w:rPr>
        <w:t xml:space="preserve">Lopez-Fernandez, O., Williams, A. J., &amp; Kuss, D. J. (2019). Measuring female gaming: gamer profile, predictors, prevalence, and characteristics from psychological and gender perspectives. </w:t>
      </w:r>
      <w:r w:rsidRPr="004F51D2">
        <w:rPr>
          <w:rFonts w:ascii="Times New Roman" w:eastAsia="Calibri" w:hAnsi="Times New Roman" w:cs="Times New Roman"/>
          <w:i/>
          <w:iCs/>
          <w:spacing w:val="-4"/>
          <w:sz w:val="24"/>
          <w:szCs w:val="24"/>
          <w:lang w:bidi="ar-SA"/>
        </w:rPr>
        <w:t xml:space="preserve">Frontiers in </w:t>
      </w:r>
      <w:r w:rsidR="006B37BD" w:rsidRPr="004F51D2">
        <w:rPr>
          <w:rFonts w:ascii="Times New Roman" w:eastAsia="Calibri" w:hAnsi="Times New Roman" w:cs="Times New Roman"/>
          <w:i/>
          <w:iCs/>
          <w:spacing w:val="-4"/>
          <w:sz w:val="24"/>
          <w:szCs w:val="24"/>
          <w:lang w:bidi="ar-SA"/>
        </w:rPr>
        <w:t>Psychology</w:t>
      </w:r>
      <w:r w:rsidRPr="004F51D2">
        <w:rPr>
          <w:rFonts w:ascii="Times New Roman" w:eastAsia="Calibri" w:hAnsi="Times New Roman" w:cs="Times New Roman"/>
          <w:i/>
          <w:iCs/>
          <w:spacing w:val="-4"/>
          <w:sz w:val="24"/>
          <w:szCs w:val="24"/>
          <w:lang w:bidi="ar-SA"/>
        </w:rPr>
        <w:t>, 10</w:t>
      </w:r>
      <w:r w:rsidRPr="004F51D2">
        <w:rPr>
          <w:rFonts w:ascii="Times New Roman" w:eastAsia="Calibri" w:hAnsi="Times New Roman" w:cs="Times New Roman"/>
          <w:spacing w:val="-4"/>
          <w:sz w:val="24"/>
          <w:szCs w:val="24"/>
          <w:lang w:bidi="ar-SA"/>
        </w:rPr>
        <w:t>, 898.</w:t>
      </w:r>
      <w:r w:rsidRPr="004F51D2">
        <w:rPr>
          <w:rFonts w:ascii="Times New Roman" w:hAnsi="Times New Roman" w:cs="Times New Roman"/>
          <w:spacing w:val="-4"/>
          <w:sz w:val="24"/>
          <w:szCs w:val="24"/>
        </w:rPr>
        <w:t xml:space="preserve"> </w:t>
      </w:r>
      <w:hyperlink r:id="rId37" w:history="1">
        <w:r w:rsidRPr="004F51D2">
          <w:rPr>
            <w:rFonts w:ascii="Times New Roman" w:hAnsi="Times New Roman" w:cs="Times New Roman"/>
            <w:spacing w:val="-4"/>
            <w:sz w:val="24"/>
            <w:szCs w:val="24"/>
          </w:rPr>
          <w:t>https://</w:t>
        </w:r>
        <w:r w:rsidRPr="004F51D2">
          <w:rPr>
            <w:rFonts w:ascii="Times New Roman" w:eastAsia="Calibri" w:hAnsi="Times New Roman" w:cs="Times New Roman"/>
            <w:spacing w:val="-4"/>
            <w:sz w:val="24"/>
            <w:szCs w:val="24"/>
            <w:lang w:bidi="ar-SA"/>
          </w:rPr>
          <w:t>doi.org/10.3389/fpsyg.2019.00898</w:t>
        </w:r>
      </w:hyperlink>
      <w:r w:rsidRPr="004F51D2">
        <w:rPr>
          <w:rFonts w:ascii="Times New Roman" w:eastAsia="Calibri" w:hAnsi="Times New Roman" w:cs="Times New Roman"/>
          <w:spacing w:val="-4"/>
          <w:sz w:val="24"/>
          <w:szCs w:val="24"/>
          <w:lang w:bidi="ar-SA"/>
        </w:rPr>
        <w:t>.</w:t>
      </w:r>
    </w:p>
    <w:p w14:paraId="37AA1D18" w14:textId="77777777" w:rsidR="006C4D6C" w:rsidRPr="004F51D2" w:rsidRDefault="00834955" w:rsidP="006C4D6C">
      <w:pPr>
        <w:bidi w:val="0"/>
        <w:spacing w:after="0" w:line="480" w:lineRule="auto"/>
        <w:ind w:left="720" w:hanging="720"/>
        <w:jc w:val="both"/>
        <w:rPr>
          <w:rFonts w:ascii="Times New Roman" w:eastAsia="Calibri" w:hAnsi="Times New Roman" w:cs="Times New Roman"/>
          <w:spacing w:val="-4"/>
          <w:sz w:val="24"/>
          <w:szCs w:val="24"/>
          <w:lang w:bidi="ar-SA"/>
        </w:rPr>
      </w:pPr>
      <w:r w:rsidRPr="004F51D2">
        <w:rPr>
          <w:rFonts w:asciiTheme="majorBidi" w:hAnsiTheme="majorBidi" w:cstheme="majorBidi"/>
          <w:color w:val="222222"/>
          <w:sz w:val="24"/>
          <w:szCs w:val="24"/>
          <w:shd w:val="clear" w:color="auto" w:fill="FFFFFF"/>
        </w:rPr>
        <w:t>Lovibond, P. F., &amp; Lovibond, S. H. (1995). The structure of negative emotional states: Comparison of the Depression Anxiety Stress Scales (DASS) with the Beck Depression and Anxiety Inventories. </w:t>
      </w:r>
      <w:r w:rsidRPr="004F51D2">
        <w:rPr>
          <w:rFonts w:asciiTheme="majorBidi" w:hAnsiTheme="majorBidi" w:cstheme="majorBidi"/>
          <w:i/>
          <w:iCs/>
          <w:color w:val="222222"/>
          <w:sz w:val="24"/>
          <w:szCs w:val="24"/>
          <w:shd w:val="clear" w:color="auto" w:fill="FFFFFF"/>
        </w:rPr>
        <w:t xml:space="preserve">Behaviour </w:t>
      </w:r>
      <w:r w:rsidR="006B37BD" w:rsidRPr="004F51D2">
        <w:rPr>
          <w:rFonts w:asciiTheme="majorBidi" w:hAnsiTheme="majorBidi" w:cstheme="majorBidi"/>
          <w:i/>
          <w:iCs/>
          <w:color w:val="222222"/>
          <w:sz w:val="24"/>
          <w:szCs w:val="24"/>
          <w:shd w:val="clear" w:color="auto" w:fill="FFFFFF"/>
        </w:rPr>
        <w:t xml:space="preserve">Research </w:t>
      </w:r>
      <w:r w:rsidRPr="004F51D2">
        <w:rPr>
          <w:rFonts w:asciiTheme="majorBidi" w:hAnsiTheme="majorBidi" w:cstheme="majorBidi"/>
          <w:i/>
          <w:iCs/>
          <w:color w:val="222222"/>
          <w:sz w:val="24"/>
          <w:szCs w:val="24"/>
          <w:shd w:val="clear" w:color="auto" w:fill="FFFFFF"/>
        </w:rPr>
        <w:t xml:space="preserve">and </w:t>
      </w:r>
      <w:r w:rsidR="006B37BD" w:rsidRPr="004F51D2">
        <w:rPr>
          <w:rFonts w:asciiTheme="majorBidi" w:hAnsiTheme="majorBidi" w:cstheme="majorBidi"/>
          <w:i/>
          <w:iCs/>
          <w:color w:val="222222"/>
          <w:sz w:val="24"/>
          <w:szCs w:val="24"/>
          <w:shd w:val="clear" w:color="auto" w:fill="FFFFFF"/>
        </w:rPr>
        <w:t>Therapy</w:t>
      </w:r>
      <w:r w:rsidRPr="004F51D2">
        <w:rPr>
          <w:rFonts w:asciiTheme="majorBidi" w:hAnsiTheme="majorBidi" w:cstheme="majorBidi"/>
          <w:color w:val="222222"/>
          <w:sz w:val="24"/>
          <w:szCs w:val="24"/>
          <w:shd w:val="clear" w:color="auto" w:fill="FFFFFF"/>
        </w:rPr>
        <w:t>, </w:t>
      </w:r>
      <w:r w:rsidRPr="004F51D2">
        <w:rPr>
          <w:rFonts w:asciiTheme="majorBidi" w:hAnsiTheme="majorBidi" w:cstheme="majorBidi"/>
          <w:i/>
          <w:iCs/>
          <w:color w:val="222222"/>
          <w:sz w:val="24"/>
          <w:szCs w:val="24"/>
          <w:shd w:val="clear" w:color="auto" w:fill="FFFFFF"/>
        </w:rPr>
        <w:t>33</w:t>
      </w:r>
      <w:r w:rsidRPr="004F51D2">
        <w:rPr>
          <w:rFonts w:asciiTheme="majorBidi" w:hAnsiTheme="majorBidi" w:cstheme="majorBidi"/>
          <w:color w:val="222222"/>
          <w:sz w:val="24"/>
          <w:szCs w:val="24"/>
          <w:shd w:val="clear" w:color="auto" w:fill="FFFFFF"/>
        </w:rPr>
        <w:t>, 335-343.</w:t>
      </w:r>
      <w:r w:rsidRPr="004F51D2">
        <w:rPr>
          <w:rFonts w:ascii="Times New Roman" w:eastAsia="Calibri" w:hAnsi="Times New Roman" w:cs="Times New Roman"/>
          <w:spacing w:val="-4"/>
          <w:sz w:val="24"/>
          <w:szCs w:val="24"/>
          <w:lang w:bidi="ar-SA"/>
        </w:rPr>
        <w:t xml:space="preserve"> </w:t>
      </w:r>
      <w:hyperlink r:id="rId38" w:history="1">
        <w:r w:rsidRPr="004F51D2">
          <w:rPr>
            <w:rFonts w:ascii="Times New Roman" w:eastAsia="Calibri" w:hAnsi="Times New Roman" w:cs="Times New Roman"/>
            <w:spacing w:val="-4"/>
            <w:sz w:val="24"/>
            <w:szCs w:val="24"/>
            <w:lang w:bidi="ar-SA"/>
          </w:rPr>
          <w:t>https://doi.org/10.1016/0005-7967(94)00075-u</w:t>
        </w:r>
      </w:hyperlink>
      <w:r w:rsidRPr="004F51D2">
        <w:rPr>
          <w:rFonts w:ascii="Times New Roman" w:eastAsia="Calibri" w:hAnsi="Times New Roman" w:cs="Times New Roman"/>
          <w:spacing w:val="-4"/>
          <w:sz w:val="24"/>
          <w:szCs w:val="24"/>
          <w:lang w:bidi="ar-SA"/>
        </w:rPr>
        <w:t>.</w:t>
      </w:r>
    </w:p>
    <w:p w14:paraId="5BB984E6" w14:textId="79355C70" w:rsidR="006C4D6C" w:rsidRPr="004F51D2" w:rsidRDefault="006C4D6C" w:rsidP="006C4D6C">
      <w:pPr>
        <w:bidi w:val="0"/>
        <w:spacing w:after="0" w:line="480" w:lineRule="auto"/>
        <w:ind w:left="720" w:hanging="720"/>
        <w:jc w:val="both"/>
        <w:rPr>
          <w:rFonts w:ascii="Times New Roman" w:eastAsia="Calibri" w:hAnsi="Times New Roman" w:cs="Times New Roman"/>
          <w:spacing w:val="-4"/>
          <w:sz w:val="24"/>
          <w:szCs w:val="24"/>
          <w:lang w:bidi="ar-SA"/>
        </w:rPr>
      </w:pPr>
      <w:r w:rsidRPr="004F51D2">
        <w:rPr>
          <w:rFonts w:ascii="Times New Roman" w:eastAsia="Calibri" w:hAnsi="Times New Roman" w:cs="Times New Roman"/>
          <w:spacing w:val="-4"/>
          <w:sz w:val="24"/>
          <w:szCs w:val="24"/>
          <w:lang w:bidi="ar-SA"/>
        </w:rPr>
        <w:t xml:space="preserve">Mansueto, G., </w:t>
      </w:r>
      <w:hyperlink r:id="rId39" w:history="1">
        <w:r w:rsidRPr="004F51D2">
          <w:rPr>
            <w:rFonts w:ascii="Times New Roman" w:eastAsia="Calibri" w:hAnsi="Times New Roman" w:cs="Times New Roman"/>
            <w:spacing w:val="-4"/>
            <w:sz w:val="24"/>
            <w:szCs w:val="24"/>
            <w:lang w:bidi="ar-SA"/>
          </w:rPr>
          <w:t>Caselli</w:t>
        </w:r>
      </w:hyperlink>
      <w:r w:rsidRPr="004F51D2">
        <w:rPr>
          <w:rFonts w:ascii="Times New Roman" w:eastAsia="Calibri" w:hAnsi="Times New Roman" w:cs="Times New Roman"/>
          <w:spacing w:val="-4"/>
          <w:sz w:val="24"/>
          <w:szCs w:val="24"/>
          <w:lang w:bidi="ar-SA"/>
        </w:rPr>
        <w:t xml:space="preserve">, G., &amp; Spada, M. M. (2021). Metacognitive Therapy for Alcohol Use Disorder: Theoretical Foundations and Treatment Principles. In D. Frings and I. P. Albery (Eds.). </w:t>
      </w:r>
      <w:r w:rsidRPr="004F51D2">
        <w:rPr>
          <w:rFonts w:ascii="Times New Roman" w:eastAsia="Calibri" w:hAnsi="Times New Roman" w:cs="Times New Roman"/>
          <w:i/>
          <w:iCs/>
          <w:spacing w:val="-4"/>
          <w:sz w:val="24"/>
          <w:szCs w:val="24"/>
          <w:lang w:bidi="ar-SA"/>
        </w:rPr>
        <w:t>The Handbook of Alcohol Use and Abuse: Understandings from Synapse to Society</w:t>
      </w:r>
      <w:r w:rsidRPr="004F51D2">
        <w:rPr>
          <w:rFonts w:ascii="Times New Roman" w:eastAsia="Calibri" w:hAnsi="Times New Roman" w:cs="Times New Roman"/>
          <w:spacing w:val="-4"/>
          <w:sz w:val="24"/>
          <w:szCs w:val="24"/>
          <w:lang w:bidi="ar-SA"/>
        </w:rPr>
        <w:t xml:space="preserve"> (pp. 201-220). Academic Press.</w:t>
      </w:r>
    </w:p>
    <w:p w14:paraId="121B49ED" w14:textId="1D442E86" w:rsidR="006C4D6C" w:rsidRPr="004F51D2" w:rsidRDefault="006C4D6C" w:rsidP="006C4D6C">
      <w:pPr>
        <w:bidi w:val="0"/>
        <w:spacing w:after="0" w:line="480" w:lineRule="auto"/>
        <w:ind w:left="720" w:hanging="720"/>
        <w:jc w:val="both"/>
        <w:rPr>
          <w:rFonts w:ascii="Times New Roman" w:eastAsia="Calibri" w:hAnsi="Times New Roman" w:cs="Times New Roman"/>
          <w:spacing w:val="-4"/>
          <w:sz w:val="24"/>
          <w:szCs w:val="24"/>
          <w:lang w:bidi="ar-SA"/>
        </w:rPr>
      </w:pPr>
      <w:r w:rsidRPr="004F51D2">
        <w:rPr>
          <w:rFonts w:ascii="Times New Roman" w:eastAsia="Times New Roman" w:hAnsi="Times New Roman" w:cs="Times New Roman"/>
          <w:sz w:val="24"/>
          <w:szCs w:val="24"/>
          <w:lang w:bidi="ar-SA"/>
        </w:rPr>
        <w:t xml:space="preserve">Mansueto, G., Martino, F., Palmieri, S., Scaini, S., Ruggiero, G., Sassaroli, S., &amp; Caselli, G. (2019). Desire thinking across addictive behaviours: A systematic review and meta-analysis. </w:t>
      </w:r>
      <w:r w:rsidRPr="004F51D2">
        <w:rPr>
          <w:rFonts w:ascii="Times New Roman" w:eastAsia="Times New Roman" w:hAnsi="Times New Roman" w:cs="Times New Roman"/>
          <w:i/>
          <w:iCs/>
          <w:sz w:val="24"/>
          <w:szCs w:val="24"/>
          <w:lang w:bidi="ar-SA"/>
        </w:rPr>
        <w:t>Addictive behaviors, 98</w:t>
      </w:r>
      <w:r w:rsidRPr="004F51D2">
        <w:rPr>
          <w:rFonts w:ascii="Times New Roman" w:eastAsia="Times New Roman" w:hAnsi="Times New Roman" w:cs="Times New Roman"/>
          <w:sz w:val="24"/>
          <w:szCs w:val="24"/>
          <w:lang w:bidi="ar-SA"/>
        </w:rPr>
        <w:t>, 106018.</w:t>
      </w:r>
    </w:p>
    <w:p w14:paraId="74A29999" w14:textId="2CFE5CA8" w:rsidR="00834955" w:rsidRPr="004F51D2" w:rsidRDefault="00834955" w:rsidP="00834955">
      <w:pPr>
        <w:bidi w:val="0"/>
        <w:spacing w:after="0" w:line="480" w:lineRule="auto"/>
        <w:ind w:left="720" w:hanging="720"/>
        <w:jc w:val="both"/>
        <w:rPr>
          <w:rFonts w:asciiTheme="majorBidi" w:eastAsia="Calibri" w:hAnsiTheme="majorBidi" w:cstheme="majorBidi"/>
          <w:spacing w:val="-4"/>
          <w:sz w:val="32"/>
          <w:szCs w:val="32"/>
          <w:lang w:bidi="ar-SA"/>
        </w:rPr>
      </w:pPr>
      <w:r w:rsidRPr="004F51D2">
        <w:rPr>
          <w:rFonts w:ascii="Times New Roman" w:eastAsia="Calibri" w:hAnsi="Times New Roman" w:cs="Times New Roman"/>
          <w:sz w:val="24"/>
          <w:szCs w:val="24"/>
          <w:lang w:val="en-GB"/>
        </w:rPr>
        <w:t xml:space="preserve">Marino, C., &amp; Spada, M. M. (2017). Dysfunctional Cognitions in Online Gaming and Internet Gaming Disorder: a Narrative Review and New Classification. </w:t>
      </w:r>
      <w:r w:rsidRPr="004F51D2">
        <w:rPr>
          <w:rFonts w:ascii="Times New Roman" w:eastAsia="Calibri" w:hAnsi="Times New Roman" w:cs="Times New Roman"/>
          <w:i/>
          <w:iCs/>
          <w:sz w:val="24"/>
          <w:szCs w:val="24"/>
          <w:lang w:val="en-GB"/>
        </w:rPr>
        <w:t>Current Addiction Reports, 4</w:t>
      </w:r>
      <w:r w:rsidRPr="004F51D2">
        <w:rPr>
          <w:rFonts w:ascii="Times New Roman" w:eastAsia="Calibri" w:hAnsi="Times New Roman" w:cs="Times New Roman"/>
          <w:sz w:val="24"/>
          <w:szCs w:val="24"/>
          <w:lang w:val="en-GB"/>
        </w:rPr>
        <w:t>, 308-316</w:t>
      </w:r>
      <w:r w:rsidRPr="004F51D2">
        <w:rPr>
          <w:rFonts w:ascii="Times New Roman" w:eastAsia="Calibri" w:hAnsi="Times New Roman" w:cs="Times New Roman"/>
          <w:spacing w:val="-4"/>
          <w:sz w:val="24"/>
          <w:szCs w:val="24"/>
          <w:lang w:bidi="ar-SA"/>
        </w:rPr>
        <w:t>.</w:t>
      </w:r>
      <w:r w:rsidR="006B37BD" w:rsidRPr="004F51D2">
        <w:rPr>
          <w:rFonts w:ascii="Times New Roman" w:eastAsia="Calibri" w:hAnsi="Times New Roman" w:cs="Times New Roman"/>
          <w:spacing w:val="-4"/>
          <w:sz w:val="24"/>
          <w:szCs w:val="24"/>
          <w:lang w:bidi="ar-SA"/>
        </w:rPr>
        <w:t xml:space="preserve"> </w:t>
      </w:r>
      <w:hyperlink r:id="rId40" w:history="1">
        <w:r w:rsidR="006B37BD" w:rsidRPr="004F51D2">
          <w:rPr>
            <w:rFonts w:ascii="Times New Roman" w:eastAsia="Calibri" w:hAnsi="Times New Roman" w:cs="Times New Roman"/>
            <w:spacing w:val="-4"/>
            <w:sz w:val="24"/>
            <w:szCs w:val="24"/>
            <w:lang w:bidi="ar-SA"/>
          </w:rPr>
          <w:t>https://doi.org/10.1007/s40429-017-0160-0</w:t>
        </w:r>
      </w:hyperlink>
      <w:r w:rsidR="006B37BD" w:rsidRPr="004F51D2">
        <w:rPr>
          <w:rFonts w:ascii="Times New Roman" w:eastAsia="Calibri" w:hAnsi="Times New Roman" w:cs="Times New Roman"/>
          <w:spacing w:val="-4"/>
          <w:sz w:val="24"/>
          <w:szCs w:val="24"/>
          <w:lang w:bidi="ar-SA"/>
        </w:rPr>
        <w:t>.</w:t>
      </w:r>
    </w:p>
    <w:p w14:paraId="1CEB68C9" w14:textId="35356C94" w:rsidR="00834955" w:rsidRPr="004F51D2" w:rsidRDefault="00834955" w:rsidP="00834955">
      <w:pPr>
        <w:bidi w:val="0"/>
        <w:spacing w:after="0" w:line="480" w:lineRule="auto"/>
        <w:ind w:left="720" w:hanging="720"/>
        <w:jc w:val="both"/>
        <w:rPr>
          <w:rFonts w:asciiTheme="majorBidi" w:eastAsia="Calibri" w:hAnsiTheme="majorBidi" w:cstheme="majorBidi"/>
          <w:spacing w:val="-4"/>
          <w:sz w:val="40"/>
          <w:szCs w:val="40"/>
          <w:lang w:bidi="ar-SA"/>
        </w:rPr>
      </w:pPr>
      <w:r w:rsidRPr="004F51D2">
        <w:rPr>
          <w:rFonts w:asciiTheme="majorBidi" w:hAnsiTheme="majorBidi" w:cstheme="majorBidi"/>
          <w:color w:val="222222"/>
          <w:sz w:val="24"/>
          <w:szCs w:val="24"/>
          <w:shd w:val="clear" w:color="auto" w:fill="FFFFFF"/>
        </w:rPr>
        <w:t>Marino, C., Canale, N., Vieno, A., Caselli, G., Scacchi, L., &amp; Spada, M. M. (2020). Social anxiety and Internet gaming disorder: The role of motives and metacognitions. </w:t>
      </w:r>
      <w:r w:rsidRPr="004F51D2">
        <w:rPr>
          <w:rFonts w:asciiTheme="majorBidi" w:hAnsiTheme="majorBidi" w:cstheme="majorBidi"/>
          <w:i/>
          <w:iCs/>
          <w:color w:val="222222"/>
          <w:sz w:val="24"/>
          <w:szCs w:val="24"/>
          <w:shd w:val="clear" w:color="auto" w:fill="FFFFFF"/>
        </w:rPr>
        <w:t>Journal of Behavioral Addictions</w:t>
      </w:r>
      <w:r w:rsidRPr="004F51D2">
        <w:rPr>
          <w:rFonts w:ascii="Times New Roman" w:eastAsia="Calibri" w:hAnsi="Times New Roman" w:cs="Times New Roman"/>
          <w:i/>
          <w:iCs/>
          <w:sz w:val="24"/>
          <w:szCs w:val="24"/>
          <w:lang w:val="en-GB"/>
        </w:rPr>
        <w:t>, 9</w:t>
      </w:r>
      <w:r w:rsidRPr="004F51D2">
        <w:rPr>
          <w:rFonts w:ascii="Times New Roman" w:eastAsia="Calibri" w:hAnsi="Times New Roman" w:cs="Times New Roman"/>
          <w:sz w:val="24"/>
          <w:szCs w:val="24"/>
          <w:lang w:val="en-GB"/>
        </w:rPr>
        <w:t>, 617-628.</w:t>
      </w:r>
      <w:r w:rsidRPr="004F51D2">
        <w:rPr>
          <w:rFonts w:ascii="Times New Roman" w:hAnsi="Times New Roman" w:cs="Times New Roman"/>
          <w:spacing w:val="-4"/>
          <w:sz w:val="24"/>
          <w:szCs w:val="24"/>
        </w:rPr>
        <w:t xml:space="preserve"> </w:t>
      </w:r>
      <w:hyperlink r:id="rId41" w:history="1">
        <w:r w:rsidRPr="004F51D2">
          <w:rPr>
            <w:rFonts w:ascii="Times New Roman" w:hAnsi="Times New Roman" w:cs="Times New Roman"/>
            <w:spacing w:val="-4"/>
            <w:sz w:val="24"/>
            <w:szCs w:val="24"/>
          </w:rPr>
          <w:t>https://</w:t>
        </w:r>
        <w:r w:rsidRPr="004F51D2">
          <w:rPr>
            <w:rFonts w:ascii="Times New Roman" w:eastAsia="Calibri" w:hAnsi="Times New Roman" w:cs="Times New Roman"/>
            <w:spacing w:val="-4"/>
            <w:sz w:val="24"/>
            <w:szCs w:val="24"/>
            <w:lang w:bidi="ar-SA"/>
          </w:rPr>
          <w:t>doi.org/10.1556/2006.2020.00044</w:t>
        </w:r>
      </w:hyperlink>
      <w:r w:rsidR="006B37BD" w:rsidRPr="004F51D2">
        <w:rPr>
          <w:rFonts w:ascii="Times New Roman" w:eastAsia="Calibri" w:hAnsi="Times New Roman" w:cs="Times New Roman"/>
          <w:spacing w:val="-4"/>
          <w:sz w:val="24"/>
          <w:szCs w:val="24"/>
          <w:lang w:bidi="ar-SA"/>
        </w:rPr>
        <w:t>.</w:t>
      </w:r>
    </w:p>
    <w:p w14:paraId="0E1FB792" w14:textId="77777777" w:rsidR="00834955" w:rsidRPr="004F51D2" w:rsidRDefault="00834955" w:rsidP="00834955">
      <w:pPr>
        <w:bidi w:val="0"/>
        <w:spacing w:after="0" w:line="480" w:lineRule="auto"/>
        <w:ind w:left="720" w:hanging="720"/>
        <w:jc w:val="both"/>
        <w:rPr>
          <w:rFonts w:ascii="Times New Roman" w:eastAsia="Calibri" w:hAnsi="Times New Roman" w:cs="Times New Roman"/>
          <w:spacing w:val="-4"/>
          <w:sz w:val="24"/>
          <w:szCs w:val="24"/>
          <w:lang w:bidi="ar-SA"/>
        </w:rPr>
      </w:pPr>
      <w:r w:rsidRPr="004F51D2">
        <w:rPr>
          <w:rFonts w:asciiTheme="majorBidi" w:hAnsiTheme="majorBidi" w:cstheme="majorBidi"/>
          <w:sz w:val="24"/>
          <w:szCs w:val="24"/>
        </w:rPr>
        <w:t>Milani, L., La Torre, G., Fiore, M., Grumi, S., Gentile, D. A., Ferrante, M., et al. (2018). Internet gaming addiction in adolescence: Risk factors and maladjustment correlates</w:t>
      </w:r>
      <w:r w:rsidRPr="004F51D2">
        <w:rPr>
          <w:rFonts w:asciiTheme="majorBidi" w:hAnsiTheme="majorBidi" w:cstheme="majorBidi"/>
          <w:i/>
          <w:iCs/>
          <w:sz w:val="24"/>
          <w:szCs w:val="24"/>
        </w:rPr>
        <w:t>. International Journal of Mental Health and Addiction, 16</w:t>
      </w:r>
      <w:r w:rsidRPr="004F51D2">
        <w:rPr>
          <w:rFonts w:asciiTheme="majorBidi" w:hAnsiTheme="majorBidi" w:cstheme="majorBidi"/>
          <w:sz w:val="24"/>
          <w:szCs w:val="24"/>
        </w:rPr>
        <w:t>, 888–904.</w:t>
      </w:r>
      <w:r w:rsidRPr="004F51D2">
        <w:rPr>
          <w:rFonts w:ascii="Times New Roman" w:hAnsi="Times New Roman" w:cs="Times New Roman"/>
          <w:color w:val="000000" w:themeColor="text1"/>
          <w:spacing w:val="-4"/>
          <w:sz w:val="24"/>
          <w:szCs w:val="24"/>
        </w:rPr>
        <w:t xml:space="preserve"> </w:t>
      </w:r>
      <w:hyperlink r:id="rId42" w:history="1">
        <w:r w:rsidRPr="004F51D2">
          <w:rPr>
            <w:rFonts w:ascii="Times New Roman" w:hAnsi="Times New Roman" w:cs="Times New Roman"/>
            <w:spacing w:val="-4"/>
            <w:sz w:val="24"/>
            <w:szCs w:val="24"/>
          </w:rPr>
          <w:t>https://</w:t>
        </w:r>
        <w:r w:rsidRPr="004F51D2">
          <w:rPr>
            <w:rFonts w:ascii="Times New Roman" w:eastAsia="Calibri" w:hAnsi="Times New Roman" w:cs="Times New Roman"/>
            <w:spacing w:val="-4"/>
            <w:sz w:val="24"/>
            <w:szCs w:val="24"/>
            <w:lang w:bidi="ar-SA"/>
          </w:rPr>
          <w:t>doi.org/10.1007/s11469-017-9750-2</w:t>
        </w:r>
      </w:hyperlink>
      <w:r w:rsidRPr="004F51D2">
        <w:rPr>
          <w:rFonts w:ascii="Times New Roman" w:eastAsia="Calibri" w:hAnsi="Times New Roman" w:cs="Times New Roman"/>
          <w:spacing w:val="-4"/>
          <w:sz w:val="24"/>
          <w:szCs w:val="24"/>
          <w:lang w:bidi="ar-SA"/>
        </w:rPr>
        <w:t>.</w:t>
      </w:r>
    </w:p>
    <w:p w14:paraId="71D219A1" w14:textId="46252A3D" w:rsidR="00834955" w:rsidRPr="004F51D2" w:rsidRDefault="00834955" w:rsidP="00F36C01">
      <w:pPr>
        <w:bidi w:val="0"/>
        <w:spacing w:after="0" w:line="480" w:lineRule="auto"/>
        <w:ind w:left="720" w:hanging="720"/>
        <w:jc w:val="both"/>
        <w:rPr>
          <w:rFonts w:asciiTheme="majorBidi" w:eastAsia="Calibri" w:hAnsiTheme="majorBidi" w:cstheme="majorBidi"/>
          <w:spacing w:val="-4"/>
          <w:sz w:val="32"/>
          <w:szCs w:val="32"/>
          <w:lang w:bidi="ar-SA"/>
        </w:rPr>
      </w:pPr>
      <w:r w:rsidRPr="004F51D2">
        <w:rPr>
          <w:rFonts w:asciiTheme="majorBidi" w:hAnsiTheme="majorBidi" w:cstheme="majorBidi"/>
          <w:sz w:val="24"/>
          <w:szCs w:val="24"/>
        </w:rPr>
        <w:t xml:space="preserve">Mohammad Zadeh, A., &amp; Najafi, M. (2010). Validating of the Big Five Inventory (BFI- 10): A very brief measure of the five factor personality model. </w:t>
      </w:r>
      <w:r w:rsidRPr="004F51D2">
        <w:rPr>
          <w:rFonts w:asciiTheme="majorBidi" w:hAnsiTheme="majorBidi" w:cstheme="majorBidi"/>
          <w:i/>
          <w:iCs/>
          <w:sz w:val="24"/>
          <w:szCs w:val="24"/>
        </w:rPr>
        <w:t>Quarterly of Educational Measurement, 1</w:t>
      </w:r>
      <w:r w:rsidRPr="004F51D2">
        <w:rPr>
          <w:rFonts w:asciiTheme="majorBidi" w:hAnsiTheme="majorBidi" w:cstheme="majorBidi"/>
          <w:sz w:val="24"/>
          <w:szCs w:val="24"/>
        </w:rPr>
        <w:t>, 117–130.</w:t>
      </w:r>
    </w:p>
    <w:p w14:paraId="242E1B2B" w14:textId="77777777" w:rsidR="00834955" w:rsidRPr="004F51D2" w:rsidRDefault="00834955" w:rsidP="00834955">
      <w:pPr>
        <w:bidi w:val="0"/>
        <w:spacing w:after="0" w:line="480" w:lineRule="auto"/>
        <w:ind w:left="720" w:hanging="720"/>
        <w:jc w:val="both"/>
        <w:rPr>
          <w:rFonts w:asciiTheme="majorBidi" w:eastAsia="Calibri" w:hAnsiTheme="majorBidi" w:cstheme="majorBidi"/>
          <w:spacing w:val="-4"/>
          <w:sz w:val="32"/>
          <w:szCs w:val="32"/>
          <w:lang w:bidi="ar-SA"/>
        </w:rPr>
      </w:pPr>
      <w:r w:rsidRPr="004F51D2">
        <w:rPr>
          <w:rFonts w:ascii="Times New Roman" w:eastAsia="Calibri" w:hAnsi="Times New Roman" w:cs="Times New Roman"/>
          <w:spacing w:val="-4"/>
          <w:sz w:val="24"/>
          <w:szCs w:val="24"/>
          <w:lang w:bidi="ar-SA"/>
        </w:rPr>
        <w:t xml:space="preserve">Moudiab, S., &amp; Spada, M. M. (2019). The relative contribution of motives and maladaptive cognitions to levels of Internet Gaming Disorder. </w:t>
      </w:r>
      <w:r w:rsidRPr="004F51D2">
        <w:rPr>
          <w:rFonts w:ascii="Times New Roman" w:eastAsia="Calibri" w:hAnsi="Times New Roman" w:cs="Times New Roman"/>
          <w:i/>
          <w:iCs/>
          <w:spacing w:val="-4"/>
          <w:sz w:val="24"/>
          <w:szCs w:val="24"/>
          <w:lang w:bidi="ar-SA"/>
        </w:rPr>
        <w:t>Addictive Behaviors Reports, 9</w:t>
      </w:r>
      <w:r w:rsidRPr="004F51D2">
        <w:rPr>
          <w:rFonts w:ascii="Times New Roman" w:eastAsia="Calibri" w:hAnsi="Times New Roman" w:cs="Times New Roman"/>
          <w:spacing w:val="-4"/>
          <w:sz w:val="24"/>
          <w:szCs w:val="24"/>
          <w:lang w:bidi="ar-SA"/>
        </w:rPr>
        <w:t>, 100160.</w:t>
      </w:r>
      <w:r w:rsidRPr="004F51D2">
        <w:rPr>
          <w:rFonts w:ascii="Times New Roman" w:hAnsi="Times New Roman" w:cs="Times New Roman"/>
          <w:spacing w:val="-4"/>
          <w:sz w:val="24"/>
          <w:szCs w:val="24"/>
        </w:rPr>
        <w:t xml:space="preserve"> </w:t>
      </w:r>
      <w:r w:rsidRPr="004F51D2">
        <w:rPr>
          <w:rFonts w:ascii="Times New Roman" w:hAnsi="Times New Roman" w:cs="Times New Roman"/>
          <w:color w:val="000000" w:themeColor="text1"/>
          <w:spacing w:val="-4"/>
          <w:sz w:val="24"/>
          <w:szCs w:val="24"/>
        </w:rPr>
        <w:t>https://</w:t>
      </w:r>
      <w:r w:rsidRPr="004F51D2">
        <w:rPr>
          <w:rFonts w:ascii="Times New Roman" w:eastAsia="Calibri" w:hAnsi="Times New Roman" w:cs="Times New Roman"/>
          <w:spacing w:val="-4"/>
          <w:sz w:val="24"/>
          <w:szCs w:val="24"/>
          <w:lang w:bidi="ar-SA"/>
        </w:rPr>
        <w:t>doi.org/10.1016/j.abrep.2019.100160</w:t>
      </w:r>
    </w:p>
    <w:p w14:paraId="17D506D5" w14:textId="77777777" w:rsidR="00834955" w:rsidRPr="004F51D2" w:rsidRDefault="00834955" w:rsidP="00834955">
      <w:pPr>
        <w:bidi w:val="0"/>
        <w:spacing w:after="0" w:line="480" w:lineRule="auto"/>
        <w:ind w:left="720" w:hanging="720"/>
        <w:jc w:val="both"/>
        <w:rPr>
          <w:rFonts w:ascii="Times New Roman" w:eastAsia="Calibri" w:hAnsi="Times New Roman" w:cs="Times New Roman"/>
          <w:spacing w:val="-4"/>
          <w:sz w:val="24"/>
          <w:szCs w:val="24"/>
          <w:lang w:bidi="ar-SA"/>
        </w:rPr>
      </w:pPr>
      <w:r w:rsidRPr="004F51D2">
        <w:rPr>
          <w:rFonts w:ascii="Times New Roman" w:eastAsia="Calibri" w:hAnsi="Times New Roman" w:cs="Times New Roman"/>
          <w:spacing w:val="-4"/>
          <w:sz w:val="24"/>
          <w:szCs w:val="24"/>
          <w:lang w:bidi="ar-SA"/>
        </w:rPr>
        <w:t>Müller, K. W., Beutel, M. E., Dreier, M., &amp; Wölfling, K. (2019). A clinical evaluation of the DSM-5 criteria for Internet Gaming Disorder and a pilot study on their applicability to further Internet-related disorders</w:t>
      </w:r>
      <w:r w:rsidRPr="004F51D2">
        <w:rPr>
          <w:rFonts w:ascii="Times New Roman" w:eastAsia="Calibri" w:hAnsi="Times New Roman" w:cs="Times New Roman"/>
          <w:i/>
          <w:iCs/>
          <w:spacing w:val="-4"/>
          <w:sz w:val="24"/>
          <w:szCs w:val="24"/>
          <w:lang w:bidi="ar-SA"/>
        </w:rPr>
        <w:t>. Journal of Behavioral Addictions, 8</w:t>
      </w:r>
      <w:r w:rsidRPr="004F51D2">
        <w:rPr>
          <w:rFonts w:ascii="Times New Roman" w:eastAsia="Calibri" w:hAnsi="Times New Roman" w:cs="Times New Roman"/>
          <w:spacing w:val="-4"/>
          <w:sz w:val="24"/>
          <w:szCs w:val="24"/>
          <w:lang w:bidi="ar-SA"/>
        </w:rPr>
        <w:t>, 16-24.</w:t>
      </w:r>
      <w:r w:rsidRPr="004F51D2">
        <w:rPr>
          <w:rFonts w:ascii="Times New Roman" w:hAnsi="Times New Roman" w:cs="Times New Roman"/>
          <w:color w:val="000000" w:themeColor="text1"/>
          <w:spacing w:val="-4"/>
          <w:sz w:val="24"/>
          <w:szCs w:val="24"/>
        </w:rPr>
        <w:t xml:space="preserve"> https://</w:t>
      </w:r>
      <w:r w:rsidRPr="004F51D2">
        <w:rPr>
          <w:rFonts w:ascii="Times New Roman" w:hAnsi="Times New Roman" w:cs="Times New Roman"/>
          <w:spacing w:val="-4"/>
          <w:sz w:val="24"/>
          <w:szCs w:val="24"/>
        </w:rPr>
        <w:t xml:space="preserve"> </w:t>
      </w:r>
      <w:r w:rsidRPr="004F51D2">
        <w:rPr>
          <w:rFonts w:ascii="Times New Roman" w:eastAsia="Calibri" w:hAnsi="Times New Roman" w:cs="Times New Roman"/>
          <w:spacing w:val="-4"/>
          <w:sz w:val="24"/>
          <w:szCs w:val="24"/>
          <w:lang w:bidi="ar-SA"/>
        </w:rPr>
        <w:t>doi.org/10.1556/2006.7.2018.140.</w:t>
      </w:r>
    </w:p>
    <w:p w14:paraId="6273D46C" w14:textId="77777777" w:rsidR="00834955" w:rsidRPr="004F51D2" w:rsidRDefault="00834955" w:rsidP="00834955">
      <w:pPr>
        <w:bidi w:val="0"/>
        <w:spacing w:after="0" w:line="480" w:lineRule="auto"/>
        <w:ind w:left="720" w:hanging="720"/>
        <w:jc w:val="both"/>
        <w:rPr>
          <w:rFonts w:ascii="Times New Roman" w:eastAsia="Calibri" w:hAnsi="Times New Roman" w:cs="Times New Roman"/>
          <w:spacing w:val="-4"/>
          <w:sz w:val="24"/>
          <w:szCs w:val="24"/>
          <w:lang w:bidi="ar-SA"/>
        </w:rPr>
      </w:pPr>
      <w:r w:rsidRPr="004F51D2">
        <w:rPr>
          <w:rFonts w:ascii="Times New Roman" w:eastAsia="Calibri" w:hAnsi="Times New Roman" w:cs="Times New Roman"/>
          <w:color w:val="000000" w:themeColor="text1"/>
          <w:sz w:val="24"/>
          <w:szCs w:val="24"/>
        </w:rPr>
        <w:t xml:space="preserve">Muñiz, J. (2009). The role of EFPA in setting standards for tests and test use.  </w:t>
      </w:r>
      <w:r w:rsidRPr="004F51D2">
        <w:rPr>
          <w:rFonts w:ascii="Times New Roman" w:eastAsia="Calibri" w:hAnsi="Times New Roman" w:cs="Times New Roman"/>
          <w:i/>
          <w:iCs/>
          <w:color w:val="000000" w:themeColor="text1"/>
          <w:sz w:val="24"/>
          <w:szCs w:val="24"/>
        </w:rPr>
        <w:t>Paper presented at the 11th European Congress of Psychology</w:t>
      </w:r>
      <w:r w:rsidRPr="004F51D2">
        <w:rPr>
          <w:rFonts w:ascii="Times New Roman" w:eastAsia="Calibri" w:hAnsi="Times New Roman" w:cs="Times New Roman"/>
          <w:color w:val="000000" w:themeColor="text1"/>
          <w:sz w:val="24"/>
          <w:szCs w:val="24"/>
        </w:rPr>
        <w:t>, Oslo (2009, July). Retrieved June 3, 2012.</w:t>
      </w:r>
    </w:p>
    <w:p w14:paraId="10A9122C" w14:textId="0192D8E6" w:rsidR="00834955" w:rsidRPr="004F51D2" w:rsidRDefault="00834955" w:rsidP="000238DC">
      <w:pPr>
        <w:bidi w:val="0"/>
        <w:spacing w:after="0" w:line="480" w:lineRule="auto"/>
        <w:ind w:left="720" w:hanging="720"/>
        <w:jc w:val="both"/>
        <w:rPr>
          <w:rFonts w:ascii="Times New Roman" w:eastAsia="Calibri" w:hAnsi="Times New Roman" w:cs="Times New Roman"/>
          <w:spacing w:val="-4"/>
          <w:sz w:val="24"/>
          <w:szCs w:val="24"/>
          <w:lang w:bidi="ar-SA"/>
        </w:rPr>
      </w:pPr>
      <w:r w:rsidRPr="004F51D2">
        <w:rPr>
          <w:rFonts w:ascii="Times New Roman" w:eastAsia="Calibri" w:hAnsi="Times New Roman" w:cs="Times New Roman"/>
          <w:spacing w:val="-4"/>
          <w:sz w:val="24"/>
          <w:szCs w:val="24"/>
          <w:lang w:bidi="ar-SA"/>
        </w:rPr>
        <w:t>National poll on children's health (2020)</w:t>
      </w:r>
      <w:r w:rsidR="000238DC" w:rsidRPr="004F51D2">
        <w:rPr>
          <w:rFonts w:ascii="Times New Roman" w:eastAsia="Calibri" w:hAnsi="Times New Roman" w:cs="Times New Roman"/>
          <w:spacing w:val="-4"/>
          <w:sz w:val="24"/>
          <w:szCs w:val="24"/>
          <w:lang w:bidi="ar-SA"/>
        </w:rPr>
        <w:t>.</w:t>
      </w:r>
      <w:r w:rsidRPr="004F51D2">
        <w:rPr>
          <w:rFonts w:ascii="Times New Roman" w:eastAsia="Calibri" w:hAnsi="Times New Roman" w:cs="Times New Roman"/>
          <w:spacing w:val="-4"/>
          <w:sz w:val="24"/>
          <w:szCs w:val="24"/>
          <w:lang w:bidi="ar-SA"/>
        </w:rPr>
        <w:t xml:space="preserve"> </w:t>
      </w:r>
      <w:hyperlink r:id="rId43" w:history="1">
        <w:r w:rsidRPr="004F51D2">
          <w:rPr>
            <w:rFonts w:ascii="Times New Roman" w:eastAsia="Calibri" w:hAnsi="Times New Roman" w:cs="Times New Roman"/>
            <w:color w:val="0000FF"/>
            <w:spacing w:val="-4"/>
            <w:sz w:val="24"/>
            <w:szCs w:val="24"/>
            <w:u w:val="single"/>
            <w:lang w:bidi="ar-SA"/>
          </w:rPr>
          <w:t>http://www.mottpoll.org</w:t>
        </w:r>
      </w:hyperlink>
      <w:r w:rsidRPr="004F51D2">
        <w:rPr>
          <w:rFonts w:ascii="Times New Roman" w:eastAsia="Calibri" w:hAnsi="Times New Roman" w:cs="Times New Roman"/>
          <w:spacing w:val="-4"/>
          <w:sz w:val="24"/>
          <w:szCs w:val="24"/>
          <w:lang w:bidi="ar-SA"/>
        </w:rPr>
        <w:t>.</w:t>
      </w:r>
    </w:p>
    <w:p w14:paraId="412ADAC8" w14:textId="77777777" w:rsidR="00834955" w:rsidRPr="004F51D2" w:rsidRDefault="00834955" w:rsidP="00834955">
      <w:pPr>
        <w:bidi w:val="0"/>
        <w:spacing w:after="0" w:line="480" w:lineRule="auto"/>
        <w:ind w:left="720" w:hanging="720"/>
        <w:jc w:val="both"/>
        <w:rPr>
          <w:rFonts w:ascii="Times New Roman" w:hAnsi="Times New Roman" w:cs="Times New Roman"/>
          <w:sz w:val="24"/>
          <w:szCs w:val="24"/>
        </w:rPr>
      </w:pPr>
      <w:r w:rsidRPr="004F51D2">
        <w:rPr>
          <w:rFonts w:ascii="Times New Roman" w:hAnsi="Times New Roman" w:cs="Times New Roman"/>
          <w:sz w:val="24"/>
          <w:szCs w:val="24"/>
          <w:lang w:val="it-IT"/>
        </w:rPr>
        <w:t>Nikčević, A. V., Alma, L., Marino, C., Kolubinski, D., Yılmaz-Samancı, A. E., Caselli, G. &amp; Spada, M. M. (2017). Mod</w:t>
      </w:r>
      <w:r w:rsidRPr="004F51D2">
        <w:rPr>
          <w:rFonts w:ascii="Times New Roman" w:hAnsi="Times New Roman" w:cs="Times New Roman"/>
          <w:sz w:val="24"/>
          <w:szCs w:val="24"/>
        </w:rPr>
        <w:t xml:space="preserve">elling the contribution of negative affect, outcome expectancies and metacognitions to cigarette use and nicotine dependence. </w:t>
      </w:r>
      <w:r w:rsidRPr="004F51D2">
        <w:rPr>
          <w:rFonts w:ascii="Times New Roman" w:hAnsi="Times New Roman" w:cs="Times New Roman"/>
          <w:i/>
          <w:sz w:val="24"/>
          <w:szCs w:val="24"/>
        </w:rPr>
        <w:t>Addictive Behaviors, 74</w:t>
      </w:r>
      <w:r w:rsidRPr="004F51D2">
        <w:rPr>
          <w:rFonts w:ascii="Times New Roman" w:hAnsi="Times New Roman" w:cs="Times New Roman"/>
          <w:sz w:val="24"/>
          <w:szCs w:val="24"/>
        </w:rPr>
        <w:t xml:space="preserve">, 82-89. </w:t>
      </w:r>
      <w:hyperlink r:id="rId44" w:history="1">
        <w:r w:rsidRPr="004F51D2">
          <w:rPr>
            <w:rFonts w:ascii="Times New Roman" w:hAnsi="Times New Roman" w:cs="Times New Roman"/>
            <w:sz w:val="24"/>
            <w:szCs w:val="24"/>
          </w:rPr>
          <w:t>https://doi.org/10.1016/j.addbeh.2017.06.002</w:t>
        </w:r>
      </w:hyperlink>
      <w:r w:rsidRPr="004F51D2">
        <w:rPr>
          <w:rFonts w:ascii="Times New Roman" w:hAnsi="Times New Roman" w:cs="Times New Roman"/>
          <w:sz w:val="24"/>
          <w:szCs w:val="24"/>
        </w:rPr>
        <w:t>.</w:t>
      </w:r>
    </w:p>
    <w:p w14:paraId="2417F85C" w14:textId="77777777" w:rsidR="00834955" w:rsidRPr="004F51D2" w:rsidRDefault="00834955" w:rsidP="00834955">
      <w:pPr>
        <w:bidi w:val="0"/>
        <w:spacing w:after="0" w:line="480" w:lineRule="auto"/>
        <w:ind w:left="720" w:hanging="720"/>
        <w:jc w:val="both"/>
        <w:rPr>
          <w:rFonts w:ascii="Times New Roman" w:eastAsia="Calibri" w:hAnsi="Times New Roman" w:cs="Times New Roman"/>
          <w:spacing w:val="-4"/>
          <w:sz w:val="24"/>
          <w:szCs w:val="24"/>
          <w:lang w:bidi="ar-SA"/>
        </w:rPr>
      </w:pPr>
      <w:r w:rsidRPr="004F51D2">
        <w:rPr>
          <w:rFonts w:ascii="Times New Roman" w:eastAsia="Calibri" w:hAnsi="Times New Roman" w:cs="Times New Roman"/>
          <w:spacing w:val="-4"/>
          <w:sz w:val="24"/>
          <w:szCs w:val="24"/>
          <w:lang w:bidi="ar-SA"/>
        </w:rPr>
        <w:t>Rammstedt, B., &amp; John, O. P. (2007). Measuring personality in one minute or less: A 10-item short version of the Big Five Inventory in English and German. </w:t>
      </w:r>
      <w:r w:rsidRPr="004F51D2">
        <w:rPr>
          <w:rFonts w:ascii="Times New Roman" w:eastAsia="Calibri" w:hAnsi="Times New Roman" w:cs="Times New Roman"/>
          <w:i/>
          <w:iCs/>
          <w:spacing w:val="-4"/>
          <w:sz w:val="24"/>
          <w:szCs w:val="24"/>
          <w:lang w:bidi="ar-SA"/>
        </w:rPr>
        <w:t>Journal of Research in Personality</w:t>
      </w:r>
      <w:r w:rsidRPr="004F51D2">
        <w:rPr>
          <w:rFonts w:ascii="Times New Roman" w:eastAsia="Calibri" w:hAnsi="Times New Roman" w:cs="Times New Roman"/>
          <w:spacing w:val="-4"/>
          <w:sz w:val="24"/>
          <w:szCs w:val="24"/>
          <w:lang w:bidi="ar-SA"/>
        </w:rPr>
        <w:t>, </w:t>
      </w:r>
      <w:r w:rsidRPr="004F51D2">
        <w:rPr>
          <w:rFonts w:ascii="Times New Roman" w:eastAsia="Calibri" w:hAnsi="Times New Roman" w:cs="Times New Roman"/>
          <w:i/>
          <w:iCs/>
          <w:spacing w:val="-4"/>
          <w:sz w:val="24"/>
          <w:szCs w:val="24"/>
          <w:lang w:bidi="ar-SA"/>
        </w:rPr>
        <w:t>41</w:t>
      </w:r>
      <w:r w:rsidRPr="004F51D2">
        <w:rPr>
          <w:rFonts w:ascii="Times New Roman" w:eastAsia="Calibri" w:hAnsi="Times New Roman" w:cs="Times New Roman"/>
          <w:spacing w:val="-4"/>
          <w:sz w:val="24"/>
          <w:szCs w:val="24"/>
          <w:lang w:bidi="ar-SA"/>
        </w:rPr>
        <w:t>, 203-212.</w:t>
      </w:r>
      <w:r w:rsidRPr="004F51D2">
        <w:rPr>
          <w:rFonts w:ascii="Times New Roman" w:hAnsi="Times New Roman" w:cs="Times New Roman"/>
          <w:spacing w:val="-4"/>
          <w:sz w:val="24"/>
          <w:szCs w:val="24"/>
        </w:rPr>
        <w:t xml:space="preserve"> </w:t>
      </w:r>
      <w:hyperlink r:id="rId45" w:history="1">
        <w:r w:rsidRPr="004F51D2">
          <w:rPr>
            <w:rFonts w:ascii="Times New Roman" w:hAnsi="Times New Roman" w:cs="Times New Roman"/>
            <w:spacing w:val="-4"/>
            <w:sz w:val="24"/>
            <w:szCs w:val="24"/>
          </w:rPr>
          <w:t>https://</w:t>
        </w:r>
        <w:r w:rsidRPr="004F51D2">
          <w:rPr>
            <w:rFonts w:ascii="Times New Roman" w:eastAsia="Calibri" w:hAnsi="Times New Roman" w:cs="Times New Roman"/>
            <w:spacing w:val="-4"/>
            <w:sz w:val="24"/>
            <w:szCs w:val="24"/>
            <w:lang w:bidi="ar-SA"/>
          </w:rPr>
          <w:t>doi.org/10.1016/j.jrp.2006.02.001</w:t>
        </w:r>
      </w:hyperlink>
      <w:r w:rsidRPr="004F51D2">
        <w:rPr>
          <w:rFonts w:ascii="Times New Roman" w:eastAsia="Calibri" w:hAnsi="Times New Roman" w:cs="Times New Roman"/>
          <w:spacing w:val="-4"/>
          <w:sz w:val="24"/>
          <w:szCs w:val="24"/>
          <w:lang w:bidi="ar-SA"/>
        </w:rPr>
        <w:t>.</w:t>
      </w:r>
    </w:p>
    <w:p w14:paraId="469FA2C2" w14:textId="77777777" w:rsidR="00834955" w:rsidRPr="004F51D2" w:rsidRDefault="00834955" w:rsidP="00834955">
      <w:pPr>
        <w:bidi w:val="0"/>
        <w:spacing w:after="0" w:line="480" w:lineRule="auto"/>
        <w:ind w:left="720" w:hanging="720"/>
        <w:jc w:val="both"/>
        <w:rPr>
          <w:rFonts w:asciiTheme="majorBidi" w:eastAsia="Calibri" w:hAnsiTheme="majorBidi" w:cstheme="majorBidi"/>
          <w:spacing w:val="-4"/>
          <w:sz w:val="28"/>
          <w:szCs w:val="28"/>
          <w:lang w:bidi="ar-SA"/>
        </w:rPr>
      </w:pPr>
      <w:r w:rsidRPr="004F51D2">
        <w:rPr>
          <w:rFonts w:asciiTheme="majorBidi" w:hAnsiTheme="majorBidi" w:cstheme="majorBidi"/>
          <w:sz w:val="24"/>
          <w:szCs w:val="24"/>
        </w:rPr>
        <w:t xml:space="preserve">Şalvarlı, Ş. I., &amp; Griffiths, M. D. (2019). Internet gaming disorder and its associated personality traits: A systematic review using PRISMA guideline. </w:t>
      </w:r>
      <w:r w:rsidRPr="004F51D2">
        <w:rPr>
          <w:rFonts w:asciiTheme="majorBidi" w:hAnsiTheme="majorBidi" w:cstheme="majorBidi"/>
          <w:i/>
          <w:iCs/>
          <w:sz w:val="24"/>
          <w:szCs w:val="24"/>
        </w:rPr>
        <w:t>International Journal of Mental Health and Addiction</w:t>
      </w:r>
      <w:r w:rsidRPr="004F51D2">
        <w:rPr>
          <w:rFonts w:asciiTheme="majorBidi" w:hAnsiTheme="majorBidi" w:cstheme="majorBidi"/>
          <w:sz w:val="24"/>
          <w:szCs w:val="24"/>
        </w:rPr>
        <w:t xml:space="preserve">, 1–23. </w:t>
      </w:r>
      <w:hyperlink r:id="rId46" w:history="1">
        <w:r w:rsidRPr="004F51D2">
          <w:rPr>
            <w:rFonts w:asciiTheme="majorBidi" w:hAnsiTheme="majorBidi" w:cstheme="majorBidi"/>
            <w:sz w:val="24"/>
            <w:szCs w:val="24"/>
          </w:rPr>
          <w:t>https://doi.org/10.1007/s11469-019-00081-6</w:t>
        </w:r>
      </w:hyperlink>
      <w:r w:rsidRPr="004F51D2">
        <w:rPr>
          <w:rFonts w:asciiTheme="majorBidi" w:hAnsiTheme="majorBidi" w:cstheme="majorBidi"/>
          <w:sz w:val="24"/>
          <w:szCs w:val="24"/>
        </w:rPr>
        <w:t>.</w:t>
      </w:r>
    </w:p>
    <w:p w14:paraId="7533D54C" w14:textId="77777777" w:rsidR="00834955" w:rsidRPr="004F51D2" w:rsidRDefault="00834955" w:rsidP="00834955">
      <w:pPr>
        <w:bidi w:val="0"/>
        <w:spacing w:after="0" w:line="480" w:lineRule="auto"/>
        <w:ind w:left="720" w:hanging="720"/>
        <w:jc w:val="both"/>
        <w:rPr>
          <w:rFonts w:ascii="Times New Roman" w:eastAsia="Calibri" w:hAnsi="Times New Roman" w:cs="Times New Roman"/>
          <w:spacing w:val="-4"/>
          <w:sz w:val="24"/>
          <w:szCs w:val="24"/>
          <w:lang w:bidi="ar-SA"/>
        </w:rPr>
      </w:pPr>
      <w:r w:rsidRPr="004F51D2">
        <w:rPr>
          <w:rFonts w:ascii="Times New Roman" w:eastAsia="Calibri" w:hAnsi="Times New Roman" w:cs="Times New Roman"/>
          <w:spacing w:val="-4"/>
          <w:sz w:val="24"/>
          <w:szCs w:val="24"/>
          <w:lang w:bidi="ar-SA"/>
        </w:rPr>
        <w:t xml:space="preserve">Samani, S., &amp; Jokar, b. (2007). Evaluation of the validity of the short scale of depression, anxiety and stress. </w:t>
      </w:r>
      <w:r w:rsidRPr="004F51D2">
        <w:rPr>
          <w:rFonts w:ascii="Times New Roman" w:eastAsia="Calibri" w:hAnsi="Times New Roman" w:cs="Times New Roman"/>
          <w:i/>
          <w:iCs/>
          <w:spacing w:val="-4"/>
          <w:sz w:val="24"/>
          <w:szCs w:val="24"/>
          <w:lang w:bidi="ar-SA"/>
        </w:rPr>
        <w:t>Social Sciences and Humanities of Shiraz University, 26</w:t>
      </w:r>
      <w:r w:rsidRPr="004F51D2">
        <w:rPr>
          <w:rFonts w:ascii="Times New Roman" w:eastAsia="Calibri" w:hAnsi="Times New Roman" w:cs="Times New Roman"/>
          <w:spacing w:val="-4"/>
          <w:sz w:val="24"/>
          <w:szCs w:val="24"/>
          <w:lang w:bidi="ar-SA"/>
        </w:rPr>
        <w:t>, 65-77.</w:t>
      </w:r>
    </w:p>
    <w:p w14:paraId="608AC93B" w14:textId="77777777" w:rsidR="00834955" w:rsidRPr="004F51D2" w:rsidRDefault="00834955" w:rsidP="00834955">
      <w:pPr>
        <w:bidi w:val="0"/>
        <w:spacing w:after="0" w:line="480" w:lineRule="auto"/>
        <w:ind w:left="720" w:hanging="720"/>
        <w:jc w:val="both"/>
        <w:rPr>
          <w:rFonts w:ascii="Times New Roman" w:eastAsia="Calibri" w:hAnsi="Times New Roman" w:cs="Times New Roman"/>
          <w:spacing w:val="-4"/>
          <w:sz w:val="24"/>
          <w:szCs w:val="24"/>
          <w:lang w:bidi="ar-SA"/>
        </w:rPr>
      </w:pPr>
      <w:r w:rsidRPr="004F51D2">
        <w:rPr>
          <w:rFonts w:ascii="Times New Roman" w:eastAsia="Calibri" w:hAnsi="Times New Roman" w:cs="Times New Roman"/>
          <w:spacing w:val="-4"/>
          <w:sz w:val="24"/>
          <w:szCs w:val="24"/>
          <w:lang w:bidi="ar-SA"/>
        </w:rPr>
        <w:t xml:space="preserve">Shadloo, B., Farnam, R., Amin-Esmaeili, M., Hamzehzadeh, M., Rafiemanesh, H., Jobehdar, M. M., &amp; Rahimi-Movaghar, A. (2017). Inclusion of gaming disorder in the diagnostic classifications and promotion of public health response: Commentary to the “Scholars’ open debate paper on the World Health Organization ICD-11 Gaming Disorder proposal”: A perspective from Iran. </w:t>
      </w:r>
      <w:r w:rsidRPr="004F51D2">
        <w:rPr>
          <w:rFonts w:ascii="Times New Roman" w:eastAsia="Calibri" w:hAnsi="Times New Roman" w:cs="Times New Roman"/>
          <w:i/>
          <w:iCs/>
          <w:spacing w:val="-4"/>
          <w:sz w:val="24"/>
          <w:szCs w:val="24"/>
          <w:lang w:bidi="ar-SA"/>
        </w:rPr>
        <w:t>Journal of Behavioral Addictions, 6</w:t>
      </w:r>
      <w:r w:rsidRPr="004F51D2">
        <w:rPr>
          <w:rFonts w:ascii="Times New Roman" w:eastAsia="Calibri" w:hAnsi="Times New Roman" w:cs="Times New Roman"/>
          <w:spacing w:val="-4"/>
          <w:sz w:val="24"/>
          <w:szCs w:val="24"/>
          <w:lang w:bidi="ar-SA"/>
        </w:rPr>
        <w:t>, 310-312.</w:t>
      </w:r>
      <w:r w:rsidRPr="004F51D2">
        <w:rPr>
          <w:rFonts w:ascii="Times New Roman" w:hAnsi="Times New Roman" w:cs="Times New Roman"/>
          <w:color w:val="000000" w:themeColor="text1"/>
          <w:spacing w:val="-4"/>
          <w:sz w:val="24"/>
          <w:szCs w:val="24"/>
        </w:rPr>
        <w:t xml:space="preserve"> https://</w:t>
      </w:r>
      <w:r w:rsidRPr="004F51D2">
        <w:rPr>
          <w:rFonts w:ascii="Times New Roman" w:hAnsi="Times New Roman" w:cs="Times New Roman"/>
          <w:spacing w:val="-4"/>
          <w:sz w:val="24"/>
          <w:szCs w:val="24"/>
        </w:rPr>
        <w:t xml:space="preserve"> </w:t>
      </w:r>
      <w:r w:rsidRPr="004F51D2">
        <w:rPr>
          <w:rFonts w:ascii="Times New Roman" w:eastAsia="Calibri" w:hAnsi="Times New Roman" w:cs="Times New Roman"/>
          <w:spacing w:val="-4"/>
          <w:sz w:val="24"/>
          <w:szCs w:val="24"/>
          <w:lang w:bidi="ar-SA"/>
        </w:rPr>
        <w:t>doi.org/10.1556/2006.6.2017.048.</w:t>
      </w:r>
    </w:p>
    <w:p w14:paraId="4756C9C1" w14:textId="77777777" w:rsidR="00834955" w:rsidRPr="004F51D2" w:rsidRDefault="00834955" w:rsidP="00834955">
      <w:pPr>
        <w:bidi w:val="0"/>
        <w:spacing w:after="0" w:line="480" w:lineRule="auto"/>
        <w:ind w:left="720" w:hanging="720"/>
        <w:jc w:val="both"/>
        <w:rPr>
          <w:rFonts w:ascii="Times New Roman" w:eastAsia="Calibri" w:hAnsi="Times New Roman" w:cs="Times New Roman"/>
          <w:spacing w:val="-4"/>
          <w:sz w:val="24"/>
          <w:szCs w:val="24"/>
          <w:lang w:bidi="ar-SA"/>
        </w:rPr>
      </w:pPr>
      <w:r w:rsidRPr="004F51D2">
        <w:rPr>
          <w:rFonts w:ascii="Times New Roman" w:eastAsia="Calibri" w:hAnsi="Times New Roman" w:cs="Times New Roman"/>
          <w:spacing w:val="-4"/>
          <w:sz w:val="24"/>
          <w:szCs w:val="24"/>
          <w:lang w:bidi="ar-SA"/>
        </w:rPr>
        <w:t xml:space="preserve">Spada, M. M., &amp; Caselli, G. (2017). The metacognitions about online gaming scale: Development and psychometric properties. </w:t>
      </w:r>
      <w:r w:rsidRPr="004F51D2">
        <w:rPr>
          <w:rFonts w:ascii="Times New Roman" w:eastAsia="Calibri" w:hAnsi="Times New Roman" w:cs="Times New Roman"/>
          <w:i/>
          <w:iCs/>
          <w:spacing w:val="-4"/>
          <w:sz w:val="24"/>
          <w:szCs w:val="24"/>
          <w:lang w:bidi="ar-SA"/>
        </w:rPr>
        <w:t>Addictive Behaviors, 64</w:t>
      </w:r>
      <w:r w:rsidRPr="004F51D2">
        <w:rPr>
          <w:rFonts w:ascii="Times New Roman" w:eastAsia="Calibri" w:hAnsi="Times New Roman" w:cs="Times New Roman"/>
          <w:spacing w:val="-4"/>
          <w:sz w:val="24"/>
          <w:szCs w:val="24"/>
          <w:lang w:bidi="ar-SA"/>
        </w:rPr>
        <w:t>, 281-286.</w:t>
      </w:r>
      <w:r w:rsidRPr="004F51D2">
        <w:rPr>
          <w:rFonts w:ascii="Times New Roman" w:hAnsi="Times New Roman" w:cs="Times New Roman"/>
          <w:spacing w:val="-4"/>
          <w:sz w:val="24"/>
          <w:szCs w:val="24"/>
        </w:rPr>
        <w:t xml:space="preserve"> </w:t>
      </w:r>
      <w:r w:rsidRPr="004F51D2">
        <w:rPr>
          <w:rFonts w:ascii="Times New Roman" w:eastAsia="Calibri" w:hAnsi="Times New Roman" w:cs="Times New Roman"/>
          <w:spacing w:val="-4"/>
          <w:sz w:val="24"/>
          <w:szCs w:val="24"/>
          <w:lang w:bidi="ar-SA"/>
        </w:rPr>
        <w:t>doi.org/10.1016/j.addbeh.2015.07.007.</w:t>
      </w:r>
    </w:p>
    <w:p w14:paraId="6786CB7A" w14:textId="77777777" w:rsidR="00834955" w:rsidRPr="004F51D2" w:rsidRDefault="00834955" w:rsidP="00834955">
      <w:pPr>
        <w:bidi w:val="0"/>
        <w:spacing w:after="0" w:line="480" w:lineRule="auto"/>
        <w:ind w:left="720" w:hanging="720"/>
        <w:jc w:val="both"/>
        <w:rPr>
          <w:rFonts w:ascii="Times New Roman" w:eastAsia="Calibri" w:hAnsi="Times New Roman" w:cs="Times New Roman"/>
          <w:spacing w:val="-4"/>
          <w:sz w:val="24"/>
          <w:szCs w:val="24"/>
          <w:lang w:bidi="ar-SA"/>
        </w:rPr>
      </w:pPr>
      <w:r w:rsidRPr="004F51D2">
        <w:rPr>
          <w:rFonts w:ascii="Times New Roman" w:eastAsia="Calibri" w:hAnsi="Times New Roman" w:cs="Times New Roman"/>
          <w:spacing w:val="-4"/>
          <w:sz w:val="24"/>
          <w:szCs w:val="24"/>
          <w:lang w:bidi="ar-SA"/>
        </w:rPr>
        <w:t xml:space="preserve">Spada, M. M., Caselli, G., Nikčević, A. V., &amp; Wells, A. (2015). Metacognition in addictive behaviors. </w:t>
      </w:r>
      <w:r w:rsidRPr="004F51D2">
        <w:rPr>
          <w:rFonts w:ascii="Times New Roman" w:eastAsia="Calibri" w:hAnsi="Times New Roman" w:cs="Times New Roman"/>
          <w:i/>
          <w:iCs/>
          <w:spacing w:val="-4"/>
          <w:sz w:val="24"/>
          <w:szCs w:val="24"/>
          <w:lang w:bidi="ar-SA"/>
        </w:rPr>
        <w:t>Addictive Behaviors, 44</w:t>
      </w:r>
      <w:r w:rsidRPr="004F51D2">
        <w:rPr>
          <w:rFonts w:ascii="Times New Roman" w:eastAsia="Calibri" w:hAnsi="Times New Roman" w:cs="Times New Roman"/>
          <w:spacing w:val="-4"/>
          <w:sz w:val="24"/>
          <w:szCs w:val="24"/>
          <w:lang w:bidi="ar-SA"/>
        </w:rPr>
        <w:t>, 9-15.</w:t>
      </w:r>
      <w:r w:rsidRPr="004F51D2">
        <w:rPr>
          <w:rFonts w:ascii="Times New Roman" w:hAnsi="Times New Roman" w:cs="Times New Roman"/>
          <w:spacing w:val="-4"/>
          <w:sz w:val="24"/>
          <w:szCs w:val="24"/>
        </w:rPr>
        <w:t xml:space="preserve"> </w:t>
      </w:r>
      <w:hyperlink r:id="rId47" w:history="1">
        <w:r w:rsidRPr="004F51D2">
          <w:rPr>
            <w:rFonts w:ascii="Times New Roman" w:hAnsi="Times New Roman" w:cs="Times New Roman"/>
            <w:spacing w:val="-4"/>
            <w:sz w:val="24"/>
            <w:szCs w:val="24"/>
          </w:rPr>
          <w:t>https://</w:t>
        </w:r>
        <w:r w:rsidRPr="004F51D2">
          <w:rPr>
            <w:rFonts w:ascii="Times New Roman" w:eastAsia="Calibri" w:hAnsi="Times New Roman" w:cs="Times New Roman"/>
            <w:spacing w:val="-4"/>
            <w:sz w:val="24"/>
            <w:szCs w:val="24"/>
            <w:lang w:bidi="ar-SA"/>
          </w:rPr>
          <w:t>doi.org/10.1016/j.addbeh.2014.08.002</w:t>
        </w:r>
      </w:hyperlink>
      <w:r w:rsidRPr="004F51D2">
        <w:rPr>
          <w:rFonts w:ascii="Times New Roman" w:eastAsia="Calibri" w:hAnsi="Times New Roman" w:cs="Times New Roman"/>
          <w:spacing w:val="-4"/>
          <w:sz w:val="24"/>
          <w:szCs w:val="24"/>
          <w:lang w:bidi="ar-SA"/>
        </w:rPr>
        <w:t>.</w:t>
      </w:r>
    </w:p>
    <w:p w14:paraId="3938E368" w14:textId="77777777" w:rsidR="00834955" w:rsidRPr="004F51D2" w:rsidRDefault="00834955" w:rsidP="00834955">
      <w:pPr>
        <w:bidi w:val="0"/>
        <w:spacing w:after="0" w:line="480" w:lineRule="auto"/>
        <w:ind w:left="720" w:hanging="720"/>
        <w:jc w:val="both"/>
        <w:rPr>
          <w:rFonts w:ascii="Times New Roman" w:eastAsia="Calibri" w:hAnsi="Times New Roman" w:cs="Times New Roman"/>
          <w:spacing w:val="-4"/>
          <w:sz w:val="24"/>
          <w:szCs w:val="24"/>
          <w:lang w:bidi="ar-SA"/>
        </w:rPr>
      </w:pPr>
      <w:r w:rsidRPr="004F51D2">
        <w:rPr>
          <w:rFonts w:ascii="Times New Roman" w:eastAsia="Calibri" w:hAnsi="Times New Roman" w:cs="Times New Roman"/>
          <w:spacing w:val="-4"/>
          <w:sz w:val="24"/>
          <w:szCs w:val="24"/>
          <w:lang w:bidi="ar-SA"/>
        </w:rPr>
        <w:t>Spada, M. M., Langston, B., Nikčević, A. V., &amp; Moneta, G. B. (2008). The role of metacognitions in problematic Internet use. </w:t>
      </w:r>
      <w:r w:rsidRPr="004F51D2">
        <w:rPr>
          <w:rFonts w:ascii="Times New Roman" w:eastAsia="Calibri" w:hAnsi="Times New Roman" w:cs="Times New Roman"/>
          <w:i/>
          <w:iCs/>
          <w:spacing w:val="-4"/>
          <w:sz w:val="24"/>
          <w:szCs w:val="24"/>
          <w:lang w:bidi="ar-SA"/>
        </w:rPr>
        <w:t>Computers in Human Behavior</w:t>
      </w:r>
      <w:r w:rsidRPr="004F51D2">
        <w:rPr>
          <w:rFonts w:ascii="Times New Roman" w:eastAsia="Calibri" w:hAnsi="Times New Roman" w:cs="Times New Roman"/>
          <w:spacing w:val="-4"/>
          <w:sz w:val="24"/>
          <w:szCs w:val="24"/>
          <w:lang w:bidi="ar-SA"/>
        </w:rPr>
        <w:t>, </w:t>
      </w:r>
      <w:r w:rsidRPr="004F51D2">
        <w:rPr>
          <w:rFonts w:ascii="Times New Roman" w:eastAsia="Calibri" w:hAnsi="Times New Roman" w:cs="Times New Roman"/>
          <w:i/>
          <w:iCs/>
          <w:spacing w:val="-4"/>
          <w:sz w:val="24"/>
          <w:szCs w:val="24"/>
          <w:lang w:bidi="ar-SA"/>
        </w:rPr>
        <w:t>24</w:t>
      </w:r>
      <w:r w:rsidRPr="004F51D2">
        <w:rPr>
          <w:rFonts w:ascii="Times New Roman" w:eastAsia="Calibri" w:hAnsi="Times New Roman" w:cs="Times New Roman"/>
          <w:spacing w:val="-4"/>
          <w:sz w:val="24"/>
          <w:szCs w:val="24"/>
          <w:lang w:bidi="ar-SA"/>
        </w:rPr>
        <w:t xml:space="preserve">, 2325-2335.  </w:t>
      </w:r>
      <w:hyperlink r:id="rId48" w:history="1">
        <w:r w:rsidRPr="004F51D2">
          <w:rPr>
            <w:rFonts w:ascii="Times New Roman" w:eastAsia="Calibri" w:hAnsi="Times New Roman" w:cs="Times New Roman"/>
            <w:spacing w:val="-4"/>
            <w:sz w:val="24"/>
            <w:szCs w:val="24"/>
            <w:lang w:bidi="ar-SA"/>
          </w:rPr>
          <w:t>https://doi.org/10.1016/j.chb.2007.12.002</w:t>
        </w:r>
      </w:hyperlink>
      <w:r w:rsidRPr="004F51D2">
        <w:rPr>
          <w:rFonts w:ascii="Times New Roman" w:eastAsia="Calibri" w:hAnsi="Times New Roman" w:cs="Times New Roman"/>
          <w:spacing w:val="-4"/>
          <w:sz w:val="24"/>
          <w:szCs w:val="24"/>
          <w:lang w:bidi="ar-SA"/>
        </w:rPr>
        <w:t>.</w:t>
      </w:r>
    </w:p>
    <w:p w14:paraId="5678EFB0" w14:textId="1B6894C2" w:rsidR="00834955" w:rsidRPr="004F51D2" w:rsidRDefault="00834955" w:rsidP="00834955">
      <w:pPr>
        <w:bidi w:val="0"/>
        <w:spacing w:after="0" w:line="480" w:lineRule="auto"/>
        <w:ind w:left="720" w:hanging="720"/>
        <w:jc w:val="both"/>
        <w:rPr>
          <w:rFonts w:ascii="Times New Roman" w:eastAsia="Calibri" w:hAnsi="Times New Roman" w:cs="Times New Roman"/>
          <w:spacing w:val="-4"/>
          <w:sz w:val="24"/>
          <w:szCs w:val="24"/>
          <w:lang w:bidi="ar-SA"/>
        </w:rPr>
      </w:pPr>
      <w:r w:rsidRPr="004F51D2">
        <w:rPr>
          <w:rFonts w:ascii="Times New Roman" w:hAnsi="Times New Roman" w:cs="Times New Roman"/>
          <w:bCs/>
          <w:sz w:val="24"/>
          <w:szCs w:val="24"/>
        </w:rPr>
        <w:t>Spada, M. M</w:t>
      </w:r>
      <w:r w:rsidRPr="004F51D2">
        <w:rPr>
          <w:rFonts w:ascii="Times New Roman" w:eastAsia="Calibri" w:hAnsi="Times New Roman" w:cs="Times New Roman"/>
          <w:spacing w:val="-4"/>
          <w:sz w:val="24"/>
          <w:szCs w:val="24"/>
          <w:lang w:bidi="ar-SA"/>
        </w:rPr>
        <w:t xml:space="preserve">., Moneta, G. B. &amp; Wells, A. (2007). The relative contribution of metacognitive beliefs and expectancies to drinking behaviour. </w:t>
      </w:r>
      <w:r w:rsidRPr="004F51D2">
        <w:rPr>
          <w:rFonts w:ascii="Times New Roman" w:eastAsia="Calibri" w:hAnsi="Times New Roman" w:cs="Times New Roman"/>
          <w:i/>
          <w:iCs/>
          <w:spacing w:val="-4"/>
          <w:sz w:val="24"/>
          <w:szCs w:val="24"/>
          <w:lang w:bidi="ar-SA"/>
        </w:rPr>
        <w:t>Alcohol and Alcoholism, 42</w:t>
      </w:r>
      <w:r w:rsidRPr="004F51D2">
        <w:rPr>
          <w:rFonts w:ascii="Times New Roman" w:eastAsia="Calibri" w:hAnsi="Times New Roman" w:cs="Times New Roman"/>
          <w:spacing w:val="-4"/>
          <w:sz w:val="24"/>
          <w:szCs w:val="24"/>
          <w:lang w:bidi="ar-SA"/>
        </w:rPr>
        <w:t>, 567-574.</w:t>
      </w:r>
      <w:r w:rsidR="000238DC" w:rsidRPr="004F51D2">
        <w:rPr>
          <w:rFonts w:ascii="Times New Roman" w:eastAsia="Calibri" w:hAnsi="Times New Roman" w:cs="Times New Roman"/>
          <w:spacing w:val="-4"/>
          <w:sz w:val="24"/>
          <w:szCs w:val="24"/>
          <w:lang w:bidi="ar-SA"/>
        </w:rPr>
        <w:t xml:space="preserve"> </w:t>
      </w:r>
      <w:hyperlink r:id="rId49" w:history="1">
        <w:r w:rsidR="000238DC" w:rsidRPr="004F51D2">
          <w:rPr>
            <w:rFonts w:ascii="Times New Roman" w:eastAsia="Calibri" w:hAnsi="Times New Roman" w:cs="Times New Roman"/>
            <w:spacing w:val="-4"/>
            <w:sz w:val="24"/>
            <w:szCs w:val="24"/>
            <w:lang w:bidi="ar-SA"/>
          </w:rPr>
          <w:t>https://doi.org/10.1093/alcalc/agm055</w:t>
        </w:r>
      </w:hyperlink>
      <w:r w:rsidR="000238DC" w:rsidRPr="004F51D2">
        <w:rPr>
          <w:rFonts w:ascii="Times New Roman" w:eastAsia="Calibri" w:hAnsi="Times New Roman" w:cs="Times New Roman"/>
          <w:spacing w:val="-4"/>
          <w:sz w:val="24"/>
          <w:szCs w:val="24"/>
          <w:lang w:bidi="ar-SA"/>
        </w:rPr>
        <w:t>.</w:t>
      </w:r>
    </w:p>
    <w:p w14:paraId="789003C8" w14:textId="77777777" w:rsidR="00834955" w:rsidRPr="004F51D2" w:rsidRDefault="00834955" w:rsidP="00834955">
      <w:pPr>
        <w:bidi w:val="0"/>
        <w:spacing w:after="0" w:line="480" w:lineRule="auto"/>
        <w:ind w:left="720" w:hanging="720"/>
        <w:jc w:val="both"/>
        <w:rPr>
          <w:rFonts w:ascii="Times New Roman" w:eastAsia="Calibri" w:hAnsi="Times New Roman" w:cs="Times New Roman"/>
          <w:spacing w:val="-4"/>
          <w:sz w:val="24"/>
          <w:szCs w:val="24"/>
          <w:lang w:bidi="ar-SA"/>
        </w:rPr>
      </w:pPr>
      <w:r w:rsidRPr="004F51D2">
        <w:rPr>
          <w:rFonts w:ascii="Times New Roman" w:eastAsia="Calibri" w:hAnsi="Times New Roman" w:cs="Times New Roman"/>
          <w:spacing w:val="-4"/>
          <w:sz w:val="24"/>
          <w:szCs w:val="24"/>
          <w:lang w:bidi="ar-SA"/>
        </w:rPr>
        <w:t xml:space="preserve">Spada, M. M., Nikčević, A. V., Moneta, G. B., &amp; Wells, A. (2007). Metacognition as a mediator of the relationship between emotion and smoking dependence. </w:t>
      </w:r>
      <w:r w:rsidRPr="004F51D2">
        <w:rPr>
          <w:rFonts w:ascii="Times New Roman" w:eastAsia="Calibri" w:hAnsi="Times New Roman" w:cs="Times New Roman"/>
          <w:i/>
          <w:iCs/>
          <w:spacing w:val="-4"/>
          <w:sz w:val="24"/>
          <w:szCs w:val="24"/>
          <w:lang w:bidi="ar-SA"/>
        </w:rPr>
        <w:t>Addictive Behaviors, 32</w:t>
      </w:r>
      <w:r w:rsidRPr="004F51D2">
        <w:rPr>
          <w:rFonts w:ascii="Times New Roman" w:eastAsia="Calibri" w:hAnsi="Times New Roman" w:cs="Times New Roman"/>
          <w:spacing w:val="-4"/>
          <w:sz w:val="24"/>
          <w:szCs w:val="24"/>
          <w:lang w:bidi="ar-SA"/>
        </w:rPr>
        <w:t>, 2120-2129.</w:t>
      </w:r>
      <w:r w:rsidRPr="004F51D2">
        <w:rPr>
          <w:rFonts w:ascii="Times New Roman" w:hAnsi="Times New Roman" w:cs="Times New Roman"/>
          <w:spacing w:val="-4"/>
          <w:sz w:val="24"/>
          <w:szCs w:val="24"/>
        </w:rPr>
        <w:t xml:space="preserve"> </w:t>
      </w:r>
      <w:hyperlink r:id="rId50" w:history="1">
        <w:r w:rsidRPr="004F51D2">
          <w:rPr>
            <w:rFonts w:ascii="Times New Roman" w:hAnsi="Times New Roman" w:cs="Times New Roman"/>
            <w:spacing w:val="-4"/>
            <w:sz w:val="24"/>
            <w:szCs w:val="24"/>
          </w:rPr>
          <w:t>https://</w:t>
        </w:r>
        <w:r w:rsidRPr="004F51D2">
          <w:rPr>
            <w:rFonts w:ascii="Times New Roman" w:eastAsia="Calibri" w:hAnsi="Times New Roman" w:cs="Times New Roman"/>
            <w:spacing w:val="-4"/>
            <w:sz w:val="24"/>
            <w:szCs w:val="24"/>
            <w:lang w:bidi="ar-SA"/>
          </w:rPr>
          <w:t>doi.org/10.1016/j.addbeh.2007.01.012</w:t>
        </w:r>
      </w:hyperlink>
      <w:r w:rsidRPr="004F51D2">
        <w:rPr>
          <w:rFonts w:ascii="Times New Roman" w:eastAsia="Calibri" w:hAnsi="Times New Roman" w:cs="Times New Roman"/>
          <w:spacing w:val="-4"/>
          <w:sz w:val="24"/>
          <w:szCs w:val="24"/>
          <w:lang w:bidi="ar-SA"/>
        </w:rPr>
        <w:t>.</w:t>
      </w:r>
    </w:p>
    <w:p w14:paraId="47EE0F7C" w14:textId="77777777" w:rsidR="00834955" w:rsidRPr="004F51D2" w:rsidRDefault="00834955" w:rsidP="00834955">
      <w:pPr>
        <w:bidi w:val="0"/>
        <w:spacing w:after="0" w:line="480" w:lineRule="auto"/>
        <w:ind w:left="720" w:hanging="720"/>
        <w:jc w:val="both"/>
        <w:rPr>
          <w:rFonts w:ascii="Times New Roman" w:eastAsia="Calibri" w:hAnsi="Times New Roman" w:cs="Times New Roman"/>
          <w:spacing w:val="-4"/>
          <w:sz w:val="24"/>
          <w:szCs w:val="24"/>
          <w:lang w:bidi="ar-SA"/>
        </w:rPr>
      </w:pPr>
      <w:r w:rsidRPr="004F51D2">
        <w:rPr>
          <w:rFonts w:ascii="Times New Roman" w:eastAsia="Calibri" w:hAnsi="Times New Roman" w:cs="Times New Roman"/>
          <w:spacing w:val="-4"/>
          <w:sz w:val="24"/>
          <w:szCs w:val="24"/>
          <w:lang w:bidi="ar-SA"/>
        </w:rPr>
        <w:t xml:space="preserve">Stavropoulos, V., Gomez, R., Steen, E., Beard, C., Liew, L., &amp; Griffiths, M. D. (2017). The longitudinal association between anxiety and Internet addiction in adolescence: The moderating effect of classroom extraversion. </w:t>
      </w:r>
      <w:r w:rsidRPr="004F51D2">
        <w:rPr>
          <w:rFonts w:ascii="Times New Roman" w:eastAsia="Calibri" w:hAnsi="Times New Roman" w:cs="Times New Roman"/>
          <w:i/>
          <w:iCs/>
          <w:spacing w:val="-4"/>
          <w:sz w:val="24"/>
          <w:szCs w:val="24"/>
          <w:lang w:bidi="ar-SA"/>
        </w:rPr>
        <w:t>Journal of Behavioral Addictions, 6</w:t>
      </w:r>
      <w:r w:rsidRPr="004F51D2">
        <w:rPr>
          <w:rFonts w:ascii="Times New Roman" w:eastAsia="Calibri" w:hAnsi="Times New Roman" w:cs="Times New Roman"/>
          <w:spacing w:val="-4"/>
          <w:sz w:val="24"/>
          <w:szCs w:val="24"/>
          <w:lang w:bidi="ar-SA"/>
        </w:rPr>
        <w:t>, 237-247.</w:t>
      </w:r>
      <w:r w:rsidRPr="004F51D2">
        <w:rPr>
          <w:rFonts w:ascii="Times New Roman" w:hAnsi="Times New Roman" w:cs="Times New Roman"/>
          <w:spacing w:val="-4"/>
          <w:sz w:val="24"/>
          <w:szCs w:val="24"/>
        </w:rPr>
        <w:t xml:space="preserve"> </w:t>
      </w:r>
      <w:hyperlink r:id="rId51" w:history="1">
        <w:r w:rsidRPr="004F51D2">
          <w:rPr>
            <w:rFonts w:ascii="Times New Roman" w:hAnsi="Times New Roman" w:cs="Times New Roman"/>
            <w:spacing w:val="-4"/>
            <w:sz w:val="24"/>
            <w:szCs w:val="24"/>
          </w:rPr>
          <w:t>https://</w:t>
        </w:r>
        <w:r w:rsidRPr="004F51D2">
          <w:rPr>
            <w:rFonts w:ascii="Times New Roman" w:eastAsia="Calibri" w:hAnsi="Times New Roman" w:cs="Times New Roman"/>
            <w:spacing w:val="-4"/>
            <w:sz w:val="24"/>
            <w:szCs w:val="24"/>
            <w:lang w:bidi="ar-SA"/>
          </w:rPr>
          <w:t>doi.org/10.1556/2006.6.2017.026</w:t>
        </w:r>
      </w:hyperlink>
      <w:r w:rsidRPr="004F51D2">
        <w:rPr>
          <w:rFonts w:ascii="Times New Roman" w:eastAsia="Calibri" w:hAnsi="Times New Roman" w:cs="Times New Roman"/>
          <w:spacing w:val="-4"/>
          <w:sz w:val="24"/>
          <w:szCs w:val="24"/>
          <w:lang w:bidi="ar-SA"/>
        </w:rPr>
        <w:t>.</w:t>
      </w:r>
    </w:p>
    <w:p w14:paraId="12D4DD65" w14:textId="77777777" w:rsidR="00834955" w:rsidRPr="004F51D2" w:rsidRDefault="00834955" w:rsidP="00834955">
      <w:pPr>
        <w:bidi w:val="0"/>
        <w:spacing w:after="0" w:line="480" w:lineRule="auto"/>
        <w:ind w:left="720" w:hanging="720"/>
        <w:jc w:val="both"/>
        <w:rPr>
          <w:rFonts w:ascii="Times New Roman" w:eastAsia="Calibri" w:hAnsi="Times New Roman" w:cs="Times New Roman"/>
          <w:spacing w:val="-4"/>
          <w:sz w:val="24"/>
          <w:szCs w:val="24"/>
          <w:lang w:bidi="ar-SA"/>
        </w:rPr>
      </w:pPr>
      <w:r w:rsidRPr="004F51D2">
        <w:rPr>
          <w:rFonts w:ascii="Times New Roman" w:eastAsia="Calibri" w:hAnsi="Times New Roman" w:cs="Times New Roman"/>
          <w:spacing w:val="-4"/>
          <w:sz w:val="24"/>
          <w:szCs w:val="24"/>
          <w:lang w:bidi="ar-SA"/>
        </w:rPr>
        <w:t>Stevens, M. W., King, D. L., Dorstyn, D., &amp; Delfabbro, P. H. (2019). Cognitive–behavioral therapy for Internet gaming disorder: A systematic review and meta</w:t>
      </w:r>
      <w:r w:rsidRPr="004F51D2">
        <w:rPr>
          <w:rFonts w:ascii="Cambria Math" w:eastAsia="Calibri" w:hAnsi="Cambria Math" w:cs="Cambria Math"/>
          <w:spacing w:val="-4"/>
          <w:sz w:val="24"/>
          <w:szCs w:val="24"/>
          <w:lang w:bidi="ar-SA"/>
        </w:rPr>
        <w:t>‐</w:t>
      </w:r>
      <w:r w:rsidRPr="004F51D2">
        <w:rPr>
          <w:rFonts w:ascii="Times New Roman" w:eastAsia="Calibri" w:hAnsi="Times New Roman" w:cs="Times New Roman"/>
          <w:spacing w:val="-4"/>
          <w:sz w:val="24"/>
          <w:szCs w:val="24"/>
          <w:lang w:bidi="ar-SA"/>
        </w:rPr>
        <w:t xml:space="preserve">analysis. </w:t>
      </w:r>
      <w:r w:rsidRPr="004F51D2">
        <w:rPr>
          <w:rFonts w:ascii="Times New Roman" w:eastAsia="Calibri" w:hAnsi="Times New Roman" w:cs="Times New Roman"/>
          <w:i/>
          <w:iCs/>
          <w:spacing w:val="-4"/>
          <w:sz w:val="24"/>
          <w:szCs w:val="24"/>
          <w:lang w:bidi="ar-SA"/>
        </w:rPr>
        <w:t>Clinical Psychology &amp; Psychotherapy, 26</w:t>
      </w:r>
      <w:r w:rsidRPr="004F51D2">
        <w:rPr>
          <w:rFonts w:ascii="Times New Roman" w:eastAsia="Calibri" w:hAnsi="Times New Roman" w:cs="Times New Roman"/>
          <w:spacing w:val="-4"/>
          <w:sz w:val="24"/>
          <w:szCs w:val="24"/>
          <w:lang w:bidi="ar-SA"/>
        </w:rPr>
        <w:t>, 191-203.</w:t>
      </w:r>
      <w:r w:rsidRPr="004F51D2">
        <w:rPr>
          <w:rFonts w:ascii="Times New Roman" w:hAnsi="Times New Roman" w:cs="Times New Roman"/>
          <w:color w:val="000000" w:themeColor="text1"/>
          <w:spacing w:val="-4"/>
          <w:sz w:val="24"/>
          <w:szCs w:val="24"/>
        </w:rPr>
        <w:t xml:space="preserve"> </w:t>
      </w:r>
      <w:hyperlink r:id="rId52" w:history="1">
        <w:r w:rsidRPr="004F51D2">
          <w:rPr>
            <w:rFonts w:ascii="Times New Roman" w:hAnsi="Times New Roman" w:cs="Times New Roman"/>
            <w:spacing w:val="-4"/>
            <w:sz w:val="24"/>
            <w:szCs w:val="24"/>
          </w:rPr>
          <w:t>https://</w:t>
        </w:r>
        <w:r w:rsidRPr="004F51D2">
          <w:rPr>
            <w:rFonts w:ascii="Times New Roman" w:eastAsia="Calibri" w:hAnsi="Times New Roman" w:cs="Times New Roman"/>
            <w:spacing w:val="-4"/>
            <w:sz w:val="24"/>
            <w:szCs w:val="24"/>
            <w:lang w:bidi="ar-SA"/>
          </w:rPr>
          <w:t>doi.org/10.1002/cpp.2341</w:t>
        </w:r>
      </w:hyperlink>
      <w:r w:rsidRPr="004F51D2">
        <w:rPr>
          <w:rFonts w:ascii="Times New Roman" w:eastAsia="Calibri" w:hAnsi="Times New Roman" w:cs="Times New Roman"/>
          <w:spacing w:val="-4"/>
          <w:sz w:val="24"/>
          <w:szCs w:val="24"/>
          <w:lang w:bidi="ar-SA"/>
        </w:rPr>
        <w:t>.</w:t>
      </w:r>
    </w:p>
    <w:p w14:paraId="0B3E1AE6" w14:textId="77777777" w:rsidR="00834955" w:rsidRPr="004F51D2" w:rsidRDefault="00834955" w:rsidP="00834955">
      <w:pPr>
        <w:bidi w:val="0"/>
        <w:spacing w:after="0" w:line="480" w:lineRule="auto"/>
        <w:ind w:left="720" w:hanging="720"/>
        <w:jc w:val="both"/>
        <w:rPr>
          <w:rFonts w:ascii="Times New Roman" w:eastAsia="Calibri" w:hAnsi="Times New Roman" w:cs="Times New Roman"/>
          <w:spacing w:val="-4"/>
          <w:sz w:val="24"/>
          <w:szCs w:val="24"/>
          <w:lang w:bidi="ar-SA"/>
        </w:rPr>
      </w:pPr>
      <w:r w:rsidRPr="004F51D2">
        <w:rPr>
          <w:rFonts w:ascii="Times New Roman" w:eastAsia="Calibri" w:hAnsi="Times New Roman" w:cs="Times New Roman"/>
          <w:spacing w:val="-4"/>
          <w:sz w:val="24"/>
          <w:szCs w:val="24"/>
          <w:lang w:bidi="ar-SA"/>
        </w:rPr>
        <w:t xml:space="preserve">Thorslund, J., McEvoy, P. M., &amp; Anderson, R. A. (2020). Group metacognitive therapy for adolescents with anxiety and depressive disorders: A pilot study. </w:t>
      </w:r>
      <w:r w:rsidRPr="004F51D2">
        <w:rPr>
          <w:rFonts w:ascii="Times New Roman" w:eastAsia="Calibri" w:hAnsi="Times New Roman" w:cs="Times New Roman"/>
          <w:i/>
          <w:iCs/>
          <w:spacing w:val="-4"/>
          <w:sz w:val="24"/>
          <w:szCs w:val="24"/>
          <w:lang w:bidi="ar-SA"/>
        </w:rPr>
        <w:t>Journal of Clinical Psychology, 76</w:t>
      </w:r>
      <w:r w:rsidRPr="004F51D2">
        <w:rPr>
          <w:rFonts w:ascii="Times New Roman" w:eastAsia="Calibri" w:hAnsi="Times New Roman" w:cs="Times New Roman"/>
          <w:spacing w:val="-4"/>
          <w:sz w:val="24"/>
          <w:szCs w:val="24"/>
          <w:lang w:bidi="ar-SA"/>
        </w:rPr>
        <w:t>, 625-645.</w:t>
      </w:r>
      <w:r w:rsidRPr="004F51D2">
        <w:rPr>
          <w:rFonts w:ascii="Times New Roman" w:hAnsi="Times New Roman" w:cs="Times New Roman"/>
          <w:spacing w:val="-4"/>
          <w:sz w:val="24"/>
          <w:szCs w:val="24"/>
        </w:rPr>
        <w:t xml:space="preserve"> </w:t>
      </w:r>
      <w:hyperlink r:id="rId53" w:history="1">
        <w:r w:rsidRPr="004F51D2">
          <w:rPr>
            <w:rFonts w:ascii="Times New Roman" w:hAnsi="Times New Roman" w:cs="Times New Roman"/>
            <w:spacing w:val="-4"/>
            <w:sz w:val="24"/>
            <w:szCs w:val="24"/>
          </w:rPr>
          <w:t>https://</w:t>
        </w:r>
        <w:r w:rsidRPr="004F51D2">
          <w:rPr>
            <w:rFonts w:ascii="Times New Roman" w:eastAsia="Calibri" w:hAnsi="Times New Roman" w:cs="Times New Roman"/>
            <w:spacing w:val="-4"/>
            <w:sz w:val="24"/>
            <w:szCs w:val="24"/>
            <w:lang w:bidi="ar-SA"/>
          </w:rPr>
          <w:t>doi.org/10.1002/jclp.22914</w:t>
        </w:r>
      </w:hyperlink>
      <w:r w:rsidRPr="004F51D2">
        <w:rPr>
          <w:rFonts w:ascii="Times New Roman" w:eastAsia="Calibri" w:hAnsi="Times New Roman" w:cs="Times New Roman"/>
          <w:spacing w:val="-4"/>
          <w:sz w:val="24"/>
          <w:szCs w:val="24"/>
          <w:lang w:bidi="ar-SA"/>
        </w:rPr>
        <w:t>.</w:t>
      </w:r>
    </w:p>
    <w:p w14:paraId="689AADAA" w14:textId="7E21F534" w:rsidR="00834955" w:rsidRPr="004F51D2" w:rsidRDefault="00834955" w:rsidP="00834955">
      <w:pPr>
        <w:bidi w:val="0"/>
        <w:spacing w:after="0" w:line="480" w:lineRule="auto"/>
        <w:ind w:left="720" w:hanging="720"/>
        <w:jc w:val="both"/>
        <w:rPr>
          <w:rFonts w:ascii="Times New Roman" w:eastAsia="Calibri" w:hAnsi="Times New Roman" w:cs="Times New Roman"/>
          <w:spacing w:val="-4"/>
          <w:sz w:val="24"/>
          <w:szCs w:val="24"/>
          <w:lang w:bidi="ar-SA"/>
        </w:rPr>
      </w:pPr>
      <w:r w:rsidRPr="004F51D2">
        <w:rPr>
          <w:rFonts w:ascii="Times New Roman" w:eastAsia="Calibri" w:hAnsi="Times New Roman" w:cs="Times New Roman"/>
          <w:spacing w:val="-4"/>
          <w:sz w:val="24"/>
          <w:szCs w:val="24"/>
          <w:lang w:bidi="ar-SA"/>
        </w:rPr>
        <w:t xml:space="preserve">Throuvala, M. A., Janikian, M., Griffiths, M. D., Rennoldson, M., &amp; Kuss, D. J. (2019). The role of family and personality traits in Internet gaming disorder: A mediation model combining cognitive and attachment perspectives. </w:t>
      </w:r>
      <w:r w:rsidRPr="004F51D2">
        <w:rPr>
          <w:rFonts w:ascii="Times New Roman" w:eastAsia="Calibri" w:hAnsi="Times New Roman" w:cs="Times New Roman"/>
          <w:i/>
          <w:iCs/>
          <w:spacing w:val="-4"/>
          <w:sz w:val="24"/>
          <w:szCs w:val="24"/>
          <w:lang w:bidi="ar-SA"/>
        </w:rPr>
        <w:t>Journal of Behavioral Addictions, 8</w:t>
      </w:r>
      <w:r w:rsidRPr="004F51D2">
        <w:rPr>
          <w:rFonts w:ascii="Times New Roman" w:eastAsia="Calibri" w:hAnsi="Times New Roman" w:cs="Times New Roman"/>
          <w:spacing w:val="-4"/>
          <w:sz w:val="24"/>
          <w:szCs w:val="24"/>
          <w:lang w:bidi="ar-SA"/>
        </w:rPr>
        <w:t>, 48-62.</w:t>
      </w:r>
      <w:r w:rsidRPr="004F51D2">
        <w:rPr>
          <w:rFonts w:ascii="Times New Roman" w:hAnsi="Times New Roman" w:cs="Times New Roman"/>
          <w:spacing w:val="-4"/>
          <w:sz w:val="24"/>
          <w:szCs w:val="24"/>
        </w:rPr>
        <w:t xml:space="preserve"> </w:t>
      </w:r>
      <w:hyperlink r:id="rId54" w:history="1">
        <w:r w:rsidRPr="004F51D2">
          <w:rPr>
            <w:rFonts w:ascii="Times New Roman" w:hAnsi="Times New Roman" w:cs="Times New Roman"/>
            <w:spacing w:val="-4"/>
            <w:sz w:val="24"/>
            <w:szCs w:val="24"/>
          </w:rPr>
          <w:t>https://</w:t>
        </w:r>
        <w:r w:rsidRPr="004F51D2">
          <w:rPr>
            <w:rFonts w:ascii="Times New Roman" w:eastAsia="Calibri" w:hAnsi="Times New Roman" w:cs="Times New Roman"/>
            <w:spacing w:val="-4"/>
            <w:sz w:val="24"/>
            <w:szCs w:val="24"/>
            <w:lang w:bidi="ar-SA"/>
          </w:rPr>
          <w:t>doi.org/10.1556/2006.8.2019.05</w:t>
        </w:r>
      </w:hyperlink>
      <w:r w:rsidRPr="004F51D2">
        <w:rPr>
          <w:rFonts w:ascii="Times New Roman" w:eastAsia="Calibri" w:hAnsi="Times New Roman" w:cs="Times New Roman"/>
          <w:spacing w:val="-4"/>
          <w:sz w:val="24"/>
          <w:szCs w:val="24"/>
          <w:lang w:bidi="ar-SA"/>
        </w:rPr>
        <w:t>.</w:t>
      </w:r>
    </w:p>
    <w:p w14:paraId="77C8B53D" w14:textId="4B657C50" w:rsidR="0053645E" w:rsidRPr="004F51D2" w:rsidRDefault="0053645E" w:rsidP="00F12B51">
      <w:pPr>
        <w:bidi w:val="0"/>
        <w:spacing w:after="0" w:line="480" w:lineRule="auto"/>
        <w:ind w:left="720" w:hanging="720"/>
        <w:jc w:val="both"/>
        <w:rPr>
          <w:rFonts w:ascii="Times New Roman" w:eastAsia="Calibri" w:hAnsi="Times New Roman" w:cs="Times New Roman"/>
          <w:spacing w:val="-4"/>
          <w:sz w:val="24"/>
          <w:szCs w:val="24"/>
          <w:lang w:bidi="ar-SA"/>
        </w:rPr>
      </w:pPr>
      <w:r w:rsidRPr="004F51D2">
        <w:rPr>
          <w:rFonts w:ascii="Times New Roman" w:eastAsia="Calibri" w:hAnsi="Times New Roman" w:cs="Times New Roman"/>
          <w:spacing w:val="-4"/>
          <w:sz w:val="24"/>
          <w:szCs w:val="24"/>
          <w:lang w:bidi="ar-SA"/>
        </w:rPr>
        <w:t>Tonioni, F., Mazza, M., Autullo, G., Cappelluti, R., Catalano, V., Marano, G., ... &amp; Lai, C. (2014). Is Internet addiction a psychopathological condition distinct from pathological gambling?. </w:t>
      </w:r>
      <w:r w:rsidRPr="004F51D2">
        <w:rPr>
          <w:rFonts w:ascii="Times New Roman" w:eastAsia="Calibri" w:hAnsi="Times New Roman" w:cs="Times New Roman"/>
          <w:i/>
          <w:iCs/>
          <w:spacing w:val="-4"/>
          <w:sz w:val="24"/>
          <w:szCs w:val="24"/>
          <w:lang w:bidi="ar-SA"/>
        </w:rPr>
        <w:t>Addictive Behaviors</w:t>
      </w:r>
      <w:r w:rsidRPr="004F51D2">
        <w:rPr>
          <w:rFonts w:ascii="Times New Roman" w:eastAsia="Calibri" w:hAnsi="Times New Roman" w:cs="Times New Roman"/>
          <w:spacing w:val="-4"/>
          <w:sz w:val="24"/>
          <w:szCs w:val="24"/>
          <w:lang w:bidi="ar-SA"/>
        </w:rPr>
        <w:t>, </w:t>
      </w:r>
      <w:r w:rsidRPr="004F51D2">
        <w:rPr>
          <w:rFonts w:ascii="Times New Roman" w:eastAsia="Calibri" w:hAnsi="Times New Roman" w:cs="Times New Roman"/>
          <w:i/>
          <w:iCs/>
          <w:spacing w:val="-4"/>
          <w:sz w:val="24"/>
          <w:szCs w:val="24"/>
          <w:lang w:bidi="ar-SA"/>
        </w:rPr>
        <w:t>39</w:t>
      </w:r>
      <w:r w:rsidRPr="004F51D2">
        <w:rPr>
          <w:rFonts w:ascii="Times New Roman" w:eastAsia="Calibri" w:hAnsi="Times New Roman" w:cs="Times New Roman"/>
          <w:spacing w:val="-4"/>
          <w:sz w:val="24"/>
          <w:szCs w:val="24"/>
          <w:lang w:bidi="ar-SA"/>
        </w:rPr>
        <w:t xml:space="preserve">(6), 1052-1056. </w:t>
      </w:r>
      <w:r w:rsidR="00F12B51" w:rsidRPr="004F51D2">
        <w:rPr>
          <w:rFonts w:ascii="Times New Roman" w:eastAsia="Calibri" w:hAnsi="Times New Roman" w:cs="Times New Roman"/>
          <w:spacing w:val="-4"/>
          <w:sz w:val="24"/>
          <w:szCs w:val="24"/>
          <w:lang w:bidi="ar-SA"/>
        </w:rPr>
        <w:t xml:space="preserve"> </w:t>
      </w:r>
      <w:hyperlink r:id="rId55" w:tgtFrame="_blank" w:tooltip="Persistent link using digital object identifier" w:history="1">
        <w:r w:rsidRPr="004F51D2">
          <w:rPr>
            <w:rStyle w:val="Hyperlink"/>
            <w:rFonts w:ascii="Times New Roman" w:eastAsia="Calibri" w:hAnsi="Times New Roman" w:cs="Times New Roman"/>
            <w:spacing w:val="-4"/>
            <w:sz w:val="24"/>
            <w:szCs w:val="24"/>
            <w:u w:val="none"/>
            <w:lang w:bidi="ar-SA"/>
          </w:rPr>
          <w:t>https://doi.org/10.1016/j.addbeh.2014.02.016</w:t>
        </w:r>
      </w:hyperlink>
      <w:r w:rsidRPr="004F51D2">
        <w:rPr>
          <w:rFonts w:ascii="Times New Roman" w:eastAsia="Calibri" w:hAnsi="Times New Roman" w:cs="Times New Roman"/>
          <w:spacing w:val="-4"/>
          <w:sz w:val="24"/>
          <w:szCs w:val="24"/>
          <w:lang w:bidi="ar-SA"/>
        </w:rPr>
        <w:t xml:space="preserve">. </w:t>
      </w:r>
    </w:p>
    <w:p w14:paraId="110530DF" w14:textId="77777777" w:rsidR="00834955" w:rsidRPr="004F51D2" w:rsidRDefault="00834955" w:rsidP="00834955">
      <w:pPr>
        <w:bidi w:val="0"/>
        <w:spacing w:after="0" w:line="480" w:lineRule="auto"/>
        <w:ind w:left="720" w:hanging="720"/>
        <w:jc w:val="both"/>
        <w:rPr>
          <w:rFonts w:ascii="Times New Roman" w:eastAsia="Calibri" w:hAnsi="Times New Roman" w:cs="Times New Roman"/>
          <w:spacing w:val="-4"/>
          <w:sz w:val="24"/>
          <w:szCs w:val="24"/>
          <w:lang w:bidi="ar-SA"/>
        </w:rPr>
      </w:pPr>
      <w:r w:rsidRPr="004F51D2">
        <w:rPr>
          <w:rFonts w:ascii="Times New Roman" w:eastAsia="Calibri" w:hAnsi="Times New Roman" w:cs="Times New Roman"/>
          <w:spacing w:val="-4"/>
          <w:sz w:val="24"/>
          <w:szCs w:val="24"/>
          <w:lang w:bidi="ar-SA"/>
        </w:rPr>
        <w:t xml:space="preserve">Wang, C. W., Ho, R. T., Chan, C. L., &amp; Tse, S. (2015). Exploring personality characteristics of Chinese adolescents with internet-related addictive behaviors: Trait differences for gaming addiction and social networking addiction. </w:t>
      </w:r>
      <w:r w:rsidRPr="004F51D2">
        <w:rPr>
          <w:rFonts w:ascii="Times New Roman" w:eastAsia="Calibri" w:hAnsi="Times New Roman" w:cs="Times New Roman"/>
          <w:i/>
          <w:iCs/>
          <w:spacing w:val="-4"/>
          <w:sz w:val="24"/>
          <w:szCs w:val="24"/>
          <w:lang w:bidi="ar-SA"/>
        </w:rPr>
        <w:t>Addictive Behaviors, 42</w:t>
      </w:r>
      <w:r w:rsidRPr="004F51D2">
        <w:rPr>
          <w:rFonts w:ascii="Times New Roman" w:eastAsia="Calibri" w:hAnsi="Times New Roman" w:cs="Times New Roman"/>
          <w:spacing w:val="-4"/>
          <w:sz w:val="24"/>
          <w:szCs w:val="24"/>
          <w:lang w:bidi="ar-SA"/>
        </w:rPr>
        <w:t>, 32-35.</w:t>
      </w:r>
      <w:r w:rsidRPr="004F51D2">
        <w:rPr>
          <w:rFonts w:ascii="Times New Roman" w:hAnsi="Times New Roman" w:cs="Times New Roman"/>
          <w:spacing w:val="-4"/>
          <w:sz w:val="24"/>
          <w:szCs w:val="24"/>
        </w:rPr>
        <w:t xml:space="preserve"> </w:t>
      </w:r>
      <w:hyperlink r:id="rId56" w:history="1">
        <w:r w:rsidRPr="004F51D2">
          <w:rPr>
            <w:rFonts w:ascii="Times New Roman" w:hAnsi="Times New Roman" w:cs="Times New Roman"/>
            <w:spacing w:val="-4"/>
            <w:sz w:val="24"/>
            <w:szCs w:val="24"/>
          </w:rPr>
          <w:t>https://</w:t>
        </w:r>
        <w:r w:rsidRPr="004F51D2">
          <w:rPr>
            <w:rFonts w:ascii="Times New Roman" w:eastAsia="Calibri" w:hAnsi="Times New Roman" w:cs="Times New Roman"/>
            <w:spacing w:val="-4"/>
            <w:sz w:val="24"/>
            <w:szCs w:val="24"/>
            <w:lang w:bidi="ar-SA"/>
          </w:rPr>
          <w:t>doi.org/10.1016/j.addbeh.2014.10.039</w:t>
        </w:r>
      </w:hyperlink>
      <w:r w:rsidRPr="004F51D2">
        <w:rPr>
          <w:rFonts w:ascii="Times New Roman" w:eastAsia="Calibri" w:hAnsi="Times New Roman" w:cs="Times New Roman"/>
          <w:spacing w:val="-4"/>
          <w:sz w:val="24"/>
          <w:szCs w:val="24"/>
          <w:lang w:bidi="ar-SA"/>
        </w:rPr>
        <w:t>.</w:t>
      </w:r>
    </w:p>
    <w:p w14:paraId="0F3093E3" w14:textId="77777777" w:rsidR="00834955" w:rsidRPr="004F51D2" w:rsidRDefault="00834955" w:rsidP="00834955">
      <w:pPr>
        <w:bidi w:val="0"/>
        <w:spacing w:after="0" w:line="480" w:lineRule="auto"/>
        <w:ind w:left="720" w:hanging="720"/>
        <w:jc w:val="both"/>
        <w:rPr>
          <w:rFonts w:ascii="Times New Roman" w:eastAsia="Calibri" w:hAnsi="Times New Roman" w:cs="Times New Roman"/>
          <w:spacing w:val="-4"/>
          <w:sz w:val="24"/>
          <w:szCs w:val="24"/>
          <w:lang w:bidi="ar-SA"/>
        </w:rPr>
      </w:pPr>
      <w:r w:rsidRPr="004F51D2">
        <w:rPr>
          <w:rFonts w:ascii="Times New Roman" w:eastAsia="Calibri" w:hAnsi="Times New Roman" w:cs="Times New Roman"/>
          <w:spacing w:val="-4"/>
          <w:sz w:val="24"/>
          <w:szCs w:val="24"/>
          <w:lang w:bidi="ar-SA"/>
        </w:rPr>
        <w:t xml:space="preserve">Wartberg, L., Kriston, L., &amp; Thomasius, R. (2020). Internet gaming disorder and problematic social media use in a representative sample of German adolescents: Prevalence estimates, comorbid depressive symptoms and related psychosocial aspects. </w:t>
      </w:r>
      <w:r w:rsidRPr="004F51D2">
        <w:rPr>
          <w:rFonts w:ascii="Times New Roman" w:eastAsia="Calibri" w:hAnsi="Times New Roman" w:cs="Times New Roman"/>
          <w:i/>
          <w:iCs/>
          <w:spacing w:val="-4"/>
          <w:sz w:val="24"/>
          <w:szCs w:val="24"/>
          <w:lang w:bidi="ar-SA"/>
        </w:rPr>
        <w:t>Computers in Human Behavior, 103</w:t>
      </w:r>
      <w:r w:rsidRPr="004F51D2">
        <w:rPr>
          <w:rFonts w:ascii="Times New Roman" w:eastAsia="Calibri" w:hAnsi="Times New Roman" w:cs="Times New Roman"/>
          <w:spacing w:val="-4"/>
          <w:sz w:val="24"/>
          <w:szCs w:val="24"/>
          <w:lang w:bidi="ar-SA"/>
        </w:rPr>
        <w:t>, 31-36.</w:t>
      </w:r>
      <w:r w:rsidRPr="004F51D2">
        <w:rPr>
          <w:rFonts w:ascii="Times New Roman" w:hAnsi="Times New Roman" w:cs="Times New Roman"/>
          <w:spacing w:val="-4"/>
          <w:sz w:val="24"/>
          <w:szCs w:val="24"/>
        </w:rPr>
        <w:t xml:space="preserve"> </w:t>
      </w:r>
      <w:hyperlink r:id="rId57" w:history="1">
        <w:r w:rsidRPr="004F51D2">
          <w:rPr>
            <w:rFonts w:ascii="Times New Roman" w:hAnsi="Times New Roman" w:cs="Times New Roman"/>
            <w:spacing w:val="-4"/>
            <w:sz w:val="24"/>
            <w:szCs w:val="24"/>
          </w:rPr>
          <w:t>https://</w:t>
        </w:r>
        <w:r w:rsidRPr="004F51D2">
          <w:rPr>
            <w:rFonts w:ascii="Times New Roman" w:eastAsia="Calibri" w:hAnsi="Times New Roman" w:cs="Times New Roman"/>
            <w:spacing w:val="-4"/>
            <w:sz w:val="24"/>
            <w:szCs w:val="24"/>
            <w:lang w:bidi="ar-SA"/>
          </w:rPr>
          <w:t>doi.org/10.1016/j.chb.2019.09.014</w:t>
        </w:r>
      </w:hyperlink>
      <w:r w:rsidRPr="004F51D2">
        <w:rPr>
          <w:rFonts w:ascii="Times New Roman" w:eastAsia="Calibri" w:hAnsi="Times New Roman" w:cs="Times New Roman"/>
          <w:spacing w:val="-4"/>
          <w:sz w:val="24"/>
          <w:szCs w:val="24"/>
          <w:lang w:bidi="ar-SA"/>
        </w:rPr>
        <w:t>.</w:t>
      </w:r>
    </w:p>
    <w:p w14:paraId="55A619C5" w14:textId="77777777" w:rsidR="00834955" w:rsidRPr="004F51D2" w:rsidRDefault="00834955" w:rsidP="00834955">
      <w:pPr>
        <w:bidi w:val="0"/>
        <w:spacing w:after="0" w:line="480" w:lineRule="auto"/>
        <w:ind w:left="720" w:hanging="720"/>
        <w:jc w:val="both"/>
        <w:rPr>
          <w:rFonts w:ascii="Times New Roman" w:eastAsia="Calibri" w:hAnsi="Times New Roman" w:cs="Times New Roman"/>
          <w:spacing w:val="-4"/>
          <w:sz w:val="24"/>
          <w:szCs w:val="24"/>
          <w:lang w:bidi="ar-SA"/>
        </w:rPr>
      </w:pPr>
      <w:r w:rsidRPr="004F51D2">
        <w:rPr>
          <w:rFonts w:ascii="Times New Roman" w:eastAsia="Calibri" w:hAnsi="Times New Roman" w:cs="Times New Roman"/>
          <w:spacing w:val="-4"/>
          <w:sz w:val="24"/>
          <w:szCs w:val="24"/>
          <w:lang w:bidi="ar-SA"/>
        </w:rPr>
        <w:t xml:space="preserve">Wartberg, L., Kriston, L., Zieglmeier, M., Lincoln, T., &amp; Kammerl, R. (2019). A longitudinal study on psychosocial causes and consequences of Internet gaming disorder in adolescence. </w:t>
      </w:r>
      <w:r w:rsidRPr="004F51D2">
        <w:rPr>
          <w:rFonts w:ascii="Times New Roman" w:eastAsia="Calibri" w:hAnsi="Times New Roman" w:cs="Times New Roman"/>
          <w:i/>
          <w:iCs/>
          <w:spacing w:val="-4"/>
          <w:sz w:val="24"/>
          <w:szCs w:val="24"/>
          <w:lang w:bidi="ar-SA"/>
        </w:rPr>
        <w:t>Psychological Medicine, 49</w:t>
      </w:r>
      <w:r w:rsidRPr="004F51D2">
        <w:rPr>
          <w:rFonts w:ascii="Times New Roman" w:eastAsia="Calibri" w:hAnsi="Times New Roman" w:cs="Times New Roman"/>
          <w:spacing w:val="-4"/>
          <w:sz w:val="24"/>
          <w:szCs w:val="24"/>
          <w:lang w:bidi="ar-SA"/>
        </w:rPr>
        <w:t>, 287-294.</w:t>
      </w:r>
      <w:r w:rsidRPr="004F51D2">
        <w:rPr>
          <w:rFonts w:ascii="Times New Roman" w:hAnsi="Times New Roman" w:cs="Times New Roman"/>
          <w:spacing w:val="-4"/>
          <w:sz w:val="24"/>
          <w:szCs w:val="24"/>
        </w:rPr>
        <w:t xml:space="preserve"> </w:t>
      </w:r>
      <w:r w:rsidRPr="004F51D2">
        <w:rPr>
          <w:rFonts w:ascii="Times New Roman" w:hAnsi="Times New Roman" w:cs="Times New Roman"/>
          <w:color w:val="000000" w:themeColor="text1"/>
          <w:spacing w:val="-4"/>
          <w:sz w:val="24"/>
          <w:szCs w:val="24"/>
        </w:rPr>
        <w:t>https://</w:t>
      </w:r>
      <w:r w:rsidRPr="004F51D2">
        <w:rPr>
          <w:rFonts w:ascii="Times New Roman" w:eastAsia="Calibri" w:hAnsi="Times New Roman" w:cs="Times New Roman"/>
          <w:spacing w:val="-4"/>
          <w:sz w:val="24"/>
          <w:szCs w:val="24"/>
          <w:lang w:bidi="ar-SA"/>
        </w:rPr>
        <w:t>doi.org/10.1017/s003329171800082x.</w:t>
      </w:r>
    </w:p>
    <w:p w14:paraId="60377E25" w14:textId="77777777" w:rsidR="00834955" w:rsidRPr="004F51D2" w:rsidRDefault="00834955" w:rsidP="00834955">
      <w:pPr>
        <w:bidi w:val="0"/>
        <w:spacing w:after="0" w:line="480" w:lineRule="auto"/>
        <w:ind w:left="720" w:hanging="720"/>
        <w:jc w:val="both"/>
        <w:rPr>
          <w:rFonts w:ascii="Times New Roman" w:eastAsia="Calibri" w:hAnsi="Times New Roman" w:cs="Times New Roman"/>
          <w:spacing w:val="-4"/>
          <w:sz w:val="24"/>
          <w:szCs w:val="24"/>
          <w:lang w:bidi="ar-SA"/>
        </w:rPr>
      </w:pPr>
      <w:r w:rsidRPr="004F51D2">
        <w:rPr>
          <w:rFonts w:ascii="Times New Roman" w:eastAsia="Calibri" w:hAnsi="Times New Roman" w:cs="Times New Roman"/>
          <w:spacing w:val="-4"/>
          <w:sz w:val="24"/>
          <w:szCs w:val="24"/>
          <w:lang w:bidi="ar-SA"/>
        </w:rPr>
        <w:t xml:space="preserve">Wells, A. (2002). </w:t>
      </w:r>
      <w:r w:rsidRPr="004F51D2">
        <w:rPr>
          <w:rFonts w:ascii="Times New Roman" w:eastAsia="Calibri" w:hAnsi="Times New Roman" w:cs="Times New Roman"/>
          <w:i/>
          <w:iCs/>
          <w:spacing w:val="-4"/>
          <w:sz w:val="24"/>
          <w:szCs w:val="24"/>
          <w:lang w:bidi="ar-SA"/>
        </w:rPr>
        <w:t>Emotional Disorders and Metacognition: Innovative Cognitive Therapy</w:t>
      </w:r>
      <w:r w:rsidRPr="004F51D2">
        <w:rPr>
          <w:rFonts w:ascii="Times New Roman" w:eastAsia="Calibri" w:hAnsi="Times New Roman" w:cs="Times New Roman"/>
          <w:spacing w:val="-4"/>
          <w:sz w:val="24"/>
          <w:szCs w:val="24"/>
          <w:lang w:bidi="ar-SA"/>
        </w:rPr>
        <w:t>. John Wiley &amp; Sons.</w:t>
      </w:r>
    </w:p>
    <w:p w14:paraId="4BEF3AA4" w14:textId="77777777" w:rsidR="00834955" w:rsidRPr="004F51D2" w:rsidRDefault="00834955" w:rsidP="00834955">
      <w:pPr>
        <w:bidi w:val="0"/>
        <w:spacing w:after="0" w:line="480" w:lineRule="auto"/>
        <w:ind w:left="720" w:hanging="720"/>
        <w:jc w:val="both"/>
        <w:rPr>
          <w:rFonts w:ascii="Times New Roman" w:eastAsia="Calibri" w:hAnsi="Times New Roman" w:cs="Times New Roman"/>
          <w:spacing w:val="-4"/>
          <w:sz w:val="24"/>
          <w:szCs w:val="24"/>
          <w:lang w:bidi="ar-SA"/>
        </w:rPr>
      </w:pPr>
      <w:r w:rsidRPr="004F51D2">
        <w:rPr>
          <w:rFonts w:ascii="Times New Roman" w:eastAsia="Calibri" w:hAnsi="Times New Roman" w:cs="Times New Roman"/>
          <w:spacing w:val="-4"/>
          <w:sz w:val="24"/>
          <w:szCs w:val="24"/>
          <w:lang w:bidi="ar-SA"/>
        </w:rPr>
        <w:t xml:space="preserve">Wells, A. (2013). Advances in Metacognitive Therapy. </w:t>
      </w:r>
      <w:r w:rsidRPr="004F51D2">
        <w:rPr>
          <w:rFonts w:ascii="Times New Roman" w:eastAsia="Calibri" w:hAnsi="Times New Roman" w:cs="Times New Roman"/>
          <w:i/>
          <w:iCs/>
          <w:spacing w:val="-4"/>
          <w:sz w:val="24"/>
          <w:szCs w:val="24"/>
          <w:lang w:bidi="ar-SA"/>
        </w:rPr>
        <w:t>International Journal of Cognitive Therapy, 6</w:t>
      </w:r>
      <w:r w:rsidRPr="004F51D2">
        <w:rPr>
          <w:rFonts w:ascii="Times New Roman" w:eastAsia="Calibri" w:hAnsi="Times New Roman" w:cs="Times New Roman"/>
          <w:spacing w:val="-4"/>
          <w:sz w:val="24"/>
          <w:szCs w:val="24"/>
          <w:lang w:bidi="ar-SA"/>
        </w:rPr>
        <w:t xml:space="preserve">, 186-201. </w:t>
      </w:r>
      <w:hyperlink r:id="rId58" w:history="1">
        <w:r w:rsidRPr="004F51D2">
          <w:rPr>
            <w:rFonts w:ascii="Times New Roman" w:eastAsia="Calibri" w:hAnsi="Times New Roman" w:cs="Times New Roman"/>
            <w:spacing w:val="-4"/>
            <w:sz w:val="24"/>
            <w:szCs w:val="24"/>
            <w:lang w:bidi="ar-SA"/>
          </w:rPr>
          <w:t>https://doi.org/10.1521/ijct.2013.6.2.186</w:t>
        </w:r>
      </w:hyperlink>
      <w:r w:rsidRPr="004F51D2">
        <w:rPr>
          <w:rFonts w:ascii="Times New Roman" w:eastAsia="Calibri" w:hAnsi="Times New Roman" w:cs="Times New Roman"/>
          <w:spacing w:val="-4"/>
          <w:sz w:val="24"/>
          <w:szCs w:val="24"/>
          <w:lang w:bidi="ar-SA"/>
        </w:rPr>
        <w:t>.</w:t>
      </w:r>
    </w:p>
    <w:p w14:paraId="33A98051" w14:textId="77777777" w:rsidR="00834955" w:rsidRPr="004F51D2" w:rsidRDefault="00834955" w:rsidP="00834955">
      <w:pPr>
        <w:bidi w:val="0"/>
        <w:spacing w:after="0" w:line="480" w:lineRule="auto"/>
        <w:ind w:left="720" w:hanging="720"/>
        <w:jc w:val="both"/>
        <w:rPr>
          <w:rFonts w:ascii="Times New Roman" w:eastAsia="Calibri" w:hAnsi="Times New Roman" w:cs="Times New Roman"/>
          <w:spacing w:val="-4"/>
          <w:sz w:val="24"/>
          <w:szCs w:val="24"/>
          <w:lang w:bidi="ar-SA"/>
        </w:rPr>
      </w:pPr>
      <w:r w:rsidRPr="004F51D2">
        <w:rPr>
          <w:rFonts w:ascii="Times New Roman" w:eastAsia="Calibri" w:hAnsi="Times New Roman" w:cs="Times New Roman"/>
          <w:spacing w:val="-4"/>
          <w:sz w:val="24"/>
          <w:szCs w:val="24"/>
          <w:lang w:bidi="ar-SA"/>
        </w:rPr>
        <w:t xml:space="preserve">Weil, L. G., Fleming, S. M., Dumontheil, I., Kilford, E. J., Weil, R. S., Rees, G., ... &amp; Blakemore, S. J. (2013). The development of metacognitive ability in adolescence. </w:t>
      </w:r>
      <w:r w:rsidRPr="004F51D2">
        <w:rPr>
          <w:rFonts w:ascii="Times New Roman" w:eastAsia="Calibri" w:hAnsi="Times New Roman" w:cs="Times New Roman"/>
          <w:i/>
          <w:iCs/>
          <w:spacing w:val="-4"/>
          <w:sz w:val="24"/>
          <w:szCs w:val="24"/>
          <w:lang w:bidi="ar-SA"/>
        </w:rPr>
        <w:t>Consciousness and Cognition, 22</w:t>
      </w:r>
      <w:r w:rsidRPr="004F51D2">
        <w:rPr>
          <w:rFonts w:ascii="Times New Roman" w:eastAsia="Calibri" w:hAnsi="Times New Roman" w:cs="Times New Roman"/>
          <w:spacing w:val="-4"/>
          <w:sz w:val="24"/>
          <w:szCs w:val="24"/>
          <w:lang w:bidi="ar-SA"/>
        </w:rPr>
        <w:t>, 264-271.</w:t>
      </w:r>
      <w:r w:rsidRPr="004F51D2">
        <w:rPr>
          <w:rFonts w:ascii="Times New Roman" w:hAnsi="Times New Roman" w:cs="Times New Roman"/>
          <w:spacing w:val="-4"/>
          <w:sz w:val="24"/>
          <w:szCs w:val="24"/>
        </w:rPr>
        <w:t xml:space="preserve"> </w:t>
      </w:r>
      <w:hyperlink r:id="rId59" w:history="1">
        <w:r w:rsidRPr="004F51D2">
          <w:rPr>
            <w:rFonts w:ascii="Times New Roman" w:eastAsia="Calibri" w:hAnsi="Times New Roman" w:cs="Times New Roman"/>
            <w:spacing w:val="-4"/>
            <w:sz w:val="24"/>
            <w:szCs w:val="24"/>
            <w:lang w:bidi="ar-SA"/>
          </w:rPr>
          <w:t>https://doi.org/10.1016/j.concog.2013.01.004</w:t>
        </w:r>
      </w:hyperlink>
      <w:r w:rsidRPr="004F51D2">
        <w:rPr>
          <w:rFonts w:ascii="Times New Roman" w:eastAsia="Calibri" w:hAnsi="Times New Roman" w:cs="Times New Roman"/>
          <w:spacing w:val="-4"/>
          <w:sz w:val="24"/>
          <w:szCs w:val="24"/>
          <w:lang w:bidi="ar-SA"/>
        </w:rPr>
        <w:t>.</w:t>
      </w:r>
    </w:p>
    <w:p w14:paraId="3DCABBA3" w14:textId="77777777" w:rsidR="00007B14" w:rsidRPr="004F51D2" w:rsidRDefault="00834955" w:rsidP="00007B14">
      <w:pPr>
        <w:bidi w:val="0"/>
        <w:spacing w:after="0" w:line="480" w:lineRule="auto"/>
        <w:ind w:left="720" w:hanging="720"/>
        <w:jc w:val="both"/>
        <w:rPr>
          <w:rFonts w:ascii="Times New Roman" w:eastAsia="Calibri" w:hAnsi="Times New Roman" w:cs="Times New Roman"/>
          <w:spacing w:val="-4"/>
          <w:sz w:val="24"/>
          <w:szCs w:val="24"/>
          <w:lang w:bidi="ar-SA"/>
        </w:rPr>
      </w:pPr>
      <w:r w:rsidRPr="004F51D2">
        <w:rPr>
          <w:rFonts w:ascii="Times New Roman" w:eastAsia="Calibri" w:hAnsi="Times New Roman" w:cs="Times New Roman"/>
          <w:spacing w:val="-4"/>
          <w:sz w:val="24"/>
          <w:szCs w:val="24"/>
          <w:lang w:bidi="ar-SA"/>
        </w:rPr>
        <w:t xml:space="preserve">Wu, A. M., Lai, M. H., Yu, S., Lau, J. T., &amp; Lei, M. W. (2016). Motives for online gaming questionnaire: Its psychometric properties and correlation with Internet gaming disorder symptoms among Chinese people. </w:t>
      </w:r>
      <w:r w:rsidRPr="004F51D2">
        <w:rPr>
          <w:rFonts w:ascii="Times New Roman" w:eastAsia="Calibri" w:hAnsi="Times New Roman" w:cs="Times New Roman"/>
          <w:i/>
          <w:iCs/>
          <w:spacing w:val="-4"/>
          <w:sz w:val="24"/>
          <w:szCs w:val="24"/>
          <w:lang w:bidi="ar-SA"/>
        </w:rPr>
        <w:t>Journal of Behavioral Addictions, 6</w:t>
      </w:r>
      <w:r w:rsidRPr="004F51D2">
        <w:rPr>
          <w:rFonts w:ascii="Times New Roman" w:eastAsia="Calibri" w:hAnsi="Times New Roman" w:cs="Times New Roman"/>
          <w:spacing w:val="-4"/>
          <w:sz w:val="24"/>
          <w:szCs w:val="24"/>
          <w:lang w:bidi="ar-SA"/>
        </w:rPr>
        <w:t>, 11-20.</w:t>
      </w:r>
      <w:r w:rsidRPr="004F51D2">
        <w:rPr>
          <w:rFonts w:ascii="Times New Roman" w:hAnsi="Times New Roman" w:cs="Times New Roman"/>
          <w:spacing w:val="-4"/>
          <w:sz w:val="24"/>
          <w:szCs w:val="24"/>
        </w:rPr>
        <w:t xml:space="preserve"> </w:t>
      </w:r>
      <w:hyperlink r:id="rId60" w:history="1">
        <w:r w:rsidRPr="004F51D2">
          <w:rPr>
            <w:rFonts w:ascii="Times New Roman" w:hAnsi="Times New Roman" w:cs="Times New Roman"/>
            <w:spacing w:val="-4"/>
            <w:sz w:val="24"/>
            <w:szCs w:val="24"/>
          </w:rPr>
          <w:t>https://</w:t>
        </w:r>
        <w:r w:rsidRPr="004F51D2">
          <w:rPr>
            <w:rFonts w:ascii="Times New Roman" w:eastAsia="Calibri" w:hAnsi="Times New Roman" w:cs="Times New Roman"/>
            <w:spacing w:val="-4"/>
            <w:sz w:val="24"/>
            <w:szCs w:val="24"/>
            <w:lang w:bidi="ar-SA"/>
          </w:rPr>
          <w:t>doi.org/10.1556/2006.6.2017.007</w:t>
        </w:r>
      </w:hyperlink>
      <w:r w:rsidR="00007B14" w:rsidRPr="004F51D2">
        <w:rPr>
          <w:rFonts w:ascii="Times New Roman" w:eastAsia="Calibri" w:hAnsi="Times New Roman" w:cs="Times New Roman"/>
          <w:spacing w:val="-4"/>
          <w:sz w:val="24"/>
          <w:szCs w:val="24"/>
          <w:lang w:bidi="ar-SA"/>
        </w:rPr>
        <w:t>.</w:t>
      </w:r>
    </w:p>
    <w:p w14:paraId="4EAB05EF" w14:textId="722BD01C" w:rsidR="0035237E" w:rsidRPr="00007B14" w:rsidRDefault="00834955" w:rsidP="00007B14">
      <w:pPr>
        <w:bidi w:val="0"/>
        <w:spacing w:after="0" w:line="480" w:lineRule="auto"/>
        <w:ind w:left="720" w:hanging="720"/>
        <w:jc w:val="both"/>
        <w:rPr>
          <w:rFonts w:ascii="Times New Roman" w:hAnsi="Times New Roman" w:cs="Times New Roman"/>
          <w:spacing w:val="-4"/>
          <w:sz w:val="24"/>
          <w:szCs w:val="24"/>
          <w:rtl/>
        </w:rPr>
      </w:pPr>
      <w:r w:rsidRPr="004F51D2">
        <w:rPr>
          <w:rFonts w:ascii="Times New Roman" w:eastAsia="Calibri" w:hAnsi="Times New Roman" w:cs="Times New Roman"/>
          <w:spacing w:val="-4"/>
          <w:sz w:val="24"/>
          <w:szCs w:val="24"/>
          <w:lang w:bidi="ar-SA"/>
        </w:rPr>
        <w:t xml:space="preserve">Yee, N. (2006). Motivations for play in online games. </w:t>
      </w:r>
      <w:r w:rsidRPr="004F51D2">
        <w:rPr>
          <w:rFonts w:ascii="Times New Roman" w:eastAsia="Calibri" w:hAnsi="Times New Roman" w:cs="Times New Roman"/>
          <w:i/>
          <w:iCs/>
          <w:spacing w:val="-4"/>
          <w:sz w:val="24"/>
          <w:szCs w:val="24"/>
          <w:lang w:bidi="ar-SA"/>
        </w:rPr>
        <w:t>CyberPsychology &amp; Behavior, 9</w:t>
      </w:r>
      <w:r w:rsidRPr="004F51D2">
        <w:rPr>
          <w:rFonts w:ascii="Times New Roman" w:eastAsia="Calibri" w:hAnsi="Times New Roman" w:cs="Times New Roman"/>
          <w:spacing w:val="-4"/>
          <w:sz w:val="24"/>
          <w:szCs w:val="24"/>
          <w:lang w:bidi="ar-SA"/>
        </w:rPr>
        <w:t>, 772-775.</w:t>
      </w:r>
      <w:r w:rsidR="00007B14" w:rsidRPr="004F51D2">
        <w:rPr>
          <w:rFonts w:ascii="Times New Roman" w:eastAsia="Calibri" w:hAnsi="Times New Roman" w:cs="Times New Roman"/>
          <w:spacing w:val="-4"/>
          <w:sz w:val="24"/>
          <w:szCs w:val="24"/>
          <w:lang w:bidi="ar-SA"/>
        </w:rPr>
        <w:t xml:space="preserve"> https://doi.org/</w:t>
      </w:r>
      <w:hyperlink r:id="rId61" w:tgtFrame="_blank" w:history="1">
        <w:r w:rsidR="00007B14" w:rsidRPr="004F51D2">
          <w:rPr>
            <w:rFonts w:ascii="Times New Roman" w:hAnsi="Times New Roman" w:cs="Times New Roman"/>
            <w:spacing w:val="-4"/>
            <w:sz w:val="24"/>
            <w:szCs w:val="24"/>
          </w:rPr>
          <w:t xml:space="preserve">10.1089/cpb.2006.9.772. </w:t>
        </w:r>
      </w:hyperlink>
    </w:p>
    <w:sectPr w:rsidR="0035237E" w:rsidRPr="00007B14" w:rsidSect="00A469F2">
      <w:pgSz w:w="11906" w:h="16838"/>
      <w:pgMar w:top="1440" w:right="1440" w:bottom="1440" w:left="1440" w:header="709"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3C65FE" w14:textId="77777777" w:rsidR="0087765F" w:rsidRPr="000957A3" w:rsidRDefault="0087765F">
      <w:pPr>
        <w:spacing w:after="0" w:line="240" w:lineRule="auto"/>
      </w:pPr>
      <w:r w:rsidRPr="000957A3">
        <w:separator/>
      </w:r>
    </w:p>
  </w:endnote>
  <w:endnote w:type="continuationSeparator" w:id="0">
    <w:p w14:paraId="6CF853D9" w14:textId="77777777" w:rsidR="0087765F" w:rsidRPr="000957A3" w:rsidRDefault="0087765F">
      <w:pPr>
        <w:spacing w:after="0" w:line="240" w:lineRule="auto"/>
      </w:pPr>
      <w:r w:rsidRPr="000957A3">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 Mitra">
    <w:charset w:val="B2"/>
    <w:family w:val="auto"/>
    <w:pitch w:val="variable"/>
    <w:sig w:usb0="00002001" w:usb1="80000000" w:usb2="00000008" w:usb3="00000000" w:csb0="00000040"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tl/>
      </w:rPr>
      <w:id w:val="1162890993"/>
      <w:docPartObj>
        <w:docPartGallery w:val="Page Numbers (Bottom of Page)"/>
        <w:docPartUnique/>
      </w:docPartObj>
    </w:sdtPr>
    <w:sdtEndPr>
      <w:rPr>
        <w:rFonts w:ascii="Times New Roman" w:hAnsi="Times New Roman" w:cs="Times New Roman"/>
        <w:sz w:val="18"/>
        <w:szCs w:val="18"/>
      </w:rPr>
    </w:sdtEndPr>
    <w:sdtContent>
      <w:p w14:paraId="53C606ED" w14:textId="4113F9A1" w:rsidR="00C409E2" w:rsidRPr="001D1C08" w:rsidRDefault="00C409E2" w:rsidP="00D96559">
        <w:pPr>
          <w:pStyle w:val="Footer"/>
          <w:jc w:val="center"/>
          <w:rPr>
            <w:rFonts w:ascii="Times New Roman" w:hAnsi="Times New Roman" w:cs="Times New Roman"/>
            <w:sz w:val="18"/>
            <w:szCs w:val="18"/>
          </w:rPr>
        </w:pPr>
        <w:r w:rsidRPr="001D1C08">
          <w:rPr>
            <w:rFonts w:ascii="Times New Roman" w:hAnsi="Times New Roman" w:cs="Times New Roman"/>
            <w:sz w:val="18"/>
            <w:szCs w:val="18"/>
          </w:rPr>
          <w:fldChar w:fldCharType="begin"/>
        </w:r>
        <w:r w:rsidRPr="001D1C08">
          <w:rPr>
            <w:rFonts w:ascii="Times New Roman" w:hAnsi="Times New Roman" w:cs="Times New Roman"/>
            <w:sz w:val="18"/>
            <w:szCs w:val="18"/>
          </w:rPr>
          <w:instrText xml:space="preserve"> PAGE  \* Arabic  \* MERGEFORMAT </w:instrText>
        </w:r>
        <w:r w:rsidRPr="001D1C08">
          <w:rPr>
            <w:rFonts w:ascii="Times New Roman" w:hAnsi="Times New Roman" w:cs="Times New Roman"/>
            <w:sz w:val="18"/>
            <w:szCs w:val="18"/>
          </w:rPr>
          <w:fldChar w:fldCharType="separate"/>
        </w:r>
        <w:r w:rsidR="004F51D2">
          <w:rPr>
            <w:rFonts w:ascii="Times New Roman" w:hAnsi="Times New Roman" w:cs="Times New Roman"/>
            <w:noProof/>
            <w:sz w:val="18"/>
            <w:szCs w:val="18"/>
          </w:rPr>
          <w:t>39</w:t>
        </w:r>
        <w:r w:rsidRPr="001D1C08">
          <w:rPr>
            <w:rFonts w:ascii="Times New Roman" w:hAnsi="Times New Roman" w:cs="Times New Roman"/>
            <w:sz w:val="18"/>
            <w:szCs w:val="18"/>
          </w:rPr>
          <w:fldChar w:fldCharType="end"/>
        </w:r>
      </w:p>
    </w:sdtContent>
  </w:sdt>
  <w:p w14:paraId="6F049B12" w14:textId="77777777" w:rsidR="00C409E2" w:rsidRPr="000957A3" w:rsidRDefault="00C409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940F20" w14:textId="77777777" w:rsidR="0087765F" w:rsidRPr="000957A3" w:rsidRDefault="0087765F">
      <w:pPr>
        <w:spacing w:after="0" w:line="240" w:lineRule="auto"/>
      </w:pPr>
      <w:r w:rsidRPr="000957A3">
        <w:separator/>
      </w:r>
    </w:p>
  </w:footnote>
  <w:footnote w:type="continuationSeparator" w:id="0">
    <w:p w14:paraId="1D7418A0" w14:textId="77777777" w:rsidR="0087765F" w:rsidRPr="000957A3" w:rsidRDefault="0087765F">
      <w:pPr>
        <w:spacing w:after="0" w:line="240" w:lineRule="auto"/>
      </w:pPr>
      <w:r w:rsidRPr="000957A3">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351836"/>
    <w:multiLevelType w:val="multilevel"/>
    <w:tmpl w:val="1DDAB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164438"/>
    <w:multiLevelType w:val="multilevel"/>
    <w:tmpl w:val="DAB28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12264F"/>
    <w:multiLevelType w:val="hybridMultilevel"/>
    <w:tmpl w:val="23A4A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AE81727"/>
    <w:multiLevelType w:val="multilevel"/>
    <w:tmpl w:val="F0DE106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6C444E74"/>
    <w:multiLevelType w:val="multilevel"/>
    <w:tmpl w:val="FAF88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8F64B80"/>
    <w:multiLevelType w:val="multilevel"/>
    <w:tmpl w:val="64D26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3"/>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374A"/>
    <w:rsid w:val="00002DB2"/>
    <w:rsid w:val="00005EF9"/>
    <w:rsid w:val="00006309"/>
    <w:rsid w:val="00006DE7"/>
    <w:rsid w:val="000075AA"/>
    <w:rsid w:val="00007B14"/>
    <w:rsid w:val="00010840"/>
    <w:rsid w:val="000127D3"/>
    <w:rsid w:val="00013E9C"/>
    <w:rsid w:val="00022B2E"/>
    <w:rsid w:val="000238DC"/>
    <w:rsid w:val="000274E4"/>
    <w:rsid w:val="000326B9"/>
    <w:rsid w:val="000326F1"/>
    <w:rsid w:val="00032798"/>
    <w:rsid w:val="000328C0"/>
    <w:rsid w:val="00032D68"/>
    <w:rsid w:val="00032F31"/>
    <w:rsid w:val="00036EE2"/>
    <w:rsid w:val="00046EED"/>
    <w:rsid w:val="00053587"/>
    <w:rsid w:val="0005548C"/>
    <w:rsid w:val="000556CB"/>
    <w:rsid w:val="00056815"/>
    <w:rsid w:val="00056EDF"/>
    <w:rsid w:val="00057009"/>
    <w:rsid w:val="00057302"/>
    <w:rsid w:val="00061E60"/>
    <w:rsid w:val="000632FD"/>
    <w:rsid w:val="00067455"/>
    <w:rsid w:val="00071CE7"/>
    <w:rsid w:val="00071DC7"/>
    <w:rsid w:val="00072F5B"/>
    <w:rsid w:val="00073549"/>
    <w:rsid w:val="00074BD8"/>
    <w:rsid w:val="00075F1B"/>
    <w:rsid w:val="000804FC"/>
    <w:rsid w:val="00080BA6"/>
    <w:rsid w:val="00082CCB"/>
    <w:rsid w:val="0008465F"/>
    <w:rsid w:val="00085FD5"/>
    <w:rsid w:val="00087CA5"/>
    <w:rsid w:val="000933B7"/>
    <w:rsid w:val="00093EE5"/>
    <w:rsid w:val="000946D4"/>
    <w:rsid w:val="00094921"/>
    <w:rsid w:val="00094929"/>
    <w:rsid w:val="000957A3"/>
    <w:rsid w:val="000970BD"/>
    <w:rsid w:val="000A0960"/>
    <w:rsid w:val="000A1231"/>
    <w:rsid w:val="000A153B"/>
    <w:rsid w:val="000A58D2"/>
    <w:rsid w:val="000A5AEA"/>
    <w:rsid w:val="000A79CA"/>
    <w:rsid w:val="000B2022"/>
    <w:rsid w:val="000B3BC7"/>
    <w:rsid w:val="000B56C1"/>
    <w:rsid w:val="000B74B4"/>
    <w:rsid w:val="000C138C"/>
    <w:rsid w:val="000C148C"/>
    <w:rsid w:val="000C166C"/>
    <w:rsid w:val="000C5978"/>
    <w:rsid w:val="000C7826"/>
    <w:rsid w:val="000D0ED5"/>
    <w:rsid w:val="000D2CEF"/>
    <w:rsid w:val="000D429C"/>
    <w:rsid w:val="000D5216"/>
    <w:rsid w:val="000D60BE"/>
    <w:rsid w:val="000D6705"/>
    <w:rsid w:val="000D79D7"/>
    <w:rsid w:val="000D79D9"/>
    <w:rsid w:val="000E33AB"/>
    <w:rsid w:val="000E3E15"/>
    <w:rsid w:val="000E5AE8"/>
    <w:rsid w:val="000E647C"/>
    <w:rsid w:val="000E659F"/>
    <w:rsid w:val="000F07D7"/>
    <w:rsid w:val="000F24B5"/>
    <w:rsid w:val="000F48FA"/>
    <w:rsid w:val="000F51AD"/>
    <w:rsid w:val="000F5923"/>
    <w:rsid w:val="000F5C79"/>
    <w:rsid w:val="000F64A9"/>
    <w:rsid w:val="00100F88"/>
    <w:rsid w:val="00102BAC"/>
    <w:rsid w:val="00104CBD"/>
    <w:rsid w:val="00105ECB"/>
    <w:rsid w:val="00106BFC"/>
    <w:rsid w:val="00106EAE"/>
    <w:rsid w:val="00111489"/>
    <w:rsid w:val="00113900"/>
    <w:rsid w:val="00114B72"/>
    <w:rsid w:val="0011581F"/>
    <w:rsid w:val="00115A00"/>
    <w:rsid w:val="00115E1F"/>
    <w:rsid w:val="00117D99"/>
    <w:rsid w:val="00120E39"/>
    <w:rsid w:val="001239F8"/>
    <w:rsid w:val="00126AC3"/>
    <w:rsid w:val="0012709E"/>
    <w:rsid w:val="00130499"/>
    <w:rsid w:val="00130B32"/>
    <w:rsid w:val="0013100E"/>
    <w:rsid w:val="0013126F"/>
    <w:rsid w:val="00131D48"/>
    <w:rsid w:val="001323ED"/>
    <w:rsid w:val="00132CF6"/>
    <w:rsid w:val="001334DD"/>
    <w:rsid w:val="00133EBC"/>
    <w:rsid w:val="001354B8"/>
    <w:rsid w:val="0013577A"/>
    <w:rsid w:val="001358D3"/>
    <w:rsid w:val="00136197"/>
    <w:rsid w:val="001375AB"/>
    <w:rsid w:val="001414A7"/>
    <w:rsid w:val="00143F6E"/>
    <w:rsid w:val="0014494F"/>
    <w:rsid w:val="00145962"/>
    <w:rsid w:val="00145D4B"/>
    <w:rsid w:val="00147799"/>
    <w:rsid w:val="00150361"/>
    <w:rsid w:val="001523E8"/>
    <w:rsid w:val="00152835"/>
    <w:rsid w:val="001534F9"/>
    <w:rsid w:val="00153B70"/>
    <w:rsid w:val="001575B5"/>
    <w:rsid w:val="00162132"/>
    <w:rsid w:val="00164392"/>
    <w:rsid w:val="00167E94"/>
    <w:rsid w:val="00170C2E"/>
    <w:rsid w:val="00171855"/>
    <w:rsid w:val="00172042"/>
    <w:rsid w:val="001721DD"/>
    <w:rsid w:val="001727A8"/>
    <w:rsid w:val="00174514"/>
    <w:rsid w:val="00175498"/>
    <w:rsid w:val="00175A26"/>
    <w:rsid w:val="00175DAF"/>
    <w:rsid w:val="00181670"/>
    <w:rsid w:val="00182418"/>
    <w:rsid w:val="00182B10"/>
    <w:rsid w:val="00184702"/>
    <w:rsid w:val="001849B2"/>
    <w:rsid w:val="00185405"/>
    <w:rsid w:val="00185B85"/>
    <w:rsid w:val="00186EC2"/>
    <w:rsid w:val="0018702A"/>
    <w:rsid w:val="001905C1"/>
    <w:rsid w:val="00191709"/>
    <w:rsid w:val="00191FB3"/>
    <w:rsid w:val="00192003"/>
    <w:rsid w:val="00192071"/>
    <w:rsid w:val="00193891"/>
    <w:rsid w:val="001944B6"/>
    <w:rsid w:val="00194B7E"/>
    <w:rsid w:val="001A2044"/>
    <w:rsid w:val="001A3BEE"/>
    <w:rsid w:val="001A40CF"/>
    <w:rsid w:val="001A48C2"/>
    <w:rsid w:val="001A5FCC"/>
    <w:rsid w:val="001A625C"/>
    <w:rsid w:val="001A7503"/>
    <w:rsid w:val="001B32D6"/>
    <w:rsid w:val="001B6B94"/>
    <w:rsid w:val="001B7D9A"/>
    <w:rsid w:val="001C00B4"/>
    <w:rsid w:val="001C0793"/>
    <w:rsid w:val="001C0AA7"/>
    <w:rsid w:val="001C0D64"/>
    <w:rsid w:val="001C0E05"/>
    <w:rsid w:val="001C16B2"/>
    <w:rsid w:val="001C1ADF"/>
    <w:rsid w:val="001C2322"/>
    <w:rsid w:val="001C2A15"/>
    <w:rsid w:val="001C2F05"/>
    <w:rsid w:val="001C51F9"/>
    <w:rsid w:val="001C562E"/>
    <w:rsid w:val="001C752E"/>
    <w:rsid w:val="001D00D4"/>
    <w:rsid w:val="001D1C08"/>
    <w:rsid w:val="001D1CD0"/>
    <w:rsid w:val="001D4FB9"/>
    <w:rsid w:val="001D6878"/>
    <w:rsid w:val="001D737B"/>
    <w:rsid w:val="001E1004"/>
    <w:rsid w:val="001E2B6C"/>
    <w:rsid w:val="001E5ACC"/>
    <w:rsid w:val="001F0339"/>
    <w:rsid w:val="001F2363"/>
    <w:rsid w:val="001F49C1"/>
    <w:rsid w:val="001F541B"/>
    <w:rsid w:val="001F5F0B"/>
    <w:rsid w:val="001F6092"/>
    <w:rsid w:val="001F6AD3"/>
    <w:rsid w:val="00200072"/>
    <w:rsid w:val="00204928"/>
    <w:rsid w:val="00204E9A"/>
    <w:rsid w:val="00206282"/>
    <w:rsid w:val="00207805"/>
    <w:rsid w:val="00207912"/>
    <w:rsid w:val="002079B2"/>
    <w:rsid w:val="00211B94"/>
    <w:rsid w:val="00211CF3"/>
    <w:rsid w:val="00211FAD"/>
    <w:rsid w:val="0021244A"/>
    <w:rsid w:val="002124DE"/>
    <w:rsid w:val="0021447A"/>
    <w:rsid w:val="0021654B"/>
    <w:rsid w:val="00220F7F"/>
    <w:rsid w:val="002216AB"/>
    <w:rsid w:val="0022343E"/>
    <w:rsid w:val="00224528"/>
    <w:rsid w:val="00224814"/>
    <w:rsid w:val="00225821"/>
    <w:rsid w:val="00230636"/>
    <w:rsid w:val="00230774"/>
    <w:rsid w:val="00232263"/>
    <w:rsid w:val="0023352D"/>
    <w:rsid w:val="0023544F"/>
    <w:rsid w:val="00236E59"/>
    <w:rsid w:val="0023770F"/>
    <w:rsid w:val="00237A7B"/>
    <w:rsid w:val="00237AA9"/>
    <w:rsid w:val="00237AB2"/>
    <w:rsid w:val="00237BFE"/>
    <w:rsid w:val="0024399B"/>
    <w:rsid w:val="002464AB"/>
    <w:rsid w:val="00246CA6"/>
    <w:rsid w:val="00252000"/>
    <w:rsid w:val="00254C64"/>
    <w:rsid w:val="00256102"/>
    <w:rsid w:val="00256660"/>
    <w:rsid w:val="00256F91"/>
    <w:rsid w:val="0025702A"/>
    <w:rsid w:val="002602D3"/>
    <w:rsid w:val="0026123C"/>
    <w:rsid w:val="00261A11"/>
    <w:rsid w:val="002621E0"/>
    <w:rsid w:val="002631A1"/>
    <w:rsid w:val="0026356E"/>
    <w:rsid w:val="002638D7"/>
    <w:rsid w:val="00264A51"/>
    <w:rsid w:val="00265B5B"/>
    <w:rsid w:val="00266DAC"/>
    <w:rsid w:val="002709D9"/>
    <w:rsid w:val="002733FD"/>
    <w:rsid w:val="00274D6E"/>
    <w:rsid w:val="002750CC"/>
    <w:rsid w:val="0027531F"/>
    <w:rsid w:val="002762D7"/>
    <w:rsid w:val="00280661"/>
    <w:rsid w:val="002815C8"/>
    <w:rsid w:val="00282806"/>
    <w:rsid w:val="00285E32"/>
    <w:rsid w:val="00292359"/>
    <w:rsid w:val="00295412"/>
    <w:rsid w:val="0029699A"/>
    <w:rsid w:val="002975DE"/>
    <w:rsid w:val="002A0E2A"/>
    <w:rsid w:val="002A12D0"/>
    <w:rsid w:val="002A517B"/>
    <w:rsid w:val="002A5C7C"/>
    <w:rsid w:val="002A7FF7"/>
    <w:rsid w:val="002B04CF"/>
    <w:rsid w:val="002B0861"/>
    <w:rsid w:val="002B3A9B"/>
    <w:rsid w:val="002B4935"/>
    <w:rsid w:val="002B507A"/>
    <w:rsid w:val="002B524C"/>
    <w:rsid w:val="002B540E"/>
    <w:rsid w:val="002B6539"/>
    <w:rsid w:val="002B7D21"/>
    <w:rsid w:val="002C1395"/>
    <w:rsid w:val="002C426B"/>
    <w:rsid w:val="002C491A"/>
    <w:rsid w:val="002D2AC0"/>
    <w:rsid w:val="002D699F"/>
    <w:rsid w:val="002D6B1D"/>
    <w:rsid w:val="002E230E"/>
    <w:rsid w:val="002E3D9B"/>
    <w:rsid w:val="002E538D"/>
    <w:rsid w:val="002E5579"/>
    <w:rsid w:val="002E5FB6"/>
    <w:rsid w:val="002F0654"/>
    <w:rsid w:val="002F0D06"/>
    <w:rsid w:val="002F1EFB"/>
    <w:rsid w:val="002F4714"/>
    <w:rsid w:val="002F5879"/>
    <w:rsid w:val="002F6232"/>
    <w:rsid w:val="002F679D"/>
    <w:rsid w:val="002F6834"/>
    <w:rsid w:val="00301D58"/>
    <w:rsid w:val="00303556"/>
    <w:rsid w:val="00305124"/>
    <w:rsid w:val="0030591D"/>
    <w:rsid w:val="00305C15"/>
    <w:rsid w:val="00305C86"/>
    <w:rsid w:val="00306434"/>
    <w:rsid w:val="0030726C"/>
    <w:rsid w:val="0031015C"/>
    <w:rsid w:val="0031035A"/>
    <w:rsid w:val="003105D3"/>
    <w:rsid w:val="00311C43"/>
    <w:rsid w:val="003131BA"/>
    <w:rsid w:val="00317E0E"/>
    <w:rsid w:val="003252A0"/>
    <w:rsid w:val="00326CE1"/>
    <w:rsid w:val="00333AB2"/>
    <w:rsid w:val="00333B23"/>
    <w:rsid w:val="00334055"/>
    <w:rsid w:val="00334E4E"/>
    <w:rsid w:val="00334FA3"/>
    <w:rsid w:val="003359E9"/>
    <w:rsid w:val="00335EA8"/>
    <w:rsid w:val="00336051"/>
    <w:rsid w:val="00336590"/>
    <w:rsid w:val="00336D50"/>
    <w:rsid w:val="0033727E"/>
    <w:rsid w:val="00342189"/>
    <w:rsid w:val="003441E6"/>
    <w:rsid w:val="00344762"/>
    <w:rsid w:val="0034674D"/>
    <w:rsid w:val="00347CA3"/>
    <w:rsid w:val="00351BD6"/>
    <w:rsid w:val="0035237E"/>
    <w:rsid w:val="00353C0F"/>
    <w:rsid w:val="00354704"/>
    <w:rsid w:val="0035499F"/>
    <w:rsid w:val="00354CF1"/>
    <w:rsid w:val="00355F62"/>
    <w:rsid w:val="003574D1"/>
    <w:rsid w:val="003613D7"/>
    <w:rsid w:val="00362AB3"/>
    <w:rsid w:val="00365BD8"/>
    <w:rsid w:val="00366AFD"/>
    <w:rsid w:val="00367EDF"/>
    <w:rsid w:val="003702A4"/>
    <w:rsid w:val="003724DD"/>
    <w:rsid w:val="003725CF"/>
    <w:rsid w:val="0037287B"/>
    <w:rsid w:val="003734BB"/>
    <w:rsid w:val="00374E32"/>
    <w:rsid w:val="00375490"/>
    <w:rsid w:val="00375C58"/>
    <w:rsid w:val="00383ADA"/>
    <w:rsid w:val="00383CB7"/>
    <w:rsid w:val="00385D27"/>
    <w:rsid w:val="00385F4A"/>
    <w:rsid w:val="0039306C"/>
    <w:rsid w:val="0039439D"/>
    <w:rsid w:val="00394A60"/>
    <w:rsid w:val="00394E74"/>
    <w:rsid w:val="00395150"/>
    <w:rsid w:val="00395152"/>
    <w:rsid w:val="00395F85"/>
    <w:rsid w:val="003967D8"/>
    <w:rsid w:val="003A0862"/>
    <w:rsid w:val="003A0D59"/>
    <w:rsid w:val="003A2437"/>
    <w:rsid w:val="003A69A4"/>
    <w:rsid w:val="003B1445"/>
    <w:rsid w:val="003B27EC"/>
    <w:rsid w:val="003B526C"/>
    <w:rsid w:val="003B5E18"/>
    <w:rsid w:val="003C38E8"/>
    <w:rsid w:val="003C6456"/>
    <w:rsid w:val="003C74D9"/>
    <w:rsid w:val="003D1A86"/>
    <w:rsid w:val="003D58E1"/>
    <w:rsid w:val="003D6B7B"/>
    <w:rsid w:val="003D7256"/>
    <w:rsid w:val="003D7545"/>
    <w:rsid w:val="003E15E5"/>
    <w:rsid w:val="003E1F44"/>
    <w:rsid w:val="003E27F5"/>
    <w:rsid w:val="003E364D"/>
    <w:rsid w:val="003E387F"/>
    <w:rsid w:val="003E3E34"/>
    <w:rsid w:val="003E467B"/>
    <w:rsid w:val="003E4FAF"/>
    <w:rsid w:val="003E6154"/>
    <w:rsid w:val="003E79D9"/>
    <w:rsid w:val="003F1797"/>
    <w:rsid w:val="003F1F81"/>
    <w:rsid w:val="003F41C7"/>
    <w:rsid w:val="003F693B"/>
    <w:rsid w:val="004043A4"/>
    <w:rsid w:val="0040589D"/>
    <w:rsid w:val="00405CEA"/>
    <w:rsid w:val="0041435C"/>
    <w:rsid w:val="0041665F"/>
    <w:rsid w:val="004205F1"/>
    <w:rsid w:val="00420784"/>
    <w:rsid w:val="00422BA2"/>
    <w:rsid w:val="00423C9C"/>
    <w:rsid w:val="00424381"/>
    <w:rsid w:val="0042672D"/>
    <w:rsid w:val="00426DC8"/>
    <w:rsid w:val="00430587"/>
    <w:rsid w:val="00430C80"/>
    <w:rsid w:val="00433E6B"/>
    <w:rsid w:val="00436446"/>
    <w:rsid w:val="004365E3"/>
    <w:rsid w:val="004377BE"/>
    <w:rsid w:val="004402BE"/>
    <w:rsid w:val="0044120E"/>
    <w:rsid w:val="00443964"/>
    <w:rsid w:val="00447667"/>
    <w:rsid w:val="004476B0"/>
    <w:rsid w:val="0045089B"/>
    <w:rsid w:val="004509C2"/>
    <w:rsid w:val="00452B41"/>
    <w:rsid w:val="00454332"/>
    <w:rsid w:val="00455307"/>
    <w:rsid w:val="00455C1D"/>
    <w:rsid w:val="0045744C"/>
    <w:rsid w:val="00460205"/>
    <w:rsid w:val="004714E8"/>
    <w:rsid w:val="00472F58"/>
    <w:rsid w:val="004752D5"/>
    <w:rsid w:val="004757F9"/>
    <w:rsid w:val="004764E1"/>
    <w:rsid w:val="004812FA"/>
    <w:rsid w:val="004815D4"/>
    <w:rsid w:val="004848C1"/>
    <w:rsid w:val="00484A4C"/>
    <w:rsid w:val="00484EEE"/>
    <w:rsid w:val="00490DDE"/>
    <w:rsid w:val="004910A5"/>
    <w:rsid w:val="00491D69"/>
    <w:rsid w:val="00492766"/>
    <w:rsid w:val="0049359C"/>
    <w:rsid w:val="00494415"/>
    <w:rsid w:val="00496831"/>
    <w:rsid w:val="004A2712"/>
    <w:rsid w:val="004A2935"/>
    <w:rsid w:val="004A648F"/>
    <w:rsid w:val="004A7284"/>
    <w:rsid w:val="004A7D5D"/>
    <w:rsid w:val="004B2BF4"/>
    <w:rsid w:val="004B2CB2"/>
    <w:rsid w:val="004B40A3"/>
    <w:rsid w:val="004B726B"/>
    <w:rsid w:val="004C11E9"/>
    <w:rsid w:val="004C128A"/>
    <w:rsid w:val="004C1822"/>
    <w:rsid w:val="004C1ACE"/>
    <w:rsid w:val="004C2644"/>
    <w:rsid w:val="004C2BE3"/>
    <w:rsid w:val="004C336B"/>
    <w:rsid w:val="004C4111"/>
    <w:rsid w:val="004C417B"/>
    <w:rsid w:val="004C5AC6"/>
    <w:rsid w:val="004C7974"/>
    <w:rsid w:val="004D039F"/>
    <w:rsid w:val="004D20AA"/>
    <w:rsid w:val="004D2B3A"/>
    <w:rsid w:val="004D3BBB"/>
    <w:rsid w:val="004D6CA3"/>
    <w:rsid w:val="004E1615"/>
    <w:rsid w:val="004E1DD7"/>
    <w:rsid w:val="004E2ED1"/>
    <w:rsid w:val="004E3216"/>
    <w:rsid w:val="004E4E2B"/>
    <w:rsid w:val="004E5EFE"/>
    <w:rsid w:val="004E6556"/>
    <w:rsid w:val="004E7B1E"/>
    <w:rsid w:val="004F199E"/>
    <w:rsid w:val="004F2AE4"/>
    <w:rsid w:val="004F2DA4"/>
    <w:rsid w:val="004F51D2"/>
    <w:rsid w:val="004F6311"/>
    <w:rsid w:val="004F6634"/>
    <w:rsid w:val="00501926"/>
    <w:rsid w:val="00501DDF"/>
    <w:rsid w:val="005035AA"/>
    <w:rsid w:val="0050433B"/>
    <w:rsid w:val="0050723C"/>
    <w:rsid w:val="0051134B"/>
    <w:rsid w:val="00513ACE"/>
    <w:rsid w:val="00513F75"/>
    <w:rsid w:val="00516009"/>
    <w:rsid w:val="00517BB4"/>
    <w:rsid w:val="00520238"/>
    <w:rsid w:val="00525AE4"/>
    <w:rsid w:val="00527158"/>
    <w:rsid w:val="005272D9"/>
    <w:rsid w:val="00527C03"/>
    <w:rsid w:val="00531EFE"/>
    <w:rsid w:val="00532347"/>
    <w:rsid w:val="005334F2"/>
    <w:rsid w:val="0053387F"/>
    <w:rsid w:val="0053438D"/>
    <w:rsid w:val="005351CB"/>
    <w:rsid w:val="00535FE4"/>
    <w:rsid w:val="00536403"/>
    <w:rsid w:val="0053645E"/>
    <w:rsid w:val="00536762"/>
    <w:rsid w:val="00540964"/>
    <w:rsid w:val="0054124F"/>
    <w:rsid w:val="00541B04"/>
    <w:rsid w:val="0054771B"/>
    <w:rsid w:val="005477B0"/>
    <w:rsid w:val="00547917"/>
    <w:rsid w:val="0055277D"/>
    <w:rsid w:val="00552BAF"/>
    <w:rsid w:val="00552FD5"/>
    <w:rsid w:val="00553107"/>
    <w:rsid w:val="00553BC2"/>
    <w:rsid w:val="00554D68"/>
    <w:rsid w:val="00562744"/>
    <w:rsid w:val="00563896"/>
    <w:rsid w:val="00563997"/>
    <w:rsid w:val="00564851"/>
    <w:rsid w:val="005657F0"/>
    <w:rsid w:val="005672D0"/>
    <w:rsid w:val="00567512"/>
    <w:rsid w:val="00570409"/>
    <w:rsid w:val="00572B5A"/>
    <w:rsid w:val="00573F0B"/>
    <w:rsid w:val="005750AB"/>
    <w:rsid w:val="005755FB"/>
    <w:rsid w:val="00576943"/>
    <w:rsid w:val="005805E5"/>
    <w:rsid w:val="00583E63"/>
    <w:rsid w:val="005849B9"/>
    <w:rsid w:val="00584D9C"/>
    <w:rsid w:val="0058761D"/>
    <w:rsid w:val="00590A33"/>
    <w:rsid w:val="005934AA"/>
    <w:rsid w:val="00594565"/>
    <w:rsid w:val="005964D5"/>
    <w:rsid w:val="00596E5F"/>
    <w:rsid w:val="005977B0"/>
    <w:rsid w:val="005A23EC"/>
    <w:rsid w:val="005A5B1B"/>
    <w:rsid w:val="005A5F1E"/>
    <w:rsid w:val="005B0581"/>
    <w:rsid w:val="005B08D3"/>
    <w:rsid w:val="005B3148"/>
    <w:rsid w:val="005B3F38"/>
    <w:rsid w:val="005B4174"/>
    <w:rsid w:val="005B4B49"/>
    <w:rsid w:val="005B53C0"/>
    <w:rsid w:val="005C1C1A"/>
    <w:rsid w:val="005C2145"/>
    <w:rsid w:val="005C2A99"/>
    <w:rsid w:val="005C5DCD"/>
    <w:rsid w:val="005D078C"/>
    <w:rsid w:val="005D1496"/>
    <w:rsid w:val="005E2CD3"/>
    <w:rsid w:val="005E639F"/>
    <w:rsid w:val="005E6871"/>
    <w:rsid w:val="005E6C98"/>
    <w:rsid w:val="005E6F48"/>
    <w:rsid w:val="005E7738"/>
    <w:rsid w:val="005E7756"/>
    <w:rsid w:val="005F0173"/>
    <w:rsid w:val="005F4196"/>
    <w:rsid w:val="005F44C7"/>
    <w:rsid w:val="005F6F3F"/>
    <w:rsid w:val="005F7437"/>
    <w:rsid w:val="00602F80"/>
    <w:rsid w:val="006044B8"/>
    <w:rsid w:val="00605E16"/>
    <w:rsid w:val="00612398"/>
    <w:rsid w:val="006146E8"/>
    <w:rsid w:val="00617307"/>
    <w:rsid w:val="00617A6D"/>
    <w:rsid w:val="00617FB6"/>
    <w:rsid w:val="006211E8"/>
    <w:rsid w:val="00621F46"/>
    <w:rsid w:val="0062689B"/>
    <w:rsid w:val="00627318"/>
    <w:rsid w:val="00627953"/>
    <w:rsid w:val="00635F78"/>
    <w:rsid w:val="0063676E"/>
    <w:rsid w:val="00641625"/>
    <w:rsid w:val="00641CB2"/>
    <w:rsid w:val="00642555"/>
    <w:rsid w:val="006426E5"/>
    <w:rsid w:val="00643ABF"/>
    <w:rsid w:val="00643F13"/>
    <w:rsid w:val="0064537B"/>
    <w:rsid w:val="0064583E"/>
    <w:rsid w:val="006533FB"/>
    <w:rsid w:val="006537CC"/>
    <w:rsid w:val="00654BFB"/>
    <w:rsid w:val="00655A21"/>
    <w:rsid w:val="006562D4"/>
    <w:rsid w:val="006576E8"/>
    <w:rsid w:val="00661415"/>
    <w:rsid w:val="00665CD6"/>
    <w:rsid w:val="00666D52"/>
    <w:rsid w:val="00667594"/>
    <w:rsid w:val="00670A96"/>
    <w:rsid w:val="006711F0"/>
    <w:rsid w:val="006715F1"/>
    <w:rsid w:val="00671913"/>
    <w:rsid w:val="00671AAB"/>
    <w:rsid w:val="0067274C"/>
    <w:rsid w:val="00673B41"/>
    <w:rsid w:val="00673C9E"/>
    <w:rsid w:val="00673DFC"/>
    <w:rsid w:val="00673FBD"/>
    <w:rsid w:val="0067466A"/>
    <w:rsid w:val="006802FF"/>
    <w:rsid w:val="00682262"/>
    <w:rsid w:val="00682E71"/>
    <w:rsid w:val="006840E4"/>
    <w:rsid w:val="006845FF"/>
    <w:rsid w:val="006856AA"/>
    <w:rsid w:val="0068666E"/>
    <w:rsid w:val="00690946"/>
    <w:rsid w:val="0069425D"/>
    <w:rsid w:val="006954DB"/>
    <w:rsid w:val="0069593B"/>
    <w:rsid w:val="006967C1"/>
    <w:rsid w:val="00696C48"/>
    <w:rsid w:val="006976CA"/>
    <w:rsid w:val="006A0107"/>
    <w:rsid w:val="006A0570"/>
    <w:rsid w:val="006A0BCF"/>
    <w:rsid w:val="006A1260"/>
    <w:rsid w:val="006A6057"/>
    <w:rsid w:val="006A7EE6"/>
    <w:rsid w:val="006B37BD"/>
    <w:rsid w:val="006B6BFE"/>
    <w:rsid w:val="006B7064"/>
    <w:rsid w:val="006B71ED"/>
    <w:rsid w:val="006C4D6C"/>
    <w:rsid w:val="006C542F"/>
    <w:rsid w:val="006C5588"/>
    <w:rsid w:val="006C6B8F"/>
    <w:rsid w:val="006C78E7"/>
    <w:rsid w:val="006D0943"/>
    <w:rsid w:val="006D0E57"/>
    <w:rsid w:val="006D1960"/>
    <w:rsid w:val="006D36E4"/>
    <w:rsid w:val="006D481F"/>
    <w:rsid w:val="006D4851"/>
    <w:rsid w:val="006E1D81"/>
    <w:rsid w:val="006E2205"/>
    <w:rsid w:val="006E4F87"/>
    <w:rsid w:val="006E59C2"/>
    <w:rsid w:val="006E6E4F"/>
    <w:rsid w:val="006E7657"/>
    <w:rsid w:val="006F0EA8"/>
    <w:rsid w:val="006F253B"/>
    <w:rsid w:val="006F3073"/>
    <w:rsid w:val="006F31B3"/>
    <w:rsid w:val="006F382B"/>
    <w:rsid w:val="006F4159"/>
    <w:rsid w:val="006F4A86"/>
    <w:rsid w:val="006F6BC4"/>
    <w:rsid w:val="00700B42"/>
    <w:rsid w:val="0070300D"/>
    <w:rsid w:val="007041E4"/>
    <w:rsid w:val="0070557D"/>
    <w:rsid w:val="00705859"/>
    <w:rsid w:val="007067AA"/>
    <w:rsid w:val="007103F9"/>
    <w:rsid w:val="00710581"/>
    <w:rsid w:val="00710D93"/>
    <w:rsid w:val="00712D8C"/>
    <w:rsid w:val="007131FB"/>
    <w:rsid w:val="00715999"/>
    <w:rsid w:val="00717075"/>
    <w:rsid w:val="007201E7"/>
    <w:rsid w:val="00720A93"/>
    <w:rsid w:val="00721234"/>
    <w:rsid w:val="00721FEF"/>
    <w:rsid w:val="00726125"/>
    <w:rsid w:val="00726AF9"/>
    <w:rsid w:val="007270B3"/>
    <w:rsid w:val="00727BE7"/>
    <w:rsid w:val="0073218C"/>
    <w:rsid w:val="0073231A"/>
    <w:rsid w:val="00737A10"/>
    <w:rsid w:val="00742B97"/>
    <w:rsid w:val="00743031"/>
    <w:rsid w:val="00744606"/>
    <w:rsid w:val="00744879"/>
    <w:rsid w:val="0074511B"/>
    <w:rsid w:val="00750BF3"/>
    <w:rsid w:val="00751B09"/>
    <w:rsid w:val="00752976"/>
    <w:rsid w:val="00755EDB"/>
    <w:rsid w:val="007569B3"/>
    <w:rsid w:val="00756AC2"/>
    <w:rsid w:val="00760E2F"/>
    <w:rsid w:val="00766BCA"/>
    <w:rsid w:val="00766D40"/>
    <w:rsid w:val="007675B9"/>
    <w:rsid w:val="007679D2"/>
    <w:rsid w:val="007700B8"/>
    <w:rsid w:val="0077069A"/>
    <w:rsid w:val="00770836"/>
    <w:rsid w:val="007727A8"/>
    <w:rsid w:val="00773F8E"/>
    <w:rsid w:val="007753A0"/>
    <w:rsid w:val="0077604C"/>
    <w:rsid w:val="00776CAD"/>
    <w:rsid w:val="00777982"/>
    <w:rsid w:val="00780A0E"/>
    <w:rsid w:val="00780F00"/>
    <w:rsid w:val="007817E9"/>
    <w:rsid w:val="00783D18"/>
    <w:rsid w:val="007855D7"/>
    <w:rsid w:val="00786791"/>
    <w:rsid w:val="00786913"/>
    <w:rsid w:val="00787343"/>
    <w:rsid w:val="00787C5D"/>
    <w:rsid w:val="00787C79"/>
    <w:rsid w:val="0079158A"/>
    <w:rsid w:val="007915E9"/>
    <w:rsid w:val="00791E76"/>
    <w:rsid w:val="007944D3"/>
    <w:rsid w:val="007A00BE"/>
    <w:rsid w:val="007A07C5"/>
    <w:rsid w:val="007A24D2"/>
    <w:rsid w:val="007A2840"/>
    <w:rsid w:val="007A54BB"/>
    <w:rsid w:val="007A54F1"/>
    <w:rsid w:val="007A7679"/>
    <w:rsid w:val="007A7EDD"/>
    <w:rsid w:val="007B0E19"/>
    <w:rsid w:val="007B27C0"/>
    <w:rsid w:val="007B27C5"/>
    <w:rsid w:val="007B2B1E"/>
    <w:rsid w:val="007B3622"/>
    <w:rsid w:val="007B46B1"/>
    <w:rsid w:val="007B5FCA"/>
    <w:rsid w:val="007C2D24"/>
    <w:rsid w:val="007C4780"/>
    <w:rsid w:val="007C6232"/>
    <w:rsid w:val="007C68F5"/>
    <w:rsid w:val="007C7A9B"/>
    <w:rsid w:val="007D1ECA"/>
    <w:rsid w:val="007D4A01"/>
    <w:rsid w:val="007E04AD"/>
    <w:rsid w:val="007E074F"/>
    <w:rsid w:val="007E0A3C"/>
    <w:rsid w:val="007E2617"/>
    <w:rsid w:val="007E2DFF"/>
    <w:rsid w:val="007E31BD"/>
    <w:rsid w:val="007E384B"/>
    <w:rsid w:val="007E3991"/>
    <w:rsid w:val="007E47D2"/>
    <w:rsid w:val="007E6544"/>
    <w:rsid w:val="007E78C6"/>
    <w:rsid w:val="007E78EB"/>
    <w:rsid w:val="007F1A58"/>
    <w:rsid w:val="007F1F2A"/>
    <w:rsid w:val="007F21BD"/>
    <w:rsid w:val="007F2412"/>
    <w:rsid w:val="007F776F"/>
    <w:rsid w:val="00800F36"/>
    <w:rsid w:val="00801538"/>
    <w:rsid w:val="00801FDC"/>
    <w:rsid w:val="008023F4"/>
    <w:rsid w:val="00803207"/>
    <w:rsid w:val="00803B86"/>
    <w:rsid w:val="008048EA"/>
    <w:rsid w:val="008060C0"/>
    <w:rsid w:val="008064BC"/>
    <w:rsid w:val="008064F7"/>
    <w:rsid w:val="00806FD3"/>
    <w:rsid w:val="00810A3B"/>
    <w:rsid w:val="008115FF"/>
    <w:rsid w:val="00811F8A"/>
    <w:rsid w:val="008137C0"/>
    <w:rsid w:val="00814043"/>
    <w:rsid w:val="008149AB"/>
    <w:rsid w:val="0081594A"/>
    <w:rsid w:val="0081734A"/>
    <w:rsid w:val="00821F5F"/>
    <w:rsid w:val="00822519"/>
    <w:rsid w:val="0082272A"/>
    <w:rsid w:val="00823F00"/>
    <w:rsid w:val="008251E3"/>
    <w:rsid w:val="008257DA"/>
    <w:rsid w:val="008264B8"/>
    <w:rsid w:val="00827A06"/>
    <w:rsid w:val="008327A5"/>
    <w:rsid w:val="008333EC"/>
    <w:rsid w:val="00834955"/>
    <w:rsid w:val="008407EB"/>
    <w:rsid w:val="00842EE6"/>
    <w:rsid w:val="00844A18"/>
    <w:rsid w:val="00847209"/>
    <w:rsid w:val="00851651"/>
    <w:rsid w:val="0085185A"/>
    <w:rsid w:val="008529D0"/>
    <w:rsid w:val="008549E8"/>
    <w:rsid w:val="00855760"/>
    <w:rsid w:val="00857230"/>
    <w:rsid w:val="00860555"/>
    <w:rsid w:val="00861E7F"/>
    <w:rsid w:val="008620D1"/>
    <w:rsid w:val="00862524"/>
    <w:rsid w:val="008641BF"/>
    <w:rsid w:val="008644B9"/>
    <w:rsid w:val="00865A3F"/>
    <w:rsid w:val="008661C9"/>
    <w:rsid w:val="008705C9"/>
    <w:rsid w:val="008717CD"/>
    <w:rsid w:val="0087756D"/>
    <w:rsid w:val="0087765F"/>
    <w:rsid w:val="00877680"/>
    <w:rsid w:val="0088026B"/>
    <w:rsid w:val="008827C6"/>
    <w:rsid w:val="00882BBB"/>
    <w:rsid w:val="00883361"/>
    <w:rsid w:val="00884ACB"/>
    <w:rsid w:val="0088504B"/>
    <w:rsid w:val="00885BD7"/>
    <w:rsid w:val="00886CD2"/>
    <w:rsid w:val="00886D2B"/>
    <w:rsid w:val="00886EBB"/>
    <w:rsid w:val="00887A75"/>
    <w:rsid w:val="0089056F"/>
    <w:rsid w:val="00890FD9"/>
    <w:rsid w:val="0089178E"/>
    <w:rsid w:val="00891C5E"/>
    <w:rsid w:val="00893317"/>
    <w:rsid w:val="008942EB"/>
    <w:rsid w:val="008A0DF8"/>
    <w:rsid w:val="008A0EB0"/>
    <w:rsid w:val="008A155A"/>
    <w:rsid w:val="008A15D2"/>
    <w:rsid w:val="008A2FC8"/>
    <w:rsid w:val="008A3787"/>
    <w:rsid w:val="008A3B01"/>
    <w:rsid w:val="008A5F05"/>
    <w:rsid w:val="008B2031"/>
    <w:rsid w:val="008B2308"/>
    <w:rsid w:val="008B4C95"/>
    <w:rsid w:val="008C0385"/>
    <w:rsid w:val="008C0E10"/>
    <w:rsid w:val="008C1A80"/>
    <w:rsid w:val="008C1DF8"/>
    <w:rsid w:val="008C2036"/>
    <w:rsid w:val="008C374A"/>
    <w:rsid w:val="008C37B5"/>
    <w:rsid w:val="008C4E2F"/>
    <w:rsid w:val="008C6326"/>
    <w:rsid w:val="008C6B68"/>
    <w:rsid w:val="008D03DB"/>
    <w:rsid w:val="008D22C5"/>
    <w:rsid w:val="008D237E"/>
    <w:rsid w:val="008D372B"/>
    <w:rsid w:val="008D3D41"/>
    <w:rsid w:val="008D445F"/>
    <w:rsid w:val="008D4749"/>
    <w:rsid w:val="008D76A1"/>
    <w:rsid w:val="008D797C"/>
    <w:rsid w:val="008E0AA8"/>
    <w:rsid w:val="008E1AC3"/>
    <w:rsid w:val="008E3B7F"/>
    <w:rsid w:val="008E4CA3"/>
    <w:rsid w:val="008E5547"/>
    <w:rsid w:val="008F05FE"/>
    <w:rsid w:val="008F1648"/>
    <w:rsid w:val="008F1B16"/>
    <w:rsid w:val="008F33EB"/>
    <w:rsid w:val="008F4FE7"/>
    <w:rsid w:val="008F522F"/>
    <w:rsid w:val="008F6197"/>
    <w:rsid w:val="0090078E"/>
    <w:rsid w:val="0090161C"/>
    <w:rsid w:val="009054D4"/>
    <w:rsid w:val="00905887"/>
    <w:rsid w:val="00907056"/>
    <w:rsid w:val="00907286"/>
    <w:rsid w:val="00910F79"/>
    <w:rsid w:val="0091170F"/>
    <w:rsid w:val="00913D0D"/>
    <w:rsid w:val="009154D8"/>
    <w:rsid w:val="00915C4E"/>
    <w:rsid w:val="009163DA"/>
    <w:rsid w:val="0091754E"/>
    <w:rsid w:val="00922044"/>
    <w:rsid w:val="00922AE3"/>
    <w:rsid w:val="00923234"/>
    <w:rsid w:val="00924F2A"/>
    <w:rsid w:val="00926479"/>
    <w:rsid w:val="00926DAA"/>
    <w:rsid w:val="00927896"/>
    <w:rsid w:val="009307A5"/>
    <w:rsid w:val="00931DE4"/>
    <w:rsid w:val="00932AA5"/>
    <w:rsid w:val="00936A67"/>
    <w:rsid w:val="009410F3"/>
    <w:rsid w:val="00942076"/>
    <w:rsid w:val="00942443"/>
    <w:rsid w:val="009429DE"/>
    <w:rsid w:val="0094609A"/>
    <w:rsid w:val="009468B3"/>
    <w:rsid w:val="0095113D"/>
    <w:rsid w:val="0095236B"/>
    <w:rsid w:val="009569F7"/>
    <w:rsid w:val="00956B07"/>
    <w:rsid w:val="00957439"/>
    <w:rsid w:val="009579DD"/>
    <w:rsid w:val="00960A22"/>
    <w:rsid w:val="00961796"/>
    <w:rsid w:val="00961905"/>
    <w:rsid w:val="00963FDB"/>
    <w:rsid w:val="00964394"/>
    <w:rsid w:val="00965481"/>
    <w:rsid w:val="00966204"/>
    <w:rsid w:val="009666A1"/>
    <w:rsid w:val="0096683C"/>
    <w:rsid w:val="0097074B"/>
    <w:rsid w:val="00971549"/>
    <w:rsid w:val="00971C39"/>
    <w:rsid w:val="00973CE7"/>
    <w:rsid w:val="00977067"/>
    <w:rsid w:val="00980968"/>
    <w:rsid w:val="00980F56"/>
    <w:rsid w:val="009810E1"/>
    <w:rsid w:val="0098404C"/>
    <w:rsid w:val="009845A6"/>
    <w:rsid w:val="00984AA0"/>
    <w:rsid w:val="00985D9E"/>
    <w:rsid w:val="00987E9A"/>
    <w:rsid w:val="0099075A"/>
    <w:rsid w:val="009954E8"/>
    <w:rsid w:val="0099560B"/>
    <w:rsid w:val="009A10D4"/>
    <w:rsid w:val="009A185D"/>
    <w:rsid w:val="009A374D"/>
    <w:rsid w:val="009A4745"/>
    <w:rsid w:val="009A4FE7"/>
    <w:rsid w:val="009B0BAF"/>
    <w:rsid w:val="009B1087"/>
    <w:rsid w:val="009B1C8A"/>
    <w:rsid w:val="009B3EAA"/>
    <w:rsid w:val="009B653A"/>
    <w:rsid w:val="009C0C20"/>
    <w:rsid w:val="009C2EFD"/>
    <w:rsid w:val="009C53E9"/>
    <w:rsid w:val="009D0DC9"/>
    <w:rsid w:val="009D1D77"/>
    <w:rsid w:val="009D2CD7"/>
    <w:rsid w:val="009D3E9F"/>
    <w:rsid w:val="009D50B9"/>
    <w:rsid w:val="009D6B81"/>
    <w:rsid w:val="009E1292"/>
    <w:rsid w:val="009E21E7"/>
    <w:rsid w:val="009E50F5"/>
    <w:rsid w:val="009E6442"/>
    <w:rsid w:val="009E7280"/>
    <w:rsid w:val="009F0354"/>
    <w:rsid w:val="009F1196"/>
    <w:rsid w:val="009F1FE8"/>
    <w:rsid w:val="009F2CC2"/>
    <w:rsid w:val="009F3423"/>
    <w:rsid w:val="009F3728"/>
    <w:rsid w:val="009F58A0"/>
    <w:rsid w:val="009F75C9"/>
    <w:rsid w:val="00A00B11"/>
    <w:rsid w:val="00A00EB4"/>
    <w:rsid w:val="00A02571"/>
    <w:rsid w:val="00A02BB3"/>
    <w:rsid w:val="00A03907"/>
    <w:rsid w:val="00A04241"/>
    <w:rsid w:val="00A0543A"/>
    <w:rsid w:val="00A079FA"/>
    <w:rsid w:val="00A12746"/>
    <w:rsid w:val="00A14BCB"/>
    <w:rsid w:val="00A21831"/>
    <w:rsid w:val="00A21F47"/>
    <w:rsid w:val="00A229B6"/>
    <w:rsid w:val="00A23B0F"/>
    <w:rsid w:val="00A23F0D"/>
    <w:rsid w:val="00A24CA4"/>
    <w:rsid w:val="00A27358"/>
    <w:rsid w:val="00A2795C"/>
    <w:rsid w:val="00A302AF"/>
    <w:rsid w:val="00A30746"/>
    <w:rsid w:val="00A311B1"/>
    <w:rsid w:val="00A31A28"/>
    <w:rsid w:val="00A3225A"/>
    <w:rsid w:val="00A32EA7"/>
    <w:rsid w:val="00A34BAA"/>
    <w:rsid w:val="00A4047B"/>
    <w:rsid w:val="00A469F2"/>
    <w:rsid w:val="00A46B9B"/>
    <w:rsid w:val="00A47AA4"/>
    <w:rsid w:val="00A502C8"/>
    <w:rsid w:val="00A521D2"/>
    <w:rsid w:val="00A539C9"/>
    <w:rsid w:val="00A542B9"/>
    <w:rsid w:val="00A55AAB"/>
    <w:rsid w:val="00A56259"/>
    <w:rsid w:val="00A56C53"/>
    <w:rsid w:val="00A6223A"/>
    <w:rsid w:val="00A64A45"/>
    <w:rsid w:val="00A650DF"/>
    <w:rsid w:val="00A6522C"/>
    <w:rsid w:val="00A65566"/>
    <w:rsid w:val="00A66283"/>
    <w:rsid w:val="00A7081C"/>
    <w:rsid w:val="00A71E6E"/>
    <w:rsid w:val="00A7216D"/>
    <w:rsid w:val="00A73153"/>
    <w:rsid w:val="00A75587"/>
    <w:rsid w:val="00A777D6"/>
    <w:rsid w:val="00A77B12"/>
    <w:rsid w:val="00A81891"/>
    <w:rsid w:val="00A82374"/>
    <w:rsid w:val="00A84D29"/>
    <w:rsid w:val="00A856CF"/>
    <w:rsid w:val="00A86C9A"/>
    <w:rsid w:val="00A86EE5"/>
    <w:rsid w:val="00A902B8"/>
    <w:rsid w:val="00A90465"/>
    <w:rsid w:val="00A912ED"/>
    <w:rsid w:val="00A91495"/>
    <w:rsid w:val="00A935FF"/>
    <w:rsid w:val="00A95B46"/>
    <w:rsid w:val="00A973BE"/>
    <w:rsid w:val="00AA0106"/>
    <w:rsid w:val="00AA1737"/>
    <w:rsid w:val="00AA223E"/>
    <w:rsid w:val="00AA2B8D"/>
    <w:rsid w:val="00AA3638"/>
    <w:rsid w:val="00AA52E6"/>
    <w:rsid w:val="00AA5AB2"/>
    <w:rsid w:val="00AB0433"/>
    <w:rsid w:val="00AB0B27"/>
    <w:rsid w:val="00AB0E45"/>
    <w:rsid w:val="00AB10B1"/>
    <w:rsid w:val="00AB5573"/>
    <w:rsid w:val="00AB7196"/>
    <w:rsid w:val="00AC0090"/>
    <w:rsid w:val="00AC11C1"/>
    <w:rsid w:val="00AC4082"/>
    <w:rsid w:val="00AC636F"/>
    <w:rsid w:val="00AC7D76"/>
    <w:rsid w:val="00AD00D8"/>
    <w:rsid w:val="00AD0843"/>
    <w:rsid w:val="00AD08A5"/>
    <w:rsid w:val="00AD110A"/>
    <w:rsid w:val="00AD1577"/>
    <w:rsid w:val="00AD2614"/>
    <w:rsid w:val="00AD27CD"/>
    <w:rsid w:val="00AD35D5"/>
    <w:rsid w:val="00AD4AEA"/>
    <w:rsid w:val="00AD5DD2"/>
    <w:rsid w:val="00AD5E1E"/>
    <w:rsid w:val="00AD72C7"/>
    <w:rsid w:val="00AE37A9"/>
    <w:rsid w:val="00AE38CF"/>
    <w:rsid w:val="00AE4E63"/>
    <w:rsid w:val="00AE563F"/>
    <w:rsid w:val="00AE7656"/>
    <w:rsid w:val="00AF0A78"/>
    <w:rsid w:val="00AF1090"/>
    <w:rsid w:val="00AF1702"/>
    <w:rsid w:val="00AF23C0"/>
    <w:rsid w:val="00AF4404"/>
    <w:rsid w:val="00AF46E3"/>
    <w:rsid w:val="00AF7597"/>
    <w:rsid w:val="00B01C39"/>
    <w:rsid w:val="00B055B4"/>
    <w:rsid w:val="00B06C4A"/>
    <w:rsid w:val="00B073CD"/>
    <w:rsid w:val="00B1029F"/>
    <w:rsid w:val="00B10A6E"/>
    <w:rsid w:val="00B10E16"/>
    <w:rsid w:val="00B12959"/>
    <w:rsid w:val="00B1682D"/>
    <w:rsid w:val="00B16B30"/>
    <w:rsid w:val="00B17A45"/>
    <w:rsid w:val="00B210B5"/>
    <w:rsid w:val="00B2277F"/>
    <w:rsid w:val="00B22968"/>
    <w:rsid w:val="00B22999"/>
    <w:rsid w:val="00B22C5B"/>
    <w:rsid w:val="00B22FF9"/>
    <w:rsid w:val="00B233B5"/>
    <w:rsid w:val="00B318FD"/>
    <w:rsid w:val="00B34D01"/>
    <w:rsid w:val="00B369FA"/>
    <w:rsid w:val="00B37CAF"/>
    <w:rsid w:val="00B409F4"/>
    <w:rsid w:val="00B44C8E"/>
    <w:rsid w:val="00B4569F"/>
    <w:rsid w:val="00B45BE4"/>
    <w:rsid w:val="00B45C97"/>
    <w:rsid w:val="00B46241"/>
    <w:rsid w:val="00B505B8"/>
    <w:rsid w:val="00B510A4"/>
    <w:rsid w:val="00B51CEC"/>
    <w:rsid w:val="00B5210C"/>
    <w:rsid w:val="00B5233F"/>
    <w:rsid w:val="00B56AEF"/>
    <w:rsid w:val="00B57D6E"/>
    <w:rsid w:val="00B61F60"/>
    <w:rsid w:val="00B62010"/>
    <w:rsid w:val="00B631CC"/>
    <w:rsid w:val="00B637DD"/>
    <w:rsid w:val="00B66AC7"/>
    <w:rsid w:val="00B677C1"/>
    <w:rsid w:val="00B67CCD"/>
    <w:rsid w:val="00B7081E"/>
    <w:rsid w:val="00B71FD0"/>
    <w:rsid w:val="00B72873"/>
    <w:rsid w:val="00B73785"/>
    <w:rsid w:val="00B7387A"/>
    <w:rsid w:val="00B74592"/>
    <w:rsid w:val="00B8534A"/>
    <w:rsid w:val="00B85C65"/>
    <w:rsid w:val="00B91659"/>
    <w:rsid w:val="00B92660"/>
    <w:rsid w:val="00B932CB"/>
    <w:rsid w:val="00B94702"/>
    <w:rsid w:val="00B97857"/>
    <w:rsid w:val="00B97D33"/>
    <w:rsid w:val="00BA0172"/>
    <w:rsid w:val="00BA07A3"/>
    <w:rsid w:val="00BA21BE"/>
    <w:rsid w:val="00BA2A3C"/>
    <w:rsid w:val="00BA2D52"/>
    <w:rsid w:val="00BA39F8"/>
    <w:rsid w:val="00BA50A1"/>
    <w:rsid w:val="00BA543C"/>
    <w:rsid w:val="00BA6DDB"/>
    <w:rsid w:val="00BB0314"/>
    <w:rsid w:val="00BB0EAF"/>
    <w:rsid w:val="00BB163F"/>
    <w:rsid w:val="00BB21D5"/>
    <w:rsid w:val="00BB43ED"/>
    <w:rsid w:val="00BB5848"/>
    <w:rsid w:val="00BB6764"/>
    <w:rsid w:val="00BB6A67"/>
    <w:rsid w:val="00BC3827"/>
    <w:rsid w:val="00BC415E"/>
    <w:rsid w:val="00BC71E5"/>
    <w:rsid w:val="00BD4059"/>
    <w:rsid w:val="00BD4318"/>
    <w:rsid w:val="00BD4911"/>
    <w:rsid w:val="00BD7D2B"/>
    <w:rsid w:val="00BE053A"/>
    <w:rsid w:val="00BE1398"/>
    <w:rsid w:val="00BE1C43"/>
    <w:rsid w:val="00BE330F"/>
    <w:rsid w:val="00BE461C"/>
    <w:rsid w:val="00BE5324"/>
    <w:rsid w:val="00BE6103"/>
    <w:rsid w:val="00BE7F2B"/>
    <w:rsid w:val="00BF08DB"/>
    <w:rsid w:val="00BF16CD"/>
    <w:rsid w:val="00BF1B4D"/>
    <w:rsid w:val="00BF2206"/>
    <w:rsid w:val="00BF3AC6"/>
    <w:rsid w:val="00BF44B3"/>
    <w:rsid w:val="00C01306"/>
    <w:rsid w:val="00C0181C"/>
    <w:rsid w:val="00C0258E"/>
    <w:rsid w:val="00C02C53"/>
    <w:rsid w:val="00C030C5"/>
    <w:rsid w:val="00C03164"/>
    <w:rsid w:val="00C04D19"/>
    <w:rsid w:val="00C05540"/>
    <w:rsid w:val="00C06FFD"/>
    <w:rsid w:val="00C11660"/>
    <w:rsid w:val="00C1232C"/>
    <w:rsid w:val="00C12CB6"/>
    <w:rsid w:val="00C131C3"/>
    <w:rsid w:val="00C17AD9"/>
    <w:rsid w:val="00C23081"/>
    <w:rsid w:val="00C23B69"/>
    <w:rsid w:val="00C244D7"/>
    <w:rsid w:val="00C24DE0"/>
    <w:rsid w:val="00C26C00"/>
    <w:rsid w:val="00C274B7"/>
    <w:rsid w:val="00C2771E"/>
    <w:rsid w:val="00C27D8A"/>
    <w:rsid w:val="00C314CB"/>
    <w:rsid w:val="00C323B0"/>
    <w:rsid w:val="00C32C88"/>
    <w:rsid w:val="00C33D66"/>
    <w:rsid w:val="00C348FC"/>
    <w:rsid w:val="00C35ED7"/>
    <w:rsid w:val="00C367E3"/>
    <w:rsid w:val="00C36951"/>
    <w:rsid w:val="00C409E2"/>
    <w:rsid w:val="00C42534"/>
    <w:rsid w:val="00C44E20"/>
    <w:rsid w:val="00C46691"/>
    <w:rsid w:val="00C47948"/>
    <w:rsid w:val="00C47CBD"/>
    <w:rsid w:val="00C50A2B"/>
    <w:rsid w:val="00C50B3D"/>
    <w:rsid w:val="00C51272"/>
    <w:rsid w:val="00C520E5"/>
    <w:rsid w:val="00C521E8"/>
    <w:rsid w:val="00C5283A"/>
    <w:rsid w:val="00C52C87"/>
    <w:rsid w:val="00C54043"/>
    <w:rsid w:val="00C56310"/>
    <w:rsid w:val="00C57526"/>
    <w:rsid w:val="00C5758F"/>
    <w:rsid w:val="00C57EE1"/>
    <w:rsid w:val="00C62033"/>
    <w:rsid w:val="00C6504E"/>
    <w:rsid w:val="00C66C0C"/>
    <w:rsid w:val="00C7297A"/>
    <w:rsid w:val="00C72DE3"/>
    <w:rsid w:val="00C731BC"/>
    <w:rsid w:val="00C73AE1"/>
    <w:rsid w:val="00C75A4F"/>
    <w:rsid w:val="00C75B61"/>
    <w:rsid w:val="00C76270"/>
    <w:rsid w:val="00C76C76"/>
    <w:rsid w:val="00C77203"/>
    <w:rsid w:val="00C81197"/>
    <w:rsid w:val="00C82964"/>
    <w:rsid w:val="00C84500"/>
    <w:rsid w:val="00C9053D"/>
    <w:rsid w:val="00C91D3D"/>
    <w:rsid w:val="00C92284"/>
    <w:rsid w:val="00C93FF2"/>
    <w:rsid w:val="00C968FE"/>
    <w:rsid w:val="00C97354"/>
    <w:rsid w:val="00C97D49"/>
    <w:rsid w:val="00CA4BD5"/>
    <w:rsid w:val="00CA5C83"/>
    <w:rsid w:val="00CA6B04"/>
    <w:rsid w:val="00CA6E94"/>
    <w:rsid w:val="00CB032B"/>
    <w:rsid w:val="00CB161F"/>
    <w:rsid w:val="00CB2DF5"/>
    <w:rsid w:val="00CB4D2E"/>
    <w:rsid w:val="00CB5824"/>
    <w:rsid w:val="00CB62EC"/>
    <w:rsid w:val="00CB6E33"/>
    <w:rsid w:val="00CC1264"/>
    <w:rsid w:val="00CC2905"/>
    <w:rsid w:val="00CC2FBC"/>
    <w:rsid w:val="00CC4D91"/>
    <w:rsid w:val="00CD12F6"/>
    <w:rsid w:val="00CD2F6A"/>
    <w:rsid w:val="00CD47DF"/>
    <w:rsid w:val="00CD48C5"/>
    <w:rsid w:val="00CD50E3"/>
    <w:rsid w:val="00CD5348"/>
    <w:rsid w:val="00CE0169"/>
    <w:rsid w:val="00CE02D8"/>
    <w:rsid w:val="00CE25A8"/>
    <w:rsid w:val="00CE4268"/>
    <w:rsid w:val="00CE52EA"/>
    <w:rsid w:val="00CE66B6"/>
    <w:rsid w:val="00CE687F"/>
    <w:rsid w:val="00CF35F6"/>
    <w:rsid w:val="00CF42A3"/>
    <w:rsid w:val="00CF686A"/>
    <w:rsid w:val="00CF7761"/>
    <w:rsid w:val="00D00586"/>
    <w:rsid w:val="00D005B0"/>
    <w:rsid w:val="00D00D98"/>
    <w:rsid w:val="00D01C0E"/>
    <w:rsid w:val="00D02D45"/>
    <w:rsid w:val="00D03724"/>
    <w:rsid w:val="00D12DC0"/>
    <w:rsid w:val="00D138CA"/>
    <w:rsid w:val="00D14B8F"/>
    <w:rsid w:val="00D15CCE"/>
    <w:rsid w:val="00D17485"/>
    <w:rsid w:val="00D1772B"/>
    <w:rsid w:val="00D20F1D"/>
    <w:rsid w:val="00D2492B"/>
    <w:rsid w:val="00D251E1"/>
    <w:rsid w:val="00D259B4"/>
    <w:rsid w:val="00D33B5F"/>
    <w:rsid w:val="00D34A58"/>
    <w:rsid w:val="00D36266"/>
    <w:rsid w:val="00D36C68"/>
    <w:rsid w:val="00D40C3E"/>
    <w:rsid w:val="00D42B2D"/>
    <w:rsid w:val="00D43C92"/>
    <w:rsid w:val="00D44019"/>
    <w:rsid w:val="00D45C71"/>
    <w:rsid w:val="00D50D4D"/>
    <w:rsid w:val="00D51BDB"/>
    <w:rsid w:val="00D534A3"/>
    <w:rsid w:val="00D55631"/>
    <w:rsid w:val="00D57CC8"/>
    <w:rsid w:val="00D57E72"/>
    <w:rsid w:val="00D60319"/>
    <w:rsid w:val="00D60AD9"/>
    <w:rsid w:val="00D60E0E"/>
    <w:rsid w:val="00D616EB"/>
    <w:rsid w:val="00D61FA5"/>
    <w:rsid w:val="00D62F3C"/>
    <w:rsid w:val="00D63622"/>
    <w:rsid w:val="00D64E84"/>
    <w:rsid w:val="00D65447"/>
    <w:rsid w:val="00D66407"/>
    <w:rsid w:val="00D6663F"/>
    <w:rsid w:val="00D672D0"/>
    <w:rsid w:val="00D762CF"/>
    <w:rsid w:val="00D76E3F"/>
    <w:rsid w:val="00D83C24"/>
    <w:rsid w:val="00D83CAA"/>
    <w:rsid w:val="00D85589"/>
    <w:rsid w:val="00D85AEA"/>
    <w:rsid w:val="00D9185B"/>
    <w:rsid w:val="00D9362B"/>
    <w:rsid w:val="00D96559"/>
    <w:rsid w:val="00D9684F"/>
    <w:rsid w:val="00D97155"/>
    <w:rsid w:val="00D972EB"/>
    <w:rsid w:val="00DA233D"/>
    <w:rsid w:val="00DA2B57"/>
    <w:rsid w:val="00DA33C0"/>
    <w:rsid w:val="00DA51C2"/>
    <w:rsid w:val="00DB0224"/>
    <w:rsid w:val="00DB0957"/>
    <w:rsid w:val="00DB108D"/>
    <w:rsid w:val="00DB22A0"/>
    <w:rsid w:val="00DB2658"/>
    <w:rsid w:val="00DB40C1"/>
    <w:rsid w:val="00DB54AC"/>
    <w:rsid w:val="00DB5812"/>
    <w:rsid w:val="00DB64D2"/>
    <w:rsid w:val="00DB696E"/>
    <w:rsid w:val="00DB6CB3"/>
    <w:rsid w:val="00DB705D"/>
    <w:rsid w:val="00DB7554"/>
    <w:rsid w:val="00DC0A1B"/>
    <w:rsid w:val="00DC18BE"/>
    <w:rsid w:val="00DC2311"/>
    <w:rsid w:val="00DC246A"/>
    <w:rsid w:val="00DC24A2"/>
    <w:rsid w:val="00DC6D71"/>
    <w:rsid w:val="00DC7FB1"/>
    <w:rsid w:val="00DD0597"/>
    <w:rsid w:val="00DD6EC1"/>
    <w:rsid w:val="00DD72EA"/>
    <w:rsid w:val="00DE1234"/>
    <w:rsid w:val="00DE1744"/>
    <w:rsid w:val="00DE2362"/>
    <w:rsid w:val="00DE293F"/>
    <w:rsid w:val="00DE3889"/>
    <w:rsid w:val="00DE75BE"/>
    <w:rsid w:val="00DE7A14"/>
    <w:rsid w:val="00DE7BD8"/>
    <w:rsid w:val="00DE7D34"/>
    <w:rsid w:val="00DF1725"/>
    <w:rsid w:val="00DF2A75"/>
    <w:rsid w:val="00DF4ADA"/>
    <w:rsid w:val="00DF4F00"/>
    <w:rsid w:val="00DF6B53"/>
    <w:rsid w:val="00DF7DEC"/>
    <w:rsid w:val="00E03C6D"/>
    <w:rsid w:val="00E05A0B"/>
    <w:rsid w:val="00E0651B"/>
    <w:rsid w:val="00E06BEE"/>
    <w:rsid w:val="00E06C71"/>
    <w:rsid w:val="00E07B39"/>
    <w:rsid w:val="00E10760"/>
    <w:rsid w:val="00E116FB"/>
    <w:rsid w:val="00E224A5"/>
    <w:rsid w:val="00E239D1"/>
    <w:rsid w:val="00E244A2"/>
    <w:rsid w:val="00E249CE"/>
    <w:rsid w:val="00E30139"/>
    <w:rsid w:val="00E32047"/>
    <w:rsid w:val="00E325E4"/>
    <w:rsid w:val="00E32742"/>
    <w:rsid w:val="00E36389"/>
    <w:rsid w:val="00E365CD"/>
    <w:rsid w:val="00E37A7F"/>
    <w:rsid w:val="00E424B2"/>
    <w:rsid w:val="00E44896"/>
    <w:rsid w:val="00E462AE"/>
    <w:rsid w:val="00E46E29"/>
    <w:rsid w:val="00E5043A"/>
    <w:rsid w:val="00E50F14"/>
    <w:rsid w:val="00E53019"/>
    <w:rsid w:val="00E602A0"/>
    <w:rsid w:val="00E645D9"/>
    <w:rsid w:val="00E66E5D"/>
    <w:rsid w:val="00E773CF"/>
    <w:rsid w:val="00E77F3E"/>
    <w:rsid w:val="00E8005B"/>
    <w:rsid w:val="00E805A6"/>
    <w:rsid w:val="00E80D22"/>
    <w:rsid w:val="00E814C1"/>
    <w:rsid w:val="00E82136"/>
    <w:rsid w:val="00E822A9"/>
    <w:rsid w:val="00E828C8"/>
    <w:rsid w:val="00E82FA8"/>
    <w:rsid w:val="00E830C0"/>
    <w:rsid w:val="00E84CE4"/>
    <w:rsid w:val="00E85D45"/>
    <w:rsid w:val="00E85DFA"/>
    <w:rsid w:val="00E86415"/>
    <w:rsid w:val="00E8684D"/>
    <w:rsid w:val="00E9075E"/>
    <w:rsid w:val="00E92129"/>
    <w:rsid w:val="00E92D8B"/>
    <w:rsid w:val="00E936B1"/>
    <w:rsid w:val="00E96126"/>
    <w:rsid w:val="00E97A7A"/>
    <w:rsid w:val="00EA0D31"/>
    <w:rsid w:val="00EA1A9A"/>
    <w:rsid w:val="00EA3062"/>
    <w:rsid w:val="00EA4930"/>
    <w:rsid w:val="00EA4B4C"/>
    <w:rsid w:val="00EA567A"/>
    <w:rsid w:val="00EA64CD"/>
    <w:rsid w:val="00EA6E5A"/>
    <w:rsid w:val="00EA7542"/>
    <w:rsid w:val="00EB0D35"/>
    <w:rsid w:val="00EB1294"/>
    <w:rsid w:val="00EB185E"/>
    <w:rsid w:val="00EB1AEE"/>
    <w:rsid w:val="00EB4F82"/>
    <w:rsid w:val="00EC044D"/>
    <w:rsid w:val="00EC16DD"/>
    <w:rsid w:val="00EC3564"/>
    <w:rsid w:val="00EC61E8"/>
    <w:rsid w:val="00ED18A9"/>
    <w:rsid w:val="00ED1F5B"/>
    <w:rsid w:val="00ED3295"/>
    <w:rsid w:val="00ED3E1C"/>
    <w:rsid w:val="00ED57FE"/>
    <w:rsid w:val="00ED5B4A"/>
    <w:rsid w:val="00EE1806"/>
    <w:rsid w:val="00EE1EB7"/>
    <w:rsid w:val="00EE24A4"/>
    <w:rsid w:val="00EE2864"/>
    <w:rsid w:val="00EE4677"/>
    <w:rsid w:val="00EE484B"/>
    <w:rsid w:val="00EE7F7B"/>
    <w:rsid w:val="00EF096C"/>
    <w:rsid w:val="00EF455E"/>
    <w:rsid w:val="00EF7953"/>
    <w:rsid w:val="00F005DA"/>
    <w:rsid w:val="00F00CB2"/>
    <w:rsid w:val="00F00FE9"/>
    <w:rsid w:val="00F0155B"/>
    <w:rsid w:val="00F02A26"/>
    <w:rsid w:val="00F05052"/>
    <w:rsid w:val="00F0699A"/>
    <w:rsid w:val="00F070CE"/>
    <w:rsid w:val="00F076B9"/>
    <w:rsid w:val="00F11A8D"/>
    <w:rsid w:val="00F11C60"/>
    <w:rsid w:val="00F12B51"/>
    <w:rsid w:val="00F132DB"/>
    <w:rsid w:val="00F13535"/>
    <w:rsid w:val="00F13F1C"/>
    <w:rsid w:val="00F14FB5"/>
    <w:rsid w:val="00F15D89"/>
    <w:rsid w:val="00F16269"/>
    <w:rsid w:val="00F200F9"/>
    <w:rsid w:val="00F20C60"/>
    <w:rsid w:val="00F21D5C"/>
    <w:rsid w:val="00F2584A"/>
    <w:rsid w:val="00F278AB"/>
    <w:rsid w:val="00F27A75"/>
    <w:rsid w:val="00F302C7"/>
    <w:rsid w:val="00F309E1"/>
    <w:rsid w:val="00F32849"/>
    <w:rsid w:val="00F332E2"/>
    <w:rsid w:val="00F33DB0"/>
    <w:rsid w:val="00F361EC"/>
    <w:rsid w:val="00F36B66"/>
    <w:rsid w:val="00F36C01"/>
    <w:rsid w:val="00F37737"/>
    <w:rsid w:val="00F377C1"/>
    <w:rsid w:val="00F40C0B"/>
    <w:rsid w:val="00F42230"/>
    <w:rsid w:val="00F42F99"/>
    <w:rsid w:val="00F445EB"/>
    <w:rsid w:val="00F46EE5"/>
    <w:rsid w:val="00F47411"/>
    <w:rsid w:val="00F518B8"/>
    <w:rsid w:val="00F52EB0"/>
    <w:rsid w:val="00F5309C"/>
    <w:rsid w:val="00F53BD4"/>
    <w:rsid w:val="00F55688"/>
    <w:rsid w:val="00F5639C"/>
    <w:rsid w:val="00F56BB1"/>
    <w:rsid w:val="00F6051F"/>
    <w:rsid w:val="00F6069D"/>
    <w:rsid w:val="00F64FEB"/>
    <w:rsid w:val="00F667A3"/>
    <w:rsid w:val="00F707AE"/>
    <w:rsid w:val="00F74649"/>
    <w:rsid w:val="00F75245"/>
    <w:rsid w:val="00F779E1"/>
    <w:rsid w:val="00F813A1"/>
    <w:rsid w:val="00F86887"/>
    <w:rsid w:val="00F86B2E"/>
    <w:rsid w:val="00F924F5"/>
    <w:rsid w:val="00F92A89"/>
    <w:rsid w:val="00F9515A"/>
    <w:rsid w:val="00F95643"/>
    <w:rsid w:val="00F95803"/>
    <w:rsid w:val="00F96510"/>
    <w:rsid w:val="00F9689C"/>
    <w:rsid w:val="00F972FB"/>
    <w:rsid w:val="00FA0C05"/>
    <w:rsid w:val="00FA2D27"/>
    <w:rsid w:val="00FA6370"/>
    <w:rsid w:val="00FA6EC6"/>
    <w:rsid w:val="00FB3068"/>
    <w:rsid w:val="00FB324C"/>
    <w:rsid w:val="00FB3832"/>
    <w:rsid w:val="00FB7086"/>
    <w:rsid w:val="00FB7E88"/>
    <w:rsid w:val="00FC09BB"/>
    <w:rsid w:val="00FC10DA"/>
    <w:rsid w:val="00FC1285"/>
    <w:rsid w:val="00FC16F3"/>
    <w:rsid w:val="00FC2003"/>
    <w:rsid w:val="00FC37DB"/>
    <w:rsid w:val="00FC3ABA"/>
    <w:rsid w:val="00FC45C0"/>
    <w:rsid w:val="00FC47E7"/>
    <w:rsid w:val="00FC4AAD"/>
    <w:rsid w:val="00FC515C"/>
    <w:rsid w:val="00FC6354"/>
    <w:rsid w:val="00FD04B8"/>
    <w:rsid w:val="00FD0AB4"/>
    <w:rsid w:val="00FD0D85"/>
    <w:rsid w:val="00FD2C3D"/>
    <w:rsid w:val="00FD417C"/>
    <w:rsid w:val="00FD5BE1"/>
    <w:rsid w:val="00FD6445"/>
    <w:rsid w:val="00FD7138"/>
    <w:rsid w:val="00FE093F"/>
    <w:rsid w:val="00FE2207"/>
    <w:rsid w:val="00FE626A"/>
    <w:rsid w:val="00FE6B3F"/>
    <w:rsid w:val="00FE70F3"/>
    <w:rsid w:val="00FE7E39"/>
    <w:rsid w:val="00FF16A3"/>
    <w:rsid w:val="00FF2A48"/>
    <w:rsid w:val="00FF6D5C"/>
    <w:rsid w:val="00FF77B6"/>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FF709"/>
  <w15:chartTrackingRefBased/>
  <w15:docId w15:val="{9F7A90C7-54F6-451A-8025-85AF32555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paragraph" w:styleId="Heading1">
    <w:name w:val="heading 1"/>
    <w:basedOn w:val="Normal"/>
    <w:link w:val="Heading1Char"/>
    <w:uiPriority w:val="9"/>
    <w:qFormat/>
    <w:rsid w:val="00E244A2"/>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mail-im">
    <w:name w:val="gmail-im"/>
    <w:basedOn w:val="DefaultParagraphFont"/>
    <w:rsid w:val="001523E8"/>
  </w:style>
  <w:style w:type="character" w:styleId="Hyperlink">
    <w:name w:val="Hyperlink"/>
    <w:basedOn w:val="DefaultParagraphFont"/>
    <w:uiPriority w:val="99"/>
    <w:unhideWhenUsed/>
    <w:rsid w:val="007817E9"/>
    <w:rPr>
      <w:color w:val="0000FF"/>
      <w:u w:val="single"/>
    </w:rPr>
  </w:style>
  <w:style w:type="paragraph" w:styleId="Header">
    <w:name w:val="header"/>
    <w:basedOn w:val="Normal"/>
    <w:link w:val="HeaderChar"/>
    <w:uiPriority w:val="99"/>
    <w:unhideWhenUsed/>
    <w:rsid w:val="00D965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6559"/>
  </w:style>
  <w:style w:type="paragraph" w:styleId="Footer">
    <w:name w:val="footer"/>
    <w:basedOn w:val="Normal"/>
    <w:link w:val="FooterChar"/>
    <w:uiPriority w:val="99"/>
    <w:unhideWhenUsed/>
    <w:rsid w:val="00D965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6559"/>
  </w:style>
  <w:style w:type="character" w:styleId="CommentReference">
    <w:name w:val="annotation reference"/>
    <w:basedOn w:val="DefaultParagraphFont"/>
    <w:uiPriority w:val="99"/>
    <w:semiHidden/>
    <w:unhideWhenUsed/>
    <w:rsid w:val="00696C48"/>
    <w:rPr>
      <w:rFonts w:ascii="Tahoma" w:hAnsi="Tahoma" w:cs="Tahoma"/>
      <w:b w:val="0"/>
      <w:i w:val="0"/>
      <w:caps w:val="0"/>
      <w:strike w:val="0"/>
      <w:sz w:val="16"/>
      <w:szCs w:val="16"/>
      <w:u w:val="none"/>
    </w:rPr>
  </w:style>
  <w:style w:type="paragraph" w:styleId="CommentText">
    <w:name w:val="annotation text"/>
    <w:basedOn w:val="Normal"/>
    <w:link w:val="CommentTextChar"/>
    <w:uiPriority w:val="99"/>
    <w:unhideWhenUsed/>
    <w:rsid w:val="00696C48"/>
    <w:pPr>
      <w:bidi w:val="0"/>
      <w:spacing w:line="240" w:lineRule="auto"/>
    </w:pPr>
    <w:rPr>
      <w:rFonts w:ascii="Tahoma" w:hAnsi="Tahoma" w:cs="Tahoma"/>
      <w:sz w:val="16"/>
      <w:szCs w:val="20"/>
    </w:rPr>
  </w:style>
  <w:style w:type="character" w:customStyle="1" w:styleId="CommentTextChar">
    <w:name w:val="Comment Text Char"/>
    <w:basedOn w:val="DefaultParagraphFont"/>
    <w:link w:val="CommentText"/>
    <w:uiPriority w:val="99"/>
    <w:rsid w:val="00696C48"/>
    <w:rPr>
      <w:rFonts w:ascii="Tahoma" w:hAnsi="Tahoma" w:cs="Tahoma"/>
      <w:sz w:val="16"/>
      <w:szCs w:val="20"/>
    </w:rPr>
  </w:style>
  <w:style w:type="paragraph" w:styleId="CommentSubject">
    <w:name w:val="annotation subject"/>
    <w:basedOn w:val="CommentText"/>
    <w:next w:val="CommentText"/>
    <w:link w:val="CommentSubjectChar"/>
    <w:uiPriority w:val="99"/>
    <w:semiHidden/>
    <w:unhideWhenUsed/>
    <w:rsid w:val="00696C48"/>
    <w:rPr>
      <w:b/>
      <w:bCs/>
    </w:rPr>
  </w:style>
  <w:style w:type="character" w:customStyle="1" w:styleId="CommentSubjectChar">
    <w:name w:val="Comment Subject Char"/>
    <w:basedOn w:val="CommentTextChar"/>
    <w:link w:val="CommentSubject"/>
    <w:uiPriority w:val="99"/>
    <w:semiHidden/>
    <w:rsid w:val="00696C48"/>
    <w:rPr>
      <w:rFonts w:ascii="Tahoma" w:hAnsi="Tahoma" w:cs="Tahoma"/>
      <w:b/>
      <w:bCs/>
      <w:sz w:val="16"/>
      <w:szCs w:val="20"/>
    </w:rPr>
  </w:style>
  <w:style w:type="paragraph" w:styleId="BalloonText">
    <w:name w:val="Balloon Text"/>
    <w:basedOn w:val="Normal"/>
    <w:link w:val="BalloonTextChar"/>
    <w:uiPriority w:val="99"/>
    <w:semiHidden/>
    <w:unhideWhenUsed/>
    <w:rsid w:val="00696C48"/>
    <w:pPr>
      <w:bidi w:val="0"/>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6C48"/>
    <w:rPr>
      <w:rFonts w:ascii="Segoe UI" w:hAnsi="Segoe UI" w:cs="Segoe UI"/>
      <w:sz w:val="18"/>
      <w:szCs w:val="18"/>
    </w:rPr>
  </w:style>
  <w:style w:type="character" w:customStyle="1" w:styleId="tlid-translation">
    <w:name w:val="tlid-translation"/>
    <w:basedOn w:val="DefaultParagraphFont"/>
    <w:rsid w:val="00696C48"/>
  </w:style>
  <w:style w:type="character" w:customStyle="1" w:styleId="Heading1Char">
    <w:name w:val="Heading 1 Char"/>
    <w:basedOn w:val="DefaultParagraphFont"/>
    <w:link w:val="Heading1"/>
    <w:uiPriority w:val="9"/>
    <w:rsid w:val="00E244A2"/>
    <w:rPr>
      <w:rFonts w:ascii="Times New Roman" w:eastAsia="Times New Roman" w:hAnsi="Times New Roman" w:cs="Times New Roman"/>
      <w:b/>
      <w:bCs/>
      <w:kern w:val="36"/>
      <w:sz w:val="48"/>
      <w:szCs w:val="48"/>
      <w:lang w:bidi="ar-SA"/>
    </w:rPr>
  </w:style>
  <w:style w:type="character" w:customStyle="1" w:styleId="title-text">
    <w:name w:val="title-text"/>
    <w:basedOn w:val="DefaultParagraphFont"/>
    <w:rsid w:val="00E244A2"/>
  </w:style>
  <w:style w:type="table" w:styleId="TableGrid">
    <w:name w:val="Table Grid"/>
    <w:basedOn w:val="TableNormal"/>
    <w:uiPriority w:val="39"/>
    <w:rsid w:val="006F6B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D971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0E33AB"/>
    <w:rPr>
      <w:b/>
      <w:bCs/>
    </w:rPr>
  </w:style>
  <w:style w:type="character" w:customStyle="1" w:styleId="jlqj4b">
    <w:name w:val="jlqj4b"/>
    <w:basedOn w:val="DefaultParagraphFont"/>
    <w:rsid w:val="00A912ED"/>
  </w:style>
  <w:style w:type="paragraph" w:customStyle="1" w:styleId="Default">
    <w:name w:val="Default"/>
    <w:uiPriority w:val="99"/>
    <w:rsid w:val="00602F80"/>
    <w:pPr>
      <w:spacing w:after="0" w:line="240" w:lineRule="auto"/>
      <w:ind w:firstLine="397"/>
      <w:jc w:val="both"/>
    </w:pPr>
    <w:rPr>
      <w:rFonts w:ascii="Helvetica" w:eastAsia="Arial Unicode MS" w:hAnsi="Arial Unicode MS" w:cs="Helvetica"/>
      <w:color w:val="000000"/>
      <w:lang w:bidi="ar-SA"/>
    </w:rPr>
  </w:style>
  <w:style w:type="paragraph" w:styleId="Revision">
    <w:name w:val="Revision"/>
    <w:hidden/>
    <w:uiPriority w:val="99"/>
    <w:semiHidden/>
    <w:rsid w:val="00FA0C05"/>
    <w:pPr>
      <w:spacing w:after="0" w:line="240" w:lineRule="auto"/>
    </w:pPr>
  </w:style>
  <w:style w:type="character" w:customStyle="1" w:styleId="epub-sectionitem">
    <w:name w:val="epub-section__item"/>
    <w:basedOn w:val="DefaultParagraphFont"/>
    <w:rsid w:val="002638D7"/>
  </w:style>
  <w:style w:type="character" w:customStyle="1" w:styleId="identifier">
    <w:name w:val="identifier"/>
    <w:basedOn w:val="DefaultParagraphFont"/>
    <w:rsid w:val="00007B14"/>
  </w:style>
  <w:style w:type="paragraph" w:styleId="ListParagraph">
    <w:name w:val="List Paragraph"/>
    <w:basedOn w:val="Normal"/>
    <w:uiPriority w:val="34"/>
    <w:qFormat/>
    <w:rsid w:val="00643ABF"/>
    <w:pPr>
      <w:ind w:left="720"/>
      <w:contextualSpacing/>
    </w:pPr>
  </w:style>
  <w:style w:type="character" w:styleId="HTMLCite">
    <w:name w:val="HTML Cite"/>
    <w:basedOn w:val="DefaultParagraphFont"/>
    <w:uiPriority w:val="99"/>
    <w:semiHidden/>
    <w:unhideWhenUsed/>
    <w:rsid w:val="000C7826"/>
    <w:rPr>
      <w:i/>
      <w:iCs/>
    </w:rPr>
  </w:style>
  <w:style w:type="character" w:styleId="Emphasis">
    <w:name w:val="Emphasis"/>
    <w:basedOn w:val="DefaultParagraphFont"/>
    <w:uiPriority w:val="20"/>
    <w:qFormat/>
    <w:rsid w:val="006C4D6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8298419">
      <w:bodyDiv w:val="1"/>
      <w:marLeft w:val="0"/>
      <w:marRight w:val="0"/>
      <w:marTop w:val="0"/>
      <w:marBottom w:val="0"/>
      <w:divBdr>
        <w:top w:val="none" w:sz="0" w:space="0" w:color="auto"/>
        <w:left w:val="none" w:sz="0" w:space="0" w:color="auto"/>
        <w:bottom w:val="none" w:sz="0" w:space="0" w:color="auto"/>
        <w:right w:val="none" w:sz="0" w:space="0" w:color="auto"/>
      </w:divBdr>
    </w:div>
    <w:div w:id="342632760">
      <w:bodyDiv w:val="1"/>
      <w:marLeft w:val="0"/>
      <w:marRight w:val="0"/>
      <w:marTop w:val="0"/>
      <w:marBottom w:val="0"/>
      <w:divBdr>
        <w:top w:val="none" w:sz="0" w:space="0" w:color="auto"/>
        <w:left w:val="none" w:sz="0" w:space="0" w:color="auto"/>
        <w:bottom w:val="none" w:sz="0" w:space="0" w:color="auto"/>
        <w:right w:val="none" w:sz="0" w:space="0" w:color="auto"/>
      </w:divBdr>
      <w:divsChild>
        <w:div w:id="1152139954">
          <w:marLeft w:val="0"/>
          <w:marRight w:val="0"/>
          <w:marTop w:val="0"/>
          <w:marBottom w:val="0"/>
          <w:divBdr>
            <w:top w:val="none" w:sz="0" w:space="0" w:color="auto"/>
            <w:left w:val="none" w:sz="0" w:space="0" w:color="auto"/>
            <w:bottom w:val="none" w:sz="0" w:space="0" w:color="auto"/>
            <w:right w:val="none" w:sz="0" w:space="0" w:color="auto"/>
          </w:divBdr>
        </w:div>
        <w:div w:id="1237517510">
          <w:marLeft w:val="0"/>
          <w:marRight w:val="0"/>
          <w:marTop w:val="0"/>
          <w:marBottom w:val="0"/>
          <w:divBdr>
            <w:top w:val="none" w:sz="0" w:space="0" w:color="auto"/>
            <w:left w:val="none" w:sz="0" w:space="0" w:color="auto"/>
            <w:bottom w:val="none" w:sz="0" w:space="0" w:color="auto"/>
            <w:right w:val="none" w:sz="0" w:space="0" w:color="auto"/>
          </w:divBdr>
        </w:div>
        <w:div w:id="563641831">
          <w:marLeft w:val="0"/>
          <w:marRight w:val="0"/>
          <w:marTop w:val="0"/>
          <w:marBottom w:val="0"/>
          <w:divBdr>
            <w:top w:val="none" w:sz="0" w:space="0" w:color="auto"/>
            <w:left w:val="none" w:sz="0" w:space="0" w:color="auto"/>
            <w:bottom w:val="none" w:sz="0" w:space="0" w:color="auto"/>
            <w:right w:val="none" w:sz="0" w:space="0" w:color="auto"/>
          </w:divBdr>
        </w:div>
        <w:div w:id="877593126">
          <w:marLeft w:val="0"/>
          <w:marRight w:val="0"/>
          <w:marTop w:val="0"/>
          <w:marBottom w:val="0"/>
          <w:divBdr>
            <w:top w:val="none" w:sz="0" w:space="0" w:color="auto"/>
            <w:left w:val="none" w:sz="0" w:space="0" w:color="auto"/>
            <w:bottom w:val="none" w:sz="0" w:space="0" w:color="auto"/>
            <w:right w:val="none" w:sz="0" w:space="0" w:color="auto"/>
          </w:divBdr>
        </w:div>
        <w:div w:id="2145077689">
          <w:marLeft w:val="0"/>
          <w:marRight w:val="0"/>
          <w:marTop w:val="0"/>
          <w:marBottom w:val="0"/>
          <w:divBdr>
            <w:top w:val="none" w:sz="0" w:space="0" w:color="auto"/>
            <w:left w:val="none" w:sz="0" w:space="0" w:color="auto"/>
            <w:bottom w:val="none" w:sz="0" w:space="0" w:color="auto"/>
            <w:right w:val="none" w:sz="0" w:space="0" w:color="auto"/>
          </w:divBdr>
        </w:div>
        <w:div w:id="1405375434">
          <w:marLeft w:val="0"/>
          <w:marRight w:val="0"/>
          <w:marTop w:val="0"/>
          <w:marBottom w:val="0"/>
          <w:divBdr>
            <w:top w:val="none" w:sz="0" w:space="0" w:color="auto"/>
            <w:left w:val="none" w:sz="0" w:space="0" w:color="auto"/>
            <w:bottom w:val="none" w:sz="0" w:space="0" w:color="auto"/>
            <w:right w:val="none" w:sz="0" w:space="0" w:color="auto"/>
          </w:divBdr>
        </w:div>
      </w:divsChild>
    </w:div>
    <w:div w:id="521670968">
      <w:bodyDiv w:val="1"/>
      <w:marLeft w:val="0"/>
      <w:marRight w:val="0"/>
      <w:marTop w:val="0"/>
      <w:marBottom w:val="0"/>
      <w:divBdr>
        <w:top w:val="none" w:sz="0" w:space="0" w:color="auto"/>
        <w:left w:val="none" w:sz="0" w:space="0" w:color="auto"/>
        <w:bottom w:val="none" w:sz="0" w:space="0" w:color="auto"/>
        <w:right w:val="none" w:sz="0" w:space="0" w:color="auto"/>
      </w:divBdr>
      <w:divsChild>
        <w:div w:id="8528008">
          <w:marLeft w:val="0"/>
          <w:marRight w:val="0"/>
          <w:marTop w:val="0"/>
          <w:marBottom w:val="0"/>
          <w:divBdr>
            <w:top w:val="none" w:sz="0" w:space="0" w:color="auto"/>
            <w:left w:val="none" w:sz="0" w:space="0" w:color="auto"/>
            <w:bottom w:val="none" w:sz="0" w:space="0" w:color="auto"/>
            <w:right w:val="none" w:sz="0" w:space="0" w:color="auto"/>
          </w:divBdr>
          <w:divsChild>
            <w:div w:id="1179848301">
              <w:marLeft w:val="0"/>
              <w:marRight w:val="0"/>
              <w:marTop w:val="0"/>
              <w:marBottom w:val="0"/>
              <w:divBdr>
                <w:top w:val="none" w:sz="0" w:space="0" w:color="auto"/>
                <w:left w:val="none" w:sz="0" w:space="0" w:color="auto"/>
                <w:bottom w:val="none" w:sz="0" w:space="0" w:color="auto"/>
                <w:right w:val="none" w:sz="0" w:space="0" w:color="auto"/>
              </w:divBdr>
              <w:divsChild>
                <w:div w:id="846557210">
                  <w:marLeft w:val="0"/>
                  <w:marRight w:val="0"/>
                  <w:marTop w:val="0"/>
                  <w:marBottom w:val="0"/>
                  <w:divBdr>
                    <w:top w:val="none" w:sz="0" w:space="0" w:color="auto"/>
                    <w:left w:val="none" w:sz="0" w:space="0" w:color="auto"/>
                    <w:bottom w:val="none" w:sz="0" w:space="0" w:color="auto"/>
                    <w:right w:val="none" w:sz="0" w:space="0" w:color="auto"/>
                  </w:divBdr>
                </w:div>
              </w:divsChild>
            </w:div>
            <w:div w:id="164638880">
              <w:marLeft w:val="30"/>
              <w:marRight w:val="30"/>
              <w:marTop w:val="30"/>
              <w:marBottom w:val="30"/>
              <w:divBdr>
                <w:top w:val="none" w:sz="0" w:space="0" w:color="auto"/>
                <w:left w:val="none" w:sz="0" w:space="0" w:color="auto"/>
                <w:bottom w:val="none" w:sz="0" w:space="0" w:color="auto"/>
                <w:right w:val="none" w:sz="0" w:space="0" w:color="auto"/>
              </w:divBdr>
              <w:divsChild>
                <w:div w:id="1502889018">
                  <w:marLeft w:val="0"/>
                  <w:marRight w:val="0"/>
                  <w:marTop w:val="0"/>
                  <w:marBottom w:val="0"/>
                  <w:divBdr>
                    <w:top w:val="none" w:sz="0" w:space="0" w:color="auto"/>
                    <w:left w:val="none" w:sz="0" w:space="0" w:color="auto"/>
                    <w:bottom w:val="none" w:sz="0" w:space="0" w:color="auto"/>
                    <w:right w:val="none" w:sz="0" w:space="0" w:color="auto"/>
                  </w:divBdr>
                  <w:divsChild>
                    <w:div w:id="1126193421">
                      <w:marLeft w:val="0"/>
                      <w:marRight w:val="0"/>
                      <w:marTop w:val="0"/>
                      <w:marBottom w:val="0"/>
                      <w:divBdr>
                        <w:top w:val="none" w:sz="0" w:space="0" w:color="auto"/>
                        <w:left w:val="none" w:sz="0" w:space="0" w:color="auto"/>
                        <w:bottom w:val="none" w:sz="0" w:space="0" w:color="auto"/>
                        <w:right w:val="none" w:sz="0" w:space="0" w:color="auto"/>
                      </w:divBdr>
                      <w:divsChild>
                        <w:div w:id="1689285645">
                          <w:marLeft w:val="0"/>
                          <w:marRight w:val="0"/>
                          <w:marTop w:val="0"/>
                          <w:marBottom w:val="0"/>
                          <w:divBdr>
                            <w:top w:val="none" w:sz="0" w:space="0" w:color="auto"/>
                            <w:left w:val="none" w:sz="0" w:space="0" w:color="auto"/>
                            <w:bottom w:val="none" w:sz="0" w:space="0" w:color="auto"/>
                            <w:right w:val="none" w:sz="0" w:space="0" w:color="auto"/>
                          </w:divBdr>
                          <w:divsChild>
                            <w:div w:id="196715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7737321">
          <w:marLeft w:val="0"/>
          <w:marRight w:val="0"/>
          <w:marTop w:val="0"/>
          <w:marBottom w:val="0"/>
          <w:divBdr>
            <w:top w:val="none" w:sz="0" w:space="0" w:color="auto"/>
            <w:left w:val="none" w:sz="0" w:space="0" w:color="auto"/>
            <w:bottom w:val="none" w:sz="0" w:space="0" w:color="auto"/>
            <w:right w:val="none" w:sz="0" w:space="0" w:color="auto"/>
          </w:divBdr>
          <w:divsChild>
            <w:div w:id="817455437">
              <w:marLeft w:val="-240"/>
              <w:marRight w:val="-240"/>
              <w:marTop w:val="0"/>
              <w:marBottom w:val="0"/>
              <w:divBdr>
                <w:top w:val="none" w:sz="0" w:space="0" w:color="auto"/>
                <w:left w:val="none" w:sz="0" w:space="0" w:color="auto"/>
                <w:bottom w:val="none" w:sz="0" w:space="0" w:color="auto"/>
                <w:right w:val="none" w:sz="0" w:space="0" w:color="auto"/>
              </w:divBdr>
              <w:divsChild>
                <w:div w:id="1118720681">
                  <w:marLeft w:val="0"/>
                  <w:marRight w:val="0"/>
                  <w:marTop w:val="0"/>
                  <w:marBottom w:val="0"/>
                  <w:divBdr>
                    <w:top w:val="none" w:sz="0" w:space="0" w:color="auto"/>
                    <w:left w:val="none" w:sz="0" w:space="0" w:color="auto"/>
                    <w:bottom w:val="none" w:sz="0" w:space="0" w:color="auto"/>
                    <w:right w:val="none" w:sz="0" w:space="0" w:color="auto"/>
                  </w:divBdr>
                  <w:divsChild>
                    <w:div w:id="21419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2871919">
      <w:bodyDiv w:val="1"/>
      <w:marLeft w:val="0"/>
      <w:marRight w:val="0"/>
      <w:marTop w:val="0"/>
      <w:marBottom w:val="0"/>
      <w:divBdr>
        <w:top w:val="none" w:sz="0" w:space="0" w:color="auto"/>
        <w:left w:val="none" w:sz="0" w:space="0" w:color="auto"/>
        <w:bottom w:val="none" w:sz="0" w:space="0" w:color="auto"/>
        <w:right w:val="none" w:sz="0" w:space="0" w:color="auto"/>
      </w:divBdr>
    </w:div>
    <w:div w:id="969742897">
      <w:bodyDiv w:val="1"/>
      <w:marLeft w:val="0"/>
      <w:marRight w:val="0"/>
      <w:marTop w:val="0"/>
      <w:marBottom w:val="0"/>
      <w:divBdr>
        <w:top w:val="none" w:sz="0" w:space="0" w:color="auto"/>
        <w:left w:val="none" w:sz="0" w:space="0" w:color="auto"/>
        <w:bottom w:val="none" w:sz="0" w:space="0" w:color="auto"/>
        <w:right w:val="none" w:sz="0" w:space="0" w:color="auto"/>
      </w:divBdr>
      <w:divsChild>
        <w:div w:id="1137534141">
          <w:marLeft w:val="0"/>
          <w:marRight w:val="0"/>
          <w:marTop w:val="0"/>
          <w:marBottom w:val="0"/>
          <w:divBdr>
            <w:top w:val="none" w:sz="0" w:space="0" w:color="auto"/>
            <w:left w:val="none" w:sz="0" w:space="0" w:color="auto"/>
            <w:bottom w:val="none" w:sz="0" w:space="0" w:color="auto"/>
            <w:right w:val="none" w:sz="0" w:space="0" w:color="auto"/>
          </w:divBdr>
        </w:div>
      </w:divsChild>
    </w:div>
    <w:div w:id="1132673004">
      <w:bodyDiv w:val="1"/>
      <w:marLeft w:val="0"/>
      <w:marRight w:val="0"/>
      <w:marTop w:val="0"/>
      <w:marBottom w:val="0"/>
      <w:divBdr>
        <w:top w:val="none" w:sz="0" w:space="0" w:color="auto"/>
        <w:left w:val="none" w:sz="0" w:space="0" w:color="auto"/>
        <w:bottom w:val="none" w:sz="0" w:space="0" w:color="auto"/>
        <w:right w:val="none" w:sz="0" w:space="0" w:color="auto"/>
      </w:divBdr>
      <w:divsChild>
        <w:div w:id="99380810">
          <w:marLeft w:val="0"/>
          <w:marRight w:val="0"/>
          <w:marTop w:val="0"/>
          <w:marBottom w:val="0"/>
          <w:divBdr>
            <w:top w:val="none" w:sz="0" w:space="0" w:color="auto"/>
            <w:left w:val="none" w:sz="0" w:space="0" w:color="auto"/>
            <w:bottom w:val="none" w:sz="0" w:space="0" w:color="auto"/>
            <w:right w:val="none" w:sz="0" w:space="0" w:color="auto"/>
          </w:divBdr>
        </w:div>
      </w:divsChild>
    </w:div>
    <w:div w:id="1723212262">
      <w:bodyDiv w:val="1"/>
      <w:marLeft w:val="0"/>
      <w:marRight w:val="0"/>
      <w:marTop w:val="0"/>
      <w:marBottom w:val="0"/>
      <w:divBdr>
        <w:top w:val="none" w:sz="0" w:space="0" w:color="auto"/>
        <w:left w:val="none" w:sz="0" w:space="0" w:color="auto"/>
        <w:bottom w:val="none" w:sz="0" w:space="0" w:color="auto"/>
        <w:right w:val="none" w:sz="0" w:space="0" w:color="auto"/>
      </w:divBdr>
    </w:div>
    <w:div w:id="1742362737">
      <w:bodyDiv w:val="1"/>
      <w:marLeft w:val="0"/>
      <w:marRight w:val="0"/>
      <w:marTop w:val="0"/>
      <w:marBottom w:val="0"/>
      <w:divBdr>
        <w:top w:val="none" w:sz="0" w:space="0" w:color="auto"/>
        <w:left w:val="none" w:sz="0" w:space="0" w:color="auto"/>
        <w:bottom w:val="none" w:sz="0" w:space="0" w:color="auto"/>
        <w:right w:val="none" w:sz="0" w:space="0" w:color="auto"/>
      </w:divBdr>
    </w:div>
    <w:div w:id="1883977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doi.org/10.1016/j.psychres.2018.12.158" TargetMode="External"/><Relationship Id="rId26" Type="http://schemas.openxmlformats.org/officeDocument/2006/relationships/hyperlink" Target="https://doi.org/10.1089/cyber.2011.0358" TargetMode="External"/><Relationship Id="rId39" Type="http://schemas.openxmlformats.org/officeDocument/2006/relationships/hyperlink" Target="https://www.researchgate.net/profile/Gabriele-Caselli-2?_sg%5B0%5D=IvnfewMeTGyz8XJU9DeltqrqM__Fq9zAD-p_E-imq3qKohi2MGEvLhbJwGDHvr1BZ0ndcm8.B9fXjEHuqwg1wGbeXKIiVaFFITjyLSjmZRPUymz80V4t-D1YOledKN6VLgj8cOtuNlqJSLZACQjILtOBHXe_gQ&amp;_sg%5B1%5D=mT8CHnM77U9AkQdQf4paO6mrEUY4TASqG0dX3St7QzKVWpTLWab5yHYGb3HGWiLGCsBn6vI.qP134PzDqtTtrbbhs3-gsQNK1hX9DJ82aKVp916fsmFjrSm4gD8vlx0lTb38xhtwJEt-4L7JWayq7NtlKej8Iw" TargetMode="External"/><Relationship Id="rId21" Type="http://schemas.openxmlformats.org/officeDocument/2006/relationships/hyperlink" Target="https://doi.org/10.3389/fpsyg.2018.02619" TargetMode="External"/><Relationship Id="rId34" Type="http://schemas.openxmlformats.org/officeDocument/2006/relationships/hyperlink" Target="https://doi.org/10.1016/j.paid.2012.06.013" TargetMode="External"/><Relationship Id="rId42" Type="http://schemas.openxmlformats.org/officeDocument/2006/relationships/hyperlink" Target="https://doi.org/10.1007/s11469-017-9750-2" TargetMode="External"/><Relationship Id="rId47" Type="http://schemas.openxmlformats.org/officeDocument/2006/relationships/hyperlink" Target="https://doi.org/10.1016/j.addbeh.2014.08.002" TargetMode="External"/><Relationship Id="rId50" Type="http://schemas.openxmlformats.org/officeDocument/2006/relationships/hyperlink" Target="https://doi.org/10.1016/j.addbeh.2007.01.012" TargetMode="External"/><Relationship Id="rId55" Type="http://schemas.openxmlformats.org/officeDocument/2006/relationships/hyperlink" Target="https://doi.org/10.1016/j.addbeh.2014.02.016" TargetMode="Externa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doi.org/10.1016/j.abrep.2020.100296" TargetMode="External"/><Relationship Id="rId20" Type="http://schemas.openxmlformats.org/officeDocument/2006/relationships/hyperlink" Target="https://doi.org/10.1016/j.addbeh.2018.05.020" TargetMode="External"/><Relationship Id="rId29" Type="http://schemas.openxmlformats.org/officeDocument/2006/relationships/hyperlink" Target="https://psycnet.apa.org/doi/10.1007/BF02289447" TargetMode="External"/><Relationship Id="rId41" Type="http://schemas.openxmlformats.org/officeDocument/2006/relationships/hyperlink" Target="https://doi.org/10.1556/2006.2020.00044" TargetMode="External"/><Relationship Id="rId54" Type="http://schemas.openxmlformats.org/officeDocument/2006/relationships/hyperlink" Target="https://doi.org/10.1556/2006.8.2019.05"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cholar.google.nl/citations?user=Iin2LSIAAAAJ&amp;hl=en&amp;oi=sra" TargetMode="External"/><Relationship Id="rId24" Type="http://schemas.openxmlformats.org/officeDocument/2006/relationships/hyperlink" Target="https://psycnet.apa.org/doi/10.1037/1082-989X.4.3.272" TargetMode="External"/><Relationship Id="rId32" Type="http://schemas.openxmlformats.org/officeDocument/2006/relationships/hyperlink" Target="https://doi.org/10.1016/j.comppsych.2014.05.003" TargetMode="External"/><Relationship Id="rId37" Type="http://schemas.openxmlformats.org/officeDocument/2006/relationships/hyperlink" Target="https://doi.org/10.3389/fpsyg.2019.00898" TargetMode="External"/><Relationship Id="rId40" Type="http://schemas.openxmlformats.org/officeDocument/2006/relationships/hyperlink" Target="https://doi.org/10.1007/s40429-017-0160-0" TargetMode="External"/><Relationship Id="rId45" Type="http://schemas.openxmlformats.org/officeDocument/2006/relationships/hyperlink" Target="https://doi.org/10.1016/j.jrp.2006.02.001" TargetMode="External"/><Relationship Id="rId53" Type="http://schemas.openxmlformats.org/officeDocument/2006/relationships/hyperlink" Target="https://doi.org/10.1002/jclp.22914" TargetMode="External"/><Relationship Id="rId58" Type="http://schemas.openxmlformats.org/officeDocument/2006/relationships/hyperlink" Target="https://doi.org/10.1521/ijct.2013.6.2.186" TargetMode="External"/><Relationship Id="rId5" Type="http://schemas.openxmlformats.org/officeDocument/2006/relationships/webSettings" Target="webSettings.xml"/><Relationship Id="rId15" Type="http://schemas.openxmlformats.org/officeDocument/2006/relationships/hyperlink" Target="https://www.sid.ir/en/Journal/JournalList.aspx?ID=30841" TargetMode="External"/><Relationship Id="rId23" Type="http://schemas.openxmlformats.org/officeDocument/2006/relationships/hyperlink" Target="https://doi.org/10.3389/fnhum.2016.00004" TargetMode="External"/><Relationship Id="rId28" Type="http://schemas.openxmlformats.org/officeDocument/2006/relationships/hyperlink" Target="https://doi.org/10.1348/014466505x29657" TargetMode="External"/><Relationship Id="rId36" Type="http://schemas.openxmlformats.org/officeDocument/2006/relationships/hyperlink" Target="https://doi.org/10.1016/j.abrep.2020.100332" TargetMode="External"/><Relationship Id="rId49" Type="http://schemas.openxmlformats.org/officeDocument/2006/relationships/hyperlink" Target="https://doi.org/10.1093/alcalc/agm055" TargetMode="External"/><Relationship Id="rId57" Type="http://schemas.openxmlformats.org/officeDocument/2006/relationships/hyperlink" Target="https://doi.org/10.1016/j.chb.2019.09.014" TargetMode="External"/><Relationship Id="rId61" Type="http://schemas.openxmlformats.org/officeDocument/2006/relationships/hyperlink" Target="https://doi.org/10.1089/cpb.2006.9.772" TargetMode="External"/><Relationship Id="rId10" Type="http://schemas.openxmlformats.org/officeDocument/2006/relationships/hyperlink" Target="https://scholar.google.nl/citations?user=-uCKs_sAAAAJ&amp;hl=en&amp;oi=sra" TargetMode="External"/><Relationship Id="rId19" Type="http://schemas.openxmlformats.org/officeDocument/2006/relationships/hyperlink" Target="https://doi.org/10.1016/j.addbeh.2020.106484" TargetMode="External"/><Relationship Id="rId31" Type="http://schemas.openxmlformats.org/officeDocument/2006/relationships/hyperlink" Target="https://doi.org/10.2196%2Fjmir.3515" TargetMode="External"/><Relationship Id="rId44" Type="http://schemas.openxmlformats.org/officeDocument/2006/relationships/hyperlink" Target="https://doi.org/10.1016/j.addbeh.2017.06.002" TargetMode="External"/><Relationship Id="rId52" Type="http://schemas.openxmlformats.org/officeDocument/2006/relationships/hyperlink" Target="https://doi.org/10.1002/cpp.2341" TargetMode="External"/><Relationship Id="rId60" Type="http://schemas.openxmlformats.org/officeDocument/2006/relationships/hyperlink" Target="https://doi.org/10.1556/2006.6.2017.007" TargetMode="External"/><Relationship Id="rId4" Type="http://schemas.openxmlformats.org/officeDocument/2006/relationships/settings" Target="settings.xml"/><Relationship Id="rId9" Type="http://schemas.openxmlformats.org/officeDocument/2006/relationships/hyperlink" Target="https://scholar.google.nl/citations?user=Iin2LSIAAAAJ&amp;hl=en&amp;oi=sra" TargetMode="External"/><Relationship Id="rId14" Type="http://schemas.openxmlformats.org/officeDocument/2006/relationships/hyperlink" Target="https://doi.org/10.1016/j.addbeh.2020.106722" TargetMode="External"/><Relationship Id="rId22" Type="http://schemas.openxmlformats.org/officeDocument/2006/relationships/hyperlink" Target="https://doi.org/10.1371/journal.pone.0036417" TargetMode="External"/><Relationship Id="rId27" Type="http://schemas.openxmlformats.org/officeDocument/2006/relationships/hyperlink" Target="https://doi.org/10.1016/j.addbeh.2016.10.013" TargetMode="External"/><Relationship Id="rId30" Type="http://schemas.openxmlformats.org/officeDocument/2006/relationships/hyperlink" Target="https://doi.org/10.1016/j.cpr.2014.03.006" TargetMode="External"/><Relationship Id="rId35" Type="http://schemas.openxmlformats.org/officeDocument/2006/relationships/hyperlink" Target="https://doi.org/10.1080/15213260802669458" TargetMode="External"/><Relationship Id="rId43" Type="http://schemas.openxmlformats.org/officeDocument/2006/relationships/hyperlink" Target="http://www.mottpoll.org" TargetMode="External"/><Relationship Id="rId48" Type="http://schemas.openxmlformats.org/officeDocument/2006/relationships/hyperlink" Target="https://doi.org/10.1016/j.chb.2007.12.002" TargetMode="External"/><Relationship Id="rId56" Type="http://schemas.openxmlformats.org/officeDocument/2006/relationships/hyperlink" Target="https://doi.org/10.1016/j.addbeh.2014.10.039" TargetMode="External"/><Relationship Id="rId8" Type="http://schemas.openxmlformats.org/officeDocument/2006/relationships/hyperlink" Target="https://scholar.google.nl/citations?user=-uCKs_sAAAAJ&amp;hl=en&amp;oi=sra" TargetMode="External"/><Relationship Id="rId51" Type="http://schemas.openxmlformats.org/officeDocument/2006/relationships/hyperlink" Target="https://doi.org/10.1556/2006.6.2017.026" TargetMode="External"/><Relationship Id="rId3" Type="http://schemas.openxmlformats.org/officeDocument/2006/relationships/styles" Target="styles.xml"/><Relationship Id="rId12" Type="http://schemas.openxmlformats.org/officeDocument/2006/relationships/hyperlink" Target="https://www.researchgate.net/profile/Gabriele-Caselli-2?_sg%5B0%5D=IvnfewMeTGyz8XJU9DeltqrqM__Fq9zAD-p_E-imq3qKohi2MGEvLhbJwGDHvr1BZ0ndcm8.B9fXjEHuqwg1wGbeXKIiVaFFITjyLSjmZRPUymz80V4t-D1YOledKN6VLgj8cOtuNlqJSLZACQjILtOBHXe_gQ&amp;_sg%5B1%5D=mT8CHnM77U9AkQdQf4paO6mrEUY4TASqG0dX3St7QzKVWpTLWab5yHYGb3HGWiLGCsBn6vI.qP134PzDqtTtrbbhs3-gsQNK1hX9DJ82aKVp916fsmFjrSm4gD8vlx0lTb38xhtwJEt-4L7JWayq7NtlKej8Iw" TargetMode="External"/><Relationship Id="rId17" Type="http://schemas.openxmlformats.org/officeDocument/2006/relationships/hyperlink" Target="https://psycnet.apa.org/doi/10.1089/cyber.2017.0011" TargetMode="External"/><Relationship Id="rId25" Type="http://schemas.openxmlformats.org/officeDocument/2006/relationships/hyperlink" Target="https://doi.org/10.1016/j.abrep.2020.100307" TargetMode="External"/><Relationship Id="rId33" Type="http://schemas.openxmlformats.org/officeDocument/2006/relationships/hyperlink" Target="https://doi.org/10.1556/jba.1.2012.1.1" TargetMode="External"/><Relationship Id="rId38" Type="http://schemas.openxmlformats.org/officeDocument/2006/relationships/hyperlink" Target="https://doi.org/10.1016/0005-7967(94)00075-u" TargetMode="External"/><Relationship Id="rId46" Type="http://schemas.openxmlformats.org/officeDocument/2006/relationships/hyperlink" Target="https://doi.org/10.1007/s11469-019-00081-6" TargetMode="External"/><Relationship Id="rId59" Type="http://schemas.openxmlformats.org/officeDocument/2006/relationships/hyperlink" Target="https://doi.org/10.1016/j.concog.2013.01.00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AB870-43FC-4D5B-B4ED-46226E1B4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10927</Words>
  <Characters>62289</Characters>
  <Application>Microsoft Office Word</Application>
  <DocSecurity>0</DocSecurity>
  <Lines>519</Lines>
  <Paragraphs>146</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Akbari, M. et al. Metacognitions as a predictor of Internet online gaming in adolescents</vt:lpstr>
      <vt:lpstr/>
    </vt:vector>
  </TitlesOfParts>
  <Company/>
  <LinksUpToDate>false</LinksUpToDate>
  <CharactersWithSpaces>73070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Akbari, M. et al. Metacognitions as a predictor of Internet online gaming in adolescents</dc:title>
  <dc:creator>Elahe Zamani</dc:creator>
  <cp:lastModifiedBy>Spada, Marcantonio</cp:lastModifiedBy>
  <cp:revision>2</cp:revision>
  <dcterms:created xsi:type="dcterms:W3CDTF">2021-03-02T17:17:00Z</dcterms:created>
  <dcterms:modified xsi:type="dcterms:W3CDTF">2021-03-02T17:17:00Z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Timer">
    <vt:bool>true</vt:bool>
  </property>
  <property fmtid="{D5CDD505-2E9C-101B-9397-08002B2CF9AE}" pid="3" name="EditTotal">
    <vt:i4>1240</vt:i4>
  </property>
  <property fmtid="{D5CDD505-2E9C-101B-9397-08002B2CF9AE}" pid="4" name="LastTick">
    <vt:r8>44116.4175925926</vt:r8>
  </property>
  <property fmtid="{D5CDD505-2E9C-101B-9397-08002B2CF9AE}" pid="5" name="EditTimer">
    <vt:i4>1040</vt:i4>
  </property>
</Properties>
</file>