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C30C6E" w14:textId="77777777" w:rsidR="006F3201" w:rsidRPr="00D638B0" w:rsidRDefault="00632FBB" w:rsidP="00E50798">
      <w:pPr>
        <w:pStyle w:val="Heading1"/>
        <w:tabs>
          <w:tab w:val="left" w:pos="7797"/>
        </w:tabs>
        <w:spacing w:line="360" w:lineRule="auto"/>
      </w:pPr>
      <w:bookmarkStart w:id="0" w:name="_GoBack"/>
      <w:bookmarkEnd w:id="0"/>
      <w:r w:rsidRPr="00D638B0">
        <w:t xml:space="preserve">The </w:t>
      </w:r>
      <w:r w:rsidR="00021A85" w:rsidRPr="00D638B0">
        <w:t xml:space="preserve">Hutton, </w:t>
      </w:r>
      <w:r w:rsidR="00F8071E" w:rsidRPr="00D638B0">
        <w:t>NW Hutton</w:t>
      </w:r>
      <w:r w:rsidR="00021A85" w:rsidRPr="00D638B0">
        <w:t>, Q-West and Darwin</w:t>
      </w:r>
      <w:r w:rsidR="00F8071E" w:rsidRPr="00D638B0">
        <w:t xml:space="preserve"> Field, Block</w:t>
      </w:r>
      <w:r w:rsidR="00021A85" w:rsidRPr="00D638B0">
        <w:t>s 211/27 and 211/28</w:t>
      </w:r>
      <w:r w:rsidRPr="00D638B0">
        <w:t>, UK North Sea</w:t>
      </w:r>
      <w:r w:rsidR="00934688" w:rsidRPr="00D638B0">
        <w:t xml:space="preserve"> </w:t>
      </w:r>
    </w:p>
    <w:p w14:paraId="0BC0A225" w14:textId="77777777" w:rsidR="00632FBB" w:rsidRPr="00D638B0" w:rsidRDefault="00632FBB" w:rsidP="00E50798">
      <w:pPr>
        <w:spacing w:line="360" w:lineRule="auto"/>
      </w:pPr>
    </w:p>
    <w:p w14:paraId="7819122C" w14:textId="77777777" w:rsidR="00632FBB" w:rsidRPr="00D638B0" w:rsidRDefault="00F8071E" w:rsidP="00E50798">
      <w:pPr>
        <w:spacing w:line="360" w:lineRule="auto"/>
      </w:pPr>
      <w:r w:rsidRPr="00D638B0">
        <w:t>J</w:t>
      </w:r>
      <w:r w:rsidR="00F25B48" w:rsidRPr="00D638B0">
        <w:t>.G</w:t>
      </w:r>
      <w:r w:rsidRPr="00D638B0">
        <w:t xml:space="preserve"> Gluyas</w:t>
      </w:r>
      <w:r w:rsidR="00632FBB" w:rsidRPr="00D638B0">
        <w:rPr>
          <w:vertAlign w:val="superscript"/>
        </w:rPr>
        <w:t>1</w:t>
      </w:r>
      <w:r w:rsidRPr="00D638B0">
        <w:t xml:space="preserve">, </w:t>
      </w:r>
      <w:r w:rsidR="00B77CF8" w:rsidRPr="00D638B0">
        <w:t>H.</w:t>
      </w:r>
      <w:r w:rsidR="00F31206" w:rsidRPr="00D638B0">
        <w:t xml:space="preserve"> Turnell</w:t>
      </w:r>
      <w:r w:rsidR="00065C39" w:rsidRPr="00D638B0">
        <w:rPr>
          <w:vertAlign w:val="superscript"/>
        </w:rPr>
        <w:t>2</w:t>
      </w:r>
      <w:r w:rsidR="00F31206" w:rsidRPr="00D638B0">
        <w:t xml:space="preserve">, </w:t>
      </w:r>
      <w:r w:rsidR="00065C39" w:rsidRPr="00D638B0">
        <w:t>R. Ball</w:t>
      </w:r>
      <w:r w:rsidR="00065C39" w:rsidRPr="00D638B0">
        <w:rPr>
          <w:vertAlign w:val="superscript"/>
        </w:rPr>
        <w:t>1,3</w:t>
      </w:r>
      <w:r w:rsidR="00065C39" w:rsidRPr="00D638B0">
        <w:t>,</w:t>
      </w:r>
      <w:r w:rsidR="00065C39" w:rsidRPr="00D638B0">
        <w:rPr>
          <w:vertAlign w:val="superscript"/>
        </w:rPr>
        <w:t xml:space="preserve"> </w:t>
      </w:r>
      <w:r w:rsidR="009D1AED" w:rsidRPr="00D638B0">
        <w:t>J</w:t>
      </w:r>
      <w:r w:rsidR="00B77CF8" w:rsidRPr="00D638B0">
        <w:t>.</w:t>
      </w:r>
      <w:r w:rsidR="009D1AED" w:rsidRPr="00D638B0">
        <w:t xml:space="preserve"> Henderson</w:t>
      </w:r>
      <w:r w:rsidR="00F31206" w:rsidRPr="00D638B0">
        <w:rPr>
          <w:vertAlign w:val="superscript"/>
        </w:rPr>
        <w:t>4</w:t>
      </w:r>
      <w:r w:rsidR="00D51989" w:rsidRPr="00D638B0">
        <w:rPr>
          <w:vertAlign w:val="superscript"/>
        </w:rPr>
        <w:t>,</w:t>
      </w:r>
      <w:r w:rsidR="00653AD0" w:rsidRPr="00D638B0">
        <w:rPr>
          <w:vertAlign w:val="superscript"/>
        </w:rPr>
        <w:t>1</w:t>
      </w:r>
      <w:r w:rsidR="009D1AED" w:rsidRPr="00D638B0">
        <w:t>,</w:t>
      </w:r>
      <w:r w:rsidR="00197BA0" w:rsidRPr="00D638B0">
        <w:t xml:space="preserve"> </w:t>
      </w:r>
      <w:r w:rsidR="001E5E5A" w:rsidRPr="00D638B0">
        <w:t>M</w:t>
      </w:r>
      <w:r w:rsidR="00B77CF8" w:rsidRPr="00D638B0">
        <w:t>.</w:t>
      </w:r>
      <w:r w:rsidR="001E5E5A" w:rsidRPr="00D638B0">
        <w:t xml:space="preserve"> Mulcahy</w:t>
      </w:r>
      <w:r w:rsidR="00F31206" w:rsidRPr="00D638B0">
        <w:rPr>
          <w:vertAlign w:val="superscript"/>
        </w:rPr>
        <w:t>5</w:t>
      </w:r>
      <w:r w:rsidR="001E5E5A" w:rsidRPr="00D638B0">
        <w:t xml:space="preserve">, </w:t>
      </w:r>
      <w:r w:rsidRPr="00D638B0">
        <w:t>C</w:t>
      </w:r>
      <w:r w:rsidR="00B77CF8" w:rsidRPr="00D638B0">
        <w:t>.</w:t>
      </w:r>
      <w:r w:rsidRPr="00D638B0">
        <w:t xml:space="preserve"> Richardson</w:t>
      </w:r>
      <w:r w:rsidR="00F31206" w:rsidRPr="00D638B0">
        <w:rPr>
          <w:vertAlign w:val="superscript"/>
        </w:rPr>
        <w:t>6</w:t>
      </w:r>
      <w:r w:rsidRPr="00D638B0">
        <w:t>,</w:t>
      </w:r>
      <w:r w:rsidR="00DA5A4E" w:rsidRPr="00D638B0">
        <w:t xml:space="preserve"> </w:t>
      </w:r>
      <w:r w:rsidR="006D47AC" w:rsidRPr="00D638B0">
        <w:rPr>
          <w:rFonts w:eastAsia="Times New Roman"/>
          <w:color w:val="000000"/>
        </w:rPr>
        <w:t>J</w:t>
      </w:r>
      <w:r w:rsidR="00864D05" w:rsidRPr="00D638B0">
        <w:rPr>
          <w:rFonts w:eastAsia="Times New Roman"/>
          <w:color w:val="000000"/>
        </w:rPr>
        <w:t>.</w:t>
      </w:r>
      <w:r w:rsidR="00DA5A4E" w:rsidRPr="00D638B0">
        <w:rPr>
          <w:rFonts w:eastAsia="Times New Roman"/>
          <w:color w:val="000000"/>
        </w:rPr>
        <w:t> </w:t>
      </w:r>
      <w:r w:rsidR="006D47AC" w:rsidRPr="00D638B0">
        <w:rPr>
          <w:rFonts w:eastAsia="Times New Roman"/>
          <w:color w:val="000000"/>
        </w:rPr>
        <w:t>Tyrie</w:t>
      </w:r>
      <w:r w:rsidR="00F31206" w:rsidRPr="00D638B0">
        <w:rPr>
          <w:rFonts w:eastAsia="Times New Roman"/>
          <w:color w:val="000000"/>
          <w:vertAlign w:val="superscript"/>
        </w:rPr>
        <w:t>5</w:t>
      </w:r>
      <w:r w:rsidR="000B0BDB" w:rsidRPr="00D638B0">
        <w:rPr>
          <w:rFonts w:eastAsia="Times New Roman"/>
          <w:color w:val="000000"/>
        </w:rPr>
        <w:t xml:space="preserve"> and F</w:t>
      </w:r>
      <w:r w:rsidR="00864D05" w:rsidRPr="00D638B0">
        <w:rPr>
          <w:rFonts w:eastAsia="Times New Roman"/>
          <w:color w:val="000000"/>
        </w:rPr>
        <w:t>.</w:t>
      </w:r>
      <w:r w:rsidR="000B0BDB" w:rsidRPr="00D638B0">
        <w:rPr>
          <w:rFonts w:eastAsia="Times New Roman"/>
          <w:color w:val="000000"/>
        </w:rPr>
        <w:t xml:space="preserve"> Wahid</w:t>
      </w:r>
      <w:r w:rsidR="00F31206" w:rsidRPr="00D638B0">
        <w:rPr>
          <w:rFonts w:eastAsia="Times New Roman"/>
          <w:color w:val="000000"/>
          <w:vertAlign w:val="superscript"/>
        </w:rPr>
        <w:t>5</w:t>
      </w:r>
    </w:p>
    <w:p w14:paraId="74DB0CAE" w14:textId="77777777" w:rsidR="00632FBB" w:rsidRPr="00D638B0" w:rsidRDefault="00632FBB" w:rsidP="00E50798">
      <w:pPr>
        <w:spacing w:line="360" w:lineRule="auto"/>
      </w:pPr>
      <w:r w:rsidRPr="00D638B0">
        <w:rPr>
          <w:vertAlign w:val="superscript"/>
        </w:rPr>
        <w:t>1</w:t>
      </w:r>
      <w:r w:rsidR="00F8071E" w:rsidRPr="00D638B0">
        <w:t>Department of Earth Sciences, Durham University, South Road, Durham, DH1 3LE, UK</w:t>
      </w:r>
    </w:p>
    <w:p w14:paraId="1282623B" w14:textId="77777777" w:rsidR="00065C39" w:rsidRPr="00D638B0" w:rsidRDefault="00065C39" w:rsidP="00065C39">
      <w:pPr>
        <w:spacing w:line="360" w:lineRule="auto"/>
      </w:pPr>
      <w:r w:rsidRPr="00D638B0">
        <w:rPr>
          <w:vertAlign w:val="superscript"/>
        </w:rPr>
        <w:t>2</w:t>
      </w:r>
      <w:r w:rsidRPr="00D638B0">
        <w:t>Division of Chemical and Petroleum Engineering, London South Bank University, 103 Borough Road, London SE1 0AA</w:t>
      </w:r>
    </w:p>
    <w:p w14:paraId="2EFF1E04" w14:textId="77777777" w:rsidR="00197BA0" w:rsidRPr="00D638B0" w:rsidRDefault="00065C39" w:rsidP="00E50798">
      <w:pPr>
        <w:spacing w:line="360" w:lineRule="auto"/>
      </w:pPr>
      <w:r w:rsidRPr="00D638B0">
        <w:rPr>
          <w:vertAlign w:val="superscript"/>
        </w:rPr>
        <w:t>3</w:t>
      </w:r>
      <w:r w:rsidRPr="00D638B0">
        <w:t xml:space="preserve">San </w:t>
      </w:r>
      <w:r w:rsidR="00197BA0" w:rsidRPr="00D638B0">
        <w:t xml:space="preserve">Leon Energy </w:t>
      </w:r>
      <w:r w:rsidR="006823CB" w:rsidRPr="00D638B0">
        <w:t>Ltd</w:t>
      </w:r>
      <w:r w:rsidR="00197BA0" w:rsidRPr="00D638B0">
        <w:t>, 84 Brook Street, Mayfair, London, W1K 5EH, UK</w:t>
      </w:r>
    </w:p>
    <w:p w14:paraId="0C2F5C38" w14:textId="77777777" w:rsidR="00632FBB" w:rsidRPr="00D638B0" w:rsidRDefault="00F31206" w:rsidP="00E50798">
      <w:pPr>
        <w:spacing w:line="360" w:lineRule="auto"/>
      </w:pPr>
      <w:r w:rsidRPr="00D638B0">
        <w:rPr>
          <w:vertAlign w:val="superscript"/>
        </w:rPr>
        <w:t>4</w:t>
      </w:r>
      <w:r w:rsidR="006D47AC" w:rsidRPr="00D638B0">
        <w:t xml:space="preserve">Trace Editors </w:t>
      </w:r>
      <w:r w:rsidR="006823CB" w:rsidRPr="00D638B0">
        <w:t>Ltd</w:t>
      </w:r>
      <w:r w:rsidR="006D47AC" w:rsidRPr="00D638B0">
        <w:t xml:space="preserve">, 65, </w:t>
      </w:r>
      <w:proofErr w:type="spellStart"/>
      <w:r w:rsidR="006D47AC" w:rsidRPr="00D638B0">
        <w:t>Gally</w:t>
      </w:r>
      <w:proofErr w:type="spellEnd"/>
      <w:r w:rsidR="006D47AC" w:rsidRPr="00D638B0">
        <w:t xml:space="preserve"> Hill Road, Church </w:t>
      </w:r>
      <w:r w:rsidR="001E5E5A" w:rsidRPr="00D638B0">
        <w:t>Crookham, Fleet, Hampshire GU52 </w:t>
      </w:r>
      <w:r w:rsidR="006D47AC" w:rsidRPr="00D638B0">
        <w:t>6RU</w:t>
      </w:r>
      <w:r w:rsidR="006D47AC" w:rsidRPr="00D638B0" w:rsidDel="006D47AC">
        <w:t xml:space="preserve"> </w:t>
      </w:r>
    </w:p>
    <w:p w14:paraId="0FF17EE1" w14:textId="77777777" w:rsidR="001E5E5A" w:rsidRPr="00D638B0" w:rsidRDefault="00F31206" w:rsidP="00E50798">
      <w:pPr>
        <w:spacing w:line="360" w:lineRule="auto"/>
        <w:rPr>
          <w:szCs w:val="22"/>
        </w:rPr>
      </w:pPr>
      <w:r w:rsidRPr="00D638B0">
        <w:rPr>
          <w:rFonts w:eastAsia="Times New Roman"/>
          <w:color w:val="000000"/>
          <w:szCs w:val="22"/>
          <w:vertAlign w:val="superscript"/>
        </w:rPr>
        <w:t>5</w:t>
      </w:r>
      <w:r w:rsidR="001E5E5A" w:rsidRPr="00D638B0">
        <w:rPr>
          <w:rFonts w:eastAsia="Times New Roman"/>
          <w:color w:val="000000"/>
          <w:szCs w:val="22"/>
          <w:shd w:val="clear" w:color="auto" w:fill="FFFFFF"/>
        </w:rPr>
        <w:t>Bridge Petroleum Ltd</w:t>
      </w:r>
      <w:r w:rsidR="001E5E5A" w:rsidRPr="00D638B0">
        <w:rPr>
          <w:rFonts w:eastAsia="Times New Roman"/>
          <w:color w:val="000000"/>
          <w:szCs w:val="22"/>
        </w:rPr>
        <w:t xml:space="preserve">, </w:t>
      </w:r>
      <w:r w:rsidR="001E5E5A" w:rsidRPr="00D638B0">
        <w:rPr>
          <w:color w:val="000000"/>
          <w:szCs w:val="22"/>
        </w:rPr>
        <w:t>3rd Floor Union Plaza</w:t>
      </w:r>
      <w:r w:rsidR="001E5E5A" w:rsidRPr="00D638B0">
        <w:rPr>
          <w:rFonts w:eastAsia="Times New Roman"/>
          <w:color w:val="000000"/>
          <w:szCs w:val="22"/>
        </w:rPr>
        <w:t xml:space="preserve">, </w:t>
      </w:r>
      <w:r w:rsidR="001E5E5A" w:rsidRPr="00D638B0">
        <w:rPr>
          <w:color w:val="000000"/>
          <w:szCs w:val="22"/>
        </w:rPr>
        <w:t xml:space="preserve">1 Union </w:t>
      </w:r>
      <w:proofErr w:type="spellStart"/>
      <w:r w:rsidR="001E5E5A" w:rsidRPr="00D638B0">
        <w:rPr>
          <w:color w:val="000000"/>
          <w:szCs w:val="22"/>
        </w:rPr>
        <w:t>Wynd</w:t>
      </w:r>
      <w:proofErr w:type="spellEnd"/>
      <w:r w:rsidR="001E5E5A" w:rsidRPr="00D638B0">
        <w:rPr>
          <w:color w:val="000000"/>
          <w:szCs w:val="22"/>
        </w:rPr>
        <w:t>, Aberdeen AB10 1SL</w:t>
      </w:r>
    </w:p>
    <w:p w14:paraId="3E9D297F" w14:textId="77777777" w:rsidR="00197BA0" w:rsidRPr="00D638B0" w:rsidRDefault="00F31206" w:rsidP="00E50798">
      <w:pPr>
        <w:spacing w:line="360" w:lineRule="auto"/>
      </w:pPr>
      <w:r w:rsidRPr="00D638B0">
        <w:rPr>
          <w:vertAlign w:val="superscript"/>
        </w:rPr>
        <w:t>6</w:t>
      </w:r>
      <w:r w:rsidR="00197BA0" w:rsidRPr="00D638B0">
        <w:rPr>
          <w:bCs/>
        </w:rPr>
        <w:t xml:space="preserve">TAQA </w:t>
      </w:r>
      <w:proofErr w:type="spellStart"/>
      <w:r w:rsidR="00197BA0" w:rsidRPr="00D638B0">
        <w:rPr>
          <w:bCs/>
        </w:rPr>
        <w:t>Bratani</w:t>
      </w:r>
      <w:proofErr w:type="spellEnd"/>
      <w:r w:rsidR="00197BA0" w:rsidRPr="00D638B0">
        <w:rPr>
          <w:bCs/>
        </w:rPr>
        <w:t xml:space="preserve"> </w:t>
      </w:r>
      <w:r w:rsidR="006823CB" w:rsidRPr="00D638B0">
        <w:rPr>
          <w:bCs/>
        </w:rPr>
        <w:t>Ltd,</w:t>
      </w:r>
      <w:r w:rsidR="00197BA0" w:rsidRPr="00D638B0">
        <w:t xml:space="preserve"> Prospect Road, Westhill, </w:t>
      </w:r>
      <w:proofErr w:type="spellStart"/>
      <w:r w:rsidR="00197BA0" w:rsidRPr="00D638B0">
        <w:t>Aberdeenshire</w:t>
      </w:r>
      <w:proofErr w:type="spellEnd"/>
      <w:r w:rsidR="00197BA0" w:rsidRPr="00D638B0">
        <w:t xml:space="preserve"> AB32 6FE, UK</w:t>
      </w:r>
    </w:p>
    <w:p w14:paraId="2E4DC9F9" w14:textId="77777777" w:rsidR="006D47AC" w:rsidRPr="00D638B0" w:rsidRDefault="006D47AC" w:rsidP="00E50798">
      <w:pPr>
        <w:spacing w:line="360" w:lineRule="auto"/>
      </w:pPr>
    </w:p>
    <w:p w14:paraId="794A3151" w14:textId="77777777" w:rsidR="00632FBB" w:rsidRPr="00D638B0" w:rsidRDefault="00632FBB" w:rsidP="00E50798">
      <w:pPr>
        <w:pStyle w:val="Heading2"/>
        <w:spacing w:line="360" w:lineRule="auto"/>
      </w:pPr>
      <w:r w:rsidRPr="00D638B0">
        <w:t xml:space="preserve">Abstract </w:t>
      </w:r>
    </w:p>
    <w:p w14:paraId="2E52E4CA" w14:textId="77777777" w:rsidR="001F2F84" w:rsidRPr="00D638B0" w:rsidRDefault="001F2F84" w:rsidP="00E50798">
      <w:pPr>
        <w:spacing w:line="360" w:lineRule="auto"/>
      </w:pPr>
    </w:p>
    <w:p w14:paraId="3D1FF6AB" w14:textId="77777777" w:rsidR="00930461" w:rsidRPr="00D638B0" w:rsidRDefault="00021A85" w:rsidP="00E50798">
      <w:pPr>
        <w:spacing w:line="360" w:lineRule="auto"/>
        <w:rPr>
          <w:sz w:val="20"/>
        </w:rPr>
      </w:pPr>
      <w:r w:rsidRPr="00D638B0">
        <w:rPr>
          <w:sz w:val="20"/>
        </w:rPr>
        <w:t xml:space="preserve">Hutton (discovered </w:t>
      </w:r>
      <w:r w:rsidR="00041E9B" w:rsidRPr="00D638B0">
        <w:rPr>
          <w:sz w:val="20"/>
        </w:rPr>
        <w:t>1973</w:t>
      </w:r>
      <w:r w:rsidR="002115D0" w:rsidRPr="00D638B0">
        <w:rPr>
          <w:sz w:val="20"/>
        </w:rPr>
        <w:t>)</w:t>
      </w:r>
      <w:r w:rsidR="009D6878" w:rsidRPr="00D638B0">
        <w:rPr>
          <w:sz w:val="20"/>
        </w:rPr>
        <w:t xml:space="preserve"> and </w:t>
      </w:r>
      <w:r w:rsidR="002115D0" w:rsidRPr="00D638B0">
        <w:rPr>
          <w:sz w:val="20"/>
        </w:rPr>
        <w:t>NW Hutton (discovered</w:t>
      </w:r>
      <w:r w:rsidR="00295BED" w:rsidRPr="00D638B0">
        <w:rPr>
          <w:sz w:val="20"/>
        </w:rPr>
        <w:t xml:space="preserve"> 1975)</w:t>
      </w:r>
      <w:r w:rsidR="00A5217D" w:rsidRPr="00D638B0">
        <w:rPr>
          <w:sz w:val="20"/>
        </w:rPr>
        <w:t xml:space="preserve">, </w:t>
      </w:r>
      <w:r w:rsidR="00677411" w:rsidRPr="00D638B0">
        <w:rPr>
          <w:sz w:val="20"/>
        </w:rPr>
        <w:t>together</w:t>
      </w:r>
      <w:r w:rsidR="00A5217D" w:rsidRPr="00D638B0">
        <w:rPr>
          <w:sz w:val="20"/>
        </w:rPr>
        <w:t xml:space="preserve"> with </w:t>
      </w:r>
      <w:r w:rsidR="00DB1815" w:rsidRPr="00D638B0">
        <w:rPr>
          <w:sz w:val="20"/>
        </w:rPr>
        <w:t>Q-West (discovered</w:t>
      </w:r>
      <w:r w:rsidR="000F00EC" w:rsidRPr="00D638B0">
        <w:rPr>
          <w:sz w:val="20"/>
        </w:rPr>
        <w:t xml:space="preserve"> in</w:t>
      </w:r>
      <w:r w:rsidR="00DB1815" w:rsidRPr="00D638B0">
        <w:rPr>
          <w:sz w:val="20"/>
        </w:rPr>
        <w:t xml:space="preserve"> 1994</w:t>
      </w:r>
      <w:r w:rsidR="00B24D6F" w:rsidRPr="00D638B0">
        <w:rPr>
          <w:sz w:val="20"/>
        </w:rPr>
        <w:t>)</w:t>
      </w:r>
      <w:r w:rsidR="00705842" w:rsidRPr="00D638B0">
        <w:rPr>
          <w:sz w:val="20"/>
        </w:rPr>
        <w:t xml:space="preserve"> and</w:t>
      </w:r>
      <w:r w:rsidR="001A0D32" w:rsidRPr="00D638B0">
        <w:rPr>
          <w:sz w:val="20"/>
        </w:rPr>
        <w:t xml:space="preserve"> Darwin (discovered 1983</w:t>
      </w:r>
      <w:r w:rsidR="00705842" w:rsidRPr="00D638B0">
        <w:rPr>
          <w:sz w:val="20"/>
        </w:rPr>
        <w:t>, undeveloped</w:t>
      </w:r>
      <w:r w:rsidR="001A0D32" w:rsidRPr="00D638B0">
        <w:rPr>
          <w:sz w:val="20"/>
        </w:rPr>
        <w:t>)</w:t>
      </w:r>
      <w:r w:rsidR="00A5217D" w:rsidRPr="00D638B0">
        <w:rPr>
          <w:sz w:val="20"/>
        </w:rPr>
        <w:t xml:space="preserve">, </w:t>
      </w:r>
      <w:r w:rsidR="002115D0" w:rsidRPr="00D638B0">
        <w:rPr>
          <w:sz w:val="20"/>
        </w:rPr>
        <w:t xml:space="preserve">are part of a single </w:t>
      </w:r>
      <w:r w:rsidR="003742F2" w:rsidRPr="00D638B0">
        <w:rPr>
          <w:sz w:val="20"/>
        </w:rPr>
        <w:t>petroleum system</w:t>
      </w:r>
      <w:r w:rsidR="007A495C" w:rsidRPr="00D638B0">
        <w:rPr>
          <w:sz w:val="20"/>
        </w:rPr>
        <w:t xml:space="preserve">. </w:t>
      </w:r>
      <w:r w:rsidR="00B23F7D" w:rsidRPr="00D638B0">
        <w:rPr>
          <w:sz w:val="20"/>
        </w:rPr>
        <w:t>T</w:t>
      </w:r>
      <w:r w:rsidR="007A495C" w:rsidRPr="00D638B0">
        <w:rPr>
          <w:sz w:val="20"/>
        </w:rPr>
        <w:t>he</w:t>
      </w:r>
      <w:r w:rsidR="00B23F7D" w:rsidRPr="00D638B0">
        <w:rPr>
          <w:sz w:val="20"/>
        </w:rPr>
        <w:t xml:space="preserve"> </w:t>
      </w:r>
      <w:r w:rsidR="00705842" w:rsidRPr="00D638B0">
        <w:rPr>
          <w:sz w:val="20"/>
        </w:rPr>
        <w:t xml:space="preserve">main </w:t>
      </w:r>
      <w:r w:rsidR="00B23F7D" w:rsidRPr="00D638B0">
        <w:rPr>
          <w:sz w:val="20"/>
        </w:rPr>
        <w:t>fields</w:t>
      </w:r>
      <w:r w:rsidR="007A495C" w:rsidRPr="00D638B0">
        <w:rPr>
          <w:sz w:val="20"/>
        </w:rPr>
        <w:t xml:space="preserve"> were</w:t>
      </w:r>
      <w:r w:rsidR="00A5217D" w:rsidRPr="00D638B0">
        <w:rPr>
          <w:sz w:val="20"/>
        </w:rPr>
        <w:t xml:space="preserve"> defined</w:t>
      </w:r>
      <w:r w:rsidR="002115D0" w:rsidRPr="00D638B0">
        <w:rPr>
          <w:sz w:val="20"/>
        </w:rPr>
        <w:t xml:space="preserve"> as two separate legal entities.</w:t>
      </w:r>
      <w:r w:rsidR="00B23F7D" w:rsidRPr="00D638B0">
        <w:rPr>
          <w:sz w:val="20"/>
        </w:rPr>
        <w:t xml:space="preserve">  </w:t>
      </w:r>
      <w:r w:rsidR="00DB1815" w:rsidRPr="00D638B0">
        <w:rPr>
          <w:sz w:val="20"/>
        </w:rPr>
        <w:t xml:space="preserve"> Although</w:t>
      </w:r>
      <w:r w:rsidR="002115D0" w:rsidRPr="00D638B0">
        <w:rPr>
          <w:sz w:val="20"/>
        </w:rPr>
        <w:t xml:space="preserve"> Q</w:t>
      </w:r>
      <w:r w:rsidR="002F515A" w:rsidRPr="00D638B0">
        <w:rPr>
          <w:sz w:val="20"/>
        </w:rPr>
        <w:noBreakHyphen/>
      </w:r>
      <w:r w:rsidR="002115D0" w:rsidRPr="00D638B0">
        <w:rPr>
          <w:sz w:val="20"/>
        </w:rPr>
        <w:t xml:space="preserve">West </w:t>
      </w:r>
      <w:r w:rsidR="00A5217D" w:rsidRPr="00D638B0">
        <w:rPr>
          <w:sz w:val="20"/>
        </w:rPr>
        <w:t>covered multiple blocks</w:t>
      </w:r>
      <w:r w:rsidR="00DB1815" w:rsidRPr="00D638B0">
        <w:rPr>
          <w:sz w:val="20"/>
        </w:rPr>
        <w:t>,</w:t>
      </w:r>
      <w:r w:rsidR="00A5217D" w:rsidRPr="00D638B0">
        <w:rPr>
          <w:sz w:val="20"/>
        </w:rPr>
        <w:t xml:space="preserve"> </w:t>
      </w:r>
      <w:r w:rsidR="00106D5B" w:rsidRPr="00D638B0">
        <w:rPr>
          <w:sz w:val="20"/>
        </w:rPr>
        <w:t>it</w:t>
      </w:r>
      <w:r w:rsidR="00A5217D" w:rsidRPr="00D638B0">
        <w:rPr>
          <w:sz w:val="20"/>
        </w:rPr>
        <w:t xml:space="preserve"> was wholly developed via the Hutton platform</w:t>
      </w:r>
      <w:r w:rsidR="002115D0" w:rsidRPr="00D638B0">
        <w:rPr>
          <w:sz w:val="20"/>
        </w:rPr>
        <w:t>.</w:t>
      </w:r>
      <w:r w:rsidR="00A5217D" w:rsidRPr="00D638B0">
        <w:rPr>
          <w:sz w:val="20"/>
        </w:rPr>
        <w:t xml:space="preserve"> </w:t>
      </w:r>
    </w:p>
    <w:p w14:paraId="0E46DD6F" w14:textId="77777777" w:rsidR="002F515A" w:rsidRPr="00D638B0" w:rsidRDefault="002F515A" w:rsidP="00E50798">
      <w:pPr>
        <w:spacing w:line="360" w:lineRule="auto"/>
        <w:rPr>
          <w:sz w:val="20"/>
        </w:rPr>
      </w:pPr>
    </w:p>
    <w:p w14:paraId="4FA9A099" w14:textId="3DEB4090" w:rsidR="002F515A" w:rsidRPr="00D638B0" w:rsidRDefault="002F515A" w:rsidP="00E50798">
      <w:pPr>
        <w:spacing w:line="360" w:lineRule="auto"/>
        <w:rPr>
          <w:sz w:val="20"/>
        </w:rPr>
      </w:pPr>
      <w:r w:rsidRPr="00D638B0">
        <w:rPr>
          <w:sz w:val="20"/>
        </w:rPr>
        <w:t xml:space="preserve">Together, Hutton and NW Hutton produced 328 </w:t>
      </w:r>
      <w:proofErr w:type="spellStart"/>
      <w:r w:rsidR="00E65190">
        <w:rPr>
          <w:sz w:val="20"/>
        </w:rPr>
        <w:t>Mmbo</w:t>
      </w:r>
      <w:proofErr w:type="spellEnd"/>
      <w:r w:rsidR="00E65190">
        <w:rPr>
          <w:sz w:val="20"/>
        </w:rPr>
        <w:t xml:space="preserve"> </w:t>
      </w:r>
      <w:r w:rsidRPr="00D638B0">
        <w:rPr>
          <w:sz w:val="20"/>
        </w:rPr>
        <w:t xml:space="preserve">of oil and a small quantity of associated gas from Middle Jurassic, Brent Group sandstones.  The trap is a complex series of tilted fault blocks sealed by </w:t>
      </w:r>
      <w:r w:rsidR="004D304E">
        <w:rPr>
          <w:sz w:val="20"/>
        </w:rPr>
        <w:t>Mid-</w:t>
      </w:r>
      <w:r w:rsidRPr="00D638B0">
        <w:rPr>
          <w:sz w:val="20"/>
        </w:rPr>
        <w:t>Upper Jurassic Heather and Kimmeridge Clay Formation mudstones.  Oil was sourced from the Kimmeridge Clay, which is mature for oil generation in the hanging walls to the field bounding faults</w:t>
      </w:r>
      <w:r w:rsidR="00E63122" w:rsidRPr="00D638B0">
        <w:rPr>
          <w:sz w:val="20"/>
        </w:rPr>
        <w:t xml:space="preserve"> and deep on the footwall flanks.</w:t>
      </w:r>
    </w:p>
    <w:p w14:paraId="3982ED0B" w14:textId="77777777" w:rsidR="00384E37" w:rsidRPr="00D638B0" w:rsidRDefault="00384E37" w:rsidP="00E50798">
      <w:pPr>
        <w:spacing w:line="360" w:lineRule="auto"/>
        <w:rPr>
          <w:sz w:val="20"/>
        </w:rPr>
      </w:pPr>
    </w:p>
    <w:p w14:paraId="6ECC8234" w14:textId="77777777" w:rsidR="00384E37" w:rsidRPr="00D638B0" w:rsidRDefault="00384E37" w:rsidP="00E50798">
      <w:pPr>
        <w:spacing w:line="360" w:lineRule="auto"/>
        <w:rPr>
          <w:sz w:val="20"/>
        </w:rPr>
      </w:pPr>
      <w:r w:rsidRPr="00D638B0">
        <w:rPr>
          <w:sz w:val="20"/>
        </w:rPr>
        <w:t xml:space="preserve">NW </w:t>
      </w:r>
      <w:r w:rsidR="00705842" w:rsidRPr="00D638B0">
        <w:rPr>
          <w:sz w:val="20"/>
        </w:rPr>
        <w:t>Hutton underperformed</w:t>
      </w:r>
      <w:r w:rsidRPr="00D638B0">
        <w:rPr>
          <w:sz w:val="20"/>
        </w:rPr>
        <w:t xml:space="preserve"> relative to Hutton.  In part this was due to the poorer reservoir quality encountered at depth compared with the shallower Hutton Field but a significant component of the underperformance was due to the way in which the field was developed and </w:t>
      </w:r>
      <w:r w:rsidRPr="00D638B0">
        <w:rPr>
          <w:sz w:val="20"/>
        </w:rPr>
        <w:lastRenderedPageBreak/>
        <w:t xml:space="preserve">then operated.  Both fields contain areas of unproduced and </w:t>
      </w:r>
      <w:proofErr w:type="spellStart"/>
      <w:r w:rsidRPr="00D638B0">
        <w:rPr>
          <w:sz w:val="20"/>
        </w:rPr>
        <w:t>unswept</w:t>
      </w:r>
      <w:proofErr w:type="spellEnd"/>
      <w:r w:rsidRPr="00D638B0">
        <w:rPr>
          <w:sz w:val="20"/>
        </w:rPr>
        <w:t xml:space="preserve"> oil with </w:t>
      </w:r>
      <w:r w:rsidR="00454A01" w:rsidRPr="00D638B0">
        <w:rPr>
          <w:sz w:val="20"/>
        </w:rPr>
        <w:t xml:space="preserve">the </w:t>
      </w:r>
      <w:r w:rsidRPr="00D638B0">
        <w:rPr>
          <w:sz w:val="20"/>
        </w:rPr>
        <w:t>NW Hutton portion having the largest remaining oil in place.</w:t>
      </w:r>
    </w:p>
    <w:p w14:paraId="36AC0279" w14:textId="77777777" w:rsidR="00E323A9" w:rsidRPr="00D638B0" w:rsidRDefault="00E323A9" w:rsidP="00E50798">
      <w:pPr>
        <w:spacing w:line="360" w:lineRule="auto"/>
        <w:rPr>
          <w:sz w:val="20"/>
        </w:rPr>
      </w:pPr>
    </w:p>
    <w:p w14:paraId="7FE79FEA" w14:textId="77777777" w:rsidR="004C67EF" w:rsidRPr="00D638B0" w:rsidRDefault="004C67EF" w:rsidP="00E50798">
      <w:pPr>
        <w:spacing w:line="360" w:lineRule="auto"/>
      </w:pPr>
    </w:p>
    <w:p w14:paraId="73EECA8B" w14:textId="77777777" w:rsidR="004C67EF" w:rsidRPr="00D638B0" w:rsidRDefault="00106D5B" w:rsidP="00E50798">
      <w:pPr>
        <w:spacing w:line="360" w:lineRule="auto"/>
      </w:pPr>
      <w:r w:rsidRPr="00D638B0">
        <w:t>Keywords: Hutton, NW Hutton, Q-West, Darwin, Galapagos, Brent sandstones</w:t>
      </w:r>
    </w:p>
    <w:p w14:paraId="2ADD1E20" w14:textId="77777777" w:rsidR="002115D0" w:rsidRPr="00D638B0" w:rsidRDefault="002115D0" w:rsidP="00E50798">
      <w:pPr>
        <w:spacing w:line="360" w:lineRule="auto"/>
      </w:pPr>
    </w:p>
    <w:p w14:paraId="7FD96D30" w14:textId="5E96377C" w:rsidR="00AC640E" w:rsidRPr="00D638B0" w:rsidRDefault="00CA3BE5" w:rsidP="00E50798">
      <w:pPr>
        <w:spacing w:line="360" w:lineRule="auto"/>
      </w:pPr>
      <w:r w:rsidRPr="00D638B0">
        <w:t>Conoco</w:t>
      </w:r>
      <w:r w:rsidR="0010246A" w:rsidRPr="00D638B0">
        <w:t xml:space="preserve"> operated the Hutton Field and</w:t>
      </w:r>
      <w:r w:rsidR="002E5B3D" w:rsidRPr="00D638B0">
        <w:t xml:space="preserve"> Amoco operat</w:t>
      </w:r>
      <w:r w:rsidR="00133A38" w:rsidRPr="00D638B0">
        <w:t>ed</w:t>
      </w:r>
      <w:r w:rsidR="00CE176C" w:rsidRPr="00D638B0">
        <w:t xml:space="preserve"> the NW Hutton </w:t>
      </w:r>
      <w:r w:rsidR="00073C90" w:rsidRPr="00D638B0">
        <w:t>Field</w:t>
      </w:r>
      <w:r w:rsidRPr="00D638B0">
        <w:t xml:space="preserve">.  </w:t>
      </w:r>
      <w:r w:rsidR="00CE176C" w:rsidRPr="00D638B0">
        <w:t>Q</w:t>
      </w:r>
      <w:r w:rsidR="006F6E0B" w:rsidRPr="00D638B0">
        <w:noBreakHyphen/>
      </w:r>
      <w:r w:rsidR="00CE176C" w:rsidRPr="00D638B0">
        <w:t>West production was allocated to Hutton.  Hutton ceased production in 2001</w:t>
      </w:r>
      <w:r w:rsidR="00D32E6F" w:rsidRPr="00D638B0">
        <w:t xml:space="preserve"> </w:t>
      </w:r>
      <w:r w:rsidR="00676848" w:rsidRPr="00D638B0">
        <w:t>(193 </w:t>
      </w:r>
      <w:proofErr w:type="spellStart"/>
      <w:r w:rsidR="00E65190">
        <w:t>MMbo</w:t>
      </w:r>
      <w:proofErr w:type="spellEnd"/>
      <w:r w:rsidR="00E65190" w:rsidRPr="00D638B0">
        <w:t xml:space="preserve"> </w:t>
      </w:r>
      <w:r w:rsidR="003A4CB0" w:rsidRPr="00D638B0">
        <w:t>produced)</w:t>
      </w:r>
      <w:r w:rsidR="00CE176C" w:rsidRPr="00D638B0">
        <w:t xml:space="preserve"> and NW Hutton</w:t>
      </w:r>
      <w:r w:rsidR="003A4CB0" w:rsidRPr="00D638B0">
        <w:t xml:space="preserve"> (1</w:t>
      </w:r>
      <w:r w:rsidR="00494A60" w:rsidRPr="00D638B0">
        <w:t>24</w:t>
      </w:r>
      <w:r w:rsidR="003A4CB0" w:rsidRPr="00D638B0">
        <w:t xml:space="preserve"> </w:t>
      </w:r>
      <w:proofErr w:type="spellStart"/>
      <w:r w:rsidR="00E65190">
        <w:t>MMbo</w:t>
      </w:r>
      <w:proofErr w:type="spellEnd"/>
      <w:r w:rsidR="00E65190" w:rsidRPr="00D638B0">
        <w:t xml:space="preserve"> </w:t>
      </w:r>
      <w:r w:rsidR="003A4CB0" w:rsidRPr="00D638B0">
        <w:t>produced)</w:t>
      </w:r>
      <w:r w:rsidR="00CE176C" w:rsidRPr="00D638B0">
        <w:t xml:space="preserve"> in 2002.  The fields were abandoned and platforms removed.</w:t>
      </w:r>
      <w:r w:rsidRPr="00D638B0">
        <w:t xml:space="preserve">  </w:t>
      </w:r>
      <w:r w:rsidR="00CE176C" w:rsidRPr="00D638B0">
        <w:t>Fairfield Energy</w:t>
      </w:r>
      <w:r w:rsidR="001556B7" w:rsidRPr="00D638B0">
        <w:t xml:space="preserve"> </w:t>
      </w:r>
      <w:r w:rsidR="00CE176C" w:rsidRPr="00D638B0">
        <w:t xml:space="preserve">acquired the abandoned NW Hutton Field and adjacent acreage in </w:t>
      </w:r>
      <w:r w:rsidR="009818AC" w:rsidRPr="00D638B0">
        <w:t>2009</w:t>
      </w:r>
      <w:r w:rsidRPr="00D638B0">
        <w:t xml:space="preserve"> </w:t>
      </w:r>
      <w:r w:rsidR="00133A38" w:rsidRPr="00D638B0">
        <w:t>and</w:t>
      </w:r>
      <w:r w:rsidR="00454A01" w:rsidRPr="00D638B0">
        <w:t>,</w:t>
      </w:r>
      <w:r w:rsidR="004D0CDE" w:rsidRPr="00D638B0">
        <w:t xml:space="preserve"> </w:t>
      </w:r>
      <w:r w:rsidR="00BF782E" w:rsidRPr="00D638B0">
        <w:t>with T</w:t>
      </w:r>
      <w:r w:rsidRPr="00D638B0">
        <w:t xml:space="preserve">AQA, </w:t>
      </w:r>
      <w:r w:rsidR="004D0CDE" w:rsidRPr="00D638B0">
        <w:t>drill</w:t>
      </w:r>
      <w:r w:rsidR="00133A38" w:rsidRPr="00D638B0">
        <w:t>ed</w:t>
      </w:r>
      <w:r w:rsidR="004D0CDE" w:rsidRPr="00D638B0">
        <w:t xml:space="preserve"> 3 wells into the southern extension of NW Hutton </w:t>
      </w:r>
      <w:r w:rsidR="00677411" w:rsidRPr="00D638B0">
        <w:t>(</w:t>
      </w:r>
      <w:r w:rsidR="004D0CDE" w:rsidRPr="00D638B0">
        <w:t>named Darwin</w:t>
      </w:r>
      <w:r w:rsidR="00677411" w:rsidRPr="00D638B0">
        <w:t>)</w:t>
      </w:r>
      <w:r w:rsidR="004D0CDE" w:rsidRPr="00D638B0">
        <w:t xml:space="preserve">.  Two wells encountered </w:t>
      </w:r>
      <w:r w:rsidR="00B24D6F" w:rsidRPr="00D638B0">
        <w:t xml:space="preserve">partial </w:t>
      </w:r>
      <w:r w:rsidR="004D0CDE" w:rsidRPr="00D638B0">
        <w:t>o</w:t>
      </w:r>
      <w:r w:rsidR="00B24D6F" w:rsidRPr="00D638B0">
        <w:t>il columns but</w:t>
      </w:r>
      <w:r w:rsidR="004D0CDE" w:rsidRPr="00D638B0">
        <w:t xml:space="preserve"> were</w:t>
      </w:r>
      <w:r w:rsidRPr="00D638B0">
        <w:t xml:space="preserve"> considered </w:t>
      </w:r>
      <w:r w:rsidR="001F2F84" w:rsidRPr="00D638B0">
        <w:t>sub-commercial</w:t>
      </w:r>
      <w:r w:rsidR="0028720D" w:rsidRPr="00D638B0">
        <w:t>. T</w:t>
      </w:r>
      <w:r w:rsidR="001F2F84" w:rsidRPr="00D638B0">
        <w:t>he licens</w:t>
      </w:r>
      <w:r w:rsidR="00B24D6F" w:rsidRPr="00D638B0">
        <w:t xml:space="preserve">es </w:t>
      </w:r>
      <w:r w:rsidR="001556B7" w:rsidRPr="00D638B0">
        <w:t xml:space="preserve">were </w:t>
      </w:r>
      <w:r w:rsidR="00B24D6F" w:rsidRPr="00D638B0">
        <w:t>relinquished in 2016</w:t>
      </w:r>
      <w:r w:rsidRPr="00D638B0">
        <w:t>.</w:t>
      </w:r>
    </w:p>
    <w:p w14:paraId="533EDA26" w14:textId="77777777" w:rsidR="003A4CB0" w:rsidRPr="00D638B0" w:rsidRDefault="003A4CB0" w:rsidP="00E50798">
      <w:pPr>
        <w:spacing w:line="360" w:lineRule="auto"/>
      </w:pPr>
    </w:p>
    <w:p w14:paraId="2D43CCA1" w14:textId="77777777" w:rsidR="00B82342" w:rsidRPr="00D638B0" w:rsidRDefault="00752313" w:rsidP="00E50798">
      <w:pPr>
        <w:pStyle w:val="Heading2"/>
        <w:spacing w:line="360" w:lineRule="auto"/>
      </w:pPr>
      <w:r w:rsidRPr="00D638B0">
        <w:t>History of Exploration and Appraisal</w:t>
      </w:r>
    </w:p>
    <w:p w14:paraId="1D0E1AC0" w14:textId="77777777" w:rsidR="00EA48DE" w:rsidRPr="00D638B0" w:rsidRDefault="00EA48DE" w:rsidP="00E50798">
      <w:pPr>
        <w:spacing w:line="360" w:lineRule="auto"/>
      </w:pPr>
    </w:p>
    <w:p w14:paraId="4124FE8F" w14:textId="77777777" w:rsidR="00B82342" w:rsidRPr="00D638B0" w:rsidRDefault="004250CB" w:rsidP="00CA3BE5">
      <w:pPr>
        <w:spacing w:line="360" w:lineRule="auto"/>
      </w:pPr>
      <w:r w:rsidRPr="00D638B0">
        <w:t xml:space="preserve">Hutton and NW Hutton are named after the Scottish geologist James Hutton (1726-1797) and Darwin </w:t>
      </w:r>
      <w:r w:rsidR="00840980" w:rsidRPr="00D638B0">
        <w:t xml:space="preserve">(the undeveloped southern extension of NE Hutton) </w:t>
      </w:r>
      <w:r w:rsidRPr="00D638B0">
        <w:t>after the English naturalist Charles Darwin (1802-1882). Current operators Bridge Petroleum refer to the whole area as Greater Galapagos</w:t>
      </w:r>
      <w:r w:rsidR="00CA3BE5" w:rsidRPr="00D638B0">
        <w:t xml:space="preserve"> (</w:t>
      </w:r>
      <w:r w:rsidR="00B82342" w:rsidRPr="00D638B0">
        <w:t xml:space="preserve">Figure 1).  </w:t>
      </w:r>
    </w:p>
    <w:p w14:paraId="43468060" w14:textId="77777777" w:rsidR="0028720D" w:rsidRPr="00D638B0" w:rsidRDefault="0028720D" w:rsidP="00E50798">
      <w:pPr>
        <w:spacing w:line="360" w:lineRule="auto"/>
      </w:pPr>
    </w:p>
    <w:p w14:paraId="02B7C735" w14:textId="77777777" w:rsidR="00D555E5" w:rsidRPr="00D638B0" w:rsidRDefault="00B82342" w:rsidP="00E50798">
      <w:pPr>
        <w:spacing w:line="360" w:lineRule="auto"/>
      </w:pPr>
      <w:r w:rsidRPr="00D638B0">
        <w:rPr>
          <w:b/>
        </w:rPr>
        <w:t>F</w:t>
      </w:r>
      <w:r w:rsidR="009E27FB" w:rsidRPr="00D638B0">
        <w:rPr>
          <w:b/>
        </w:rPr>
        <w:t>igure</w:t>
      </w:r>
      <w:r w:rsidR="009E27FB" w:rsidRPr="00D638B0">
        <w:t xml:space="preserve"> </w:t>
      </w:r>
      <w:r w:rsidR="00560E8F" w:rsidRPr="00D638B0">
        <w:t xml:space="preserve">1 </w:t>
      </w:r>
      <w:r w:rsidR="00D342C8" w:rsidRPr="00D638B0">
        <w:t>Here</w:t>
      </w:r>
    </w:p>
    <w:p w14:paraId="5F61F80C" w14:textId="77777777" w:rsidR="00B82342" w:rsidRPr="00D638B0" w:rsidRDefault="00B82342" w:rsidP="00E50798">
      <w:pPr>
        <w:spacing w:line="360" w:lineRule="auto"/>
      </w:pPr>
    </w:p>
    <w:p w14:paraId="4C75BC41" w14:textId="77777777" w:rsidR="00632FBB" w:rsidRPr="00D638B0" w:rsidRDefault="00632FBB" w:rsidP="00E50798">
      <w:pPr>
        <w:pStyle w:val="Heading3"/>
        <w:spacing w:line="360" w:lineRule="auto"/>
      </w:pPr>
      <w:r w:rsidRPr="00D638B0">
        <w:t>Exploration</w:t>
      </w:r>
    </w:p>
    <w:p w14:paraId="5BC3D690" w14:textId="77777777" w:rsidR="005A65F9" w:rsidRPr="00D638B0" w:rsidRDefault="007A293A" w:rsidP="00E50798">
      <w:pPr>
        <w:spacing w:line="360" w:lineRule="auto"/>
      </w:pPr>
      <w:r w:rsidRPr="00D638B0">
        <w:t>The Hut</w:t>
      </w:r>
      <w:r w:rsidR="005A2762" w:rsidRPr="00D638B0">
        <w:t>ton Field was discovered in July 1973</w:t>
      </w:r>
      <w:r w:rsidRPr="00D638B0">
        <w:t xml:space="preserve"> </w:t>
      </w:r>
      <w:r w:rsidR="00E047B4" w:rsidRPr="00D638B0">
        <w:t>by well 211/28</w:t>
      </w:r>
      <w:r w:rsidR="005A2762" w:rsidRPr="00D638B0">
        <w:t>-1</w:t>
      </w:r>
      <w:r w:rsidR="00413DCA" w:rsidRPr="00D638B0">
        <w:t>a</w:t>
      </w:r>
      <w:r w:rsidR="006606B3" w:rsidRPr="00D638B0">
        <w:t xml:space="preserve"> drilled by</w:t>
      </w:r>
      <w:r w:rsidRPr="00D638B0">
        <w:t xml:space="preserve"> a</w:t>
      </w:r>
      <w:r w:rsidR="005A2762" w:rsidRPr="00D638B0">
        <w:t xml:space="preserve"> </w:t>
      </w:r>
      <w:r w:rsidR="00E047B4" w:rsidRPr="00D638B0">
        <w:t>Conoco</w:t>
      </w:r>
      <w:r w:rsidR="005A2762" w:rsidRPr="00D638B0">
        <w:t xml:space="preserve"> led partnershi</w:t>
      </w:r>
      <w:r w:rsidR="00E047B4" w:rsidRPr="00D638B0">
        <w:t>p (Haig, 1991</w:t>
      </w:r>
      <w:r w:rsidR="005A2762" w:rsidRPr="00D638B0">
        <w:t xml:space="preserve">). </w:t>
      </w:r>
      <w:r w:rsidR="005A29A4" w:rsidRPr="00D638B0">
        <w:t xml:space="preserve"> </w:t>
      </w:r>
      <w:r w:rsidR="00B15E2C" w:rsidRPr="00D638B0">
        <w:t>Subsequent exploration w</w:t>
      </w:r>
      <w:r w:rsidR="005A65F9" w:rsidRPr="00D638B0">
        <w:t>ell</w:t>
      </w:r>
      <w:r w:rsidR="002579F4" w:rsidRPr="00D638B0">
        <w:t>s</w:t>
      </w:r>
      <w:r w:rsidR="005A65F9" w:rsidRPr="00D638B0">
        <w:t xml:space="preserve"> 211/28-5, 211/28-6 and 211/28</w:t>
      </w:r>
      <w:r w:rsidR="00C8495F" w:rsidRPr="00D638B0">
        <w:t>a</w:t>
      </w:r>
      <w:r w:rsidR="005A65F9" w:rsidRPr="00D638B0">
        <w:t>-7 were all drilled in the hanging wall to the main Hutton bounding fault in Block 211/28.</w:t>
      </w:r>
      <w:r w:rsidR="00C8495F" w:rsidRPr="00D638B0">
        <w:t xml:space="preserve">  </w:t>
      </w:r>
    </w:p>
    <w:p w14:paraId="030B4110" w14:textId="77777777" w:rsidR="001D7794" w:rsidRPr="00D638B0" w:rsidRDefault="001D7794" w:rsidP="00E50798">
      <w:pPr>
        <w:spacing w:line="360" w:lineRule="auto"/>
      </w:pPr>
    </w:p>
    <w:p w14:paraId="61CBA1C2" w14:textId="77777777" w:rsidR="001418C2" w:rsidRPr="00D638B0" w:rsidRDefault="001D7794" w:rsidP="00E50798">
      <w:pPr>
        <w:spacing w:line="360" w:lineRule="auto"/>
      </w:pPr>
      <w:r w:rsidRPr="00D638B0">
        <w:t xml:space="preserve">The NW Hutton discovery </w:t>
      </w:r>
      <w:r w:rsidR="00A32880" w:rsidRPr="00D638B0">
        <w:t>well 211/27-3</w:t>
      </w:r>
      <w:r w:rsidRPr="00D638B0">
        <w:t xml:space="preserve"> </w:t>
      </w:r>
      <w:r w:rsidR="00A32880" w:rsidRPr="00D638B0">
        <w:t xml:space="preserve">reached the Brent </w:t>
      </w:r>
      <w:r w:rsidR="00073C90" w:rsidRPr="00D638B0">
        <w:t xml:space="preserve">Group </w:t>
      </w:r>
      <w:r w:rsidR="00A32880" w:rsidRPr="00D638B0">
        <w:t>sandstone target</w:t>
      </w:r>
      <w:r w:rsidRPr="00D638B0">
        <w:t xml:space="preserve"> in April 1975 (</w:t>
      </w:r>
      <w:proofErr w:type="spellStart"/>
      <w:r w:rsidRPr="00D638B0">
        <w:t>Johnes</w:t>
      </w:r>
      <w:proofErr w:type="spellEnd"/>
      <w:r w:rsidRPr="00D638B0">
        <w:t xml:space="preserve"> and </w:t>
      </w:r>
      <w:proofErr w:type="spellStart"/>
      <w:r w:rsidRPr="00D638B0">
        <w:t>Gauer</w:t>
      </w:r>
      <w:proofErr w:type="spellEnd"/>
      <w:r w:rsidRPr="00D638B0">
        <w:t xml:space="preserve">, 1991).  From the </w:t>
      </w:r>
      <w:r w:rsidR="007F6450" w:rsidRPr="00D638B0">
        <w:t>original</w:t>
      </w:r>
      <w:r w:rsidRPr="00D638B0">
        <w:t xml:space="preserve"> </w:t>
      </w:r>
      <w:r w:rsidR="007F6450" w:rsidRPr="00D638B0">
        <w:t xml:space="preserve">well records, </w:t>
      </w:r>
      <w:r w:rsidRPr="00D638B0">
        <w:t xml:space="preserve">it </w:t>
      </w:r>
      <w:r w:rsidRPr="00D638B0">
        <w:lastRenderedPageBreak/>
        <w:t xml:space="preserve">is not clear whether the </w:t>
      </w:r>
      <w:r w:rsidR="00EC114C" w:rsidRPr="00D638B0">
        <w:t xml:space="preserve">well </w:t>
      </w:r>
      <w:r w:rsidRPr="00D638B0">
        <w:t>was regarded as a target distinct from Hutton or simply a bold appraisal step</w:t>
      </w:r>
      <w:r w:rsidR="006F6E0B" w:rsidRPr="00D638B0">
        <w:t>-</w:t>
      </w:r>
      <w:r w:rsidRPr="00D638B0">
        <w:t>out from the first two wells drilled on 211/27.</w:t>
      </w:r>
      <w:r w:rsidR="001418C2" w:rsidRPr="00D638B0">
        <w:t xml:space="preserve">  </w:t>
      </w:r>
      <w:r w:rsidR="00A562F2" w:rsidRPr="00D638B0">
        <w:t xml:space="preserve">Seven </w:t>
      </w:r>
      <w:r w:rsidR="001418C2" w:rsidRPr="00D638B0">
        <w:t>wells were us</w:t>
      </w:r>
      <w:r w:rsidR="00903604" w:rsidRPr="00D638B0">
        <w:t>ed to appraise NW Hutton</w:t>
      </w:r>
      <w:r w:rsidR="005B10F0" w:rsidRPr="00D638B0">
        <w:t>.</w:t>
      </w:r>
      <w:r w:rsidR="00EC114C" w:rsidRPr="00D638B0">
        <w:t xml:space="preserve">  </w:t>
      </w:r>
      <w:r w:rsidR="001418C2" w:rsidRPr="00D638B0">
        <w:t>Well 211/27-7</w:t>
      </w:r>
      <w:r w:rsidR="0091345B" w:rsidRPr="00D638B0">
        <w:t xml:space="preserve"> (drilled 1976)</w:t>
      </w:r>
      <w:r w:rsidR="001418C2" w:rsidRPr="00D638B0">
        <w:t xml:space="preserve"> is an exploration well drilled between what is now Hutton and NW Hutton</w:t>
      </w:r>
      <w:r w:rsidR="00DB1815" w:rsidRPr="00D638B0">
        <w:t xml:space="preserve"> (Q</w:t>
      </w:r>
      <w:r w:rsidR="00921F3D" w:rsidRPr="00D638B0">
        <w:noBreakHyphen/>
      </w:r>
      <w:r w:rsidR="00DB1815" w:rsidRPr="00D638B0">
        <w:t>West</w:t>
      </w:r>
      <w:r w:rsidR="0092375D" w:rsidRPr="00D638B0">
        <w:t xml:space="preserve">, </w:t>
      </w:r>
      <w:r w:rsidR="00F94121" w:rsidRPr="00D638B0">
        <w:t>Figure 1</w:t>
      </w:r>
      <w:r w:rsidR="0092375D" w:rsidRPr="00D638B0">
        <w:t>)</w:t>
      </w:r>
      <w:r w:rsidR="00F94121" w:rsidRPr="00D638B0">
        <w:t xml:space="preserve">.  </w:t>
      </w:r>
    </w:p>
    <w:p w14:paraId="5C0969FE" w14:textId="77777777" w:rsidR="001418C2" w:rsidRPr="00D638B0" w:rsidRDefault="001418C2" w:rsidP="00E50798">
      <w:pPr>
        <w:spacing w:line="360" w:lineRule="auto"/>
      </w:pPr>
    </w:p>
    <w:p w14:paraId="70340FEF" w14:textId="77777777" w:rsidR="00E139DD" w:rsidRPr="00D638B0" w:rsidRDefault="00E139DD" w:rsidP="00E50798">
      <w:pPr>
        <w:spacing w:line="360" w:lineRule="auto"/>
      </w:pPr>
      <w:r w:rsidRPr="00D638B0">
        <w:t xml:space="preserve">In 2013, two exploration wells were drilled by Fairfield Energy (211/27e-13, 211/27e-13z) </w:t>
      </w:r>
      <w:r w:rsidR="00F25B48" w:rsidRPr="00D638B0">
        <w:t xml:space="preserve">and </w:t>
      </w:r>
      <w:r w:rsidRPr="00D638B0">
        <w:t xml:space="preserve">designed to evaluate previously untested segments of the southernmost extension of NW Hutton (Darwin) south of 211/27c-12. </w:t>
      </w:r>
      <w:r w:rsidR="00455DD5" w:rsidRPr="00D638B0">
        <w:t xml:space="preserve">The </w:t>
      </w:r>
      <w:r w:rsidRPr="00D638B0">
        <w:t>easternmost of these wells (211/27e</w:t>
      </w:r>
      <w:r w:rsidR="00803C1A" w:rsidRPr="00D638B0">
        <w:noBreakHyphen/>
      </w:r>
      <w:r w:rsidRPr="00D638B0">
        <w:t>13) was drilled</w:t>
      </w:r>
      <w:r w:rsidR="006E588A" w:rsidRPr="00D638B0">
        <w:t xml:space="preserve"> first but penetrated </w:t>
      </w:r>
      <w:r w:rsidRPr="00D638B0">
        <w:t xml:space="preserve">water </w:t>
      </w:r>
      <w:r w:rsidR="00634E86" w:rsidRPr="00D638B0">
        <w:t>bearing</w:t>
      </w:r>
      <w:r w:rsidRPr="00D638B0">
        <w:t xml:space="preserve"> Brent </w:t>
      </w:r>
      <w:r w:rsidR="00803C1A" w:rsidRPr="00D638B0">
        <w:t xml:space="preserve">Group </w:t>
      </w:r>
      <w:r w:rsidRPr="00D638B0">
        <w:t>s</w:t>
      </w:r>
      <w:r w:rsidR="006E588A" w:rsidRPr="00D638B0">
        <w:t>andstones</w:t>
      </w:r>
      <w:r w:rsidRPr="00D638B0">
        <w:t xml:space="preserve">. </w:t>
      </w:r>
      <w:r w:rsidR="00455DD5" w:rsidRPr="00D638B0">
        <w:t>However</w:t>
      </w:r>
      <w:r w:rsidR="00454A01" w:rsidRPr="00D638B0">
        <w:t>,</w:t>
      </w:r>
      <w:r w:rsidR="00455DD5" w:rsidRPr="00D638B0">
        <w:t xml:space="preserve"> a sidetrack to the west </w:t>
      </w:r>
      <w:r w:rsidRPr="00D638B0">
        <w:t>(211/27e-13Z) encountered a 154 ft oil column in the Tarbert and Upper Ness reservoirs</w:t>
      </w:r>
      <w:r w:rsidR="00454A01" w:rsidRPr="00D638B0">
        <w:t xml:space="preserve"> (Figure 2)</w:t>
      </w:r>
      <w:r w:rsidRPr="00D638B0">
        <w:t xml:space="preserve">.  </w:t>
      </w:r>
    </w:p>
    <w:p w14:paraId="18543BCA" w14:textId="77777777" w:rsidR="001C23CB" w:rsidRPr="00D638B0" w:rsidRDefault="001C23CB" w:rsidP="00E50798">
      <w:pPr>
        <w:spacing w:line="360" w:lineRule="auto"/>
        <w:rPr>
          <w:color w:val="FF0000"/>
        </w:rPr>
      </w:pPr>
    </w:p>
    <w:p w14:paraId="72866083" w14:textId="77777777" w:rsidR="001C23CB" w:rsidRPr="00D638B0" w:rsidRDefault="001C23CB" w:rsidP="00E50798">
      <w:pPr>
        <w:spacing w:line="360" w:lineRule="auto"/>
      </w:pPr>
      <w:r w:rsidRPr="00D638B0">
        <w:rPr>
          <w:b/>
        </w:rPr>
        <w:t>Figure 2</w:t>
      </w:r>
      <w:r w:rsidRPr="00D638B0">
        <w:t xml:space="preserve"> Here</w:t>
      </w:r>
    </w:p>
    <w:p w14:paraId="28318145" w14:textId="77777777" w:rsidR="007A293A" w:rsidRPr="00D638B0" w:rsidRDefault="007A293A" w:rsidP="00E50798">
      <w:pPr>
        <w:spacing w:line="360" w:lineRule="auto"/>
      </w:pPr>
    </w:p>
    <w:p w14:paraId="0E38FB54" w14:textId="77777777" w:rsidR="00632FBB" w:rsidRPr="00D638B0" w:rsidRDefault="00632FBB" w:rsidP="00E50798">
      <w:pPr>
        <w:pStyle w:val="Heading3"/>
        <w:spacing w:line="360" w:lineRule="auto"/>
      </w:pPr>
      <w:r w:rsidRPr="00D638B0">
        <w:t>Appraisal</w:t>
      </w:r>
    </w:p>
    <w:p w14:paraId="3B0E6F07" w14:textId="77777777" w:rsidR="008D1F83" w:rsidRPr="00D638B0" w:rsidRDefault="008D1F83" w:rsidP="00E50798">
      <w:pPr>
        <w:spacing w:line="360" w:lineRule="auto"/>
      </w:pPr>
    </w:p>
    <w:p w14:paraId="33C62B26" w14:textId="46713061" w:rsidR="008D1F83" w:rsidRPr="00D638B0" w:rsidRDefault="008D1F83" w:rsidP="00E50798">
      <w:pPr>
        <w:spacing w:line="360" w:lineRule="auto"/>
      </w:pPr>
      <w:r w:rsidRPr="00D638B0">
        <w:t xml:space="preserve">Hutton field was appraised from 1974, with five wells (211/27-1a, 2, 211/28-2, 3 and 4) variously ranging from full oil columns in the Brent reservoir to completely water-wet. NW Hutton was appraised from 1978, with all appraisal wells encountering a full oil column in the Brent reservoir. After placement of the well template, appraisal continued in 1983 with well 211/27-11, which encountered </w:t>
      </w:r>
      <w:r w:rsidR="00042CCA" w:rsidRPr="00D638B0">
        <w:t xml:space="preserve">but did not test, </w:t>
      </w:r>
      <w:r w:rsidRPr="00D638B0">
        <w:t>oil in the Brent G</w:t>
      </w:r>
      <w:r w:rsidR="00921F3D" w:rsidRPr="00D638B0">
        <w:t>rou</w:t>
      </w:r>
      <w:r w:rsidRPr="00D638B0">
        <w:t xml:space="preserve">p. </w:t>
      </w:r>
      <w:r w:rsidR="00454A01" w:rsidRPr="00D638B0">
        <w:t xml:space="preserve">This well </w:t>
      </w:r>
      <w:r w:rsidRPr="00D638B0">
        <w:t xml:space="preserve">effectively </w:t>
      </w:r>
      <w:r w:rsidR="00454A01" w:rsidRPr="00D638B0">
        <w:t xml:space="preserve">discovered </w:t>
      </w:r>
      <w:r w:rsidRPr="00D638B0">
        <w:t>the Darwin accumulation</w:t>
      </w:r>
      <w:r w:rsidR="00454A01" w:rsidRPr="00D638B0">
        <w:t xml:space="preserve"> but was beyond the drilling radius of the platform</w:t>
      </w:r>
      <w:r w:rsidRPr="00D638B0">
        <w:t>.</w:t>
      </w:r>
    </w:p>
    <w:p w14:paraId="54720ED8" w14:textId="77777777" w:rsidR="00C02265" w:rsidRPr="00D638B0" w:rsidRDefault="00C02265" w:rsidP="00E50798">
      <w:pPr>
        <w:spacing w:line="360" w:lineRule="auto"/>
      </w:pPr>
    </w:p>
    <w:p w14:paraId="36B05D98" w14:textId="77777777" w:rsidR="00DE11B4" w:rsidRPr="00D638B0" w:rsidRDefault="00C02265" w:rsidP="00E50798">
      <w:pPr>
        <w:spacing w:line="360" w:lineRule="auto"/>
      </w:pPr>
      <w:r w:rsidRPr="00D638B0">
        <w:t>Q-West was discovered by well 211/28</w:t>
      </w:r>
      <w:r w:rsidR="002244FD" w:rsidRPr="00D638B0">
        <w:t xml:space="preserve">a-H35 </w:t>
      </w:r>
      <w:r w:rsidR="00D73C9E" w:rsidRPr="00D638B0">
        <w:t xml:space="preserve">which encountered a </w:t>
      </w:r>
      <w:r w:rsidR="005A29A4" w:rsidRPr="00D638B0">
        <w:t xml:space="preserve">400 ft </w:t>
      </w:r>
      <w:r w:rsidR="00D73C9E" w:rsidRPr="00D638B0">
        <w:t xml:space="preserve">oil </w:t>
      </w:r>
      <w:r w:rsidR="005A29A4" w:rsidRPr="00D638B0">
        <w:t>column</w:t>
      </w:r>
      <w:r w:rsidR="00D73C9E" w:rsidRPr="00D638B0">
        <w:t xml:space="preserve"> when</w:t>
      </w:r>
      <w:r w:rsidR="005A29A4" w:rsidRPr="00D638B0">
        <w:t xml:space="preserve"> </w:t>
      </w:r>
      <w:r w:rsidR="002244FD" w:rsidRPr="00D638B0">
        <w:t>drilled into Block 211/27b</w:t>
      </w:r>
      <w:r w:rsidRPr="00D638B0">
        <w:t xml:space="preserve"> from the Hutton platform</w:t>
      </w:r>
      <w:r w:rsidR="002749AA" w:rsidRPr="00D638B0">
        <w:t xml:space="preserve">. </w:t>
      </w:r>
      <w:r w:rsidR="002244FD" w:rsidRPr="00D638B0">
        <w:t xml:space="preserve">The well proved that Hutton and NW Hutton are part of </w:t>
      </w:r>
      <w:r w:rsidR="00E7340C" w:rsidRPr="00D638B0">
        <w:t>a single,</w:t>
      </w:r>
      <w:r w:rsidR="00BD06B0" w:rsidRPr="00D638B0">
        <w:t xml:space="preserve"> large</w:t>
      </w:r>
      <w:r w:rsidR="00E7340C" w:rsidRPr="00D638B0">
        <w:t>,</w:t>
      </w:r>
      <w:r w:rsidR="00BD06B0" w:rsidRPr="00D638B0">
        <w:t xml:space="preserve"> oil bearing geological structure although </w:t>
      </w:r>
      <w:r w:rsidR="00DE11B4" w:rsidRPr="00D638B0">
        <w:t>the discovery did not alter the legal definition of the established fields.  All production from Q-West was assigned to Hutton.</w:t>
      </w:r>
    </w:p>
    <w:p w14:paraId="270363FE" w14:textId="77777777" w:rsidR="00C969DD" w:rsidRPr="00D638B0" w:rsidRDefault="00C969DD" w:rsidP="00E50798">
      <w:pPr>
        <w:spacing w:line="360" w:lineRule="auto"/>
      </w:pPr>
    </w:p>
    <w:p w14:paraId="481FBD99" w14:textId="77777777" w:rsidR="00C969DD" w:rsidRPr="00D638B0" w:rsidRDefault="002710D1" w:rsidP="00E50798">
      <w:pPr>
        <w:spacing w:line="360" w:lineRule="auto"/>
        <w:rPr>
          <w:color w:val="FF0000"/>
        </w:rPr>
      </w:pPr>
      <w:r w:rsidRPr="00D638B0">
        <w:t xml:space="preserve">TAQA drilled the </w:t>
      </w:r>
      <w:r w:rsidR="008D17B4" w:rsidRPr="00D638B0">
        <w:t>211/27a-14</w:t>
      </w:r>
      <w:r w:rsidRPr="00D638B0">
        <w:t xml:space="preserve"> well in order to appraise a </w:t>
      </w:r>
      <w:r w:rsidR="008D17B4" w:rsidRPr="00D638B0">
        <w:t xml:space="preserve">distinct and previously untested </w:t>
      </w:r>
      <w:r w:rsidRPr="00D638B0">
        <w:t xml:space="preserve">structural high at the southernmost end of the developed field area. </w:t>
      </w:r>
      <w:r w:rsidR="008D17B4" w:rsidRPr="00D638B0">
        <w:t>211/27a-14</w:t>
      </w:r>
      <w:r w:rsidR="00DE11B4" w:rsidRPr="00D638B0">
        <w:t xml:space="preserve"> encountered </w:t>
      </w:r>
      <w:r w:rsidR="008D17B4" w:rsidRPr="00D638B0">
        <w:t>a 190 ft oil column in the Tarbert</w:t>
      </w:r>
      <w:r w:rsidR="00DE11B4" w:rsidRPr="00D638B0">
        <w:t xml:space="preserve"> and </w:t>
      </w:r>
      <w:r w:rsidR="008D17B4" w:rsidRPr="00D638B0">
        <w:t>Upper Ness</w:t>
      </w:r>
      <w:r w:rsidRPr="00D638B0">
        <w:t xml:space="preserve"> reservoirs but the interval was not tested</w:t>
      </w:r>
      <w:r w:rsidR="00605A03" w:rsidRPr="00D638B0">
        <w:t>.</w:t>
      </w:r>
    </w:p>
    <w:p w14:paraId="04B96483" w14:textId="77777777" w:rsidR="00632FBB" w:rsidRPr="00D638B0" w:rsidRDefault="00632FBB" w:rsidP="00E50798">
      <w:pPr>
        <w:pStyle w:val="Heading3"/>
        <w:spacing w:line="360" w:lineRule="auto"/>
      </w:pPr>
      <w:r w:rsidRPr="00D638B0">
        <w:t>Development</w:t>
      </w:r>
    </w:p>
    <w:p w14:paraId="5751A578" w14:textId="77777777" w:rsidR="004C6E92" w:rsidRPr="00D638B0" w:rsidRDefault="004C6E92" w:rsidP="00E50798">
      <w:pPr>
        <w:spacing w:line="360" w:lineRule="auto"/>
      </w:pPr>
      <w:r w:rsidRPr="00D638B0">
        <w:t>Oil production from the Hutton Field began on 6 August 1984</w:t>
      </w:r>
      <w:r w:rsidR="001D024E" w:rsidRPr="00D638B0">
        <w:t xml:space="preserve"> using a</w:t>
      </w:r>
      <w:r w:rsidRPr="00D638B0">
        <w:t xml:space="preserve"> </w:t>
      </w:r>
      <w:r w:rsidR="00454A01" w:rsidRPr="00D638B0">
        <w:t>new design</w:t>
      </w:r>
      <w:r w:rsidRPr="00D638B0">
        <w:t xml:space="preserve"> tension leg platform</w:t>
      </w:r>
      <w:r w:rsidR="00C4338A" w:rsidRPr="00D638B0">
        <w:t>, installed in 148 m (485 ft) of water</w:t>
      </w:r>
      <w:r w:rsidRPr="00D638B0">
        <w:t>. At production start</w:t>
      </w:r>
      <w:r w:rsidR="00B67347" w:rsidRPr="00D638B0">
        <w:t>-</w:t>
      </w:r>
      <w:r w:rsidRPr="00D638B0">
        <w:t>up 10 production wells had already been drilled and completed</w:t>
      </w:r>
      <w:r w:rsidR="00710C65" w:rsidRPr="00D638B0">
        <w:t>, the remainder were drilled after production start-up (Figure 3)</w:t>
      </w:r>
      <w:r w:rsidRPr="00D638B0">
        <w:t xml:space="preserve">. </w:t>
      </w:r>
      <w:r w:rsidR="00FA3BAF" w:rsidRPr="00D638B0">
        <w:t xml:space="preserve">Ultimately 20 production wells </w:t>
      </w:r>
      <w:r w:rsidR="00B67347" w:rsidRPr="00D638B0">
        <w:t xml:space="preserve">and 12 injection wells </w:t>
      </w:r>
      <w:r w:rsidR="00FA3BAF" w:rsidRPr="00D638B0">
        <w:t>were drilled on the Hutton Field including Q</w:t>
      </w:r>
      <w:r w:rsidR="00FA3BAF" w:rsidRPr="00D638B0">
        <w:noBreakHyphen/>
        <w:t xml:space="preserve">West.  </w:t>
      </w:r>
    </w:p>
    <w:p w14:paraId="7245C90D" w14:textId="77777777" w:rsidR="00710C65" w:rsidRPr="00D638B0" w:rsidRDefault="00710C65" w:rsidP="00E50798">
      <w:pPr>
        <w:spacing w:line="360" w:lineRule="auto"/>
      </w:pPr>
    </w:p>
    <w:p w14:paraId="7A3EFD77" w14:textId="77777777" w:rsidR="00710C65" w:rsidRPr="00D638B0" w:rsidRDefault="00710C65" w:rsidP="00E50798">
      <w:pPr>
        <w:spacing w:line="360" w:lineRule="auto"/>
      </w:pPr>
      <w:r w:rsidRPr="00D638B0">
        <w:rPr>
          <w:b/>
        </w:rPr>
        <w:t>Figure 3</w:t>
      </w:r>
      <w:r w:rsidRPr="00D638B0">
        <w:t xml:space="preserve"> </w:t>
      </w:r>
      <w:r w:rsidR="00D342C8" w:rsidRPr="00D638B0">
        <w:t>Here</w:t>
      </w:r>
    </w:p>
    <w:p w14:paraId="5D8EC746" w14:textId="77777777" w:rsidR="007A0F20" w:rsidRPr="00D638B0" w:rsidRDefault="007A0F20" w:rsidP="00E50798">
      <w:pPr>
        <w:spacing w:line="360" w:lineRule="auto"/>
      </w:pPr>
    </w:p>
    <w:p w14:paraId="497FAACF" w14:textId="77777777" w:rsidR="007A0F20" w:rsidRPr="00D638B0" w:rsidRDefault="007A0F20" w:rsidP="00E50798">
      <w:pPr>
        <w:spacing w:line="360" w:lineRule="auto"/>
      </w:pPr>
      <w:r w:rsidRPr="00D638B0">
        <w:t xml:space="preserve">Development of NW Hutton began in October 1979 with the installation of a seabed template with 20 well slots.  Production capacity for the platform was set at 100,000 </w:t>
      </w:r>
      <w:proofErr w:type="spellStart"/>
      <w:r w:rsidRPr="00D638B0">
        <w:t>bopd</w:t>
      </w:r>
      <w:proofErr w:type="spellEnd"/>
      <w:r w:rsidRPr="00D638B0">
        <w:t xml:space="preserve"> </w:t>
      </w:r>
      <w:r w:rsidR="00BD7964" w:rsidRPr="00D638B0">
        <w:t xml:space="preserve">but with very low </w:t>
      </w:r>
      <w:r w:rsidR="00272DCF" w:rsidRPr="00D638B0">
        <w:t>produced-</w:t>
      </w:r>
      <w:r w:rsidR="00B82778" w:rsidRPr="00D638B0">
        <w:t>water handling limits (20</w:t>
      </w:r>
      <w:r w:rsidR="00DA2114" w:rsidRPr="00D638B0">
        <w:t>,</w:t>
      </w:r>
      <w:r w:rsidR="00B82778" w:rsidRPr="00D638B0">
        <w:t>000</w:t>
      </w:r>
      <w:r w:rsidRPr="00D638B0">
        <w:t xml:space="preserve"> </w:t>
      </w:r>
      <w:proofErr w:type="spellStart"/>
      <w:r w:rsidRPr="00D638B0">
        <w:t>bwpd</w:t>
      </w:r>
      <w:proofErr w:type="spellEnd"/>
      <w:r w:rsidR="00B82778" w:rsidRPr="00D638B0">
        <w:t>). After just four years of production, the low produced water handling limit was identified as a bottleneck and the operator attempted to upgrade the produced water limits to 90</w:t>
      </w:r>
      <w:r w:rsidR="00DA2114" w:rsidRPr="00D638B0">
        <w:t>,</w:t>
      </w:r>
      <w:r w:rsidR="00B82778" w:rsidRPr="00D638B0">
        <w:t xml:space="preserve">000 </w:t>
      </w:r>
      <w:proofErr w:type="spellStart"/>
      <w:r w:rsidR="00B82778" w:rsidRPr="00D638B0">
        <w:t>bwpd</w:t>
      </w:r>
      <w:proofErr w:type="spellEnd"/>
      <w:r w:rsidR="00F82A1A" w:rsidRPr="00D638B0">
        <w:t>;</w:t>
      </w:r>
      <w:r w:rsidR="00B82778" w:rsidRPr="00D638B0">
        <w:t xml:space="preserve"> only 43</w:t>
      </w:r>
      <w:r w:rsidR="00DA2114" w:rsidRPr="00D638B0">
        <w:t>,</w:t>
      </w:r>
      <w:r w:rsidR="00B82778" w:rsidRPr="00D638B0">
        <w:t xml:space="preserve">000 </w:t>
      </w:r>
      <w:proofErr w:type="spellStart"/>
      <w:r w:rsidR="00B82778" w:rsidRPr="00D638B0">
        <w:t>bwpd</w:t>
      </w:r>
      <w:proofErr w:type="spellEnd"/>
      <w:r w:rsidR="00B82778" w:rsidRPr="00D638B0">
        <w:t xml:space="preserve"> was achieved. This had the effect of </w:t>
      </w:r>
      <w:r w:rsidR="00382F7F" w:rsidRPr="00D638B0">
        <w:t>limiting</w:t>
      </w:r>
      <w:r w:rsidR="00042CCA" w:rsidRPr="00D638B0">
        <w:t xml:space="preserve"> </w:t>
      </w:r>
      <w:r w:rsidR="00B82778" w:rsidRPr="00D638B0">
        <w:t xml:space="preserve">the maximum potential </w:t>
      </w:r>
      <w:r w:rsidR="00DA2114" w:rsidRPr="00D638B0">
        <w:t xml:space="preserve">field </w:t>
      </w:r>
      <w:r w:rsidR="00B82778" w:rsidRPr="00D638B0">
        <w:t>recovery since wells were shut in at modest</w:t>
      </w:r>
      <w:r w:rsidR="00053101" w:rsidRPr="00D638B0">
        <w:t xml:space="preserve"> water</w:t>
      </w:r>
      <w:r w:rsidR="00272DCF" w:rsidRPr="00D638B0">
        <w:noBreakHyphen/>
      </w:r>
      <w:r w:rsidR="00053101" w:rsidRPr="00D638B0">
        <w:t>cuts</w:t>
      </w:r>
      <w:r w:rsidR="00B82778" w:rsidRPr="00D638B0">
        <w:t xml:space="preserve">. </w:t>
      </w:r>
      <w:r w:rsidRPr="00D638B0">
        <w:t xml:space="preserve">  </w:t>
      </w:r>
    </w:p>
    <w:p w14:paraId="41C8B3FF" w14:textId="77777777" w:rsidR="008C6080" w:rsidRPr="00D638B0" w:rsidRDefault="008C6080" w:rsidP="00E50798">
      <w:pPr>
        <w:spacing w:line="360" w:lineRule="auto"/>
      </w:pPr>
    </w:p>
    <w:p w14:paraId="4BAE0D96" w14:textId="7F59E2CF" w:rsidR="008C6080" w:rsidRPr="00D638B0" w:rsidRDefault="008C6080" w:rsidP="00E50798">
      <w:pPr>
        <w:spacing w:line="360" w:lineRule="auto"/>
      </w:pPr>
      <w:r w:rsidRPr="00D638B0">
        <w:t>NW Hutton had 5</w:t>
      </w:r>
      <w:r w:rsidR="008F0F45" w:rsidRPr="00D638B0">
        <w:t>2</w:t>
      </w:r>
      <w:r w:rsidRPr="00D638B0">
        <w:t xml:space="preserve"> development well penetrations (both produc</w:t>
      </w:r>
      <w:r w:rsidR="009E356B" w:rsidRPr="00D638B0">
        <w:t>t</w:t>
      </w:r>
      <w:r w:rsidRPr="00D638B0">
        <w:t>ion and water injection wells</w:t>
      </w:r>
      <w:r w:rsidR="002864A4" w:rsidRPr="00D638B0">
        <w:t xml:space="preserve">, Figure </w:t>
      </w:r>
      <w:r w:rsidR="002F5145">
        <w:t>3</w:t>
      </w:r>
      <w:r w:rsidRPr="00D638B0">
        <w:t>)</w:t>
      </w:r>
      <w:r w:rsidR="002C2979" w:rsidRPr="00D638B0">
        <w:t xml:space="preserve"> drilled during three phases</w:t>
      </w:r>
      <w:r w:rsidRPr="00D638B0">
        <w:t xml:space="preserve">.  </w:t>
      </w:r>
      <w:r w:rsidR="002C2979" w:rsidRPr="00D638B0">
        <w:t xml:space="preserve">No wells were drilled as planned water injectors and all injectors were initially </w:t>
      </w:r>
      <w:r w:rsidR="00DC5AFB" w:rsidRPr="00D638B0">
        <w:t>oil production</w:t>
      </w:r>
      <w:r w:rsidR="002C2979" w:rsidRPr="00D638B0">
        <w:t xml:space="preserve"> wells converted as and when required. </w:t>
      </w:r>
    </w:p>
    <w:p w14:paraId="311FA64B" w14:textId="77777777" w:rsidR="002864A4" w:rsidRPr="00D638B0" w:rsidRDefault="002864A4" w:rsidP="00E50798">
      <w:pPr>
        <w:spacing w:line="360" w:lineRule="auto"/>
      </w:pPr>
    </w:p>
    <w:p w14:paraId="263B6277" w14:textId="77777777" w:rsidR="00752313" w:rsidRPr="00D638B0" w:rsidRDefault="00752313" w:rsidP="00E50798">
      <w:pPr>
        <w:pStyle w:val="Heading2"/>
        <w:spacing w:line="360" w:lineRule="auto"/>
      </w:pPr>
      <w:r w:rsidRPr="00D638B0">
        <w:t>Regional Context</w:t>
      </w:r>
    </w:p>
    <w:p w14:paraId="4F3D3331" w14:textId="77777777" w:rsidR="00752313" w:rsidRPr="00D638B0" w:rsidRDefault="00752313" w:rsidP="00E50798">
      <w:pPr>
        <w:pStyle w:val="Heading3"/>
        <w:spacing w:line="360" w:lineRule="auto"/>
      </w:pPr>
      <w:r w:rsidRPr="00D638B0">
        <w:t>Stratigraphy</w:t>
      </w:r>
    </w:p>
    <w:p w14:paraId="79E1AEF9" w14:textId="77777777" w:rsidR="00EA48DE" w:rsidRPr="00D638B0" w:rsidRDefault="00EA48DE" w:rsidP="00E50798">
      <w:pPr>
        <w:spacing w:line="360" w:lineRule="auto"/>
      </w:pPr>
    </w:p>
    <w:p w14:paraId="62026DEE" w14:textId="016E3851" w:rsidR="00131763" w:rsidRPr="00D638B0" w:rsidRDefault="001A33C9" w:rsidP="00E50798">
      <w:pPr>
        <w:spacing w:line="360" w:lineRule="auto"/>
      </w:pPr>
      <w:r w:rsidRPr="00D638B0">
        <w:lastRenderedPageBreak/>
        <w:t xml:space="preserve">The Hutton </w:t>
      </w:r>
      <w:r w:rsidR="00921F3D" w:rsidRPr="00D638B0">
        <w:t>area</w:t>
      </w:r>
      <w:r w:rsidRPr="00D638B0">
        <w:t xml:space="preserve"> fields lie within the East Shetland Basin, a broad terrace </w:t>
      </w:r>
      <w:r w:rsidR="00F13C44" w:rsidRPr="00D638B0">
        <w:t>with</w:t>
      </w:r>
      <w:r w:rsidRPr="00D638B0">
        <w:t>in the western part of the Viking Graben (</w:t>
      </w:r>
      <w:proofErr w:type="spellStart"/>
      <w:r w:rsidR="00F13C44" w:rsidRPr="00D638B0">
        <w:t>Johnes</w:t>
      </w:r>
      <w:proofErr w:type="spellEnd"/>
      <w:r w:rsidR="00F13C44" w:rsidRPr="00D638B0">
        <w:t xml:space="preserve"> and </w:t>
      </w:r>
      <w:proofErr w:type="spellStart"/>
      <w:r w:rsidR="00F13C44" w:rsidRPr="00D638B0">
        <w:t>Gauer</w:t>
      </w:r>
      <w:proofErr w:type="spellEnd"/>
      <w:r w:rsidR="00F13C44" w:rsidRPr="00D638B0">
        <w:t>, 1991).</w:t>
      </w:r>
      <w:r w:rsidR="00D54DA4" w:rsidRPr="00D638B0">
        <w:t xml:space="preserve">  The stratigraphy</w:t>
      </w:r>
      <w:r w:rsidR="009A449B" w:rsidRPr="00D638B0">
        <w:t xml:space="preserve"> </w:t>
      </w:r>
      <w:r w:rsidR="00862DB8" w:rsidRPr="00D638B0">
        <w:t>has been extensively reported by a number of au</w:t>
      </w:r>
      <w:r w:rsidR="00073E5E" w:rsidRPr="00D638B0">
        <w:t>thors (</w:t>
      </w:r>
      <w:r w:rsidR="003634F3" w:rsidRPr="00D638B0">
        <w:t xml:space="preserve">e.g. </w:t>
      </w:r>
      <w:r w:rsidR="00073E5E" w:rsidRPr="00D638B0">
        <w:t>Deegan and Sc</w:t>
      </w:r>
      <w:r w:rsidR="00862DB8" w:rsidRPr="00D638B0">
        <w:t>ull, 1977; Lee and Hwang, 1993).</w:t>
      </w:r>
      <w:r w:rsidR="00893108" w:rsidRPr="00D638B0">
        <w:t xml:space="preserve">  The oldest strata penetrated in Blocks 211/27 and 211/28 are Triassic </w:t>
      </w:r>
      <w:r w:rsidR="00B914FB" w:rsidRPr="00D638B0">
        <w:t xml:space="preserve">sandstones and mudstones </w:t>
      </w:r>
      <w:r w:rsidR="00893108" w:rsidRPr="00D638B0">
        <w:t>(Cormorant Formation) at th</w:t>
      </w:r>
      <w:r w:rsidR="007E65CC" w:rsidRPr="00D638B0">
        <w:t>e crest of Hutton</w:t>
      </w:r>
      <w:r w:rsidR="000C395E">
        <w:t>, although Permian and Devonian strata are known regionally to be present on Pre-Cambrian basement (</w:t>
      </w:r>
      <w:r w:rsidR="00E65190">
        <w:t>Lee and Hwang, 1993; Evans et al 2003; Stewart and Faulkner, 1991; Kay, 2003</w:t>
      </w:r>
      <w:r w:rsidR="000C395E">
        <w:t>)</w:t>
      </w:r>
      <w:r w:rsidR="007E65CC" w:rsidRPr="00D638B0">
        <w:t xml:space="preserve">. </w:t>
      </w:r>
    </w:p>
    <w:p w14:paraId="12403DD2" w14:textId="77777777" w:rsidR="006D00C7" w:rsidRPr="00D638B0" w:rsidRDefault="006D00C7" w:rsidP="00E50798">
      <w:pPr>
        <w:spacing w:line="360" w:lineRule="auto"/>
      </w:pPr>
    </w:p>
    <w:p w14:paraId="45906C84" w14:textId="7C733498" w:rsidR="006D00C7" w:rsidRPr="00D638B0" w:rsidRDefault="006D00C7" w:rsidP="00E50798">
      <w:pPr>
        <w:spacing w:line="360" w:lineRule="auto"/>
      </w:pPr>
      <w:r w:rsidRPr="00D638B0">
        <w:t xml:space="preserve">The Triassic comprises a thick sequence of </w:t>
      </w:r>
      <w:r w:rsidR="006E41E6" w:rsidRPr="00D638B0">
        <w:t xml:space="preserve">terrestrial </w:t>
      </w:r>
      <w:r w:rsidRPr="00D638B0">
        <w:t>sandstones and mudstones</w:t>
      </w:r>
      <w:r w:rsidR="006E41E6" w:rsidRPr="00D638B0">
        <w:t>,</w:t>
      </w:r>
      <w:r w:rsidRPr="00D638B0">
        <w:t xml:space="preserve"> penetrated by one well on</w:t>
      </w:r>
      <w:r w:rsidR="00133DB5" w:rsidRPr="00D638B0">
        <w:t xml:space="preserve"> the</w:t>
      </w:r>
      <w:r w:rsidRPr="00D638B0">
        <w:t xml:space="preserve"> Hutton</w:t>
      </w:r>
      <w:r w:rsidR="00133DB5" w:rsidRPr="00D638B0">
        <w:t xml:space="preserve"> Field</w:t>
      </w:r>
      <w:r w:rsidR="006E41E6" w:rsidRPr="00D638B0">
        <w:t>.</w:t>
      </w:r>
      <w:r w:rsidRPr="00D638B0">
        <w:t xml:space="preserve"> </w:t>
      </w:r>
      <w:r w:rsidR="006E41E6" w:rsidRPr="00D638B0">
        <w:t>E</w:t>
      </w:r>
      <w:r w:rsidRPr="00D638B0">
        <w:t xml:space="preserve">lsewhere in the Viking Graben these sandstones </w:t>
      </w:r>
      <w:r w:rsidR="006E41E6" w:rsidRPr="00D638B0">
        <w:t>together with</w:t>
      </w:r>
      <w:r w:rsidRPr="00D638B0">
        <w:t xml:space="preserve"> the basal Jurassic </w:t>
      </w:r>
      <w:proofErr w:type="spellStart"/>
      <w:r w:rsidRPr="00D638B0">
        <w:t>Statfjord</w:t>
      </w:r>
      <w:proofErr w:type="spellEnd"/>
      <w:r w:rsidRPr="00D638B0">
        <w:t xml:space="preserve"> Formation form major oil reservoirs</w:t>
      </w:r>
      <w:r w:rsidR="006E41E6" w:rsidRPr="00D638B0">
        <w:t>, e.g.</w:t>
      </w:r>
      <w:r w:rsidR="00E65190">
        <w:t xml:space="preserve"> </w:t>
      </w:r>
      <w:r w:rsidR="00DC5BE9" w:rsidRPr="00D638B0">
        <w:t xml:space="preserve">in the </w:t>
      </w:r>
      <w:proofErr w:type="spellStart"/>
      <w:r w:rsidR="00DC5BE9" w:rsidRPr="00D638B0">
        <w:t>Tampen</w:t>
      </w:r>
      <w:proofErr w:type="spellEnd"/>
      <w:r w:rsidR="00DC5BE9" w:rsidRPr="00D638B0">
        <w:t xml:space="preserve"> Spur area (</w:t>
      </w:r>
      <w:proofErr w:type="spellStart"/>
      <w:r w:rsidR="00DC5BE9" w:rsidRPr="00D638B0">
        <w:t>Nystuen</w:t>
      </w:r>
      <w:proofErr w:type="spellEnd"/>
      <w:r w:rsidR="00DC5BE9" w:rsidRPr="00D638B0">
        <w:t xml:space="preserve"> and </w:t>
      </w:r>
      <w:proofErr w:type="spellStart"/>
      <w:r w:rsidR="00DC5BE9" w:rsidRPr="00D638B0">
        <w:t>F</w:t>
      </w:r>
      <w:r w:rsidR="00AC42DE" w:rsidRPr="00D638B0">
        <w:rPr>
          <w:rFonts w:ascii="Cambria" w:hAnsi="Cambria"/>
        </w:rPr>
        <w:t>ä</w:t>
      </w:r>
      <w:r w:rsidR="00DC5BE9" w:rsidRPr="00D638B0">
        <w:t>lt</w:t>
      </w:r>
      <w:proofErr w:type="spellEnd"/>
      <w:r w:rsidR="00DC5BE9" w:rsidRPr="00D638B0">
        <w:t>, 1995)</w:t>
      </w:r>
      <w:r w:rsidR="00CF2907">
        <w:t>.</w:t>
      </w:r>
      <w:r w:rsidR="00601CF5" w:rsidRPr="00D638B0">
        <w:t xml:space="preserve"> Lower Jurassic, Dunlin Group, mudstones and minor sandstones have been penetrated by many wells </w:t>
      </w:r>
      <w:r w:rsidR="0099163E" w:rsidRPr="00D638B0">
        <w:t>(examples include 211/27c-12, 211/27-A35, 211/28-2, 211/28</w:t>
      </w:r>
      <w:r w:rsidR="0099163E" w:rsidRPr="00D638B0">
        <w:noBreakHyphen/>
        <w:t>6).</w:t>
      </w:r>
    </w:p>
    <w:p w14:paraId="509FEBE1" w14:textId="77777777" w:rsidR="00601CF5" w:rsidRPr="00D638B0" w:rsidRDefault="00601CF5" w:rsidP="00E50798">
      <w:pPr>
        <w:spacing w:line="360" w:lineRule="auto"/>
      </w:pPr>
    </w:p>
    <w:p w14:paraId="2228EE1B" w14:textId="39D9199B" w:rsidR="00F26C98" w:rsidRPr="00D638B0" w:rsidRDefault="00786B29" w:rsidP="00E50798">
      <w:pPr>
        <w:spacing w:line="360" w:lineRule="auto"/>
      </w:pPr>
      <w:r w:rsidRPr="00D638B0">
        <w:t xml:space="preserve">Middle Jurassic, Brent Group </w:t>
      </w:r>
      <w:r w:rsidR="006E41E6" w:rsidRPr="00D638B0">
        <w:t xml:space="preserve">sandstones </w:t>
      </w:r>
      <w:r w:rsidRPr="00D638B0">
        <w:t>form the reservoir in the Hutt</w:t>
      </w:r>
      <w:r w:rsidR="00D54DA4" w:rsidRPr="00D638B0">
        <w:t>on, NW Hutton and Q-West fields (Figure 2)</w:t>
      </w:r>
      <w:r w:rsidR="000C395E">
        <w:t xml:space="preserve">, with subsidiary </w:t>
      </w:r>
      <w:r w:rsidRPr="00D638B0">
        <w:t xml:space="preserve">siltstones, mudstones and coals.  </w:t>
      </w:r>
      <w:r w:rsidR="006E41E6" w:rsidRPr="00D638B0">
        <w:t>This</w:t>
      </w:r>
      <w:r w:rsidR="00133DB5" w:rsidRPr="00D638B0">
        <w:t xml:space="preserve"> </w:t>
      </w:r>
      <w:r w:rsidR="00F26C98" w:rsidRPr="00D638B0">
        <w:t xml:space="preserve">reservoir section is overlain by Upper Jurassic mudstones belonging to the Heather and Kimmeridge Clay </w:t>
      </w:r>
      <w:r w:rsidR="000C395E">
        <w:t>F</w:t>
      </w:r>
      <w:r w:rsidR="00F26C98" w:rsidRPr="00D638B0">
        <w:t>ormations.</w:t>
      </w:r>
      <w:r w:rsidR="00B6598D" w:rsidRPr="00D638B0">
        <w:t xml:space="preserve">  The Upper Jurassic syn-rift interval also </w:t>
      </w:r>
      <w:r w:rsidR="00C766A3" w:rsidRPr="00D638B0">
        <w:t>contains shallow and deep-</w:t>
      </w:r>
      <w:r w:rsidR="00B6598D" w:rsidRPr="00D638B0">
        <w:t>water sandstones derived from the erosion of the Brent Group sandstones on the crests of the tilted fault blocks which now form the Brent Province traps</w:t>
      </w:r>
      <w:r w:rsidR="003F1FC0" w:rsidRPr="00D638B0">
        <w:t xml:space="preserve"> (McLeod and Underhill, 1999).  </w:t>
      </w:r>
      <w:r w:rsidR="00B6598D" w:rsidRPr="00D638B0">
        <w:t xml:space="preserve">  </w:t>
      </w:r>
      <w:r w:rsidR="00D60B1D" w:rsidRPr="00D638B0">
        <w:t>The sandstones are present in the hanging wall lows</w:t>
      </w:r>
      <w:r w:rsidR="00133DB5" w:rsidRPr="00D638B0">
        <w:t xml:space="preserve"> (</w:t>
      </w:r>
      <w:r w:rsidR="00706244" w:rsidRPr="00D638B0">
        <w:t xml:space="preserve">Partington </w:t>
      </w:r>
      <w:r w:rsidR="00706244" w:rsidRPr="00D638B0">
        <w:rPr>
          <w:i/>
        </w:rPr>
        <w:t>et al</w:t>
      </w:r>
      <w:r w:rsidR="00706244" w:rsidRPr="00D638B0">
        <w:t xml:space="preserve">, 1993; </w:t>
      </w:r>
      <w:r w:rsidR="00133DB5" w:rsidRPr="00D638B0">
        <w:t>Qin, 2014)</w:t>
      </w:r>
      <w:r w:rsidR="00D60B1D" w:rsidRPr="00D638B0">
        <w:t xml:space="preserve">.  </w:t>
      </w:r>
    </w:p>
    <w:p w14:paraId="174353B5" w14:textId="77777777" w:rsidR="000416E2" w:rsidRPr="00D638B0" w:rsidRDefault="000416E2" w:rsidP="00E50798">
      <w:pPr>
        <w:spacing w:line="360" w:lineRule="auto"/>
      </w:pPr>
    </w:p>
    <w:p w14:paraId="0CEF0EB0" w14:textId="77777777" w:rsidR="00601CF5" w:rsidRPr="00D638B0" w:rsidRDefault="000416E2" w:rsidP="00E50798">
      <w:pPr>
        <w:spacing w:line="360" w:lineRule="auto"/>
      </w:pPr>
      <w:r w:rsidRPr="00D638B0">
        <w:t xml:space="preserve">Cretaceous, Tertiary and Quaternary strata in the Hutton area are dominated by mudstone around 10,000 feet thick.  Sandstones are developed in the </w:t>
      </w:r>
      <w:proofErr w:type="spellStart"/>
      <w:r w:rsidRPr="00D638B0">
        <w:t>Palaeocene</w:t>
      </w:r>
      <w:proofErr w:type="spellEnd"/>
      <w:r w:rsidRPr="00D638B0">
        <w:t xml:space="preserve"> and Eocene </w:t>
      </w:r>
      <w:r w:rsidR="0047216F" w:rsidRPr="00D638B0">
        <w:t xml:space="preserve">although </w:t>
      </w:r>
      <w:r w:rsidR="00921F3D" w:rsidRPr="00D638B0">
        <w:t xml:space="preserve">they are </w:t>
      </w:r>
      <w:r w:rsidR="0047216F" w:rsidRPr="00D638B0">
        <w:t>not petroleum bearing</w:t>
      </w:r>
      <w:r w:rsidRPr="00D638B0">
        <w:t>.</w:t>
      </w:r>
    </w:p>
    <w:p w14:paraId="4A1337CD" w14:textId="77777777" w:rsidR="00632FBB" w:rsidRPr="00D638B0" w:rsidRDefault="00193BFE" w:rsidP="00E50798">
      <w:pPr>
        <w:pStyle w:val="Heading3"/>
        <w:spacing w:line="360" w:lineRule="auto"/>
      </w:pPr>
      <w:r w:rsidRPr="00D638B0">
        <w:t>Petroleum system</w:t>
      </w:r>
    </w:p>
    <w:p w14:paraId="5E508059" w14:textId="77777777" w:rsidR="00087885" w:rsidRPr="00D638B0" w:rsidRDefault="00087885" w:rsidP="00E50798">
      <w:pPr>
        <w:spacing w:line="360" w:lineRule="auto"/>
      </w:pPr>
    </w:p>
    <w:p w14:paraId="5158BE1B" w14:textId="2CB620FA" w:rsidR="00C93021" w:rsidRPr="00D638B0" w:rsidRDefault="00815A23" w:rsidP="00E50798">
      <w:pPr>
        <w:spacing w:line="360" w:lineRule="auto"/>
      </w:pPr>
      <w:r w:rsidRPr="00D638B0">
        <w:lastRenderedPageBreak/>
        <w:t xml:space="preserve">The geological history and structural development of the </w:t>
      </w:r>
      <w:r w:rsidR="002866C5" w:rsidRPr="00D638B0">
        <w:t>East Shetland Basin</w:t>
      </w:r>
      <w:r w:rsidR="00F34A56" w:rsidRPr="00D638B0">
        <w:t xml:space="preserve"> and its control on development of the Brent Province are </w:t>
      </w:r>
      <w:r w:rsidRPr="00D638B0">
        <w:t>well established (Yielding et al, 1992).</w:t>
      </w:r>
      <w:r w:rsidR="00707204" w:rsidRPr="00D638B0">
        <w:t xml:space="preserve">  </w:t>
      </w:r>
      <w:r w:rsidR="00C93021" w:rsidRPr="00D638B0">
        <w:t>Major crustal extension took place in the early part of the Triassic</w:t>
      </w:r>
      <w:r w:rsidR="000C395E">
        <w:t>,</w:t>
      </w:r>
      <w:r w:rsidR="00C93021" w:rsidRPr="00D638B0">
        <w:t xml:space="preserve"> caus</w:t>
      </w:r>
      <w:r w:rsidR="000C395E">
        <w:t>ing</w:t>
      </w:r>
      <w:r w:rsidR="00C93021" w:rsidRPr="00D638B0">
        <w:t xml:space="preserve"> tilting of basement fault blocks.  By the mid-Triassic, post-rift thermal subsidence began.  Wh</w:t>
      </w:r>
      <w:r w:rsidR="0015696D" w:rsidRPr="00D638B0">
        <w:t>ile the Triassic rifting generated the basin into which the Lower and Middle Jurassic sediments were deposited, it only had a minor, local fault control on Brent Group deposition (Yielding et al, 1992).</w:t>
      </w:r>
    </w:p>
    <w:p w14:paraId="5482019A" w14:textId="77777777" w:rsidR="00431070" w:rsidRPr="00D638B0" w:rsidRDefault="00431070" w:rsidP="00E50798">
      <w:pPr>
        <w:spacing w:line="360" w:lineRule="auto"/>
      </w:pPr>
    </w:p>
    <w:p w14:paraId="1A844B16" w14:textId="790759A9" w:rsidR="003C765B" w:rsidRPr="00D638B0" w:rsidRDefault="00431070" w:rsidP="00E50798">
      <w:pPr>
        <w:spacing w:line="360" w:lineRule="auto"/>
        <w:rPr>
          <w:rFonts w:cs="Arial"/>
        </w:rPr>
      </w:pPr>
      <w:r w:rsidRPr="00D638B0">
        <w:t xml:space="preserve">Much of the present day structural pattern is a result of the </w:t>
      </w:r>
      <w:r w:rsidR="00941F70" w:rsidRPr="00D638B0">
        <w:t>M</w:t>
      </w:r>
      <w:r w:rsidRPr="00D638B0">
        <w:t>id-</w:t>
      </w:r>
      <w:r w:rsidR="00941F70" w:rsidRPr="00D638B0">
        <w:t>U</w:t>
      </w:r>
      <w:r w:rsidRPr="00D638B0">
        <w:t xml:space="preserve">pper Jurassic E-W crustal extension, which culminated in the formation of the Viking </w:t>
      </w:r>
      <w:proofErr w:type="gramStart"/>
      <w:r w:rsidRPr="00D638B0">
        <w:t>Graben  and</w:t>
      </w:r>
      <w:proofErr w:type="gramEnd"/>
      <w:r w:rsidRPr="00D638B0">
        <w:t xml:space="preserve"> the re-activation of basement</w:t>
      </w:r>
      <w:r w:rsidR="000C395E">
        <w:t>-</w:t>
      </w:r>
      <w:r w:rsidRPr="00D638B0">
        <w:t>rooted</w:t>
      </w:r>
      <w:r w:rsidR="000C395E">
        <w:t>,</w:t>
      </w:r>
      <w:r w:rsidRPr="00D638B0">
        <w:t xml:space="preserve"> </w:t>
      </w:r>
      <w:r w:rsidR="003C765B" w:rsidRPr="00D638B0">
        <w:t xml:space="preserve">pre-existing </w:t>
      </w:r>
      <w:proofErr w:type="spellStart"/>
      <w:r w:rsidRPr="00D638B0">
        <w:t>Caledonide</w:t>
      </w:r>
      <w:proofErr w:type="spellEnd"/>
      <w:r w:rsidRPr="00D638B0">
        <w:t xml:space="preserve"> (NE-SW) and </w:t>
      </w:r>
      <w:proofErr w:type="spellStart"/>
      <w:r w:rsidRPr="00D638B0">
        <w:t>Variscan</w:t>
      </w:r>
      <w:proofErr w:type="spellEnd"/>
      <w:r w:rsidRPr="00D638B0">
        <w:t xml:space="preserve"> (NW-SE) fault trends</w:t>
      </w:r>
      <w:r w:rsidR="003C765B" w:rsidRPr="00D638B0">
        <w:t>.</w:t>
      </w:r>
      <w:r w:rsidRPr="00D638B0">
        <w:t xml:space="preserve"> </w:t>
      </w:r>
      <w:r w:rsidR="000C395E">
        <w:rPr>
          <w:rFonts w:cs="Arial"/>
        </w:rPr>
        <w:t>R</w:t>
      </w:r>
      <w:r w:rsidR="003C765B" w:rsidRPr="00D638B0">
        <w:rPr>
          <w:rFonts w:cs="Arial"/>
        </w:rPr>
        <w:t>egional mapping in the East Shetland Basin clearly shows the dominance of the two basement trends</w:t>
      </w:r>
      <w:r w:rsidR="002D4010" w:rsidRPr="00D638B0">
        <w:rPr>
          <w:rFonts w:cs="Arial"/>
        </w:rPr>
        <w:t xml:space="preserve"> (</w:t>
      </w:r>
      <w:r w:rsidR="000409B7" w:rsidRPr="00D638B0">
        <w:rPr>
          <w:rFonts w:cs="Arial"/>
        </w:rPr>
        <w:t xml:space="preserve">Figure </w:t>
      </w:r>
      <w:r w:rsidR="002F5145">
        <w:rPr>
          <w:rFonts w:cs="Arial"/>
        </w:rPr>
        <w:t>4</w:t>
      </w:r>
      <w:r w:rsidR="002D4010" w:rsidRPr="00D638B0">
        <w:rPr>
          <w:rFonts w:cs="Arial"/>
        </w:rPr>
        <w:t>)</w:t>
      </w:r>
      <w:r w:rsidR="000409B7" w:rsidRPr="00D638B0">
        <w:rPr>
          <w:rFonts w:cs="Arial"/>
        </w:rPr>
        <w:t xml:space="preserve"> </w:t>
      </w:r>
      <w:r w:rsidR="003C765B" w:rsidRPr="00D638B0">
        <w:rPr>
          <w:rFonts w:cs="Arial"/>
        </w:rPr>
        <w:t xml:space="preserve">indicating that the prevailing stress direction during extension </w:t>
      </w:r>
      <w:proofErr w:type="spellStart"/>
      <w:r w:rsidR="003C765B" w:rsidRPr="00D638B0">
        <w:rPr>
          <w:rFonts w:cs="Arial"/>
        </w:rPr>
        <w:t>favoured</w:t>
      </w:r>
      <w:proofErr w:type="spellEnd"/>
      <w:r w:rsidR="003C765B" w:rsidRPr="00D638B0">
        <w:rPr>
          <w:rFonts w:cs="Arial"/>
        </w:rPr>
        <w:t xml:space="preserve"> reactivation and oblique slip on these older fault sets</w:t>
      </w:r>
      <w:r w:rsidR="00F97B42">
        <w:rPr>
          <w:rFonts w:cs="Arial"/>
        </w:rPr>
        <w:t>.</w:t>
      </w:r>
    </w:p>
    <w:p w14:paraId="6041522C" w14:textId="77777777" w:rsidR="003035BC" w:rsidRPr="00D638B0" w:rsidRDefault="003035BC" w:rsidP="00E50798">
      <w:pPr>
        <w:spacing w:line="360" w:lineRule="auto"/>
      </w:pPr>
    </w:p>
    <w:p w14:paraId="44FA5141" w14:textId="77777777" w:rsidR="00573A1F" w:rsidRPr="00D638B0" w:rsidRDefault="003035BC" w:rsidP="00E50798">
      <w:pPr>
        <w:spacing w:line="360" w:lineRule="auto"/>
      </w:pPr>
      <w:r w:rsidRPr="00D638B0">
        <w:t>Thermal subsidence began in the Lower Cretaceous and continued through</w:t>
      </w:r>
      <w:r w:rsidR="00F01EF0" w:rsidRPr="00D638B0">
        <w:t>out</w:t>
      </w:r>
      <w:r w:rsidRPr="00D638B0">
        <w:t xml:space="preserve"> the Tertiary.  </w:t>
      </w:r>
      <w:r w:rsidR="00573A1F" w:rsidRPr="00D638B0">
        <w:t xml:space="preserve">Two periods of rapid burial, one in the </w:t>
      </w:r>
      <w:proofErr w:type="spellStart"/>
      <w:r w:rsidR="00573A1F" w:rsidRPr="00D638B0">
        <w:t>Palaeocene</w:t>
      </w:r>
      <w:proofErr w:type="spellEnd"/>
      <w:r w:rsidR="00573A1F" w:rsidRPr="00D638B0">
        <w:t xml:space="preserve"> and a second </w:t>
      </w:r>
      <w:r w:rsidR="002866C5" w:rsidRPr="00D638B0">
        <w:t xml:space="preserve">continuing today have </w:t>
      </w:r>
      <w:r w:rsidR="00573A1F" w:rsidRPr="00D638B0">
        <w:t>resulted in generation of overpressure</w:t>
      </w:r>
      <w:r w:rsidR="00A82175" w:rsidRPr="00D638B0">
        <w:t xml:space="preserve"> (Swarbrick, 1994).  </w:t>
      </w:r>
      <w:r w:rsidR="00573A1F" w:rsidRPr="00D638B0">
        <w:t xml:space="preserve">  </w:t>
      </w:r>
    </w:p>
    <w:p w14:paraId="520BFA56" w14:textId="77777777" w:rsidR="00573A1F" w:rsidRPr="00D638B0" w:rsidRDefault="00573A1F" w:rsidP="00E50798">
      <w:pPr>
        <w:spacing w:line="360" w:lineRule="auto"/>
      </w:pPr>
    </w:p>
    <w:p w14:paraId="308F9946" w14:textId="57124F06" w:rsidR="007B7018" w:rsidRPr="00D638B0" w:rsidRDefault="003035BC" w:rsidP="00E50798">
      <w:pPr>
        <w:spacing w:line="360" w:lineRule="auto"/>
      </w:pPr>
      <w:r w:rsidRPr="00D638B0">
        <w:t>Current burial depth for the Middle Ju</w:t>
      </w:r>
      <w:r w:rsidR="003C765B" w:rsidRPr="00D638B0">
        <w:t>r</w:t>
      </w:r>
      <w:r w:rsidRPr="00D638B0">
        <w:t>assic Brent Grou</w:t>
      </w:r>
      <w:r w:rsidR="008B2C4A" w:rsidRPr="00D638B0">
        <w:t xml:space="preserve">p sediments </w:t>
      </w:r>
      <w:r w:rsidR="000409B7" w:rsidRPr="00D638B0">
        <w:t xml:space="preserve">ranges </w:t>
      </w:r>
      <w:r w:rsidR="00FE0BBB" w:rsidRPr="00D638B0">
        <w:t>from</w:t>
      </w:r>
      <w:r w:rsidR="008B2C4A" w:rsidRPr="00D638B0">
        <w:t xml:space="preserve"> about 1.7</w:t>
      </w:r>
      <w:r w:rsidRPr="00D638B0">
        <w:t xml:space="preserve"> km (</w:t>
      </w:r>
      <w:proofErr w:type="spellStart"/>
      <w:r w:rsidRPr="00D638B0">
        <w:t>Gullfaks</w:t>
      </w:r>
      <w:proofErr w:type="spellEnd"/>
      <w:r w:rsidR="008B2C4A" w:rsidRPr="00D638B0">
        <w:t>, Norwegian North Sea</w:t>
      </w:r>
      <w:r w:rsidRPr="00D638B0">
        <w:t xml:space="preserve">) </w:t>
      </w:r>
      <w:r w:rsidR="00FE0BBB" w:rsidRPr="00D638B0">
        <w:t>to greater than</w:t>
      </w:r>
      <w:r w:rsidRPr="00D638B0">
        <w:t xml:space="preserve"> 5</w:t>
      </w:r>
      <w:r w:rsidR="008B2C4A" w:rsidRPr="00D638B0">
        <w:t>.5</w:t>
      </w:r>
      <w:r w:rsidRPr="00D638B0">
        <w:t xml:space="preserve"> km (UKCS 3/10b-1)</w:t>
      </w:r>
      <w:r w:rsidR="008B2C4A" w:rsidRPr="00D638B0">
        <w:t xml:space="preserve">.  </w:t>
      </w:r>
      <w:r w:rsidR="00CD5396" w:rsidRPr="00D638B0">
        <w:t xml:space="preserve">Most of the </w:t>
      </w:r>
      <w:r w:rsidR="002866C5" w:rsidRPr="00D638B0">
        <w:t>topography at</w:t>
      </w:r>
      <w:r w:rsidR="00CD5396" w:rsidRPr="00D638B0">
        <w:t xml:space="preserve"> </w:t>
      </w:r>
      <w:r w:rsidR="002866C5" w:rsidRPr="00D638B0">
        <w:t>top</w:t>
      </w:r>
      <w:r w:rsidR="002866C5" w:rsidRPr="00D638B0">
        <w:rPr>
          <w:lang w:val="en-GB"/>
        </w:rPr>
        <w:t xml:space="preserve"> </w:t>
      </w:r>
      <w:r w:rsidR="00CD5396" w:rsidRPr="00D638B0">
        <w:t xml:space="preserve">Brent was created during the syn-rift rather than post-rift period.  </w:t>
      </w:r>
      <w:r w:rsidR="000409B7" w:rsidRPr="00D638B0">
        <w:t>In</w:t>
      </w:r>
      <w:r w:rsidR="00CD5396" w:rsidRPr="00D638B0">
        <w:t xml:space="preserve"> the Hutton area the highest elevated Brent interval occurs in Fault Block C at 9180 ft </w:t>
      </w:r>
      <w:proofErr w:type="spellStart"/>
      <w:r w:rsidR="000C395E">
        <w:t>TVDss</w:t>
      </w:r>
      <w:proofErr w:type="spellEnd"/>
      <w:r w:rsidR="000C395E">
        <w:t xml:space="preserve"> </w:t>
      </w:r>
      <w:r w:rsidR="00CD5396" w:rsidRPr="00D638B0">
        <w:t>and the deepest is at about 14,000 ft</w:t>
      </w:r>
      <w:r w:rsidR="000C395E">
        <w:t xml:space="preserve"> </w:t>
      </w:r>
      <w:proofErr w:type="spellStart"/>
      <w:r w:rsidR="000C395E">
        <w:t>TVDss</w:t>
      </w:r>
      <w:proofErr w:type="spellEnd"/>
      <w:r w:rsidR="00CD5396" w:rsidRPr="00D638B0">
        <w:t xml:space="preserve"> on the western flank of NW Hutton.</w:t>
      </w:r>
    </w:p>
    <w:p w14:paraId="0FF7D8B7" w14:textId="77777777" w:rsidR="002D4010" w:rsidRPr="00D638B0" w:rsidRDefault="002D4010" w:rsidP="00E50798">
      <w:pPr>
        <w:spacing w:line="360" w:lineRule="auto"/>
      </w:pPr>
    </w:p>
    <w:p w14:paraId="3241A67E" w14:textId="2A07B09E" w:rsidR="002D4010" w:rsidRPr="00D638B0" w:rsidRDefault="002D4010" w:rsidP="002D4010">
      <w:pPr>
        <w:spacing w:line="360" w:lineRule="auto"/>
      </w:pPr>
      <w:r w:rsidRPr="00D638B0">
        <w:rPr>
          <w:b/>
        </w:rPr>
        <w:t xml:space="preserve">Figure </w:t>
      </w:r>
      <w:r w:rsidR="002F5145">
        <w:rPr>
          <w:b/>
        </w:rPr>
        <w:t>4</w:t>
      </w:r>
      <w:r w:rsidRPr="00D638B0">
        <w:t xml:space="preserve"> Here </w:t>
      </w:r>
    </w:p>
    <w:p w14:paraId="1B9D0A97" w14:textId="77777777" w:rsidR="002D4010" w:rsidRPr="00D638B0" w:rsidRDefault="002D4010" w:rsidP="00E50798">
      <w:pPr>
        <w:spacing w:line="360" w:lineRule="auto"/>
      </w:pPr>
    </w:p>
    <w:p w14:paraId="4AF062B9" w14:textId="1E91FCB1" w:rsidR="00A15732" w:rsidRPr="00D638B0" w:rsidRDefault="00A15732" w:rsidP="00E50798">
      <w:pPr>
        <w:spacing w:line="360" w:lineRule="auto"/>
      </w:pPr>
      <w:r w:rsidRPr="00D638B0">
        <w:t xml:space="preserve">The </w:t>
      </w:r>
      <w:r w:rsidR="00253B9B">
        <w:t xml:space="preserve">regional oil </w:t>
      </w:r>
      <w:r w:rsidRPr="00D638B0">
        <w:t xml:space="preserve">source </w:t>
      </w:r>
      <w:r w:rsidR="00253B9B">
        <w:t xml:space="preserve">rock </w:t>
      </w:r>
      <w:r w:rsidRPr="00D638B0">
        <w:t>is the Upper Jurassic Kimmeridge Clay Formation</w:t>
      </w:r>
      <w:r w:rsidR="00253B9B">
        <w:t xml:space="preserve"> (KCF)</w:t>
      </w:r>
      <w:r w:rsidRPr="00D638B0">
        <w:t xml:space="preserve">, reported by </w:t>
      </w:r>
      <w:proofErr w:type="spellStart"/>
      <w:r w:rsidRPr="00D638B0">
        <w:t>Johnes</w:t>
      </w:r>
      <w:proofErr w:type="spellEnd"/>
      <w:r w:rsidRPr="00D638B0">
        <w:t xml:space="preserve"> and </w:t>
      </w:r>
      <w:proofErr w:type="spellStart"/>
      <w:r w:rsidRPr="00D638B0">
        <w:t>Gauer</w:t>
      </w:r>
      <w:proofErr w:type="spellEnd"/>
      <w:r w:rsidRPr="00D638B0">
        <w:t xml:space="preserve"> (1991) to be in excess of 1200 ft thick in the region of NW Hutton and with total organic carbon content of 4.5% </w:t>
      </w:r>
      <w:r w:rsidR="00497535" w:rsidRPr="00D638B0">
        <w:t xml:space="preserve">- </w:t>
      </w:r>
      <w:r w:rsidRPr="00D638B0">
        <w:t xml:space="preserve">6.5%.  </w:t>
      </w:r>
      <w:r w:rsidR="007C25DB" w:rsidRPr="00D638B0">
        <w:t xml:space="preserve">The </w:t>
      </w:r>
      <w:r w:rsidR="00253B9B">
        <w:t>KCF</w:t>
      </w:r>
      <w:r w:rsidR="007C25DB" w:rsidRPr="00D638B0">
        <w:t xml:space="preserve"> became mature for oil </w:t>
      </w:r>
      <w:r w:rsidR="00491E32" w:rsidRPr="00D638B0">
        <w:t>between about 62</w:t>
      </w:r>
      <w:r w:rsidR="00F25B48" w:rsidRPr="00D638B0">
        <w:t> </w:t>
      </w:r>
      <w:r w:rsidR="00491E32" w:rsidRPr="00D638B0">
        <w:t xml:space="preserve">Ma and 50 Ma while the </w:t>
      </w:r>
      <w:r w:rsidR="00491E32" w:rsidRPr="00D638B0">
        <w:lastRenderedPageBreak/>
        <w:t>NW</w:t>
      </w:r>
      <w:r w:rsidR="00941F70" w:rsidRPr="00D638B0">
        <w:t> </w:t>
      </w:r>
      <w:r w:rsidR="00491E32" w:rsidRPr="00D638B0">
        <w:t xml:space="preserve">Hutton Field filled with oil </w:t>
      </w:r>
      <w:r w:rsidR="004511AE" w:rsidRPr="00D638B0">
        <w:t xml:space="preserve">later, </w:t>
      </w:r>
      <w:r w:rsidR="00491E32" w:rsidRPr="00D638B0">
        <w:t>between about 49 Ma and 33 Ma (Swarbrick</w:t>
      </w:r>
      <w:r w:rsidR="00707204" w:rsidRPr="00D638B0">
        <w:t>,</w:t>
      </w:r>
      <w:r w:rsidR="00432E01" w:rsidRPr="00D638B0">
        <w:t> </w:t>
      </w:r>
      <w:r w:rsidR="004511AE" w:rsidRPr="00D638B0">
        <w:t>1994</w:t>
      </w:r>
      <w:r w:rsidR="00491E32" w:rsidRPr="00D638B0">
        <w:t>)</w:t>
      </w:r>
      <w:r w:rsidR="007C25DB" w:rsidRPr="00D638B0">
        <w:t xml:space="preserve">.  </w:t>
      </w:r>
      <w:r w:rsidR="005378DC" w:rsidRPr="00D638B0">
        <w:t>NW Hutton was charged from the west</w:t>
      </w:r>
      <w:r w:rsidR="00C84B36" w:rsidRPr="00D638B0">
        <w:t xml:space="preserve">, </w:t>
      </w:r>
      <w:r w:rsidR="005378DC" w:rsidRPr="00D638B0">
        <w:t>evident through the presence of abundant hydrocarbon inclusions, with varying API</w:t>
      </w:r>
      <w:r w:rsidR="00253B9B">
        <w:t xml:space="preserve"> gravity</w:t>
      </w:r>
      <w:r w:rsidR="005378DC" w:rsidRPr="00D638B0">
        <w:t xml:space="preserve">, in quartz cements on the western side of the field with a decreasing presence/API range toward the eastern side of the field. </w:t>
      </w:r>
    </w:p>
    <w:p w14:paraId="03082675" w14:textId="77777777" w:rsidR="002864A4" w:rsidRPr="00D638B0" w:rsidRDefault="002864A4" w:rsidP="00E50798">
      <w:pPr>
        <w:spacing w:line="360" w:lineRule="auto"/>
      </w:pPr>
    </w:p>
    <w:p w14:paraId="6AB80269" w14:textId="77777777" w:rsidR="00752313" w:rsidRPr="00D638B0" w:rsidRDefault="00752313" w:rsidP="00E50798">
      <w:pPr>
        <w:pStyle w:val="Heading2"/>
        <w:spacing w:line="360" w:lineRule="auto"/>
      </w:pPr>
      <w:r w:rsidRPr="00D638B0">
        <w:t>Database</w:t>
      </w:r>
    </w:p>
    <w:p w14:paraId="304160EC" w14:textId="77777777" w:rsidR="00752313" w:rsidRPr="00D638B0" w:rsidRDefault="00752313" w:rsidP="00E50798">
      <w:pPr>
        <w:pStyle w:val="Heading3"/>
        <w:spacing w:line="360" w:lineRule="auto"/>
      </w:pPr>
      <w:r w:rsidRPr="00D638B0">
        <w:t>Geophysics</w:t>
      </w:r>
    </w:p>
    <w:p w14:paraId="573001FE" w14:textId="7DDCE615" w:rsidR="00752313" w:rsidRPr="00D638B0" w:rsidRDefault="00253B9B" w:rsidP="00E50798">
      <w:pPr>
        <w:spacing w:line="360" w:lineRule="auto"/>
      </w:pPr>
      <w:r>
        <w:t>Both</w:t>
      </w:r>
      <w:r w:rsidRPr="00D638B0">
        <w:t xml:space="preserve"> </w:t>
      </w:r>
      <w:r w:rsidR="00752313" w:rsidRPr="00D638B0">
        <w:t xml:space="preserve">Hutton </w:t>
      </w:r>
      <w:r>
        <w:t xml:space="preserve">and NW Hutton </w:t>
      </w:r>
      <w:r w:rsidR="00752313" w:rsidRPr="00D638B0">
        <w:t>Field</w:t>
      </w:r>
      <w:r>
        <w:t>s</w:t>
      </w:r>
      <w:r w:rsidR="00752313" w:rsidRPr="00D638B0">
        <w:t xml:space="preserve"> </w:t>
      </w:r>
      <w:r w:rsidRPr="00D638B0">
        <w:t>w</w:t>
      </w:r>
      <w:r>
        <w:t>er</w:t>
      </w:r>
      <w:r w:rsidR="00CF2907">
        <w:t>e</w:t>
      </w:r>
      <w:r w:rsidRPr="00D638B0">
        <w:t xml:space="preserve"> </w:t>
      </w:r>
      <w:r w:rsidR="00752313" w:rsidRPr="00D638B0">
        <w:t xml:space="preserve">discovered following identification of a closed structure on a reconnaissance 2D seismic dataset.  </w:t>
      </w:r>
      <w:r>
        <w:t xml:space="preserve">The first Hutton </w:t>
      </w:r>
      <w:r w:rsidR="00752313" w:rsidRPr="00D638B0">
        <w:t>3D seismic survey, covering 50 km</w:t>
      </w:r>
      <w:r w:rsidR="00752313" w:rsidRPr="00D638B0">
        <w:rPr>
          <w:vertAlign w:val="superscript"/>
        </w:rPr>
        <w:t>2</w:t>
      </w:r>
      <w:r w:rsidR="00752313" w:rsidRPr="00D638B0">
        <w:t xml:space="preserve"> was shot in 1980 (Haig, 1991). Several more surveys were shot between 1975 and 1978 </w:t>
      </w:r>
      <w:proofErr w:type="gramStart"/>
      <w:r w:rsidR="00752313" w:rsidRPr="00D638B0">
        <w:t xml:space="preserve">and </w:t>
      </w:r>
      <w:r>
        <w:t xml:space="preserve"> NW</w:t>
      </w:r>
      <w:proofErr w:type="gramEnd"/>
      <w:r>
        <w:t xml:space="preserve"> Hutton </w:t>
      </w:r>
      <w:r w:rsidR="00752313" w:rsidRPr="00D638B0">
        <w:t>3D seismic surveys acquired in 1979 (</w:t>
      </w:r>
      <w:proofErr w:type="spellStart"/>
      <w:r w:rsidR="00752313" w:rsidRPr="00D638B0">
        <w:t>Johnes</w:t>
      </w:r>
      <w:proofErr w:type="spellEnd"/>
      <w:r w:rsidR="00752313" w:rsidRPr="00D638B0">
        <w:t xml:space="preserve"> and </w:t>
      </w:r>
      <w:proofErr w:type="spellStart"/>
      <w:r w:rsidR="00752313" w:rsidRPr="00D638B0">
        <w:t>Gauer</w:t>
      </w:r>
      <w:proofErr w:type="spellEnd"/>
      <w:r w:rsidR="00752313" w:rsidRPr="00D638B0">
        <w:t xml:space="preserve">, 1991) and 1984.  The </w:t>
      </w:r>
      <w:r>
        <w:t>former</w:t>
      </w:r>
      <w:r w:rsidR="00752313" w:rsidRPr="00D638B0">
        <w:t xml:space="preserve"> was only the second 3D survey shot in the North Sea.  Both the Hutton and NW Hutton 3D seismic surveys were reprocessed in the mid-1980s.</w:t>
      </w:r>
    </w:p>
    <w:p w14:paraId="67C95951" w14:textId="77777777" w:rsidR="00752313" w:rsidRPr="00D638B0" w:rsidRDefault="00752313" w:rsidP="00E50798">
      <w:pPr>
        <w:spacing w:line="360" w:lineRule="auto"/>
      </w:pPr>
    </w:p>
    <w:p w14:paraId="327475C8" w14:textId="561B215B" w:rsidR="00752313" w:rsidRPr="00D638B0" w:rsidRDefault="00752313" w:rsidP="00E50798">
      <w:pPr>
        <w:spacing w:line="360" w:lineRule="auto"/>
      </w:pPr>
      <w:r w:rsidRPr="00D638B0">
        <w:t xml:space="preserve">Operator Oryx </w:t>
      </w:r>
      <w:r w:rsidR="00304AC5" w:rsidRPr="00D638B0">
        <w:t>commissioned</w:t>
      </w:r>
      <w:r w:rsidRPr="00D638B0">
        <w:t xml:space="preserve"> a second 3D seismic survey over 211/28a in 1995/1996</w:t>
      </w:r>
      <w:r w:rsidR="00253B9B" w:rsidRPr="00253B9B">
        <w:t xml:space="preserve"> </w:t>
      </w:r>
      <w:r w:rsidR="00253B9B" w:rsidRPr="00D638B0">
        <w:t>to enable better imaging of the crestal degradation complex to the east of the main bounding faults to Hutton</w:t>
      </w:r>
      <w:r w:rsidRPr="00D638B0">
        <w:t xml:space="preserve">.  </w:t>
      </w:r>
      <w:r w:rsidR="00253B9B">
        <w:t>The</w:t>
      </w:r>
      <w:r w:rsidRPr="00D638B0">
        <w:t xml:space="preserve"> survey was aimed mainly at the non-</w:t>
      </w:r>
      <w:proofErr w:type="spellStart"/>
      <w:r w:rsidRPr="00D638B0">
        <w:t>unit</w:t>
      </w:r>
      <w:r w:rsidR="001D74F5" w:rsidRPr="00D638B0">
        <w:t>ised</w:t>
      </w:r>
      <w:proofErr w:type="spellEnd"/>
      <w:r w:rsidRPr="00D638B0">
        <w:t xml:space="preserve"> parts of the block but </w:t>
      </w:r>
      <w:r w:rsidR="00253B9B">
        <w:t>the</w:t>
      </w:r>
      <w:r w:rsidRPr="00D638B0">
        <w:t xml:space="preserve"> opportunity was taken to reprocess </w:t>
      </w:r>
      <w:r w:rsidR="00253B9B">
        <w:t xml:space="preserve">and merge with </w:t>
      </w:r>
      <w:r w:rsidRPr="00D638B0">
        <w:t xml:space="preserve">the original 3D seismic survey. </w:t>
      </w:r>
    </w:p>
    <w:p w14:paraId="38D74F13" w14:textId="77777777" w:rsidR="00752313" w:rsidRPr="00D638B0" w:rsidRDefault="00752313" w:rsidP="00E50798">
      <w:pPr>
        <w:spacing w:line="360" w:lineRule="auto"/>
      </w:pPr>
    </w:p>
    <w:p w14:paraId="37016871" w14:textId="69DB7B65" w:rsidR="00752313" w:rsidRPr="00D638B0" w:rsidRDefault="00752313" w:rsidP="00E50798">
      <w:pPr>
        <w:spacing w:line="360" w:lineRule="auto"/>
      </w:pPr>
      <w:r w:rsidRPr="00D638B0">
        <w:rPr>
          <w:rFonts w:cs="Arial"/>
          <w:szCs w:val="18"/>
        </w:rPr>
        <w:t xml:space="preserve">The original Amoco development of NW Hutton was carried out using </w:t>
      </w:r>
      <w:r w:rsidR="00253B9B">
        <w:rPr>
          <w:rFonts w:cs="Arial"/>
          <w:szCs w:val="18"/>
        </w:rPr>
        <w:t>the</w:t>
      </w:r>
      <w:r w:rsidRPr="00D638B0">
        <w:rPr>
          <w:rFonts w:cs="Arial"/>
          <w:szCs w:val="18"/>
        </w:rPr>
        <w:t xml:space="preserve"> 1979 and 1984</w:t>
      </w:r>
      <w:r w:rsidR="00253B9B">
        <w:rPr>
          <w:rFonts w:cs="Arial"/>
          <w:szCs w:val="18"/>
        </w:rPr>
        <w:t xml:space="preserve"> data</w:t>
      </w:r>
      <w:r w:rsidRPr="00D638B0">
        <w:rPr>
          <w:rFonts w:cs="Arial"/>
          <w:szCs w:val="18"/>
        </w:rPr>
        <w:t xml:space="preserve">. </w:t>
      </w:r>
      <w:r w:rsidRPr="00D638B0">
        <w:t xml:space="preserve">The 1979 survey delivered a significant improvement in imaging relative to the 2D seismic data but did not allow confident mapping of any seismic reflectors below the Base Cretaceous Unconformity (BCU).  Imaging of faults was also inadequate.  In the absence of a decent seismic image, the poor production performance of the field was used to infer structural complexity and field segmentation, backed up by some early attempts at estimating the abundance of sub-seismic faults using scale-independent fractal modeling (pers. Comm. J Walsh, 2010).  No further seismic </w:t>
      </w:r>
      <w:r w:rsidR="00C83E20" w:rsidRPr="00D638B0">
        <w:t>data were</w:t>
      </w:r>
      <w:r w:rsidRPr="00D638B0">
        <w:t xml:space="preserve"> acquired before cessation of production from NW Hutton in 2002.  </w:t>
      </w:r>
    </w:p>
    <w:p w14:paraId="4C10770A" w14:textId="77777777" w:rsidR="00752313" w:rsidRPr="00D638B0" w:rsidRDefault="00752313" w:rsidP="00E50798">
      <w:pPr>
        <w:spacing w:line="360" w:lineRule="auto"/>
      </w:pPr>
    </w:p>
    <w:p w14:paraId="2EB3991E" w14:textId="040F5992" w:rsidR="00752313" w:rsidRPr="00D638B0" w:rsidRDefault="00253B9B" w:rsidP="00E50798">
      <w:pPr>
        <w:spacing w:line="360" w:lineRule="auto"/>
      </w:pPr>
      <w:r>
        <w:t>Reprocessing</w:t>
      </w:r>
      <w:r w:rsidR="00752313" w:rsidRPr="00D638B0">
        <w:t xml:space="preserve"> during 2007 for Fairfield Energy </w:t>
      </w:r>
      <w:r w:rsidRPr="00D638B0">
        <w:t>us</w:t>
      </w:r>
      <w:r>
        <w:t>ed</w:t>
      </w:r>
      <w:r w:rsidRPr="00D638B0">
        <w:t xml:space="preserve"> </w:t>
      </w:r>
      <w:r w:rsidR="00752313" w:rsidRPr="00D638B0">
        <w:t>up-to-date processing techniques</w:t>
      </w:r>
      <w:r>
        <w:t xml:space="preserve"> such as</w:t>
      </w:r>
      <w:r w:rsidR="00752313" w:rsidRPr="00D638B0">
        <w:t xml:space="preserve"> bin expansion</w:t>
      </w:r>
      <w:r>
        <w:t>,</w:t>
      </w:r>
      <w:r w:rsidR="00752313" w:rsidRPr="00D638B0">
        <w:t xml:space="preserve"> together with multiple attenuation (</w:t>
      </w:r>
      <w:r w:rsidR="00414612">
        <w:t xml:space="preserve">specifically surface-related multiple elimination, </w:t>
      </w:r>
      <w:r w:rsidR="00752313" w:rsidRPr="00D638B0">
        <w:t xml:space="preserve">SRME) and </w:t>
      </w:r>
      <w:proofErr w:type="spellStart"/>
      <w:r>
        <w:t>Kirchoff</w:t>
      </w:r>
      <w:proofErr w:type="spellEnd"/>
      <w:r>
        <w:t xml:space="preserve"> </w:t>
      </w:r>
      <w:r w:rsidR="00752313" w:rsidRPr="00D638B0">
        <w:t xml:space="preserve">pre-stack time migration.  </w:t>
      </w:r>
      <w:r w:rsidR="00C83E20" w:rsidRPr="00D638B0">
        <w:t>Imaging of t</w:t>
      </w:r>
      <w:r w:rsidR="00304AC5" w:rsidRPr="00D638B0">
        <w:t>he t</w:t>
      </w:r>
      <w:r w:rsidR="00752313" w:rsidRPr="00D638B0">
        <w:t>op Brent</w:t>
      </w:r>
      <w:r w:rsidR="00C83E20" w:rsidRPr="00D638B0">
        <w:t xml:space="preserve"> re</w:t>
      </w:r>
      <w:r w:rsidR="00786B29" w:rsidRPr="00D638B0">
        <w:t>f</w:t>
      </w:r>
      <w:r w:rsidR="00C83E20" w:rsidRPr="00D638B0">
        <w:t>lector</w:t>
      </w:r>
      <w:r w:rsidR="00752313" w:rsidRPr="00D638B0">
        <w:t>, deeper horizons and faults were all much improved</w:t>
      </w:r>
      <w:r>
        <w:rPr>
          <w:rFonts w:cs="Arial"/>
          <w:szCs w:val="18"/>
        </w:rPr>
        <w:t xml:space="preserve"> and, c</w:t>
      </w:r>
      <w:r w:rsidR="00752313" w:rsidRPr="00D638B0">
        <w:rPr>
          <w:rFonts w:cs="Arial"/>
          <w:szCs w:val="18"/>
        </w:rPr>
        <w:t>onsidering its vintage, the quality of final result was remarkably good</w:t>
      </w:r>
      <w:r w:rsidR="00752313" w:rsidRPr="00D638B0">
        <w:t xml:space="preserve"> (Figure </w:t>
      </w:r>
      <w:r w:rsidR="00A27909">
        <w:t>5</w:t>
      </w:r>
      <w:r w:rsidR="00752313" w:rsidRPr="00D638B0">
        <w:t>).</w:t>
      </w:r>
    </w:p>
    <w:p w14:paraId="3B05EF9C" w14:textId="77777777" w:rsidR="00752313" w:rsidRPr="00D638B0" w:rsidRDefault="00752313" w:rsidP="00E50798">
      <w:pPr>
        <w:spacing w:line="360" w:lineRule="auto"/>
      </w:pPr>
    </w:p>
    <w:p w14:paraId="6DC61A19" w14:textId="5BEBE40B" w:rsidR="00752313" w:rsidRPr="00D638B0" w:rsidRDefault="00752313" w:rsidP="00E50798">
      <w:pPr>
        <w:spacing w:line="360" w:lineRule="auto"/>
      </w:pPr>
      <w:r w:rsidRPr="00D638B0">
        <w:rPr>
          <w:b/>
        </w:rPr>
        <w:t xml:space="preserve">Figure </w:t>
      </w:r>
      <w:r w:rsidR="00A27909">
        <w:rPr>
          <w:b/>
        </w:rPr>
        <w:t>5</w:t>
      </w:r>
      <w:r w:rsidRPr="00D638B0">
        <w:t xml:space="preserve"> </w:t>
      </w:r>
      <w:r w:rsidR="00D342C8" w:rsidRPr="00D638B0">
        <w:t>Here</w:t>
      </w:r>
    </w:p>
    <w:p w14:paraId="63E41688" w14:textId="77777777" w:rsidR="00752313" w:rsidRPr="00D638B0" w:rsidRDefault="00752313" w:rsidP="00E50798">
      <w:pPr>
        <w:spacing w:line="360" w:lineRule="auto"/>
        <w:rPr>
          <w:rFonts w:cs="Arial"/>
          <w:szCs w:val="18"/>
        </w:rPr>
      </w:pPr>
    </w:p>
    <w:p w14:paraId="40415D83" w14:textId="4A6813B0" w:rsidR="00752313" w:rsidRPr="00D638B0" w:rsidRDefault="009B5843" w:rsidP="00E50798">
      <w:pPr>
        <w:spacing w:line="360" w:lineRule="auto"/>
      </w:pPr>
      <w:r w:rsidRPr="00D638B0">
        <w:rPr>
          <w:rFonts w:cs="Arial"/>
          <w:szCs w:val="18"/>
        </w:rPr>
        <w:t>A</w:t>
      </w:r>
      <w:r w:rsidR="00752313" w:rsidRPr="00D638B0">
        <w:rPr>
          <w:rFonts w:cs="Arial"/>
          <w:szCs w:val="18"/>
        </w:rPr>
        <w:t>lthough the reprocessed data were significantly better than the original data, the preserved field data were incomplete and, given the vintage of the survey, the accuracy of the positioning data was also a concern.  Therefore</w:t>
      </w:r>
      <w:r w:rsidR="00C5572C" w:rsidRPr="00D638B0">
        <w:rPr>
          <w:rFonts w:cs="Arial"/>
          <w:szCs w:val="18"/>
        </w:rPr>
        <w:t>,</w:t>
      </w:r>
      <w:r w:rsidR="00752313" w:rsidRPr="00D638B0">
        <w:rPr>
          <w:rFonts w:cs="Arial"/>
          <w:szCs w:val="18"/>
        </w:rPr>
        <w:t xml:space="preserve"> </w:t>
      </w:r>
      <w:r w:rsidR="002073EF">
        <w:rPr>
          <w:rFonts w:cs="Arial"/>
          <w:szCs w:val="18"/>
        </w:rPr>
        <w:t>i</w:t>
      </w:r>
      <w:r w:rsidR="00752313" w:rsidRPr="00D638B0">
        <w:rPr>
          <w:rFonts w:cs="Arial"/>
          <w:szCs w:val="18"/>
        </w:rPr>
        <w:t xml:space="preserve">n February 2009, Fairfield and operators of the adjacent fields to the northwest </w:t>
      </w:r>
      <w:r w:rsidR="002073EF">
        <w:rPr>
          <w:rFonts w:cs="Arial"/>
          <w:szCs w:val="18"/>
        </w:rPr>
        <w:t xml:space="preserve">acquired </w:t>
      </w:r>
      <w:r w:rsidR="00752313" w:rsidRPr="00D638B0">
        <w:rPr>
          <w:rFonts w:cs="Arial"/>
          <w:szCs w:val="18"/>
        </w:rPr>
        <w:t xml:space="preserve">a high density, high resolution 3D seismic survey </w:t>
      </w:r>
      <w:r w:rsidR="00752313" w:rsidRPr="00D638B0">
        <w:t xml:space="preserve">in the East Shetland Basin – ESB09 (Figure </w:t>
      </w:r>
      <w:r w:rsidR="00F27DE7" w:rsidRPr="00D638B0">
        <w:t>1</w:t>
      </w:r>
      <w:r w:rsidR="00752313" w:rsidRPr="00D638B0">
        <w:t>).  That survey was processed to pre-stack depth migration and was also inverted</w:t>
      </w:r>
      <w:r w:rsidR="002073EF">
        <w:t>,</w:t>
      </w:r>
      <w:r w:rsidR="00752313" w:rsidRPr="00D638B0">
        <w:t xml:space="preserve"> resulting in a dataset which was, for the first time, capable of imaging the base Brent Group horizon in addition to the top Brent Group reflector.  Clarity over fault terminations also assisted in defining and refining the </w:t>
      </w:r>
      <w:r w:rsidR="006D422E" w:rsidRPr="00D638B0">
        <w:t xml:space="preserve">existing </w:t>
      </w:r>
      <w:r w:rsidR="00752313" w:rsidRPr="00D638B0">
        <w:t xml:space="preserve">field structural model.  </w:t>
      </w:r>
    </w:p>
    <w:p w14:paraId="26AD38F7" w14:textId="77777777" w:rsidR="00752313" w:rsidRPr="00D638B0" w:rsidRDefault="00752313" w:rsidP="00E50798">
      <w:pPr>
        <w:spacing w:line="360" w:lineRule="auto"/>
      </w:pPr>
    </w:p>
    <w:p w14:paraId="5E6F356B" w14:textId="77777777" w:rsidR="00752313" w:rsidRPr="00D638B0" w:rsidRDefault="00752313" w:rsidP="00E50798">
      <w:pPr>
        <w:pStyle w:val="Heading3"/>
        <w:spacing w:line="360" w:lineRule="auto"/>
      </w:pPr>
      <w:r w:rsidRPr="00D638B0">
        <w:t>Wells</w:t>
      </w:r>
    </w:p>
    <w:p w14:paraId="6B6133F8" w14:textId="7BDB846A" w:rsidR="00752313" w:rsidRPr="00D638B0" w:rsidRDefault="00752313" w:rsidP="00E50798">
      <w:pPr>
        <w:spacing w:line="360" w:lineRule="auto"/>
        <w:rPr>
          <w:color w:val="FF0000"/>
        </w:rPr>
      </w:pPr>
      <w:r w:rsidRPr="00D638B0">
        <w:t xml:space="preserve">A full database of </w:t>
      </w:r>
      <w:r w:rsidR="001F7654" w:rsidRPr="00D638B0">
        <w:t xml:space="preserve">wireline logs (gamma, sonic, resistivity) </w:t>
      </w:r>
      <w:r w:rsidRPr="00D638B0">
        <w:t xml:space="preserve">was available for most of the </w:t>
      </w:r>
      <w:r w:rsidR="000F1E22" w:rsidRPr="00D638B0">
        <w:t xml:space="preserve">32 </w:t>
      </w:r>
      <w:r w:rsidRPr="00D638B0">
        <w:t xml:space="preserve">Hutton and </w:t>
      </w:r>
      <w:r w:rsidR="000F1E22" w:rsidRPr="00D638B0">
        <w:t xml:space="preserve">52 </w:t>
      </w:r>
      <w:r w:rsidRPr="00D638B0">
        <w:t>NW Hutton wells</w:t>
      </w:r>
      <w:r w:rsidR="000F1E22" w:rsidRPr="00D638B0">
        <w:t xml:space="preserve"> as well as all 3 new wells drilled by TAQA</w:t>
      </w:r>
      <w:r w:rsidRPr="00D638B0">
        <w:t xml:space="preserve">.  Core coverage is extensive as is conventional core analysis data.  All of the </w:t>
      </w:r>
      <w:r w:rsidR="00414612">
        <w:t>core</w:t>
      </w:r>
      <w:r w:rsidR="00414612" w:rsidRPr="00D638B0">
        <w:t xml:space="preserve"> </w:t>
      </w:r>
      <w:r w:rsidRPr="00D638B0">
        <w:t>data for Hutton were donated to the British Geological Survey in 2002 and are stored by them.</w:t>
      </w:r>
    </w:p>
    <w:p w14:paraId="0B1392BB" w14:textId="77777777" w:rsidR="00752313" w:rsidRPr="00D638B0" w:rsidRDefault="00752313" w:rsidP="00E50798">
      <w:pPr>
        <w:spacing w:line="360" w:lineRule="auto"/>
        <w:rPr>
          <w:b/>
        </w:rPr>
      </w:pPr>
    </w:p>
    <w:p w14:paraId="08F0B720" w14:textId="77777777" w:rsidR="00477BD8" w:rsidRPr="00D638B0" w:rsidRDefault="00477BD8" w:rsidP="00E50798">
      <w:pPr>
        <w:pStyle w:val="Heading3"/>
        <w:spacing w:line="360" w:lineRule="auto"/>
      </w:pPr>
      <w:r w:rsidRPr="00D638B0">
        <w:t>Trap</w:t>
      </w:r>
    </w:p>
    <w:p w14:paraId="15ADFA07" w14:textId="03986812" w:rsidR="00477BD8" w:rsidRPr="00D638B0" w:rsidRDefault="00477BD8" w:rsidP="00B70F44">
      <w:pPr>
        <w:spacing w:line="360" w:lineRule="auto"/>
        <w:rPr>
          <w:color w:val="FF0000"/>
        </w:rPr>
      </w:pPr>
      <w:r w:rsidRPr="00D638B0">
        <w:t xml:space="preserve">The Hutton area fields comprise a series of south-westerly dipping fault blocks.  Seal is provided by a combination of the Upper Jurassic Heather </w:t>
      </w:r>
      <w:r w:rsidR="001F7654" w:rsidRPr="00D638B0">
        <w:t xml:space="preserve">Formation </w:t>
      </w:r>
      <w:r w:rsidRPr="00D638B0">
        <w:t xml:space="preserve">and Kimmeridge Clay </w:t>
      </w:r>
      <w:r w:rsidR="001F7654" w:rsidRPr="00D638B0">
        <w:t>F</w:t>
      </w:r>
      <w:r w:rsidRPr="00D638B0">
        <w:t>ormation.</w:t>
      </w:r>
      <w:r w:rsidR="00B70F44" w:rsidRPr="00D638B0">
        <w:t xml:space="preserve">  The bounding faults between blocks are sealing </w:t>
      </w:r>
      <w:r w:rsidR="00B70F44" w:rsidRPr="00D638B0">
        <w:lastRenderedPageBreak/>
        <w:t xml:space="preserve">and the Hutton area has many different </w:t>
      </w:r>
      <w:r w:rsidRPr="00D638B0">
        <w:t>oil water contacts</w:t>
      </w:r>
      <w:r w:rsidR="00E55391" w:rsidRPr="00D638B0">
        <w:t xml:space="preserve"> and oil-down-to levels</w:t>
      </w:r>
      <w:r w:rsidRPr="00D638B0">
        <w:t xml:space="preserve"> (Table </w:t>
      </w:r>
      <w:r w:rsidR="00377060" w:rsidRPr="00D638B0">
        <w:t>1</w:t>
      </w:r>
      <w:r w:rsidRPr="00D638B0">
        <w:t xml:space="preserve">, Figure </w:t>
      </w:r>
      <w:r w:rsidR="00A27909">
        <w:t>6</w:t>
      </w:r>
      <w:r w:rsidRPr="00D638B0">
        <w:t xml:space="preserve">). </w:t>
      </w:r>
    </w:p>
    <w:p w14:paraId="4E5DA93F" w14:textId="77777777" w:rsidR="00477BD8" w:rsidRPr="00D638B0" w:rsidRDefault="00477BD8" w:rsidP="00E50798">
      <w:pPr>
        <w:spacing w:line="360" w:lineRule="auto"/>
      </w:pPr>
    </w:p>
    <w:p w14:paraId="7A32B365" w14:textId="08DD2780" w:rsidR="00477BD8" w:rsidRPr="00D638B0" w:rsidRDefault="00477BD8" w:rsidP="00E50798">
      <w:pPr>
        <w:spacing w:line="360" w:lineRule="auto"/>
      </w:pPr>
      <w:r w:rsidRPr="00D638B0">
        <w:rPr>
          <w:b/>
        </w:rPr>
        <w:t xml:space="preserve">Figure </w:t>
      </w:r>
      <w:r w:rsidR="00A27909">
        <w:rPr>
          <w:b/>
        </w:rPr>
        <w:t>6</w:t>
      </w:r>
      <w:r w:rsidRPr="00D638B0">
        <w:t xml:space="preserve"> </w:t>
      </w:r>
      <w:r w:rsidR="00D342C8" w:rsidRPr="00D638B0">
        <w:t>here</w:t>
      </w:r>
    </w:p>
    <w:p w14:paraId="06191DE9" w14:textId="77777777" w:rsidR="00477BD8" w:rsidRPr="00D638B0" w:rsidRDefault="00477BD8" w:rsidP="00E50798">
      <w:pPr>
        <w:spacing w:line="360" w:lineRule="auto"/>
      </w:pPr>
    </w:p>
    <w:p w14:paraId="0C9D1CA2" w14:textId="77777777" w:rsidR="00477BD8" w:rsidRPr="00D638B0" w:rsidRDefault="00477BD8" w:rsidP="00E50798">
      <w:pPr>
        <w:spacing w:line="360" w:lineRule="auto"/>
      </w:pPr>
      <w:r w:rsidRPr="00D638B0">
        <w:t xml:space="preserve">Table </w:t>
      </w:r>
      <w:r w:rsidR="00377060" w:rsidRPr="00D638B0">
        <w:t>1</w:t>
      </w:r>
      <w:r w:rsidRPr="00D638B0">
        <w:t xml:space="preserve"> Hutton area oil-water contact depths  </w:t>
      </w:r>
    </w:p>
    <w:p w14:paraId="0260340B" w14:textId="77777777" w:rsidR="00477BD8" w:rsidRPr="00D638B0" w:rsidRDefault="00477BD8" w:rsidP="00E50798">
      <w:pPr>
        <w:spacing w:line="360" w:lineRule="auto"/>
      </w:pPr>
    </w:p>
    <w:tbl>
      <w:tblPr>
        <w:tblStyle w:val="TableGrid"/>
        <w:tblW w:w="0" w:type="auto"/>
        <w:tblLook w:val="04A0" w:firstRow="1" w:lastRow="0" w:firstColumn="1" w:lastColumn="0" w:noHBand="0" w:noVBand="1"/>
      </w:tblPr>
      <w:tblGrid>
        <w:gridCol w:w="1809"/>
        <w:gridCol w:w="851"/>
        <w:gridCol w:w="907"/>
        <w:gridCol w:w="1644"/>
        <w:gridCol w:w="3050"/>
      </w:tblGrid>
      <w:tr w:rsidR="00477BD8" w:rsidRPr="00D638B0" w14:paraId="0D27F116" w14:textId="77777777" w:rsidTr="00477BD8">
        <w:tc>
          <w:tcPr>
            <w:tcW w:w="1809" w:type="dxa"/>
          </w:tcPr>
          <w:p w14:paraId="3FB93E85" w14:textId="77777777" w:rsidR="00477BD8" w:rsidRPr="00D638B0" w:rsidRDefault="00477BD8" w:rsidP="00E50798">
            <w:pPr>
              <w:spacing w:line="360" w:lineRule="auto"/>
              <w:ind w:right="88"/>
            </w:pPr>
            <w:r w:rsidRPr="00D638B0">
              <w:t>Well</w:t>
            </w:r>
          </w:p>
        </w:tc>
        <w:tc>
          <w:tcPr>
            <w:tcW w:w="1758" w:type="dxa"/>
            <w:gridSpan w:val="2"/>
          </w:tcPr>
          <w:p w14:paraId="40A05AD2" w14:textId="77777777" w:rsidR="00477BD8" w:rsidRPr="00D638B0" w:rsidRDefault="00477BD8" w:rsidP="00E50798">
            <w:pPr>
              <w:spacing w:line="360" w:lineRule="auto"/>
            </w:pPr>
            <w:r w:rsidRPr="00D638B0">
              <w:t>Depth (ft T</w:t>
            </w:r>
            <w:r w:rsidR="002073EF">
              <w:t>V</w:t>
            </w:r>
            <w:r w:rsidRPr="00D638B0">
              <w:t>D SS)</w:t>
            </w:r>
          </w:p>
        </w:tc>
        <w:tc>
          <w:tcPr>
            <w:tcW w:w="1644" w:type="dxa"/>
          </w:tcPr>
          <w:p w14:paraId="62C90759" w14:textId="77777777" w:rsidR="00477BD8" w:rsidRPr="00D638B0" w:rsidRDefault="00477BD8" w:rsidP="00E50798">
            <w:pPr>
              <w:spacing w:line="360" w:lineRule="auto"/>
            </w:pPr>
            <w:r w:rsidRPr="00D638B0">
              <w:t>Reservoir interval</w:t>
            </w:r>
          </w:p>
        </w:tc>
        <w:tc>
          <w:tcPr>
            <w:tcW w:w="3050" w:type="dxa"/>
          </w:tcPr>
          <w:p w14:paraId="552BD219" w14:textId="77777777" w:rsidR="00477BD8" w:rsidRPr="00D638B0" w:rsidRDefault="00477BD8" w:rsidP="00E50798">
            <w:pPr>
              <w:spacing w:line="360" w:lineRule="auto"/>
            </w:pPr>
            <w:r w:rsidRPr="00D638B0">
              <w:t>Fault block</w:t>
            </w:r>
          </w:p>
        </w:tc>
      </w:tr>
      <w:tr w:rsidR="00477BD8" w:rsidRPr="00D638B0" w14:paraId="71D89EAD" w14:textId="77777777" w:rsidTr="00477BD8">
        <w:tc>
          <w:tcPr>
            <w:tcW w:w="1809" w:type="dxa"/>
          </w:tcPr>
          <w:p w14:paraId="505890F7" w14:textId="77777777" w:rsidR="00477BD8" w:rsidRPr="00D638B0" w:rsidRDefault="00477BD8" w:rsidP="00E50798">
            <w:pPr>
              <w:spacing w:line="360" w:lineRule="auto"/>
              <w:ind w:right="88"/>
            </w:pPr>
            <w:r w:rsidRPr="00D638B0">
              <w:t>211/28a-H21</w:t>
            </w:r>
          </w:p>
        </w:tc>
        <w:tc>
          <w:tcPr>
            <w:tcW w:w="1758" w:type="dxa"/>
            <w:gridSpan w:val="2"/>
          </w:tcPr>
          <w:p w14:paraId="70BE2181" w14:textId="77777777" w:rsidR="00477BD8" w:rsidRPr="00D638B0" w:rsidRDefault="00477BD8" w:rsidP="00E50798">
            <w:pPr>
              <w:spacing w:line="360" w:lineRule="auto"/>
              <w:ind w:right="26"/>
              <w:jc w:val="right"/>
            </w:pPr>
            <w:r w:rsidRPr="00D638B0">
              <w:t>10020</w:t>
            </w:r>
          </w:p>
        </w:tc>
        <w:tc>
          <w:tcPr>
            <w:tcW w:w="1644" w:type="dxa"/>
          </w:tcPr>
          <w:p w14:paraId="49184088" w14:textId="77777777" w:rsidR="00477BD8" w:rsidRPr="00D638B0" w:rsidRDefault="00477BD8" w:rsidP="00E50798">
            <w:pPr>
              <w:spacing w:line="360" w:lineRule="auto"/>
            </w:pPr>
            <w:r w:rsidRPr="00D638B0">
              <w:t xml:space="preserve">Tarbert </w:t>
            </w:r>
            <w:proofErr w:type="spellStart"/>
            <w:r w:rsidRPr="00D638B0">
              <w:t>Fm</w:t>
            </w:r>
            <w:proofErr w:type="spellEnd"/>
          </w:p>
        </w:tc>
        <w:tc>
          <w:tcPr>
            <w:tcW w:w="3050" w:type="dxa"/>
          </w:tcPr>
          <w:p w14:paraId="4270862F" w14:textId="77777777" w:rsidR="00477BD8" w:rsidRPr="00D638B0" w:rsidRDefault="00477BD8" w:rsidP="00E50798">
            <w:pPr>
              <w:spacing w:line="360" w:lineRule="auto"/>
            </w:pPr>
            <w:r w:rsidRPr="00D638B0">
              <w:t>Hutton C</w:t>
            </w:r>
          </w:p>
        </w:tc>
      </w:tr>
      <w:tr w:rsidR="00477BD8" w:rsidRPr="00D638B0" w14:paraId="7DD4E7E4" w14:textId="77777777" w:rsidTr="00477BD8">
        <w:tc>
          <w:tcPr>
            <w:tcW w:w="1809" w:type="dxa"/>
          </w:tcPr>
          <w:p w14:paraId="1E4C3861" w14:textId="77777777" w:rsidR="00477BD8" w:rsidRPr="00D638B0" w:rsidRDefault="00477BD8" w:rsidP="00E50798">
            <w:pPr>
              <w:spacing w:line="360" w:lineRule="auto"/>
              <w:ind w:right="88"/>
            </w:pPr>
            <w:r w:rsidRPr="00D638B0">
              <w:t>211/28a-H13</w:t>
            </w:r>
          </w:p>
        </w:tc>
        <w:tc>
          <w:tcPr>
            <w:tcW w:w="1758" w:type="dxa"/>
            <w:gridSpan w:val="2"/>
          </w:tcPr>
          <w:p w14:paraId="6D1B9982" w14:textId="77777777" w:rsidR="00477BD8" w:rsidRPr="00D638B0" w:rsidRDefault="00477BD8" w:rsidP="00E50798">
            <w:pPr>
              <w:spacing w:line="360" w:lineRule="auto"/>
              <w:ind w:right="26"/>
              <w:jc w:val="right"/>
            </w:pPr>
            <w:r w:rsidRPr="00D638B0">
              <w:t>10020</w:t>
            </w:r>
          </w:p>
        </w:tc>
        <w:tc>
          <w:tcPr>
            <w:tcW w:w="1644" w:type="dxa"/>
          </w:tcPr>
          <w:p w14:paraId="56DCF9E0" w14:textId="77777777" w:rsidR="00477BD8" w:rsidRPr="00D638B0" w:rsidRDefault="00477BD8" w:rsidP="00E50798">
            <w:pPr>
              <w:spacing w:line="360" w:lineRule="auto"/>
            </w:pPr>
            <w:r w:rsidRPr="00D638B0">
              <w:t xml:space="preserve">L. Ness </w:t>
            </w:r>
            <w:proofErr w:type="spellStart"/>
            <w:r w:rsidRPr="00D638B0">
              <w:t>Mbr</w:t>
            </w:r>
            <w:proofErr w:type="spellEnd"/>
          </w:p>
        </w:tc>
        <w:tc>
          <w:tcPr>
            <w:tcW w:w="3050" w:type="dxa"/>
          </w:tcPr>
          <w:p w14:paraId="766AE4B5" w14:textId="77777777" w:rsidR="00477BD8" w:rsidRPr="00D638B0" w:rsidRDefault="00477BD8" w:rsidP="00E50798">
            <w:pPr>
              <w:spacing w:line="360" w:lineRule="auto"/>
            </w:pPr>
            <w:r w:rsidRPr="00D638B0">
              <w:t>Hutton B</w:t>
            </w:r>
          </w:p>
        </w:tc>
      </w:tr>
      <w:tr w:rsidR="00477BD8" w:rsidRPr="00D638B0" w14:paraId="3AB40FB8" w14:textId="77777777" w:rsidTr="00477BD8">
        <w:tc>
          <w:tcPr>
            <w:tcW w:w="1809" w:type="dxa"/>
          </w:tcPr>
          <w:p w14:paraId="6BD104A5" w14:textId="77777777" w:rsidR="00477BD8" w:rsidRPr="00D638B0" w:rsidRDefault="00477BD8" w:rsidP="00E50798">
            <w:pPr>
              <w:spacing w:line="360" w:lineRule="auto"/>
              <w:ind w:right="88"/>
            </w:pPr>
            <w:r w:rsidRPr="00D638B0">
              <w:t>211/28a-H12</w:t>
            </w:r>
          </w:p>
        </w:tc>
        <w:tc>
          <w:tcPr>
            <w:tcW w:w="1758" w:type="dxa"/>
            <w:gridSpan w:val="2"/>
          </w:tcPr>
          <w:p w14:paraId="4CAC20A8" w14:textId="77777777" w:rsidR="00477BD8" w:rsidRPr="00D638B0" w:rsidRDefault="00477BD8" w:rsidP="00E50798">
            <w:pPr>
              <w:spacing w:line="360" w:lineRule="auto"/>
              <w:ind w:right="26"/>
              <w:jc w:val="right"/>
            </w:pPr>
            <w:r w:rsidRPr="00D638B0">
              <w:t>10090</w:t>
            </w:r>
          </w:p>
        </w:tc>
        <w:tc>
          <w:tcPr>
            <w:tcW w:w="1644" w:type="dxa"/>
          </w:tcPr>
          <w:p w14:paraId="026DAA79" w14:textId="77777777" w:rsidR="00477BD8" w:rsidRPr="00D638B0" w:rsidRDefault="00477BD8" w:rsidP="00E50798">
            <w:pPr>
              <w:spacing w:line="360" w:lineRule="auto"/>
            </w:pPr>
            <w:r w:rsidRPr="00D638B0">
              <w:t xml:space="preserve">L. Ness </w:t>
            </w:r>
            <w:proofErr w:type="spellStart"/>
            <w:r w:rsidRPr="00D638B0">
              <w:t>Mbr</w:t>
            </w:r>
            <w:proofErr w:type="spellEnd"/>
          </w:p>
        </w:tc>
        <w:tc>
          <w:tcPr>
            <w:tcW w:w="3050" w:type="dxa"/>
          </w:tcPr>
          <w:p w14:paraId="4431847A" w14:textId="77777777" w:rsidR="00477BD8" w:rsidRPr="00D638B0" w:rsidRDefault="00477BD8" w:rsidP="00E50798">
            <w:pPr>
              <w:spacing w:line="360" w:lineRule="auto"/>
            </w:pPr>
            <w:r w:rsidRPr="00D638B0">
              <w:t>Hutton A</w:t>
            </w:r>
          </w:p>
        </w:tc>
      </w:tr>
      <w:tr w:rsidR="00477BD8" w:rsidRPr="00D638B0" w14:paraId="7D77D6B9" w14:textId="77777777" w:rsidTr="00477BD8">
        <w:tc>
          <w:tcPr>
            <w:tcW w:w="1809" w:type="dxa"/>
          </w:tcPr>
          <w:p w14:paraId="28CBD6B1" w14:textId="77777777" w:rsidR="00477BD8" w:rsidRPr="00D638B0" w:rsidRDefault="00477BD8" w:rsidP="00E50798">
            <w:pPr>
              <w:spacing w:line="360" w:lineRule="auto"/>
              <w:ind w:right="88"/>
            </w:pPr>
            <w:r w:rsidRPr="00D638B0">
              <w:t>211/28a-H35</w:t>
            </w:r>
          </w:p>
          <w:p w14:paraId="2EF81DC4" w14:textId="77777777" w:rsidR="00477BD8" w:rsidRPr="00D638B0" w:rsidRDefault="00477BD8" w:rsidP="00E50798">
            <w:pPr>
              <w:spacing w:line="360" w:lineRule="auto"/>
              <w:ind w:right="88"/>
            </w:pPr>
          </w:p>
          <w:p w14:paraId="7F9ABD65" w14:textId="77777777" w:rsidR="00477BD8" w:rsidRPr="00D638B0" w:rsidRDefault="00477BD8" w:rsidP="00E50798">
            <w:pPr>
              <w:spacing w:line="360" w:lineRule="auto"/>
              <w:ind w:right="88"/>
            </w:pPr>
            <w:r w:rsidRPr="00D638B0">
              <w:t>211/27-7</w:t>
            </w:r>
          </w:p>
        </w:tc>
        <w:tc>
          <w:tcPr>
            <w:tcW w:w="851" w:type="dxa"/>
          </w:tcPr>
          <w:p w14:paraId="6E60B9AF" w14:textId="77777777" w:rsidR="00477BD8" w:rsidRPr="00D638B0" w:rsidRDefault="00477BD8" w:rsidP="00E50798">
            <w:pPr>
              <w:spacing w:line="360" w:lineRule="auto"/>
              <w:ind w:right="26"/>
              <w:jc w:val="right"/>
            </w:pPr>
            <w:r w:rsidRPr="00D638B0">
              <w:t>ODT</w:t>
            </w:r>
          </w:p>
          <w:p w14:paraId="0FC0614B" w14:textId="77777777" w:rsidR="00477BD8" w:rsidRPr="00D638B0" w:rsidRDefault="00477BD8" w:rsidP="00E50798">
            <w:pPr>
              <w:spacing w:line="360" w:lineRule="auto"/>
              <w:ind w:right="26"/>
              <w:jc w:val="right"/>
            </w:pPr>
            <w:r w:rsidRPr="00D638B0">
              <w:t>Est</w:t>
            </w:r>
          </w:p>
          <w:p w14:paraId="62613151" w14:textId="77777777" w:rsidR="00477BD8" w:rsidRPr="00D638B0" w:rsidRDefault="00477BD8" w:rsidP="00E50798">
            <w:pPr>
              <w:spacing w:line="360" w:lineRule="auto"/>
              <w:ind w:right="26"/>
              <w:jc w:val="right"/>
            </w:pPr>
            <w:r w:rsidRPr="00D638B0">
              <w:t>WUT</w:t>
            </w:r>
          </w:p>
        </w:tc>
        <w:tc>
          <w:tcPr>
            <w:tcW w:w="907" w:type="dxa"/>
          </w:tcPr>
          <w:p w14:paraId="45ADDDAC" w14:textId="77777777" w:rsidR="00477BD8" w:rsidRPr="00D638B0" w:rsidRDefault="00477BD8" w:rsidP="00E50798">
            <w:pPr>
              <w:spacing w:line="360" w:lineRule="auto"/>
              <w:ind w:right="26"/>
              <w:jc w:val="right"/>
            </w:pPr>
            <w:r w:rsidRPr="00D638B0">
              <w:t>10816</w:t>
            </w:r>
          </w:p>
          <w:p w14:paraId="3A1DE2E1" w14:textId="77777777" w:rsidR="00477BD8" w:rsidRPr="00D638B0" w:rsidRDefault="00477BD8" w:rsidP="00E50798">
            <w:pPr>
              <w:spacing w:line="360" w:lineRule="auto"/>
              <w:ind w:right="26"/>
              <w:jc w:val="right"/>
            </w:pPr>
            <w:r w:rsidRPr="00D638B0">
              <w:t>10850</w:t>
            </w:r>
          </w:p>
          <w:p w14:paraId="2795B1F3" w14:textId="77777777" w:rsidR="00477BD8" w:rsidRPr="00D638B0" w:rsidRDefault="00477BD8" w:rsidP="00E50798">
            <w:pPr>
              <w:spacing w:line="360" w:lineRule="auto"/>
              <w:ind w:right="26"/>
              <w:jc w:val="right"/>
            </w:pPr>
            <w:r w:rsidRPr="00D638B0">
              <w:t>10893</w:t>
            </w:r>
          </w:p>
        </w:tc>
        <w:tc>
          <w:tcPr>
            <w:tcW w:w="1644" w:type="dxa"/>
          </w:tcPr>
          <w:p w14:paraId="34D87372" w14:textId="77777777" w:rsidR="00477BD8" w:rsidRPr="00D638B0" w:rsidRDefault="00477BD8" w:rsidP="00E50798">
            <w:pPr>
              <w:spacing w:line="360" w:lineRule="auto"/>
            </w:pPr>
            <w:r w:rsidRPr="00D638B0">
              <w:t xml:space="preserve">Tarbert </w:t>
            </w:r>
            <w:proofErr w:type="spellStart"/>
            <w:r w:rsidRPr="00D638B0">
              <w:t>Fm</w:t>
            </w:r>
            <w:proofErr w:type="spellEnd"/>
          </w:p>
        </w:tc>
        <w:tc>
          <w:tcPr>
            <w:tcW w:w="3050" w:type="dxa"/>
          </w:tcPr>
          <w:p w14:paraId="6ED1B0C8" w14:textId="77777777" w:rsidR="00477BD8" w:rsidRPr="00D638B0" w:rsidRDefault="00477BD8" w:rsidP="00E50798">
            <w:pPr>
              <w:spacing w:line="360" w:lineRule="auto"/>
            </w:pPr>
            <w:r w:rsidRPr="00D638B0">
              <w:t>Hutton Q-West</w:t>
            </w:r>
          </w:p>
        </w:tc>
      </w:tr>
      <w:tr w:rsidR="00477BD8" w:rsidRPr="00D638B0" w14:paraId="3D706AC8" w14:textId="77777777" w:rsidTr="00477BD8">
        <w:tc>
          <w:tcPr>
            <w:tcW w:w="1809" w:type="dxa"/>
          </w:tcPr>
          <w:p w14:paraId="797570F6" w14:textId="77777777" w:rsidR="00477BD8" w:rsidRPr="00D638B0" w:rsidRDefault="00477BD8" w:rsidP="00E50798">
            <w:pPr>
              <w:spacing w:line="360" w:lineRule="auto"/>
              <w:ind w:right="88"/>
            </w:pPr>
            <w:r w:rsidRPr="00D638B0">
              <w:t>211/27a-A08z</w:t>
            </w:r>
          </w:p>
        </w:tc>
        <w:tc>
          <w:tcPr>
            <w:tcW w:w="1758" w:type="dxa"/>
            <w:gridSpan w:val="2"/>
          </w:tcPr>
          <w:p w14:paraId="297B9404" w14:textId="77777777" w:rsidR="00477BD8" w:rsidRPr="00D638B0" w:rsidRDefault="002F19E8" w:rsidP="002F19E8">
            <w:pPr>
              <w:spacing w:line="360" w:lineRule="auto"/>
              <w:ind w:right="26"/>
              <w:jc w:val="right"/>
            </w:pPr>
            <w:r w:rsidRPr="00D638B0">
              <w:t xml:space="preserve"> ODT 11812</w:t>
            </w:r>
          </w:p>
        </w:tc>
        <w:tc>
          <w:tcPr>
            <w:tcW w:w="1644" w:type="dxa"/>
          </w:tcPr>
          <w:p w14:paraId="04EA20AB" w14:textId="77777777" w:rsidR="00477BD8" w:rsidRPr="00D638B0" w:rsidRDefault="002F19E8" w:rsidP="00E50798">
            <w:pPr>
              <w:spacing w:line="360" w:lineRule="auto"/>
            </w:pPr>
            <w:r w:rsidRPr="00D638B0">
              <w:t xml:space="preserve">Rannoch </w:t>
            </w:r>
            <w:proofErr w:type="spellStart"/>
            <w:r w:rsidR="00477BD8" w:rsidRPr="00D638B0">
              <w:t>Fm</w:t>
            </w:r>
            <w:proofErr w:type="spellEnd"/>
          </w:p>
        </w:tc>
        <w:tc>
          <w:tcPr>
            <w:tcW w:w="3050" w:type="dxa"/>
          </w:tcPr>
          <w:p w14:paraId="24F3F0FA" w14:textId="77777777" w:rsidR="00477BD8" w:rsidRPr="00D638B0" w:rsidRDefault="00477BD8" w:rsidP="00E50798">
            <w:pPr>
              <w:spacing w:line="360" w:lineRule="auto"/>
            </w:pPr>
            <w:r w:rsidRPr="00D638B0">
              <w:t>NWH Eastern Lobe</w:t>
            </w:r>
          </w:p>
        </w:tc>
      </w:tr>
      <w:tr w:rsidR="00477BD8" w:rsidRPr="00D638B0" w14:paraId="2438DCC8" w14:textId="77777777" w:rsidTr="00477BD8">
        <w:tc>
          <w:tcPr>
            <w:tcW w:w="1809" w:type="dxa"/>
          </w:tcPr>
          <w:p w14:paraId="1CBD4AD5" w14:textId="77777777" w:rsidR="00477BD8" w:rsidRPr="00D638B0" w:rsidRDefault="00477BD8" w:rsidP="00E50798">
            <w:pPr>
              <w:spacing w:line="360" w:lineRule="auto"/>
              <w:ind w:right="88"/>
            </w:pPr>
            <w:r w:rsidRPr="00D638B0">
              <w:t>211/27-A44</w:t>
            </w:r>
          </w:p>
        </w:tc>
        <w:tc>
          <w:tcPr>
            <w:tcW w:w="1758" w:type="dxa"/>
            <w:gridSpan w:val="2"/>
          </w:tcPr>
          <w:p w14:paraId="24EC8E7E" w14:textId="77777777" w:rsidR="00477BD8" w:rsidRPr="00D638B0" w:rsidRDefault="009E784B" w:rsidP="00E50798">
            <w:pPr>
              <w:spacing w:line="360" w:lineRule="auto"/>
              <w:ind w:right="26"/>
              <w:jc w:val="right"/>
            </w:pPr>
            <w:r w:rsidRPr="00D638B0">
              <w:t xml:space="preserve">ODT </w:t>
            </w:r>
            <w:r w:rsidR="00477BD8" w:rsidRPr="00D638B0">
              <w:t>11594</w:t>
            </w:r>
          </w:p>
        </w:tc>
        <w:tc>
          <w:tcPr>
            <w:tcW w:w="1644" w:type="dxa"/>
          </w:tcPr>
          <w:p w14:paraId="22234BB2" w14:textId="77777777" w:rsidR="00477BD8" w:rsidRPr="00D638B0" w:rsidRDefault="00477BD8" w:rsidP="00E50798">
            <w:pPr>
              <w:spacing w:line="360" w:lineRule="auto"/>
            </w:pPr>
            <w:r w:rsidRPr="00D638B0">
              <w:t xml:space="preserve">L. Ness </w:t>
            </w:r>
            <w:proofErr w:type="spellStart"/>
            <w:r w:rsidRPr="00D638B0">
              <w:t>Mbr</w:t>
            </w:r>
            <w:proofErr w:type="spellEnd"/>
          </w:p>
        </w:tc>
        <w:tc>
          <w:tcPr>
            <w:tcW w:w="3050" w:type="dxa"/>
          </w:tcPr>
          <w:p w14:paraId="3F1BAFED" w14:textId="77777777" w:rsidR="00477BD8" w:rsidRPr="00D638B0" w:rsidRDefault="00477BD8" w:rsidP="00E50798">
            <w:pPr>
              <w:spacing w:line="360" w:lineRule="auto"/>
            </w:pPr>
            <w:r w:rsidRPr="00D638B0">
              <w:t>NWH East Lobe South</w:t>
            </w:r>
          </w:p>
        </w:tc>
      </w:tr>
      <w:tr w:rsidR="00477BD8" w:rsidRPr="00D638B0" w14:paraId="56AEF55C" w14:textId="77777777" w:rsidTr="00477BD8">
        <w:tc>
          <w:tcPr>
            <w:tcW w:w="1809" w:type="dxa"/>
          </w:tcPr>
          <w:p w14:paraId="347ABBA6" w14:textId="77777777" w:rsidR="00477BD8" w:rsidRPr="00D638B0" w:rsidRDefault="00477BD8" w:rsidP="00E50798">
            <w:pPr>
              <w:spacing w:line="360" w:lineRule="auto"/>
              <w:ind w:right="88"/>
            </w:pPr>
            <w:r w:rsidRPr="00D638B0">
              <w:t>211/27-A25</w:t>
            </w:r>
          </w:p>
        </w:tc>
        <w:tc>
          <w:tcPr>
            <w:tcW w:w="1758" w:type="dxa"/>
            <w:gridSpan w:val="2"/>
          </w:tcPr>
          <w:p w14:paraId="637DA4B9" w14:textId="77777777" w:rsidR="00477BD8" w:rsidRPr="00D638B0" w:rsidRDefault="009E784B" w:rsidP="00E50798">
            <w:pPr>
              <w:spacing w:line="360" w:lineRule="auto"/>
              <w:ind w:right="26"/>
              <w:jc w:val="right"/>
            </w:pPr>
            <w:r w:rsidRPr="00D638B0">
              <w:t xml:space="preserve">ODT </w:t>
            </w:r>
            <w:r w:rsidR="00477BD8" w:rsidRPr="00D638B0">
              <w:t>11829</w:t>
            </w:r>
          </w:p>
        </w:tc>
        <w:tc>
          <w:tcPr>
            <w:tcW w:w="1644" w:type="dxa"/>
          </w:tcPr>
          <w:p w14:paraId="662529BE" w14:textId="77777777" w:rsidR="00477BD8" w:rsidRPr="00D638B0" w:rsidRDefault="00477BD8" w:rsidP="00E50798">
            <w:pPr>
              <w:spacing w:line="360" w:lineRule="auto"/>
            </w:pPr>
            <w:r w:rsidRPr="00D638B0">
              <w:t xml:space="preserve">Rannoch </w:t>
            </w:r>
            <w:proofErr w:type="spellStart"/>
            <w:r w:rsidRPr="00D638B0">
              <w:t>Fm</w:t>
            </w:r>
            <w:proofErr w:type="spellEnd"/>
          </w:p>
        </w:tc>
        <w:tc>
          <w:tcPr>
            <w:tcW w:w="3050" w:type="dxa"/>
          </w:tcPr>
          <w:p w14:paraId="3ABF4460" w14:textId="77777777" w:rsidR="00477BD8" w:rsidRPr="00D638B0" w:rsidRDefault="00477BD8" w:rsidP="00E50798">
            <w:pPr>
              <w:spacing w:line="360" w:lineRule="auto"/>
            </w:pPr>
            <w:r w:rsidRPr="00D638B0">
              <w:t>NWH Central Lobe</w:t>
            </w:r>
          </w:p>
        </w:tc>
      </w:tr>
      <w:tr w:rsidR="00477BD8" w:rsidRPr="00D638B0" w14:paraId="32432670" w14:textId="77777777" w:rsidTr="00477BD8">
        <w:tc>
          <w:tcPr>
            <w:tcW w:w="1809" w:type="dxa"/>
          </w:tcPr>
          <w:p w14:paraId="1107A623" w14:textId="77777777" w:rsidR="00477BD8" w:rsidRPr="00D638B0" w:rsidRDefault="00477BD8" w:rsidP="00E50798">
            <w:pPr>
              <w:spacing w:line="360" w:lineRule="auto"/>
              <w:ind w:right="88"/>
            </w:pPr>
            <w:r w:rsidRPr="00D638B0">
              <w:t>211/27-A36</w:t>
            </w:r>
          </w:p>
        </w:tc>
        <w:tc>
          <w:tcPr>
            <w:tcW w:w="1758" w:type="dxa"/>
            <w:gridSpan w:val="2"/>
          </w:tcPr>
          <w:p w14:paraId="6D7D4CC7" w14:textId="77777777" w:rsidR="00477BD8" w:rsidRPr="00D638B0" w:rsidRDefault="009E784B" w:rsidP="00E50798">
            <w:pPr>
              <w:spacing w:line="360" w:lineRule="auto"/>
              <w:ind w:right="26"/>
              <w:jc w:val="right"/>
            </w:pPr>
            <w:r w:rsidRPr="00D638B0">
              <w:t xml:space="preserve">ODT </w:t>
            </w:r>
            <w:r w:rsidR="00477BD8" w:rsidRPr="00D638B0">
              <w:t>12084</w:t>
            </w:r>
          </w:p>
        </w:tc>
        <w:tc>
          <w:tcPr>
            <w:tcW w:w="1644" w:type="dxa"/>
          </w:tcPr>
          <w:p w14:paraId="7AF753BE" w14:textId="77777777" w:rsidR="00477BD8" w:rsidRPr="00D638B0" w:rsidRDefault="009E784B" w:rsidP="00E50798">
            <w:pPr>
              <w:spacing w:line="360" w:lineRule="auto"/>
            </w:pPr>
            <w:r w:rsidRPr="00D638B0">
              <w:t xml:space="preserve">Broom </w:t>
            </w:r>
            <w:proofErr w:type="spellStart"/>
            <w:r w:rsidRPr="00D638B0">
              <w:t>Fm</w:t>
            </w:r>
            <w:proofErr w:type="spellEnd"/>
          </w:p>
        </w:tc>
        <w:tc>
          <w:tcPr>
            <w:tcW w:w="3050" w:type="dxa"/>
          </w:tcPr>
          <w:p w14:paraId="7D549E20" w14:textId="77777777" w:rsidR="00477BD8" w:rsidRPr="00D638B0" w:rsidRDefault="00477BD8" w:rsidP="00E50798">
            <w:pPr>
              <w:spacing w:line="360" w:lineRule="auto"/>
            </w:pPr>
            <w:r w:rsidRPr="00D638B0">
              <w:t>NWH Inner West Lobe</w:t>
            </w:r>
          </w:p>
        </w:tc>
      </w:tr>
      <w:tr w:rsidR="00477BD8" w:rsidRPr="00D638B0" w14:paraId="7A29E3DB" w14:textId="77777777" w:rsidTr="00477BD8">
        <w:tc>
          <w:tcPr>
            <w:tcW w:w="1809" w:type="dxa"/>
          </w:tcPr>
          <w:p w14:paraId="5526776B" w14:textId="77777777" w:rsidR="00477BD8" w:rsidRPr="00D638B0" w:rsidRDefault="00477BD8" w:rsidP="009E784B">
            <w:pPr>
              <w:spacing w:line="360" w:lineRule="auto"/>
              <w:ind w:right="88"/>
            </w:pPr>
            <w:r w:rsidRPr="00D638B0">
              <w:t>211/27-A50</w:t>
            </w:r>
          </w:p>
        </w:tc>
        <w:tc>
          <w:tcPr>
            <w:tcW w:w="1758" w:type="dxa"/>
            <w:gridSpan w:val="2"/>
          </w:tcPr>
          <w:p w14:paraId="3FC030D1" w14:textId="77777777" w:rsidR="00477BD8" w:rsidRPr="00D638B0" w:rsidRDefault="009E784B" w:rsidP="00E50798">
            <w:pPr>
              <w:spacing w:line="360" w:lineRule="auto"/>
              <w:ind w:right="26"/>
              <w:jc w:val="right"/>
            </w:pPr>
            <w:r w:rsidRPr="00D638B0">
              <w:t xml:space="preserve">ODT </w:t>
            </w:r>
            <w:r w:rsidR="00477BD8" w:rsidRPr="00D638B0">
              <w:t>12384</w:t>
            </w:r>
          </w:p>
        </w:tc>
        <w:tc>
          <w:tcPr>
            <w:tcW w:w="1644" w:type="dxa"/>
          </w:tcPr>
          <w:p w14:paraId="4B1D9FD0" w14:textId="77777777" w:rsidR="00477BD8" w:rsidRPr="00D638B0" w:rsidRDefault="00477BD8" w:rsidP="00E50798">
            <w:pPr>
              <w:spacing w:line="360" w:lineRule="auto"/>
            </w:pPr>
            <w:r w:rsidRPr="00D638B0">
              <w:t xml:space="preserve">Broom </w:t>
            </w:r>
            <w:proofErr w:type="spellStart"/>
            <w:r w:rsidRPr="00D638B0">
              <w:t>Fm</w:t>
            </w:r>
            <w:proofErr w:type="spellEnd"/>
          </w:p>
        </w:tc>
        <w:tc>
          <w:tcPr>
            <w:tcW w:w="3050" w:type="dxa"/>
          </w:tcPr>
          <w:p w14:paraId="4A88B8E4" w14:textId="77777777" w:rsidR="00477BD8" w:rsidRPr="00D638B0" w:rsidRDefault="00477BD8" w:rsidP="00E50798">
            <w:pPr>
              <w:spacing w:line="360" w:lineRule="auto"/>
            </w:pPr>
            <w:r w:rsidRPr="00D638B0">
              <w:t>NWH Inner West Lobe S</w:t>
            </w:r>
          </w:p>
        </w:tc>
      </w:tr>
      <w:tr w:rsidR="00477BD8" w:rsidRPr="00D638B0" w14:paraId="485C4A7A" w14:textId="77777777" w:rsidTr="00477BD8">
        <w:tc>
          <w:tcPr>
            <w:tcW w:w="1809" w:type="dxa"/>
          </w:tcPr>
          <w:p w14:paraId="34175161" w14:textId="77777777" w:rsidR="00477BD8" w:rsidRPr="00D638B0" w:rsidRDefault="00477BD8" w:rsidP="009E784B">
            <w:pPr>
              <w:spacing w:line="360" w:lineRule="auto"/>
              <w:ind w:right="88"/>
            </w:pPr>
            <w:r w:rsidRPr="00D638B0">
              <w:t>211/27-A28</w:t>
            </w:r>
          </w:p>
        </w:tc>
        <w:tc>
          <w:tcPr>
            <w:tcW w:w="1758" w:type="dxa"/>
            <w:gridSpan w:val="2"/>
          </w:tcPr>
          <w:p w14:paraId="7D99C3C9" w14:textId="77777777" w:rsidR="00477BD8" w:rsidRPr="00D638B0" w:rsidRDefault="009E784B" w:rsidP="00E50798">
            <w:pPr>
              <w:spacing w:line="360" w:lineRule="auto"/>
              <w:ind w:right="26"/>
              <w:jc w:val="right"/>
            </w:pPr>
            <w:r w:rsidRPr="00D638B0">
              <w:t xml:space="preserve">ODT </w:t>
            </w:r>
            <w:r w:rsidR="00477BD8" w:rsidRPr="00D638B0">
              <w:t>12795</w:t>
            </w:r>
          </w:p>
        </w:tc>
        <w:tc>
          <w:tcPr>
            <w:tcW w:w="1644" w:type="dxa"/>
          </w:tcPr>
          <w:p w14:paraId="0EF8F626" w14:textId="77777777" w:rsidR="00477BD8" w:rsidRPr="00D638B0" w:rsidRDefault="009E784B" w:rsidP="00E50798">
            <w:pPr>
              <w:spacing w:line="360" w:lineRule="auto"/>
            </w:pPr>
            <w:r w:rsidRPr="00D638B0">
              <w:t xml:space="preserve">Etive </w:t>
            </w:r>
            <w:proofErr w:type="spellStart"/>
            <w:r w:rsidRPr="00D638B0">
              <w:t>Fm</w:t>
            </w:r>
            <w:proofErr w:type="spellEnd"/>
          </w:p>
        </w:tc>
        <w:tc>
          <w:tcPr>
            <w:tcW w:w="3050" w:type="dxa"/>
          </w:tcPr>
          <w:p w14:paraId="0007DAAA" w14:textId="77777777" w:rsidR="00477BD8" w:rsidRPr="00D638B0" w:rsidRDefault="00477BD8" w:rsidP="00E50798">
            <w:pPr>
              <w:spacing w:line="360" w:lineRule="auto"/>
            </w:pPr>
            <w:r w:rsidRPr="00D638B0">
              <w:t>NWH Outer West Lobe</w:t>
            </w:r>
          </w:p>
        </w:tc>
      </w:tr>
      <w:tr w:rsidR="00477BD8" w:rsidRPr="00D638B0" w14:paraId="2932CF5F" w14:textId="77777777" w:rsidTr="00477BD8">
        <w:tc>
          <w:tcPr>
            <w:tcW w:w="1809" w:type="dxa"/>
          </w:tcPr>
          <w:p w14:paraId="17A2164C" w14:textId="77777777" w:rsidR="00477BD8" w:rsidRPr="00D638B0" w:rsidRDefault="00477BD8" w:rsidP="009E784B">
            <w:pPr>
              <w:spacing w:line="360" w:lineRule="auto"/>
              <w:ind w:right="88"/>
            </w:pPr>
            <w:r w:rsidRPr="00D638B0">
              <w:t>211/27-A47</w:t>
            </w:r>
          </w:p>
        </w:tc>
        <w:tc>
          <w:tcPr>
            <w:tcW w:w="1758" w:type="dxa"/>
            <w:gridSpan w:val="2"/>
          </w:tcPr>
          <w:p w14:paraId="403E18E8" w14:textId="77777777" w:rsidR="00477BD8" w:rsidRPr="00D638B0" w:rsidRDefault="009E784B" w:rsidP="00E50798">
            <w:pPr>
              <w:spacing w:line="360" w:lineRule="auto"/>
              <w:ind w:right="26"/>
              <w:jc w:val="right"/>
            </w:pPr>
            <w:r w:rsidRPr="00D638B0">
              <w:t xml:space="preserve">ODT </w:t>
            </w:r>
            <w:r w:rsidR="00477BD8" w:rsidRPr="00D638B0">
              <w:t>12399</w:t>
            </w:r>
          </w:p>
        </w:tc>
        <w:tc>
          <w:tcPr>
            <w:tcW w:w="1644" w:type="dxa"/>
          </w:tcPr>
          <w:p w14:paraId="294E5812" w14:textId="77777777" w:rsidR="00477BD8" w:rsidRPr="00D638B0" w:rsidRDefault="00477BD8" w:rsidP="00E50798">
            <w:pPr>
              <w:spacing w:line="360" w:lineRule="auto"/>
            </w:pPr>
            <w:r w:rsidRPr="00D638B0">
              <w:t xml:space="preserve">L. Ness </w:t>
            </w:r>
            <w:proofErr w:type="spellStart"/>
            <w:r w:rsidRPr="00D638B0">
              <w:t>Mbr</w:t>
            </w:r>
            <w:proofErr w:type="spellEnd"/>
          </w:p>
        </w:tc>
        <w:tc>
          <w:tcPr>
            <w:tcW w:w="3050" w:type="dxa"/>
          </w:tcPr>
          <w:p w14:paraId="3D957192" w14:textId="77777777" w:rsidR="00477BD8" w:rsidRPr="00D638B0" w:rsidRDefault="00477BD8" w:rsidP="00E50798">
            <w:pPr>
              <w:spacing w:line="360" w:lineRule="auto"/>
            </w:pPr>
            <w:r w:rsidRPr="00D638B0">
              <w:t>NWH Outer West Lobe S</w:t>
            </w:r>
          </w:p>
        </w:tc>
      </w:tr>
      <w:tr w:rsidR="00477BD8" w:rsidRPr="00D638B0" w14:paraId="2C2F6CAA" w14:textId="77777777" w:rsidTr="00477BD8">
        <w:tc>
          <w:tcPr>
            <w:tcW w:w="1809" w:type="dxa"/>
          </w:tcPr>
          <w:p w14:paraId="1D4A477B" w14:textId="77777777" w:rsidR="00477BD8" w:rsidRPr="00D638B0" w:rsidRDefault="00477BD8" w:rsidP="009E784B">
            <w:pPr>
              <w:spacing w:line="360" w:lineRule="auto"/>
              <w:ind w:right="88"/>
            </w:pPr>
            <w:r w:rsidRPr="00D638B0">
              <w:t>211/27-A41</w:t>
            </w:r>
          </w:p>
        </w:tc>
        <w:tc>
          <w:tcPr>
            <w:tcW w:w="851" w:type="dxa"/>
          </w:tcPr>
          <w:p w14:paraId="45A4F69A" w14:textId="77777777" w:rsidR="00477BD8" w:rsidRPr="00D638B0" w:rsidRDefault="00477BD8" w:rsidP="00E50798">
            <w:pPr>
              <w:spacing w:line="360" w:lineRule="auto"/>
              <w:ind w:right="26"/>
              <w:jc w:val="right"/>
            </w:pPr>
            <w:r w:rsidRPr="00D638B0">
              <w:t>ODT</w:t>
            </w:r>
          </w:p>
        </w:tc>
        <w:tc>
          <w:tcPr>
            <w:tcW w:w="907" w:type="dxa"/>
          </w:tcPr>
          <w:p w14:paraId="64953F45" w14:textId="77777777" w:rsidR="00477BD8" w:rsidRPr="00D638B0" w:rsidRDefault="00477BD8" w:rsidP="00E50798">
            <w:pPr>
              <w:spacing w:line="360" w:lineRule="auto"/>
              <w:ind w:right="26"/>
              <w:jc w:val="right"/>
            </w:pPr>
            <w:r w:rsidRPr="00D638B0">
              <w:t>11872</w:t>
            </w:r>
          </w:p>
        </w:tc>
        <w:tc>
          <w:tcPr>
            <w:tcW w:w="1644" w:type="dxa"/>
          </w:tcPr>
          <w:p w14:paraId="4CA9254A" w14:textId="77777777" w:rsidR="00477BD8" w:rsidRPr="00D638B0" w:rsidRDefault="00477BD8" w:rsidP="00E50798">
            <w:pPr>
              <w:spacing w:line="360" w:lineRule="auto"/>
            </w:pPr>
            <w:r w:rsidRPr="00D638B0">
              <w:t xml:space="preserve">Etive </w:t>
            </w:r>
            <w:proofErr w:type="spellStart"/>
            <w:r w:rsidRPr="00D638B0">
              <w:t>Fm</w:t>
            </w:r>
            <w:proofErr w:type="spellEnd"/>
          </w:p>
        </w:tc>
        <w:tc>
          <w:tcPr>
            <w:tcW w:w="3050" w:type="dxa"/>
          </w:tcPr>
          <w:p w14:paraId="10085EF4" w14:textId="77777777" w:rsidR="00477BD8" w:rsidRPr="00D638B0" w:rsidRDefault="00477BD8" w:rsidP="00E50798">
            <w:pPr>
              <w:spacing w:line="360" w:lineRule="auto"/>
            </w:pPr>
            <w:r w:rsidRPr="00D638B0">
              <w:t>211/27a-A41 Block</w:t>
            </w:r>
          </w:p>
        </w:tc>
      </w:tr>
      <w:tr w:rsidR="00477BD8" w:rsidRPr="00D638B0" w14:paraId="732DDD56" w14:textId="77777777" w:rsidTr="00477BD8">
        <w:tc>
          <w:tcPr>
            <w:tcW w:w="1809" w:type="dxa"/>
          </w:tcPr>
          <w:p w14:paraId="32688E2D" w14:textId="77777777" w:rsidR="00477BD8" w:rsidRPr="00D638B0" w:rsidRDefault="00477BD8" w:rsidP="009E784B">
            <w:pPr>
              <w:spacing w:line="360" w:lineRule="auto"/>
              <w:ind w:right="88"/>
            </w:pPr>
            <w:r w:rsidRPr="00D638B0">
              <w:t>211/27-</w:t>
            </w:r>
            <w:r w:rsidR="009E784B" w:rsidRPr="00D638B0">
              <w:t>8st-A</w:t>
            </w:r>
          </w:p>
        </w:tc>
        <w:tc>
          <w:tcPr>
            <w:tcW w:w="1758" w:type="dxa"/>
            <w:gridSpan w:val="2"/>
          </w:tcPr>
          <w:p w14:paraId="702314B5" w14:textId="77777777" w:rsidR="00477BD8" w:rsidRPr="00D638B0" w:rsidRDefault="00477BD8" w:rsidP="00E50798">
            <w:pPr>
              <w:spacing w:line="360" w:lineRule="auto"/>
              <w:ind w:right="26"/>
              <w:jc w:val="right"/>
            </w:pPr>
            <w:r w:rsidRPr="00D638B0">
              <w:t>13151</w:t>
            </w:r>
          </w:p>
        </w:tc>
        <w:tc>
          <w:tcPr>
            <w:tcW w:w="1644" w:type="dxa"/>
          </w:tcPr>
          <w:p w14:paraId="0CDE6515" w14:textId="77777777" w:rsidR="00477BD8" w:rsidRPr="00D638B0" w:rsidRDefault="009E784B" w:rsidP="00E50798">
            <w:pPr>
              <w:spacing w:line="360" w:lineRule="auto"/>
            </w:pPr>
            <w:r w:rsidRPr="00D638B0">
              <w:t>U</w:t>
            </w:r>
            <w:r w:rsidR="00477BD8" w:rsidRPr="00D638B0">
              <w:t xml:space="preserve">. Ness </w:t>
            </w:r>
            <w:proofErr w:type="spellStart"/>
            <w:r w:rsidR="00477BD8" w:rsidRPr="00D638B0">
              <w:t>Mbr</w:t>
            </w:r>
            <w:proofErr w:type="spellEnd"/>
          </w:p>
        </w:tc>
        <w:tc>
          <w:tcPr>
            <w:tcW w:w="3050" w:type="dxa"/>
          </w:tcPr>
          <w:p w14:paraId="4AD89DE3" w14:textId="77777777" w:rsidR="00477BD8" w:rsidRPr="00D638B0" w:rsidRDefault="00477BD8" w:rsidP="00E50798">
            <w:pPr>
              <w:spacing w:line="360" w:lineRule="auto"/>
            </w:pPr>
            <w:r w:rsidRPr="00D638B0">
              <w:t>211/27a-8z Block</w:t>
            </w:r>
          </w:p>
        </w:tc>
      </w:tr>
      <w:tr w:rsidR="00477BD8" w:rsidRPr="00D638B0" w14:paraId="1F9D01D7" w14:textId="77777777" w:rsidTr="00477BD8">
        <w:tc>
          <w:tcPr>
            <w:tcW w:w="1809" w:type="dxa"/>
          </w:tcPr>
          <w:p w14:paraId="41911E35" w14:textId="77777777" w:rsidR="00477BD8" w:rsidRPr="00D638B0" w:rsidRDefault="00477BD8" w:rsidP="00A07307">
            <w:pPr>
              <w:spacing w:line="360" w:lineRule="auto"/>
              <w:ind w:right="88"/>
            </w:pPr>
            <w:r w:rsidRPr="00D638B0">
              <w:t>211/27-11</w:t>
            </w:r>
          </w:p>
        </w:tc>
        <w:tc>
          <w:tcPr>
            <w:tcW w:w="1758" w:type="dxa"/>
            <w:gridSpan w:val="2"/>
          </w:tcPr>
          <w:p w14:paraId="7740BBBB" w14:textId="77777777" w:rsidR="00477BD8" w:rsidRPr="00D638B0" w:rsidRDefault="00A07307" w:rsidP="00E50798">
            <w:pPr>
              <w:spacing w:line="360" w:lineRule="auto"/>
              <w:ind w:right="26"/>
              <w:jc w:val="right"/>
            </w:pPr>
            <w:r w:rsidRPr="00D638B0">
              <w:t xml:space="preserve">ODT </w:t>
            </w:r>
            <w:r w:rsidR="00477BD8" w:rsidRPr="00D638B0">
              <w:t>1243</w:t>
            </w:r>
            <w:r w:rsidRPr="00D638B0">
              <w:t>2</w:t>
            </w:r>
          </w:p>
          <w:p w14:paraId="096EE508" w14:textId="77777777" w:rsidR="00A07307" w:rsidRPr="00D638B0" w:rsidRDefault="00A07307" w:rsidP="00E50798">
            <w:pPr>
              <w:spacing w:line="360" w:lineRule="auto"/>
              <w:ind w:right="26"/>
              <w:jc w:val="right"/>
            </w:pPr>
            <w:r w:rsidRPr="00D638B0">
              <w:t>WUT 12439</w:t>
            </w:r>
          </w:p>
        </w:tc>
        <w:tc>
          <w:tcPr>
            <w:tcW w:w="1644" w:type="dxa"/>
          </w:tcPr>
          <w:p w14:paraId="7E550D30" w14:textId="77777777" w:rsidR="00477BD8" w:rsidRPr="00D638B0" w:rsidRDefault="00477BD8" w:rsidP="00E50798">
            <w:pPr>
              <w:spacing w:line="360" w:lineRule="auto"/>
            </w:pPr>
            <w:r w:rsidRPr="00D638B0">
              <w:t xml:space="preserve">L. Ness </w:t>
            </w:r>
            <w:proofErr w:type="spellStart"/>
            <w:r w:rsidRPr="00D638B0">
              <w:t>Mbr</w:t>
            </w:r>
            <w:proofErr w:type="spellEnd"/>
          </w:p>
        </w:tc>
        <w:tc>
          <w:tcPr>
            <w:tcW w:w="3050" w:type="dxa"/>
          </w:tcPr>
          <w:p w14:paraId="1FE7EDDD" w14:textId="77777777" w:rsidR="00477BD8" w:rsidRPr="00D638B0" w:rsidRDefault="00477BD8" w:rsidP="00E50798">
            <w:pPr>
              <w:spacing w:line="360" w:lineRule="auto"/>
            </w:pPr>
            <w:r w:rsidRPr="00D638B0">
              <w:t>211/27a-11 Block</w:t>
            </w:r>
          </w:p>
        </w:tc>
      </w:tr>
      <w:tr w:rsidR="00477BD8" w:rsidRPr="00D638B0" w14:paraId="0C9AFEB8" w14:textId="77777777" w:rsidTr="00477BD8">
        <w:tc>
          <w:tcPr>
            <w:tcW w:w="1809" w:type="dxa"/>
          </w:tcPr>
          <w:p w14:paraId="655C64AD" w14:textId="77777777" w:rsidR="00477BD8" w:rsidRPr="00D638B0" w:rsidRDefault="00477BD8" w:rsidP="00E50798">
            <w:pPr>
              <w:spacing w:line="360" w:lineRule="auto"/>
              <w:ind w:right="88"/>
            </w:pPr>
          </w:p>
        </w:tc>
        <w:tc>
          <w:tcPr>
            <w:tcW w:w="1758" w:type="dxa"/>
            <w:gridSpan w:val="2"/>
          </w:tcPr>
          <w:p w14:paraId="248F3D4E" w14:textId="77777777" w:rsidR="00477BD8" w:rsidRPr="00D638B0" w:rsidRDefault="00477BD8" w:rsidP="00E50798">
            <w:pPr>
              <w:spacing w:line="360" w:lineRule="auto"/>
              <w:ind w:right="26"/>
              <w:jc w:val="right"/>
            </w:pPr>
          </w:p>
        </w:tc>
        <w:tc>
          <w:tcPr>
            <w:tcW w:w="1644" w:type="dxa"/>
          </w:tcPr>
          <w:p w14:paraId="262FA7DD" w14:textId="77777777" w:rsidR="00477BD8" w:rsidRPr="00D638B0" w:rsidRDefault="00477BD8" w:rsidP="00E50798">
            <w:pPr>
              <w:spacing w:line="360" w:lineRule="auto"/>
            </w:pPr>
          </w:p>
        </w:tc>
        <w:tc>
          <w:tcPr>
            <w:tcW w:w="3050" w:type="dxa"/>
          </w:tcPr>
          <w:p w14:paraId="0D478A8D" w14:textId="77777777" w:rsidR="00477BD8" w:rsidRPr="00D638B0" w:rsidRDefault="00477BD8" w:rsidP="00E50798">
            <w:pPr>
              <w:spacing w:line="360" w:lineRule="auto"/>
            </w:pPr>
          </w:p>
        </w:tc>
      </w:tr>
      <w:tr w:rsidR="00477BD8" w:rsidRPr="00D638B0" w14:paraId="3965C3B6" w14:textId="77777777" w:rsidTr="00477BD8">
        <w:tc>
          <w:tcPr>
            <w:tcW w:w="1809" w:type="dxa"/>
          </w:tcPr>
          <w:p w14:paraId="312A94DD" w14:textId="77777777" w:rsidR="00477BD8" w:rsidRPr="00D638B0" w:rsidRDefault="00477BD8" w:rsidP="00E50798">
            <w:pPr>
              <w:spacing w:line="360" w:lineRule="auto"/>
              <w:ind w:right="88"/>
            </w:pPr>
            <w:r w:rsidRPr="00D638B0">
              <w:t>211/27-11z</w:t>
            </w:r>
          </w:p>
        </w:tc>
        <w:tc>
          <w:tcPr>
            <w:tcW w:w="1758" w:type="dxa"/>
            <w:gridSpan w:val="2"/>
          </w:tcPr>
          <w:p w14:paraId="499DA8B8" w14:textId="77777777" w:rsidR="00477BD8" w:rsidRPr="00D638B0" w:rsidRDefault="00A07307" w:rsidP="00A07307">
            <w:pPr>
              <w:spacing w:line="360" w:lineRule="auto"/>
              <w:ind w:right="26"/>
              <w:jc w:val="right"/>
            </w:pPr>
            <w:r w:rsidRPr="00D638B0">
              <w:t>ODT 12018</w:t>
            </w:r>
          </w:p>
        </w:tc>
        <w:tc>
          <w:tcPr>
            <w:tcW w:w="1644" w:type="dxa"/>
          </w:tcPr>
          <w:p w14:paraId="405E6ACB" w14:textId="77777777" w:rsidR="00477BD8" w:rsidRPr="00D638B0" w:rsidRDefault="00A07307" w:rsidP="00E50798">
            <w:pPr>
              <w:spacing w:line="360" w:lineRule="auto"/>
            </w:pPr>
            <w:r w:rsidRPr="00D638B0">
              <w:t xml:space="preserve">Tarbert </w:t>
            </w:r>
            <w:proofErr w:type="spellStart"/>
            <w:r w:rsidR="00477BD8" w:rsidRPr="00D638B0">
              <w:t>Fm</w:t>
            </w:r>
            <w:proofErr w:type="spellEnd"/>
          </w:p>
        </w:tc>
        <w:tc>
          <w:tcPr>
            <w:tcW w:w="3050" w:type="dxa"/>
          </w:tcPr>
          <w:p w14:paraId="0133C052" w14:textId="77777777" w:rsidR="00477BD8" w:rsidRPr="00D638B0" w:rsidRDefault="00477BD8" w:rsidP="00E50798">
            <w:pPr>
              <w:spacing w:line="360" w:lineRule="auto"/>
            </w:pPr>
            <w:r w:rsidRPr="00D638B0">
              <w:t>211/27a-11z Block</w:t>
            </w:r>
          </w:p>
        </w:tc>
      </w:tr>
      <w:tr w:rsidR="00477BD8" w:rsidRPr="00D638B0" w14:paraId="6AB885EF" w14:textId="77777777" w:rsidTr="00477BD8">
        <w:tc>
          <w:tcPr>
            <w:tcW w:w="1809" w:type="dxa"/>
          </w:tcPr>
          <w:p w14:paraId="1011E042" w14:textId="77777777" w:rsidR="00477BD8" w:rsidRPr="00D638B0" w:rsidRDefault="00477BD8" w:rsidP="00E50798">
            <w:pPr>
              <w:spacing w:line="360" w:lineRule="auto"/>
              <w:ind w:right="88"/>
            </w:pPr>
            <w:r w:rsidRPr="00D638B0">
              <w:t>211/27c-12</w:t>
            </w:r>
          </w:p>
        </w:tc>
        <w:tc>
          <w:tcPr>
            <w:tcW w:w="1758" w:type="dxa"/>
            <w:gridSpan w:val="2"/>
          </w:tcPr>
          <w:p w14:paraId="18D4F954" w14:textId="77777777" w:rsidR="00A07307" w:rsidRPr="00D638B0" w:rsidRDefault="00A07307" w:rsidP="00A07307">
            <w:pPr>
              <w:spacing w:line="360" w:lineRule="auto"/>
              <w:ind w:right="26"/>
              <w:jc w:val="right"/>
            </w:pPr>
            <w:r w:rsidRPr="00D638B0">
              <w:t xml:space="preserve">ODT </w:t>
            </w:r>
            <w:r w:rsidR="00477BD8" w:rsidRPr="00D638B0">
              <w:t>11446</w:t>
            </w:r>
          </w:p>
        </w:tc>
        <w:tc>
          <w:tcPr>
            <w:tcW w:w="1644" w:type="dxa"/>
          </w:tcPr>
          <w:p w14:paraId="3D6DCB94" w14:textId="77777777" w:rsidR="00477BD8" w:rsidRPr="00D638B0" w:rsidRDefault="00477BD8" w:rsidP="00E50798">
            <w:pPr>
              <w:spacing w:line="360" w:lineRule="auto"/>
            </w:pPr>
            <w:r w:rsidRPr="00D638B0">
              <w:t xml:space="preserve">Etive </w:t>
            </w:r>
            <w:proofErr w:type="spellStart"/>
            <w:r w:rsidRPr="00D638B0">
              <w:t>Fm</w:t>
            </w:r>
            <w:proofErr w:type="spellEnd"/>
          </w:p>
        </w:tc>
        <w:tc>
          <w:tcPr>
            <w:tcW w:w="3050" w:type="dxa"/>
          </w:tcPr>
          <w:p w14:paraId="3827D238" w14:textId="77777777" w:rsidR="00477BD8" w:rsidRPr="00D638B0" w:rsidRDefault="00477BD8" w:rsidP="00E50798">
            <w:pPr>
              <w:spacing w:line="360" w:lineRule="auto"/>
            </w:pPr>
            <w:r w:rsidRPr="00D638B0">
              <w:t>Darwin 211/27c-12 Block</w:t>
            </w:r>
          </w:p>
        </w:tc>
      </w:tr>
      <w:tr w:rsidR="00477BD8" w:rsidRPr="00D638B0" w14:paraId="2B07D3FC" w14:textId="77777777" w:rsidTr="00477BD8">
        <w:tc>
          <w:tcPr>
            <w:tcW w:w="1809" w:type="dxa"/>
          </w:tcPr>
          <w:p w14:paraId="43F708A0" w14:textId="77777777" w:rsidR="00477BD8" w:rsidRPr="00D638B0" w:rsidRDefault="00477BD8" w:rsidP="00E50798">
            <w:pPr>
              <w:spacing w:line="360" w:lineRule="auto"/>
              <w:ind w:right="88"/>
            </w:pPr>
            <w:r w:rsidRPr="00D638B0">
              <w:t>211/27e-13z</w:t>
            </w:r>
          </w:p>
        </w:tc>
        <w:tc>
          <w:tcPr>
            <w:tcW w:w="851" w:type="dxa"/>
          </w:tcPr>
          <w:p w14:paraId="7712C40E" w14:textId="77777777" w:rsidR="00477BD8" w:rsidRPr="00D638B0" w:rsidRDefault="00477BD8" w:rsidP="00E50798">
            <w:pPr>
              <w:spacing w:line="360" w:lineRule="auto"/>
              <w:ind w:right="26"/>
              <w:jc w:val="right"/>
            </w:pPr>
            <w:r w:rsidRPr="00D638B0">
              <w:t>ODT</w:t>
            </w:r>
          </w:p>
        </w:tc>
        <w:tc>
          <w:tcPr>
            <w:tcW w:w="907" w:type="dxa"/>
          </w:tcPr>
          <w:p w14:paraId="25F83670" w14:textId="77777777" w:rsidR="00477BD8" w:rsidRPr="00D638B0" w:rsidRDefault="00477BD8" w:rsidP="00E50798">
            <w:pPr>
              <w:spacing w:line="360" w:lineRule="auto"/>
              <w:ind w:right="26"/>
              <w:jc w:val="right"/>
            </w:pPr>
            <w:r w:rsidRPr="00D638B0">
              <w:t>12235</w:t>
            </w:r>
          </w:p>
        </w:tc>
        <w:tc>
          <w:tcPr>
            <w:tcW w:w="1644" w:type="dxa"/>
          </w:tcPr>
          <w:p w14:paraId="3E4D2926" w14:textId="77777777" w:rsidR="00477BD8" w:rsidRPr="00D638B0" w:rsidRDefault="00477BD8" w:rsidP="00E50798">
            <w:pPr>
              <w:spacing w:line="360" w:lineRule="auto"/>
            </w:pPr>
            <w:r w:rsidRPr="00D638B0">
              <w:t xml:space="preserve">U. Ness </w:t>
            </w:r>
            <w:proofErr w:type="spellStart"/>
            <w:r w:rsidRPr="00D638B0">
              <w:t>Mbr</w:t>
            </w:r>
            <w:proofErr w:type="spellEnd"/>
          </w:p>
        </w:tc>
        <w:tc>
          <w:tcPr>
            <w:tcW w:w="3050" w:type="dxa"/>
          </w:tcPr>
          <w:p w14:paraId="31307511" w14:textId="77777777" w:rsidR="00477BD8" w:rsidRPr="00D638B0" w:rsidRDefault="00477BD8" w:rsidP="00E50798">
            <w:pPr>
              <w:spacing w:line="360" w:lineRule="auto"/>
            </w:pPr>
            <w:r w:rsidRPr="00D638B0">
              <w:t>Darwin 211/27e-13z Block</w:t>
            </w:r>
          </w:p>
        </w:tc>
      </w:tr>
      <w:tr w:rsidR="00477BD8" w:rsidRPr="00D638B0" w14:paraId="349B2137" w14:textId="77777777" w:rsidTr="00477BD8">
        <w:tc>
          <w:tcPr>
            <w:tcW w:w="1809" w:type="dxa"/>
          </w:tcPr>
          <w:p w14:paraId="665C36F9" w14:textId="77777777" w:rsidR="00477BD8" w:rsidRPr="00D638B0" w:rsidRDefault="00477BD8" w:rsidP="00E50798">
            <w:pPr>
              <w:spacing w:line="360" w:lineRule="auto"/>
              <w:ind w:right="88"/>
            </w:pPr>
            <w:r w:rsidRPr="00D638B0">
              <w:t>211/27a-14</w:t>
            </w:r>
          </w:p>
        </w:tc>
        <w:tc>
          <w:tcPr>
            <w:tcW w:w="1758" w:type="dxa"/>
            <w:gridSpan w:val="2"/>
          </w:tcPr>
          <w:p w14:paraId="7AB5D2C8" w14:textId="77777777" w:rsidR="00477BD8" w:rsidRPr="00D638B0" w:rsidRDefault="00A07307" w:rsidP="00A07307">
            <w:pPr>
              <w:spacing w:line="360" w:lineRule="auto"/>
              <w:ind w:right="26"/>
              <w:jc w:val="right"/>
            </w:pPr>
            <w:r w:rsidRPr="00D638B0">
              <w:t>ODT 12046</w:t>
            </w:r>
          </w:p>
        </w:tc>
        <w:tc>
          <w:tcPr>
            <w:tcW w:w="1644" w:type="dxa"/>
          </w:tcPr>
          <w:p w14:paraId="2C644B2D" w14:textId="77777777" w:rsidR="00477BD8" w:rsidRPr="00D638B0" w:rsidRDefault="00A07307" w:rsidP="00E50798">
            <w:pPr>
              <w:spacing w:line="360" w:lineRule="auto"/>
            </w:pPr>
            <w:r w:rsidRPr="00D638B0">
              <w:t xml:space="preserve">L. Ness </w:t>
            </w:r>
            <w:proofErr w:type="spellStart"/>
            <w:r w:rsidRPr="00D638B0">
              <w:t>Mbr</w:t>
            </w:r>
            <w:proofErr w:type="spellEnd"/>
          </w:p>
        </w:tc>
        <w:tc>
          <w:tcPr>
            <w:tcW w:w="3050" w:type="dxa"/>
          </w:tcPr>
          <w:p w14:paraId="1EA4D564" w14:textId="77777777" w:rsidR="00477BD8" w:rsidRPr="00D638B0" w:rsidRDefault="00477BD8" w:rsidP="00E50798">
            <w:pPr>
              <w:spacing w:line="360" w:lineRule="auto"/>
            </w:pPr>
            <w:r w:rsidRPr="00D638B0">
              <w:t>Darwin 211/27a-14 Block</w:t>
            </w:r>
          </w:p>
        </w:tc>
      </w:tr>
    </w:tbl>
    <w:p w14:paraId="3E560430" w14:textId="77777777" w:rsidR="00477BD8" w:rsidRPr="00D638B0" w:rsidRDefault="00477BD8" w:rsidP="00E50798">
      <w:pPr>
        <w:spacing w:line="360" w:lineRule="auto"/>
        <w:rPr>
          <w:b/>
        </w:rPr>
      </w:pPr>
    </w:p>
    <w:p w14:paraId="04EB6AAD" w14:textId="77777777" w:rsidR="00632FBB" w:rsidRPr="00D638B0" w:rsidRDefault="00632FBB" w:rsidP="00E50798">
      <w:pPr>
        <w:pStyle w:val="Heading3"/>
        <w:spacing w:line="360" w:lineRule="auto"/>
      </w:pPr>
      <w:r w:rsidRPr="00D638B0">
        <w:lastRenderedPageBreak/>
        <w:t>Reservoir</w:t>
      </w:r>
    </w:p>
    <w:p w14:paraId="56681C07" w14:textId="77777777" w:rsidR="00F855B4" w:rsidRPr="00D638B0" w:rsidRDefault="00154FA0" w:rsidP="00F855B4">
      <w:pPr>
        <w:spacing w:line="360" w:lineRule="auto"/>
      </w:pPr>
      <w:r w:rsidRPr="00D638B0">
        <w:t xml:space="preserve">The Middle Jurassic, Brent Group reservoir sandstones of the Hutton area were deposited in </w:t>
      </w:r>
      <w:r w:rsidR="002E788C" w:rsidRPr="00D638B0">
        <w:t>paralic</w:t>
      </w:r>
      <w:r w:rsidRPr="00D638B0">
        <w:t xml:space="preserve"> settings</w:t>
      </w:r>
      <w:r w:rsidR="00173D0A" w:rsidRPr="00D638B0">
        <w:t xml:space="preserve"> (Flint et </w:t>
      </w:r>
      <w:r w:rsidR="004473CC" w:rsidRPr="00D638B0">
        <w:t>al, 1998)</w:t>
      </w:r>
      <w:r w:rsidRPr="00D638B0">
        <w:t xml:space="preserve">.  The reservoir sandstones are </w:t>
      </w:r>
      <w:r w:rsidR="009A2AB4" w:rsidRPr="00D638B0">
        <w:t xml:space="preserve">interbedded </w:t>
      </w:r>
      <w:r w:rsidRPr="00D638B0">
        <w:t xml:space="preserve">with </w:t>
      </w:r>
      <w:r w:rsidR="004473CC" w:rsidRPr="00D638B0">
        <w:t>mudstones and coals.</w:t>
      </w:r>
      <w:r w:rsidR="006F0FE7" w:rsidRPr="00D638B0">
        <w:t xml:space="preserve">  </w:t>
      </w:r>
      <w:r w:rsidR="0011127B" w:rsidRPr="00D638B0">
        <w:t>T</w:t>
      </w:r>
      <w:r w:rsidR="006A10DD" w:rsidRPr="00D638B0">
        <w:t>he Brent Group is divided into five</w:t>
      </w:r>
      <w:r w:rsidR="00382F7F" w:rsidRPr="00D638B0">
        <w:t xml:space="preserve"> formations</w:t>
      </w:r>
      <w:r w:rsidR="00ED0B1F" w:rsidRPr="00D638B0">
        <w:t xml:space="preserve">.  </w:t>
      </w:r>
      <w:r w:rsidR="00F855B4" w:rsidRPr="00D638B0">
        <w:t xml:space="preserve">Figure 2 </w:t>
      </w:r>
      <w:r w:rsidR="009A2AB4" w:rsidRPr="00D638B0">
        <w:t>c</w:t>
      </w:r>
      <w:r w:rsidR="00ED0B1F" w:rsidRPr="00D638B0">
        <w:t>ontains</w:t>
      </w:r>
      <w:r w:rsidR="00F855B4" w:rsidRPr="00D638B0">
        <w:t xml:space="preserve"> description</w:t>
      </w:r>
      <w:r w:rsidR="00ED0B1F" w:rsidRPr="00D638B0">
        <w:t>s</w:t>
      </w:r>
      <w:r w:rsidR="00F855B4" w:rsidRPr="00D638B0">
        <w:t xml:space="preserve"> of each formation and the interpretation of the environment of deposition based </w:t>
      </w:r>
      <w:r w:rsidR="00ED0B1F" w:rsidRPr="00D638B0">
        <w:t>on</w:t>
      </w:r>
      <w:r w:rsidR="00F855B4" w:rsidRPr="00D638B0">
        <w:t xml:space="preserve"> work by Flint et al (1998).</w:t>
      </w:r>
    </w:p>
    <w:p w14:paraId="730826AF" w14:textId="77777777" w:rsidR="00B85CE7" w:rsidRPr="00D638B0" w:rsidRDefault="009E6122" w:rsidP="00E50798">
      <w:pPr>
        <w:spacing w:line="360" w:lineRule="auto"/>
      </w:pPr>
      <w:r w:rsidRPr="00D638B0">
        <w:t xml:space="preserve">  </w:t>
      </w:r>
    </w:p>
    <w:p w14:paraId="1AC1083B" w14:textId="43AFD3C0" w:rsidR="00B85CE7" w:rsidRPr="00D638B0" w:rsidRDefault="00B85CE7" w:rsidP="00E50798">
      <w:pPr>
        <w:spacing w:line="360" w:lineRule="auto"/>
      </w:pPr>
      <w:r w:rsidRPr="00D638B0">
        <w:t>The Brent reservoir sequence is attenuated at the crests of both the Hutton and NW Hutton</w:t>
      </w:r>
      <w:r w:rsidR="00F97B42">
        <w:t>.  This was</w:t>
      </w:r>
      <w:r w:rsidRPr="00D638B0">
        <w:t xml:space="preserve"> due rifting which led to rotation and uplift of fault blocks.  </w:t>
      </w:r>
      <w:r w:rsidR="00F97B42">
        <w:t xml:space="preserve">Most of the rifting occurred in the Late Jurassic but dramatic thickness changes in the Tarbert Formation in the Brent Province suggests that incipient rotation of the fault blocks may have occurred earlier in the Bathonian (Gluyas and Underhill, 2003).  </w:t>
      </w:r>
      <w:r w:rsidR="0081168E" w:rsidRPr="00D638B0">
        <w:t xml:space="preserve">This </w:t>
      </w:r>
      <w:r w:rsidR="00D336C4" w:rsidRPr="00D638B0">
        <w:t>caused</w:t>
      </w:r>
      <w:r w:rsidR="0081168E" w:rsidRPr="00D638B0">
        <w:t xml:space="preserve"> both non-deposition of the youngest part of the Brent Group</w:t>
      </w:r>
      <w:r w:rsidR="00CA633D">
        <w:t xml:space="preserve"> &amp; overlying Heather Formation</w:t>
      </w:r>
      <w:r w:rsidR="0081168E" w:rsidRPr="00D638B0">
        <w:t xml:space="preserve"> as well as erosion of some older Brent Group strata.  </w:t>
      </w:r>
      <w:r w:rsidRPr="00D638B0">
        <w:t>The Tarbert Formation</w:t>
      </w:r>
      <w:r w:rsidR="000406AD" w:rsidRPr="00D638B0">
        <w:t xml:space="preserve"> is stratigraphically thin on NW Hutton and</w:t>
      </w:r>
      <w:r w:rsidRPr="00D638B0">
        <w:t xml:space="preserve"> is only seen off-crest</w:t>
      </w:r>
      <w:r w:rsidR="007D3598" w:rsidRPr="00D638B0">
        <w:t xml:space="preserve"> in Hutton</w:t>
      </w:r>
      <w:r w:rsidR="002073EF">
        <w:t xml:space="preserve">, where </w:t>
      </w:r>
      <w:r w:rsidRPr="00D638B0">
        <w:t>part of the Ness Formation can also be missing.</w:t>
      </w:r>
      <w:r w:rsidR="00D9069D" w:rsidRPr="00D638B0">
        <w:t xml:space="preserve"> </w:t>
      </w:r>
    </w:p>
    <w:p w14:paraId="7A656E43" w14:textId="77777777" w:rsidR="00D32356" w:rsidRPr="00D638B0" w:rsidRDefault="00D32356" w:rsidP="00E50798">
      <w:pPr>
        <w:spacing w:line="360" w:lineRule="auto"/>
      </w:pPr>
    </w:p>
    <w:p w14:paraId="2043EE56" w14:textId="77777777" w:rsidR="00D32356" w:rsidRPr="00D638B0" w:rsidRDefault="00D32356" w:rsidP="00E50798">
      <w:pPr>
        <w:spacing w:line="360" w:lineRule="auto"/>
      </w:pPr>
      <w:r w:rsidRPr="00D638B0">
        <w:t xml:space="preserve">Lower Ness sandstones </w:t>
      </w:r>
      <w:r w:rsidR="00F50544" w:rsidRPr="00D638B0">
        <w:t>can be correlated</w:t>
      </w:r>
      <w:r w:rsidRPr="00D638B0">
        <w:t xml:space="preserve"> over broad distances</w:t>
      </w:r>
      <w:r w:rsidR="00391AA5" w:rsidRPr="00D638B0">
        <w:t xml:space="preserve"> </w:t>
      </w:r>
      <w:r w:rsidR="001C4EC3" w:rsidRPr="00D638B0">
        <w:t>indicating</w:t>
      </w:r>
      <w:r w:rsidR="00391AA5" w:rsidRPr="00D638B0">
        <w:t xml:space="preserve"> sea level control</w:t>
      </w:r>
      <w:r w:rsidRPr="00D638B0">
        <w:t xml:space="preserve"> on sedim</w:t>
      </w:r>
      <w:r w:rsidR="00391AA5" w:rsidRPr="00D638B0">
        <w:t xml:space="preserve">ent deposition. The Upper Ness </w:t>
      </w:r>
      <w:r w:rsidR="00102BD7" w:rsidRPr="00D638B0">
        <w:t>S</w:t>
      </w:r>
      <w:r w:rsidRPr="00D638B0">
        <w:t>ands</w:t>
      </w:r>
      <w:r w:rsidR="00F50544" w:rsidRPr="00D638B0">
        <w:t>tones</w:t>
      </w:r>
      <w:r w:rsidRPr="00D638B0">
        <w:t xml:space="preserve"> are more channelized and the interval can be further subdivided into a lower (sand</w:t>
      </w:r>
      <w:r w:rsidR="00102BD7" w:rsidRPr="00D638B0">
        <w:t>-</w:t>
      </w:r>
      <w:r w:rsidRPr="00D638B0">
        <w:t>prone) and upper (shale</w:t>
      </w:r>
      <w:r w:rsidR="00102BD7" w:rsidRPr="00D638B0">
        <w:t>-</w:t>
      </w:r>
      <w:r w:rsidRPr="00D638B0">
        <w:t>prone) zone (</w:t>
      </w:r>
      <w:proofErr w:type="spellStart"/>
      <w:r w:rsidRPr="00D638B0">
        <w:t>Liviera</w:t>
      </w:r>
      <w:proofErr w:type="spellEnd"/>
      <w:r w:rsidRPr="00D638B0">
        <w:t xml:space="preserve"> 1989).  </w:t>
      </w:r>
      <w:r w:rsidR="000108FB" w:rsidRPr="00D638B0">
        <w:t>Statistically, t</w:t>
      </w:r>
      <w:r w:rsidRPr="00D638B0">
        <w:t>he significantly higher net to gross of the lower</w:t>
      </w:r>
      <w:r w:rsidR="000108FB" w:rsidRPr="00D638B0">
        <w:t xml:space="preserve"> sand</w:t>
      </w:r>
      <w:r w:rsidR="00102BD7" w:rsidRPr="00D638B0">
        <w:t>-</w:t>
      </w:r>
      <w:r w:rsidR="000108FB" w:rsidRPr="00D638B0">
        <w:t>prone</w:t>
      </w:r>
      <w:r w:rsidRPr="00D638B0">
        <w:t xml:space="preserve"> zone (</w:t>
      </w:r>
      <w:r w:rsidR="000108FB" w:rsidRPr="00D638B0">
        <w:t>60+</w:t>
      </w:r>
      <w:r w:rsidRPr="00D638B0">
        <w:t xml:space="preserve">%) </w:t>
      </w:r>
      <w:r w:rsidR="00102BD7" w:rsidRPr="00D638B0">
        <w:t xml:space="preserve">implies </w:t>
      </w:r>
      <w:r w:rsidRPr="00D638B0">
        <w:t>a significant</w:t>
      </w:r>
      <w:r w:rsidR="00391AA5" w:rsidRPr="00D638B0">
        <w:t xml:space="preserve"> degree of lateral connectivity</w:t>
      </w:r>
      <w:r w:rsidR="002073EF">
        <w:t>,</w:t>
      </w:r>
      <w:r w:rsidR="00102BD7" w:rsidRPr="00D638B0">
        <w:t xml:space="preserve"> as was</w:t>
      </w:r>
      <w:r w:rsidR="000108FB" w:rsidRPr="00D638B0">
        <w:t xml:space="preserve"> proven through the field </w:t>
      </w:r>
      <w:r w:rsidR="006B096F" w:rsidRPr="00D638B0">
        <w:t xml:space="preserve">production </w:t>
      </w:r>
      <w:r w:rsidR="000108FB" w:rsidRPr="00D638B0">
        <w:t xml:space="preserve">performance. </w:t>
      </w:r>
    </w:p>
    <w:p w14:paraId="691B2598" w14:textId="77777777" w:rsidR="00391AA5" w:rsidRPr="00D638B0" w:rsidRDefault="00391AA5" w:rsidP="00E50798">
      <w:pPr>
        <w:spacing w:line="360" w:lineRule="auto"/>
      </w:pPr>
    </w:p>
    <w:p w14:paraId="517E1594" w14:textId="0715777E" w:rsidR="00023360" w:rsidRPr="00D638B0" w:rsidRDefault="00B85CE7" w:rsidP="00E50798">
      <w:pPr>
        <w:spacing w:line="360" w:lineRule="auto"/>
      </w:pPr>
      <w:r w:rsidRPr="00D638B0">
        <w:t>Net to gross varies between formations and across the field.</w:t>
      </w:r>
      <w:r w:rsidR="00AB291F" w:rsidRPr="00D638B0">
        <w:t xml:space="preserve">  The Mid-Ness Shale </w:t>
      </w:r>
      <w:r w:rsidR="00FE1A24" w:rsidRPr="00D638B0">
        <w:t xml:space="preserve">provides a lateral seal </w:t>
      </w:r>
      <w:r w:rsidR="001F7A8C" w:rsidRPr="00D638B0">
        <w:t xml:space="preserve">horizon that limits vertical flow, </w:t>
      </w:r>
      <w:r w:rsidR="00FE1A24" w:rsidRPr="00D638B0">
        <w:t xml:space="preserve">although many of the thin </w:t>
      </w:r>
      <w:r w:rsidR="00DA4585" w:rsidRPr="00D638B0">
        <w:t xml:space="preserve">mudstone intervals </w:t>
      </w:r>
      <w:r w:rsidR="00FE1A24" w:rsidRPr="00D638B0">
        <w:t xml:space="preserve">within the Upper and Lower Ness </w:t>
      </w:r>
      <w:r w:rsidR="001F7A8C" w:rsidRPr="00D638B0">
        <w:t>f</w:t>
      </w:r>
      <w:r w:rsidR="00FE1A24" w:rsidRPr="00D638B0">
        <w:t xml:space="preserve">ormations also show sealing potential </w:t>
      </w:r>
      <w:r w:rsidR="00DA4585" w:rsidRPr="00D638B0">
        <w:t xml:space="preserve">as </w:t>
      </w:r>
      <w:r w:rsidR="00FE1A24" w:rsidRPr="00D638B0">
        <w:t xml:space="preserve">evidenced by the differential pressures of individual Ness </w:t>
      </w:r>
      <w:r w:rsidR="00E039AC" w:rsidRPr="00D638B0">
        <w:t>Formation c</w:t>
      </w:r>
      <w:r w:rsidR="00FE1A24" w:rsidRPr="00D638B0">
        <w:t>hannel sands</w:t>
      </w:r>
      <w:r w:rsidR="00ED0B1F" w:rsidRPr="00D638B0">
        <w:t>tones</w:t>
      </w:r>
      <w:r w:rsidR="00FE1A24" w:rsidRPr="00D638B0">
        <w:t xml:space="preserve"> </w:t>
      </w:r>
      <w:r w:rsidR="002073EF">
        <w:t>in</w:t>
      </w:r>
      <w:r w:rsidR="00FE1A24" w:rsidRPr="00D638B0">
        <w:t xml:space="preserve"> NW Hutton development wells. </w:t>
      </w:r>
      <w:r w:rsidR="003C277D" w:rsidRPr="00D638B0">
        <w:t xml:space="preserve"> </w:t>
      </w:r>
      <w:r w:rsidR="00AB291F" w:rsidRPr="00D638B0">
        <w:t xml:space="preserve">A combination of compaction and cementation in the fine-grained, micaceous Rannoch </w:t>
      </w:r>
      <w:r w:rsidR="00AB291F" w:rsidRPr="00D638B0">
        <w:lastRenderedPageBreak/>
        <w:t xml:space="preserve">Formation </w:t>
      </w:r>
      <w:r w:rsidR="001F5458" w:rsidRPr="00D638B0">
        <w:t xml:space="preserve">resulted in </w:t>
      </w:r>
      <w:r w:rsidR="00D336C4" w:rsidRPr="00D638B0">
        <w:t xml:space="preserve">it </w:t>
      </w:r>
      <w:r w:rsidR="001F5458" w:rsidRPr="00D638B0">
        <w:t xml:space="preserve">developing the rock properties of a non-reservoir seal horizon in the deeper parts of the fields.  </w:t>
      </w:r>
    </w:p>
    <w:p w14:paraId="6D0EB50A" w14:textId="77777777" w:rsidR="00721627" w:rsidRPr="00D638B0" w:rsidRDefault="00721627" w:rsidP="00E50798">
      <w:pPr>
        <w:spacing w:line="360" w:lineRule="auto"/>
      </w:pPr>
    </w:p>
    <w:p w14:paraId="68443E83" w14:textId="27410C61" w:rsidR="00721627" w:rsidRPr="00D638B0" w:rsidRDefault="00721627" w:rsidP="00E50798">
      <w:pPr>
        <w:spacing w:line="360" w:lineRule="auto"/>
      </w:pPr>
      <w:r w:rsidRPr="00D638B0">
        <w:t xml:space="preserve">The reservoir quality of the Brent sandstone reservoirs in the Hutton area is </w:t>
      </w:r>
      <w:r w:rsidR="00EA4A84" w:rsidRPr="00D638B0">
        <w:t xml:space="preserve">an </w:t>
      </w:r>
      <w:r w:rsidRPr="00D638B0">
        <w:t xml:space="preserve">important control on production performance.  Both the porosity and permeability of the best quality </w:t>
      </w:r>
      <w:r w:rsidR="00DA4585" w:rsidRPr="00D638B0">
        <w:t>s</w:t>
      </w:r>
      <w:r w:rsidRPr="00D638B0">
        <w:t>andstones diminishes with increased burial depth.  The Hutton Field occupies the shallowest part of the whole str</w:t>
      </w:r>
      <w:r w:rsidR="00A5201F" w:rsidRPr="00D638B0">
        <w:t>ucture with a crest at about 918</w:t>
      </w:r>
      <w:r w:rsidRPr="00D638B0">
        <w:t>0 ft TVDSS</w:t>
      </w:r>
      <w:r w:rsidR="00A5201F" w:rsidRPr="00D638B0">
        <w:t xml:space="preserve">.  The </w:t>
      </w:r>
      <w:r w:rsidR="00414612">
        <w:t>most promising quality</w:t>
      </w:r>
      <w:r w:rsidR="00414612" w:rsidRPr="00D638B0">
        <w:t xml:space="preserve"> </w:t>
      </w:r>
      <w:r w:rsidR="00A5201F" w:rsidRPr="00D638B0">
        <w:t xml:space="preserve">Ness and Etive </w:t>
      </w:r>
      <w:r w:rsidR="00E039AC" w:rsidRPr="00D638B0">
        <w:t>Formation s</w:t>
      </w:r>
      <w:r w:rsidR="00A5201F" w:rsidRPr="00D638B0">
        <w:t>andstones have po</w:t>
      </w:r>
      <w:r w:rsidR="00856C88" w:rsidRPr="00D638B0">
        <w:t>rosi</w:t>
      </w:r>
      <w:r w:rsidR="00A5201F" w:rsidRPr="00D638B0">
        <w:t>ties of 25-31% and permeabilities from 100</w:t>
      </w:r>
      <w:r w:rsidR="00E039AC" w:rsidRPr="00D638B0">
        <w:t xml:space="preserve"> </w:t>
      </w:r>
      <w:proofErr w:type="spellStart"/>
      <w:r w:rsidR="00A5201F" w:rsidRPr="00D638B0">
        <w:t>mD</w:t>
      </w:r>
      <w:proofErr w:type="spellEnd"/>
      <w:r w:rsidR="00A5201F" w:rsidRPr="00D638B0">
        <w:t xml:space="preserve"> to in excess of 10 D</w:t>
      </w:r>
      <w:r w:rsidR="00044BAF" w:rsidRPr="00D638B0">
        <w:t xml:space="preserve"> whereas t</w:t>
      </w:r>
      <w:r w:rsidR="00A5201F" w:rsidRPr="00D638B0">
        <w:t xml:space="preserve">he </w:t>
      </w:r>
      <w:r w:rsidR="00D336C4" w:rsidRPr="00D638B0">
        <w:t>s</w:t>
      </w:r>
      <w:r w:rsidR="009136F0" w:rsidRPr="00D638B0">
        <w:t xml:space="preserve">tructurally lower </w:t>
      </w:r>
      <w:r w:rsidR="00A5201F" w:rsidRPr="00D638B0">
        <w:t>crest of NW Hutton is at 11,000 ft TVDSS and the corresponding values for porosity and permeability are</w:t>
      </w:r>
      <w:r w:rsidR="009136F0" w:rsidRPr="00D638B0">
        <w:t xml:space="preserve"> </w:t>
      </w:r>
      <w:r w:rsidR="00A5201F" w:rsidRPr="00D638B0">
        <w:t>15-25% and 10mD to about 3D (Figure</w:t>
      </w:r>
      <w:r w:rsidR="002E788C" w:rsidRPr="00D638B0">
        <w:t> </w:t>
      </w:r>
      <w:r w:rsidR="00A27909">
        <w:t>7</w:t>
      </w:r>
      <w:r w:rsidR="00A5201F" w:rsidRPr="00D638B0">
        <w:t xml:space="preserve">).  </w:t>
      </w:r>
      <w:r w:rsidR="00255D18" w:rsidRPr="00D638B0">
        <w:t xml:space="preserve">The decline both in porosity and permeability from the crest of Hutton Block C to the deepest parts of Darwin South is </w:t>
      </w:r>
      <w:r w:rsidR="009136F0" w:rsidRPr="00D638B0">
        <w:t xml:space="preserve">relatively </w:t>
      </w:r>
      <w:r w:rsidR="00255D18" w:rsidRPr="00D638B0">
        <w:t xml:space="preserve">uniform at the rate of about 5% porosity </w:t>
      </w:r>
      <w:r w:rsidR="009136F0" w:rsidRPr="00D638B0">
        <w:t xml:space="preserve">units </w:t>
      </w:r>
      <w:r w:rsidR="00061D52" w:rsidRPr="00D638B0">
        <w:t xml:space="preserve">and a little over an order of magnitude permeability loss </w:t>
      </w:r>
      <w:r w:rsidR="00255D18" w:rsidRPr="00D638B0">
        <w:t xml:space="preserve">per 1000 ft.  </w:t>
      </w:r>
    </w:p>
    <w:p w14:paraId="1D1F076D" w14:textId="77777777" w:rsidR="00AE5623" w:rsidRPr="00D638B0" w:rsidRDefault="00AE5623" w:rsidP="00E50798">
      <w:pPr>
        <w:spacing w:line="360" w:lineRule="auto"/>
      </w:pPr>
    </w:p>
    <w:p w14:paraId="4A6CA049" w14:textId="0584A588" w:rsidR="00AE5623" w:rsidRPr="00D638B0" w:rsidRDefault="00311F78" w:rsidP="00E50798">
      <w:pPr>
        <w:spacing w:line="360" w:lineRule="auto"/>
      </w:pPr>
      <w:r w:rsidRPr="00D638B0">
        <w:rPr>
          <w:b/>
        </w:rPr>
        <w:t xml:space="preserve">Figure </w:t>
      </w:r>
      <w:r w:rsidR="00A27909">
        <w:rPr>
          <w:b/>
        </w:rPr>
        <w:t>7</w:t>
      </w:r>
      <w:r w:rsidR="00AE5623" w:rsidRPr="00D638B0">
        <w:t xml:space="preserve"> </w:t>
      </w:r>
      <w:r w:rsidR="00D342C8" w:rsidRPr="00D638B0">
        <w:t>Here</w:t>
      </w:r>
    </w:p>
    <w:p w14:paraId="444DF97E" w14:textId="77777777" w:rsidR="00D0454F" w:rsidRPr="00D638B0" w:rsidRDefault="00D0454F" w:rsidP="00E50798">
      <w:pPr>
        <w:spacing w:line="360" w:lineRule="auto"/>
      </w:pPr>
    </w:p>
    <w:p w14:paraId="7E6942F7" w14:textId="77777777" w:rsidR="00D0454F" w:rsidRPr="00D638B0" w:rsidRDefault="00D0454F" w:rsidP="00E50798">
      <w:pPr>
        <w:spacing w:line="360" w:lineRule="auto"/>
      </w:pPr>
      <w:r w:rsidRPr="00D638B0">
        <w:t>Th</w:t>
      </w:r>
      <w:r w:rsidR="00632291" w:rsidRPr="00D638B0">
        <w:t>is</w:t>
      </w:r>
      <w:r w:rsidRPr="00D638B0">
        <w:t xml:space="preserve"> decrease in reservoir quality results from increased levels of mineral cements at the greater depths.  The diagenesis of the Brent sandstones in the Hutton area (Scotchman </w:t>
      </w:r>
      <w:r w:rsidRPr="00D638B0">
        <w:rPr>
          <w:i/>
        </w:rPr>
        <w:t>et al</w:t>
      </w:r>
      <w:r w:rsidRPr="00D638B0">
        <w:t>, 1989</w:t>
      </w:r>
      <w:r w:rsidR="00287EC5" w:rsidRPr="00D638B0">
        <w:t>; Harris, 1992)</w:t>
      </w:r>
      <w:r w:rsidRPr="00D638B0">
        <w:t xml:space="preserve"> is directly comparable with that seen elsewhere in t</w:t>
      </w:r>
      <w:r w:rsidR="00287EC5" w:rsidRPr="00D638B0">
        <w:t xml:space="preserve">he Brent Province (Gluyas, 1985).  Soon after deposition, concretionary calcite locally occluded porosity.  Following compaction, feldspar dissolution was accompanied by quartz and clay cementation.  The clays are typically kaolinite and </w:t>
      </w:r>
      <w:proofErr w:type="spellStart"/>
      <w:r w:rsidR="00287EC5" w:rsidRPr="00D638B0">
        <w:t>illite</w:t>
      </w:r>
      <w:proofErr w:type="spellEnd"/>
      <w:r w:rsidR="00061D52">
        <w:t>,</w:t>
      </w:r>
      <w:r w:rsidR="00287EC5" w:rsidRPr="00D638B0">
        <w:t xml:space="preserve"> with </w:t>
      </w:r>
      <w:proofErr w:type="spellStart"/>
      <w:r w:rsidR="00287EC5" w:rsidRPr="00D638B0">
        <w:t>illite</w:t>
      </w:r>
      <w:proofErr w:type="spellEnd"/>
      <w:r w:rsidR="00287EC5" w:rsidRPr="00D638B0">
        <w:t xml:space="preserve"> replacing kaolinite in the more deeply buried area</w:t>
      </w:r>
      <w:r w:rsidR="000500E7" w:rsidRPr="00D638B0">
        <w:t>s</w:t>
      </w:r>
      <w:r w:rsidR="00287EC5" w:rsidRPr="00D638B0">
        <w:t xml:space="preserve">.  </w:t>
      </w:r>
      <w:r w:rsidR="000500E7" w:rsidRPr="00D638B0">
        <w:t>P</w:t>
      </w:r>
      <w:r w:rsidR="00287EC5" w:rsidRPr="00D638B0">
        <w:t>orosity</w:t>
      </w:r>
      <w:r w:rsidR="000500E7" w:rsidRPr="00D638B0">
        <w:t xml:space="preserve"> decrease</w:t>
      </w:r>
      <w:r w:rsidR="00287EC5" w:rsidRPr="00D638B0">
        <w:t xml:space="preserve"> is </w:t>
      </w:r>
      <w:r w:rsidR="000500E7" w:rsidRPr="00D638B0">
        <w:t xml:space="preserve">due </w:t>
      </w:r>
      <w:r w:rsidR="00287EC5" w:rsidRPr="00D638B0">
        <w:t xml:space="preserve">largely to increased levels of quartz cement at depth.  </w:t>
      </w:r>
      <w:r w:rsidR="00CF34F9" w:rsidRPr="00D638B0">
        <w:t xml:space="preserve">Clays are less abundant </w:t>
      </w:r>
      <w:r w:rsidR="00D55F9F" w:rsidRPr="00D638B0">
        <w:t>than</w:t>
      </w:r>
      <w:r w:rsidR="00890FDC" w:rsidRPr="00D638B0">
        <w:t xml:space="preserve"> quartz cement </w:t>
      </w:r>
      <w:r w:rsidR="00CF34F9" w:rsidRPr="00D638B0">
        <w:t xml:space="preserve">and have only modest effect on porosity but because of their morphology, </w:t>
      </w:r>
      <w:r w:rsidR="00061D52">
        <w:t xml:space="preserve">being </w:t>
      </w:r>
      <w:r w:rsidR="00CF34F9" w:rsidRPr="00D638B0">
        <w:t>micron sized crystals in pore spaces, they have a disproportionately large impact on permeability</w:t>
      </w:r>
      <w:r w:rsidR="006F0FE7" w:rsidRPr="00D638B0">
        <w:t>.</w:t>
      </w:r>
    </w:p>
    <w:p w14:paraId="273B0906" w14:textId="77777777" w:rsidR="00835F63" w:rsidRPr="00D638B0" w:rsidRDefault="00835F63" w:rsidP="00E50798">
      <w:pPr>
        <w:spacing w:line="360" w:lineRule="auto"/>
      </w:pPr>
    </w:p>
    <w:p w14:paraId="1ED5F86F" w14:textId="77777777" w:rsidR="00835F63" w:rsidRPr="00D638B0" w:rsidRDefault="00835F63" w:rsidP="00E50798">
      <w:pPr>
        <w:spacing w:line="360" w:lineRule="auto"/>
      </w:pPr>
      <w:r w:rsidRPr="00D638B0">
        <w:t>There is evidence from fluid inclusions trapped at the margin of quartz grains and enveloped by quartz cement that oil migrat</w:t>
      </w:r>
      <w:r w:rsidR="000500E7" w:rsidRPr="00D638B0">
        <w:t>ed</w:t>
      </w:r>
      <w:r w:rsidRPr="00D638B0">
        <w:t xml:space="preserve"> into the trap at the same time </w:t>
      </w:r>
      <w:r w:rsidRPr="00D638B0">
        <w:lastRenderedPageBreak/>
        <w:t>as cementation occurr</w:t>
      </w:r>
      <w:r w:rsidR="000500E7" w:rsidRPr="00D638B0">
        <w:t>ed</w:t>
      </w:r>
      <w:r w:rsidRPr="00D638B0">
        <w:t xml:space="preserve"> (</w:t>
      </w:r>
      <w:r w:rsidR="00295493" w:rsidRPr="00D638B0">
        <w:t>Scotchman et al, 19</w:t>
      </w:r>
      <w:r w:rsidR="00890FDC" w:rsidRPr="00D638B0">
        <w:t>89</w:t>
      </w:r>
      <w:r w:rsidR="00295493" w:rsidRPr="00D638B0">
        <w:t xml:space="preserve">) and that cementation </w:t>
      </w:r>
      <w:r w:rsidR="000500E7" w:rsidRPr="00D638B0">
        <w:t xml:space="preserve">progressed </w:t>
      </w:r>
      <w:r w:rsidR="00295493" w:rsidRPr="00D638B0">
        <w:t>during a period of elevated heat flow</w:t>
      </w:r>
      <w:r w:rsidR="00D03FEE" w:rsidRPr="00D638B0">
        <w:t xml:space="preserve"> </w:t>
      </w:r>
      <w:r w:rsidR="00295493" w:rsidRPr="00D638B0">
        <w:t>(</w:t>
      </w:r>
      <w:r w:rsidR="00D03FEE" w:rsidRPr="00D638B0">
        <w:t xml:space="preserve">Swarbrick, 1994). Such simultaneous </w:t>
      </w:r>
      <w:r w:rsidR="000500E7" w:rsidRPr="00D638B0">
        <w:t xml:space="preserve">oil </w:t>
      </w:r>
      <w:r w:rsidR="00D03FEE" w:rsidRPr="00D638B0">
        <w:t>migration and cementation is common in North Sea Jurassic sandstones</w:t>
      </w:r>
      <w:r w:rsidR="00BC22D0" w:rsidRPr="00D638B0">
        <w:t xml:space="preserve"> (Gluyas et al, 1993) and because the migrating oil displaces water progressively from crest to flank, cementation can be arrested, leaving the crests of fields with very high reservoir quality (Oxtoby </w:t>
      </w:r>
      <w:r w:rsidR="00BC22D0" w:rsidRPr="00D638B0">
        <w:rPr>
          <w:i/>
        </w:rPr>
        <w:t>et al</w:t>
      </w:r>
      <w:r w:rsidR="00BC22D0" w:rsidRPr="00D638B0">
        <w:t>, 1995).</w:t>
      </w:r>
      <w:r w:rsidR="00295493" w:rsidRPr="00D638B0">
        <w:t xml:space="preserve">  </w:t>
      </w:r>
    </w:p>
    <w:p w14:paraId="11A87838" w14:textId="77777777" w:rsidR="00BB51E3" w:rsidRPr="00D638B0" w:rsidRDefault="00BB51E3" w:rsidP="00E50798">
      <w:pPr>
        <w:spacing w:line="360" w:lineRule="auto"/>
      </w:pPr>
    </w:p>
    <w:p w14:paraId="0718B12C" w14:textId="4CCF000A" w:rsidR="00087885" w:rsidRPr="00D638B0" w:rsidRDefault="0047286A" w:rsidP="00E50798">
      <w:pPr>
        <w:spacing w:line="360" w:lineRule="auto"/>
      </w:pPr>
      <w:r w:rsidRPr="00D638B0">
        <w:t>The</w:t>
      </w:r>
      <w:r w:rsidR="00BB51E3" w:rsidRPr="00D638B0">
        <w:t xml:space="preserve"> degree to which cementation has reduced the reservoir quality of the sandstones at any one location is heterogeneous.  </w:t>
      </w:r>
      <w:r w:rsidR="001C4EC3" w:rsidRPr="00D638B0">
        <w:t>The variation from less than 1</w:t>
      </w:r>
      <w:r w:rsidR="006F0FE7" w:rsidRPr="00D638B0">
        <w:t> </w:t>
      </w:r>
      <w:proofErr w:type="spellStart"/>
      <w:r w:rsidR="001C4EC3" w:rsidRPr="00D638B0">
        <w:t>mD</w:t>
      </w:r>
      <w:proofErr w:type="spellEnd"/>
      <w:r w:rsidR="001C4EC3" w:rsidRPr="00D638B0">
        <w:t xml:space="preserve"> to over 100mD is displayed in Figure </w:t>
      </w:r>
      <w:r w:rsidR="00A27909">
        <w:t>7</w:t>
      </w:r>
      <w:r w:rsidR="0096399A" w:rsidRPr="00D638B0">
        <w:t xml:space="preserve">.  </w:t>
      </w:r>
      <w:r w:rsidR="009F7AEB" w:rsidRPr="00D638B0">
        <w:t xml:space="preserve">However, the depth relationship </w:t>
      </w:r>
      <w:r w:rsidR="0096399A" w:rsidRPr="00D638B0">
        <w:t xml:space="preserve">is subtle.  A </w:t>
      </w:r>
      <w:r w:rsidR="009F7AEB" w:rsidRPr="00D638B0">
        <w:t xml:space="preserve">detailed analysis of NW Hutton/Darwin shows that despite an overall reduction in permeability with depth to levels at which oil production in the Darwin area should be difficult, </w:t>
      </w:r>
      <w:r w:rsidR="0096399A" w:rsidRPr="00D638B0">
        <w:t xml:space="preserve">below 1mD, </w:t>
      </w:r>
      <w:r w:rsidR="009F7AEB" w:rsidRPr="00D638B0">
        <w:t xml:space="preserve">the deterioration of permeability is </w:t>
      </w:r>
      <w:r w:rsidR="0096399A" w:rsidRPr="00D638B0">
        <w:t xml:space="preserve">notably </w:t>
      </w:r>
      <w:r w:rsidR="009F7AEB" w:rsidRPr="00D638B0">
        <w:t xml:space="preserve">less in the Ness and Tarbert </w:t>
      </w:r>
      <w:r w:rsidR="00E039AC" w:rsidRPr="00D638B0">
        <w:t xml:space="preserve">Formation </w:t>
      </w:r>
      <w:r w:rsidR="009F7AEB" w:rsidRPr="00D638B0">
        <w:t>reservoirs</w:t>
      </w:r>
      <w:r w:rsidR="00061D52">
        <w:t xml:space="preserve">, where high flow rates have still been achieved. For </w:t>
      </w:r>
      <w:proofErr w:type="gramStart"/>
      <w:r w:rsidR="00061D52">
        <w:t>example</w:t>
      </w:r>
      <w:proofErr w:type="gramEnd"/>
      <w:r w:rsidR="00061D52">
        <w:t xml:space="preserve"> the </w:t>
      </w:r>
      <w:r w:rsidR="00BF3574" w:rsidRPr="00D638B0">
        <w:t>Ness and Etive</w:t>
      </w:r>
      <w:r w:rsidR="00061D52">
        <w:t xml:space="preserve"> Formations in NW Hutton well 211/27a-10 flowed almost 14,000 </w:t>
      </w:r>
      <w:proofErr w:type="spellStart"/>
      <w:r w:rsidR="00061D52">
        <w:t>bopd</w:t>
      </w:r>
      <w:proofErr w:type="spellEnd"/>
      <w:r w:rsidR="00061D52">
        <w:t xml:space="preserve"> at a depth of c. 11,600 ft TVDSS</w:t>
      </w:r>
      <w:r w:rsidR="00BF3574" w:rsidRPr="00D638B0">
        <w:t xml:space="preserve">.  </w:t>
      </w:r>
      <w:r w:rsidR="0096399A" w:rsidRPr="00D638B0">
        <w:t>Many examples</w:t>
      </w:r>
      <w:r w:rsidR="00061D52">
        <w:t xml:space="preserve">, such as core data from </w:t>
      </w:r>
      <w:r w:rsidR="00061D52" w:rsidRPr="00D638B0">
        <w:t>211/27</w:t>
      </w:r>
      <w:r w:rsidR="00061D52" w:rsidRPr="00D638B0">
        <w:noBreakHyphen/>
        <w:t>11 and 211/27-A02</w:t>
      </w:r>
      <w:r w:rsidR="00061D52">
        <w:t xml:space="preserve">, </w:t>
      </w:r>
      <w:r w:rsidR="0096399A" w:rsidRPr="00D638B0">
        <w:t>show that t</w:t>
      </w:r>
      <w:r w:rsidR="009F7AEB" w:rsidRPr="00D638B0">
        <w:t>he</w:t>
      </w:r>
      <w:r w:rsidR="00BF3574" w:rsidRPr="00D638B0">
        <w:t xml:space="preserve"> Tarbert </w:t>
      </w:r>
      <w:r w:rsidR="004C25E1" w:rsidRPr="00D638B0">
        <w:t xml:space="preserve">Formation </w:t>
      </w:r>
      <w:r w:rsidR="00BF3574" w:rsidRPr="00D638B0">
        <w:t>and U</w:t>
      </w:r>
      <w:r w:rsidR="00890FDC" w:rsidRPr="00D638B0">
        <w:t>pper</w:t>
      </w:r>
      <w:r w:rsidR="00BF3574" w:rsidRPr="00D638B0">
        <w:t xml:space="preserve"> Ness </w:t>
      </w:r>
      <w:r w:rsidR="004C25E1" w:rsidRPr="00D638B0">
        <w:t>F</w:t>
      </w:r>
      <w:r w:rsidR="00BF3574" w:rsidRPr="00D638B0">
        <w:t>ormation</w:t>
      </w:r>
      <w:r w:rsidR="009F7AEB" w:rsidRPr="00D638B0">
        <w:t xml:space="preserve"> retain permeabilities of several hundred </w:t>
      </w:r>
      <w:proofErr w:type="spellStart"/>
      <w:r w:rsidR="009F7AEB" w:rsidRPr="00D638B0">
        <w:t>mD</w:t>
      </w:r>
      <w:proofErr w:type="spellEnd"/>
      <w:r w:rsidR="009F7AEB" w:rsidRPr="00D638B0">
        <w:t xml:space="preserve"> </w:t>
      </w:r>
      <w:r w:rsidR="00BF3574" w:rsidRPr="00D638B0">
        <w:t xml:space="preserve">at depths &gt;12000 ft across the southern part of NW Hutton and </w:t>
      </w:r>
      <w:r w:rsidR="009F7AEB" w:rsidRPr="00D638B0">
        <w:t xml:space="preserve">Darwin </w:t>
      </w:r>
      <w:r w:rsidR="00BF3574" w:rsidRPr="00D638B0">
        <w:t xml:space="preserve">and </w:t>
      </w:r>
      <w:r w:rsidR="009F7AEB" w:rsidRPr="00D638B0">
        <w:t xml:space="preserve">so could be </w:t>
      </w:r>
      <w:r w:rsidR="00BF3574" w:rsidRPr="00D638B0">
        <w:t xml:space="preserve">considered potentially </w:t>
      </w:r>
      <w:r w:rsidR="009F7AEB" w:rsidRPr="00D638B0">
        <w:t>highly productive.</w:t>
      </w:r>
      <w:r w:rsidR="003C277D" w:rsidRPr="00D638B0">
        <w:t xml:space="preserve"> </w:t>
      </w:r>
    </w:p>
    <w:p w14:paraId="59519AA2" w14:textId="77777777" w:rsidR="00087885" w:rsidRPr="00D638B0" w:rsidRDefault="006B0C60" w:rsidP="00BB3A80">
      <w:pPr>
        <w:pStyle w:val="Heading2"/>
      </w:pPr>
      <w:r w:rsidRPr="00D638B0">
        <w:t xml:space="preserve">Production history </w:t>
      </w:r>
      <w:r w:rsidR="008120B1" w:rsidRPr="00D638B0">
        <w:t>and r</w:t>
      </w:r>
      <w:r w:rsidR="00632FBB" w:rsidRPr="00D638B0">
        <w:t>eserves</w:t>
      </w:r>
    </w:p>
    <w:p w14:paraId="2AA614CA" w14:textId="77777777" w:rsidR="006B0C60" w:rsidRPr="00D638B0" w:rsidRDefault="006B0C60" w:rsidP="006B0C60">
      <w:pPr>
        <w:pStyle w:val="Heading3"/>
      </w:pPr>
      <w:r w:rsidRPr="00D638B0">
        <w:t>Oil in place and Reserves</w:t>
      </w:r>
    </w:p>
    <w:p w14:paraId="40785E5A" w14:textId="77777777" w:rsidR="006B0C60" w:rsidRPr="00D638B0" w:rsidRDefault="006B0C60" w:rsidP="00F25B48"/>
    <w:p w14:paraId="64C87BC8" w14:textId="77777777" w:rsidR="00930461" w:rsidRPr="00D638B0" w:rsidRDefault="006B0C60" w:rsidP="00E50798">
      <w:pPr>
        <w:spacing w:line="360" w:lineRule="auto"/>
      </w:pPr>
      <w:r w:rsidRPr="00D638B0">
        <w:t>D</w:t>
      </w:r>
      <w:r w:rsidR="00F65AE0" w:rsidRPr="00D638B0">
        <w:t xml:space="preserve">ata on oil in place and reserves progression for the Hutton area </w:t>
      </w:r>
      <w:r w:rsidRPr="00D638B0">
        <w:t xml:space="preserve">have been compiled </w:t>
      </w:r>
      <w:r w:rsidR="00F65AE0" w:rsidRPr="00D638B0">
        <w:t xml:space="preserve">from published and released information (Table </w:t>
      </w:r>
      <w:r w:rsidR="00377060" w:rsidRPr="00D638B0">
        <w:t>2</w:t>
      </w:r>
      <w:r w:rsidR="00BC6BAA" w:rsidRPr="00D638B0">
        <w:t>).</w:t>
      </w:r>
      <w:r w:rsidR="007271CE" w:rsidRPr="00D638B0">
        <w:t xml:space="preserve">  </w:t>
      </w:r>
      <w:r w:rsidR="0069483D" w:rsidRPr="00D638B0">
        <w:t>We assume</w:t>
      </w:r>
      <w:r w:rsidR="007271CE" w:rsidRPr="00D638B0">
        <w:t xml:space="preserve"> these figures represent deterministic, ‘most likely’ values</w:t>
      </w:r>
      <w:r w:rsidR="0069483D" w:rsidRPr="00D638B0">
        <w:t xml:space="preserve"> for all assessments pre-2000 and the more recent oil in place and reserves figures</w:t>
      </w:r>
      <w:r w:rsidR="00D63F02" w:rsidRPr="00D638B0">
        <w:t xml:space="preserve"> are P9</w:t>
      </w:r>
      <w:r w:rsidR="0069483D" w:rsidRPr="00D638B0">
        <w:t>0</w:t>
      </w:r>
      <w:r w:rsidR="00D63F02" w:rsidRPr="00D638B0">
        <w:t>, P50 and P10</w:t>
      </w:r>
      <w:r w:rsidR="0069483D" w:rsidRPr="00D638B0">
        <w:t xml:space="preserve"> values.</w:t>
      </w:r>
    </w:p>
    <w:p w14:paraId="7A41A6BB" w14:textId="77777777" w:rsidR="009954BF" w:rsidRPr="00D638B0" w:rsidRDefault="00E407EF" w:rsidP="00E50798">
      <w:pPr>
        <w:spacing w:line="360" w:lineRule="auto"/>
      </w:pPr>
      <w:r w:rsidRPr="00D638B0">
        <w:t xml:space="preserve"> </w:t>
      </w:r>
    </w:p>
    <w:p w14:paraId="43A65689" w14:textId="5E2188FF" w:rsidR="00E407EF" w:rsidRPr="00D638B0" w:rsidRDefault="0096399A" w:rsidP="0096399A">
      <w:pPr>
        <w:spacing w:line="360" w:lineRule="auto"/>
      </w:pPr>
      <w:r w:rsidRPr="00D638B0">
        <w:t xml:space="preserve">Table </w:t>
      </w:r>
      <w:r w:rsidR="00377060" w:rsidRPr="00D638B0">
        <w:t>2</w:t>
      </w:r>
      <w:r w:rsidR="009B0046" w:rsidRPr="00D638B0">
        <w:t xml:space="preserve"> </w:t>
      </w:r>
      <w:r w:rsidRPr="00D638B0">
        <w:t xml:space="preserve">shows significant reductions over time for oil in place.  </w:t>
      </w:r>
      <w:r w:rsidR="009B0046" w:rsidRPr="00D638B0">
        <w:t xml:space="preserve">Conversely, for </w:t>
      </w:r>
      <w:r w:rsidR="00E407EF" w:rsidRPr="00D638B0">
        <w:t>Q</w:t>
      </w:r>
      <w:r w:rsidR="007C05BD" w:rsidRPr="00D638B0">
        <w:noBreakHyphen/>
      </w:r>
      <w:r w:rsidR="00E407EF" w:rsidRPr="00D638B0">
        <w:t xml:space="preserve">West </w:t>
      </w:r>
      <w:r w:rsidRPr="00D638B0">
        <w:t>a</w:t>
      </w:r>
      <w:r w:rsidR="00E407EF" w:rsidRPr="00D638B0">
        <w:t xml:space="preserve"> minimum value of 57 </w:t>
      </w:r>
      <w:proofErr w:type="spellStart"/>
      <w:r w:rsidR="000243DD">
        <w:t>MMbo</w:t>
      </w:r>
      <w:proofErr w:type="spellEnd"/>
      <w:r w:rsidR="00E407EF" w:rsidRPr="00D638B0">
        <w:t xml:space="preserve"> was reported by Fraser (1997) while the oil in place calculated by Fairfield in 2006 yielded 97 </w:t>
      </w:r>
      <w:proofErr w:type="spellStart"/>
      <w:r w:rsidR="000243DD">
        <w:t>MMbo</w:t>
      </w:r>
      <w:proofErr w:type="spellEnd"/>
      <w:r w:rsidR="00E407EF" w:rsidRPr="00D638B0">
        <w:t xml:space="preserve">, the most likely case </w:t>
      </w:r>
      <w:r w:rsidR="00E407EF" w:rsidRPr="00D638B0">
        <w:lastRenderedPageBreak/>
        <w:t>133</w:t>
      </w:r>
      <w:r w:rsidR="00DA3B68" w:rsidRPr="00D638B0">
        <w:t> </w:t>
      </w:r>
      <w:proofErr w:type="spellStart"/>
      <w:r w:rsidR="000243DD">
        <w:t>MMbo</w:t>
      </w:r>
      <w:proofErr w:type="spellEnd"/>
      <w:r w:rsidR="00E407EF" w:rsidRPr="00D638B0">
        <w:t xml:space="preserve"> and the upside </w:t>
      </w:r>
      <w:r w:rsidR="00D55F9F" w:rsidRPr="00D638B0">
        <w:t>(</w:t>
      </w:r>
      <w:r w:rsidR="00E407EF" w:rsidRPr="00D638B0">
        <w:t>water-up-to</w:t>
      </w:r>
      <w:r w:rsidR="00D55F9F" w:rsidRPr="00D638B0">
        <w:t>)</w:t>
      </w:r>
      <w:r w:rsidR="00E407EF" w:rsidRPr="00D638B0">
        <w:t xml:space="preserve"> case 146 </w:t>
      </w:r>
      <w:proofErr w:type="spellStart"/>
      <w:r w:rsidR="000243DD">
        <w:t>MMbo</w:t>
      </w:r>
      <w:proofErr w:type="spellEnd"/>
      <w:r w:rsidR="00E407EF" w:rsidRPr="00D638B0">
        <w:t xml:space="preserve">.  The reason for the large difference in </w:t>
      </w:r>
      <w:r w:rsidR="006B0C60" w:rsidRPr="00D638B0">
        <w:t xml:space="preserve">stock tank oil initially in place </w:t>
      </w:r>
      <w:r w:rsidR="000243DD">
        <w:t>(</w:t>
      </w:r>
      <w:r w:rsidR="00E407EF" w:rsidRPr="00D638B0">
        <w:t>STOIIP</w:t>
      </w:r>
      <w:r w:rsidR="000243DD">
        <w:t>)</w:t>
      </w:r>
      <w:r w:rsidR="00E407EF" w:rsidRPr="00D638B0">
        <w:t xml:space="preserve"> is not known.  None of the historical documents cross reference to earlier studies.  </w:t>
      </w:r>
      <w:r w:rsidR="00B81F1F" w:rsidRPr="00D638B0">
        <w:t xml:space="preserve">However, given that the Fairfield volumetric calculation for Hutton is 431 </w:t>
      </w:r>
      <w:proofErr w:type="spellStart"/>
      <w:r w:rsidR="000243DD">
        <w:t>MMbo</w:t>
      </w:r>
      <w:proofErr w:type="spellEnd"/>
      <w:r w:rsidR="00B81F1F" w:rsidRPr="00D638B0">
        <w:t xml:space="preserve"> (Hutton total minus Q-West) it is possible that part of what </w:t>
      </w:r>
      <w:r w:rsidR="00382F7F" w:rsidRPr="00D638B0">
        <w:t xml:space="preserve">had </w:t>
      </w:r>
      <w:r w:rsidR="00B81F1F" w:rsidRPr="00D638B0">
        <w:t>previously been considered Hutton Block A was assigned to Q-West.</w:t>
      </w:r>
      <w:r w:rsidR="007113C7" w:rsidRPr="00D638B0">
        <w:t xml:space="preserve"> </w:t>
      </w:r>
    </w:p>
    <w:p w14:paraId="5F529052" w14:textId="77777777" w:rsidR="006C44B7" w:rsidRPr="00D638B0" w:rsidRDefault="006C44B7" w:rsidP="00E50798">
      <w:pPr>
        <w:spacing w:line="360" w:lineRule="auto"/>
      </w:pPr>
    </w:p>
    <w:p w14:paraId="7D778FB9" w14:textId="5A2E0DD2" w:rsidR="002E2E90" w:rsidRPr="00D638B0" w:rsidRDefault="006C44B7" w:rsidP="00E50798">
      <w:pPr>
        <w:spacing w:line="360" w:lineRule="auto"/>
      </w:pPr>
      <w:r w:rsidRPr="00D638B0">
        <w:t xml:space="preserve">NW Hutton was reported to contain 1157 </w:t>
      </w:r>
      <w:proofErr w:type="spellStart"/>
      <w:r w:rsidR="000243DD">
        <w:t>MMbo</w:t>
      </w:r>
      <w:proofErr w:type="spellEnd"/>
      <w:r w:rsidRPr="00D638B0">
        <w:t xml:space="preserve"> in 1983.  From this the anticipated reserves were 27</w:t>
      </w:r>
      <w:r w:rsidR="00632291" w:rsidRPr="00D638B0">
        <w:t>4</w:t>
      </w:r>
      <w:r w:rsidRPr="00D638B0">
        <w:t xml:space="preserve"> </w:t>
      </w:r>
      <w:proofErr w:type="spellStart"/>
      <w:r w:rsidR="000243DD">
        <w:t>MMbo</w:t>
      </w:r>
      <w:proofErr w:type="spellEnd"/>
      <w:r w:rsidRPr="00D638B0">
        <w:t xml:space="preserve"> (Table </w:t>
      </w:r>
      <w:r w:rsidR="00377060" w:rsidRPr="00D638B0">
        <w:t>2</w:t>
      </w:r>
      <w:r w:rsidRPr="00D638B0">
        <w:t xml:space="preserve">).  </w:t>
      </w:r>
      <w:r w:rsidR="007F588F" w:rsidRPr="00D638B0">
        <w:t>The o</w:t>
      </w:r>
      <w:r w:rsidRPr="00D638B0">
        <w:t>il in place w</w:t>
      </w:r>
      <w:r w:rsidR="0075383D" w:rsidRPr="00D638B0">
        <w:t>as</w:t>
      </w:r>
      <w:r w:rsidRPr="00D638B0">
        <w:t xml:space="preserve"> downgraded throughout the field’s production life.  Amoco drafted the first cessation of production document in 1997 </w:t>
      </w:r>
      <w:r w:rsidR="0096399A" w:rsidRPr="00D638B0">
        <w:t>with</w:t>
      </w:r>
      <w:r w:rsidRPr="00D638B0">
        <w:t xml:space="preserve"> only </w:t>
      </w:r>
      <w:r w:rsidR="002E2E90" w:rsidRPr="00D638B0">
        <w:t>576 </w:t>
      </w:r>
      <w:proofErr w:type="spellStart"/>
      <w:r w:rsidR="000243DD">
        <w:t>MMbo</w:t>
      </w:r>
      <w:proofErr w:type="spellEnd"/>
      <w:r w:rsidR="006B0C60" w:rsidRPr="00D638B0">
        <w:t>.</w:t>
      </w:r>
      <w:r w:rsidR="0096399A" w:rsidRPr="00D638B0">
        <w:t xml:space="preserve">  However, volumes are restricted to</w:t>
      </w:r>
      <w:r w:rsidR="00792823" w:rsidRPr="00D638B0">
        <w:t xml:space="preserve"> oil accessible from the platform and in rock above </w:t>
      </w:r>
      <w:r w:rsidR="00B452D2" w:rsidRPr="00D638B0">
        <w:t xml:space="preserve">a </w:t>
      </w:r>
      <w:proofErr w:type="spellStart"/>
      <w:r w:rsidR="00792823" w:rsidRPr="00D638B0">
        <w:t>poroperm</w:t>
      </w:r>
      <w:proofErr w:type="spellEnd"/>
      <w:r w:rsidR="00792823" w:rsidRPr="00D638B0">
        <w:t xml:space="preserve"> cutoff, despite proven historical flow from field sandstones below those defined cutoffs. The</w:t>
      </w:r>
      <w:r w:rsidR="00273052" w:rsidRPr="00D638B0">
        <w:t xml:space="preserve">se </w:t>
      </w:r>
      <w:r w:rsidR="00382F7F" w:rsidRPr="00D638B0">
        <w:t xml:space="preserve">restrictions </w:t>
      </w:r>
      <w:r w:rsidR="00273052" w:rsidRPr="00D638B0">
        <w:t>have the</w:t>
      </w:r>
      <w:r w:rsidR="00792823" w:rsidRPr="00D638B0">
        <w:t xml:space="preserve"> effect of </w:t>
      </w:r>
      <w:r w:rsidR="006C6B94" w:rsidRPr="00D638B0">
        <w:t>reduc</w:t>
      </w:r>
      <w:r w:rsidR="00792823" w:rsidRPr="00D638B0">
        <w:t>ing</w:t>
      </w:r>
      <w:r w:rsidR="006C6B94" w:rsidRPr="00D638B0">
        <w:t xml:space="preserve"> the </w:t>
      </w:r>
      <w:r w:rsidR="00792823" w:rsidRPr="00D638B0">
        <w:t xml:space="preserve">apparent </w:t>
      </w:r>
      <w:r w:rsidR="006C6B94" w:rsidRPr="00D638B0">
        <w:t>field STOIIP</w:t>
      </w:r>
      <w:r w:rsidR="007F588F" w:rsidRPr="00D638B0">
        <w:t xml:space="preserve"> </w:t>
      </w:r>
      <w:r w:rsidR="00B73C15" w:rsidRPr="00D638B0">
        <w:t>to</w:t>
      </w:r>
      <w:r w:rsidR="006C6B94" w:rsidRPr="00D638B0">
        <w:t xml:space="preserve"> </w:t>
      </w:r>
      <w:r w:rsidR="00A11598" w:rsidRPr="00D638B0">
        <w:t>124</w:t>
      </w:r>
      <w:r w:rsidR="001605B5" w:rsidRPr="00D638B0">
        <w:t> </w:t>
      </w:r>
      <w:proofErr w:type="spellStart"/>
      <w:r w:rsidR="000243DD">
        <w:t>MMbo</w:t>
      </w:r>
      <w:proofErr w:type="spellEnd"/>
      <w:r w:rsidR="006C6B94" w:rsidRPr="00D638B0">
        <w:t xml:space="preserve"> </w:t>
      </w:r>
      <w:r w:rsidR="00B73C15" w:rsidRPr="00D638B0">
        <w:t>and hence a</w:t>
      </w:r>
      <w:r w:rsidR="00792823" w:rsidRPr="00D638B0">
        <w:t xml:space="preserve"> recovery factor </w:t>
      </w:r>
      <w:r w:rsidR="00B73C15" w:rsidRPr="00D638B0">
        <w:t xml:space="preserve">of 22% </w:t>
      </w:r>
      <w:r w:rsidR="00792823" w:rsidRPr="00D638B0">
        <w:t>at the time of abandonment</w:t>
      </w:r>
      <w:r w:rsidR="00B73C15" w:rsidRPr="00D638B0">
        <w:t>.</w:t>
      </w:r>
      <w:r w:rsidR="007271CE" w:rsidRPr="00D638B0">
        <w:t xml:space="preserve"> </w:t>
      </w:r>
      <w:r w:rsidR="00BA6EF5" w:rsidRPr="00D638B0">
        <w:t xml:space="preserve">A total </w:t>
      </w:r>
      <w:r w:rsidR="00792823" w:rsidRPr="00D638B0">
        <w:t xml:space="preserve">STOIIP in excess of </w:t>
      </w:r>
      <w:r w:rsidR="00BA6EF5" w:rsidRPr="00D638B0">
        <w:t>one</w:t>
      </w:r>
      <w:r w:rsidR="00792823" w:rsidRPr="00D638B0">
        <w:t xml:space="preserve"> billion</w:t>
      </w:r>
      <w:r w:rsidR="000243DD">
        <w:t xml:space="preserve"> barrels</w:t>
      </w:r>
      <w:r w:rsidR="00792823" w:rsidRPr="00D638B0">
        <w:t xml:space="preserve"> </w:t>
      </w:r>
      <w:r w:rsidR="00BA6EF5" w:rsidRPr="00D638B0">
        <w:t>is still considered to be correct</w:t>
      </w:r>
      <w:r w:rsidR="002E2E90" w:rsidRPr="00D638B0">
        <w:t>.</w:t>
      </w:r>
      <w:r w:rsidR="006F0FE7" w:rsidRPr="00D638B0">
        <w:t xml:space="preserve">  </w:t>
      </w:r>
      <w:r w:rsidR="002E2E90" w:rsidRPr="00D638B0">
        <w:t>Darwin oil in place was initially calculated at 198 </w:t>
      </w:r>
      <w:proofErr w:type="spellStart"/>
      <w:r w:rsidR="000243DD">
        <w:t>MMbo</w:t>
      </w:r>
      <w:proofErr w:type="spellEnd"/>
      <w:r w:rsidR="002E2E90" w:rsidRPr="00D638B0">
        <w:t xml:space="preserve"> but following the unsuccessful 211/27e-13 well and the partially successful 211/27e-13z and 211/27a-14 wells was downgraded to 46 </w:t>
      </w:r>
      <w:proofErr w:type="spellStart"/>
      <w:r w:rsidR="000243DD">
        <w:t>MMbo</w:t>
      </w:r>
      <w:proofErr w:type="spellEnd"/>
      <w:r w:rsidR="002E2E90" w:rsidRPr="00D638B0">
        <w:t xml:space="preserve"> (TAQA, 2016).  No reserves have been reported for Darwin.</w:t>
      </w:r>
    </w:p>
    <w:p w14:paraId="6ED1A8A9" w14:textId="77777777" w:rsidR="004F04A0" w:rsidRPr="00D638B0" w:rsidRDefault="004F04A0" w:rsidP="00E50798">
      <w:pPr>
        <w:spacing w:line="360" w:lineRule="auto"/>
      </w:pPr>
    </w:p>
    <w:p w14:paraId="7C40505B" w14:textId="77777777" w:rsidR="004F04A0" w:rsidRPr="00D638B0" w:rsidRDefault="00747C9A" w:rsidP="00E50798">
      <w:pPr>
        <w:spacing w:line="360" w:lineRule="auto"/>
      </w:pPr>
      <w:r w:rsidRPr="00D638B0">
        <w:t xml:space="preserve">Table </w:t>
      </w:r>
      <w:r w:rsidR="00377060" w:rsidRPr="00D638B0">
        <w:t>2</w:t>
      </w:r>
      <w:r w:rsidR="004F04A0" w:rsidRPr="00D638B0">
        <w:t xml:space="preserve"> Oil in place and reserves progression for Hutton area fields</w:t>
      </w:r>
    </w:p>
    <w:p w14:paraId="4A57A1BA" w14:textId="77777777" w:rsidR="004F04A0" w:rsidRPr="00D638B0" w:rsidRDefault="004F04A0" w:rsidP="00E50798">
      <w:pPr>
        <w:spacing w:line="360" w:lineRule="auto"/>
      </w:pPr>
    </w:p>
    <w:tbl>
      <w:tblPr>
        <w:tblStyle w:val="TableGrid"/>
        <w:tblW w:w="0" w:type="auto"/>
        <w:tblLayout w:type="fixed"/>
        <w:tblLook w:val="04A0" w:firstRow="1" w:lastRow="0" w:firstColumn="1" w:lastColumn="0" w:noHBand="0" w:noVBand="1"/>
      </w:tblPr>
      <w:tblGrid>
        <w:gridCol w:w="1160"/>
        <w:gridCol w:w="748"/>
        <w:gridCol w:w="1127"/>
        <w:gridCol w:w="1267"/>
        <w:gridCol w:w="1692"/>
        <w:gridCol w:w="2522"/>
      </w:tblGrid>
      <w:tr w:rsidR="00D63F02" w:rsidRPr="00D638B0" w14:paraId="3EB43F0D" w14:textId="77777777" w:rsidTr="000406AD">
        <w:tc>
          <w:tcPr>
            <w:tcW w:w="1160" w:type="dxa"/>
          </w:tcPr>
          <w:p w14:paraId="1EE4415A" w14:textId="77777777" w:rsidR="00D63F02" w:rsidRPr="00D638B0" w:rsidRDefault="00D63F02" w:rsidP="00E50798">
            <w:pPr>
              <w:spacing w:line="360" w:lineRule="auto"/>
              <w:jc w:val="center"/>
            </w:pPr>
            <w:r w:rsidRPr="00D638B0">
              <w:t>Field</w:t>
            </w:r>
          </w:p>
        </w:tc>
        <w:tc>
          <w:tcPr>
            <w:tcW w:w="748" w:type="dxa"/>
          </w:tcPr>
          <w:p w14:paraId="35ABD8F0" w14:textId="77777777" w:rsidR="00D63F02" w:rsidRPr="00D638B0" w:rsidRDefault="00D63F02" w:rsidP="00E50798">
            <w:pPr>
              <w:spacing w:line="360" w:lineRule="auto"/>
              <w:jc w:val="center"/>
            </w:pPr>
            <w:r w:rsidRPr="00D638B0">
              <w:t>Date</w:t>
            </w:r>
          </w:p>
        </w:tc>
        <w:tc>
          <w:tcPr>
            <w:tcW w:w="1127" w:type="dxa"/>
          </w:tcPr>
          <w:p w14:paraId="1CAE2E5B" w14:textId="33D5171E" w:rsidR="00D63F02" w:rsidRPr="00D638B0" w:rsidRDefault="00D63F02" w:rsidP="00E50798">
            <w:pPr>
              <w:spacing w:line="360" w:lineRule="auto"/>
              <w:jc w:val="center"/>
            </w:pPr>
            <w:r w:rsidRPr="00D638B0">
              <w:t>Oil in place (</w:t>
            </w:r>
            <w:proofErr w:type="spellStart"/>
            <w:r w:rsidR="000243DD">
              <w:t>MMbo</w:t>
            </w:r>
            <w:proofErr w:type="spellEnd"/>
            <w:r w:rsidRPr="00D638B0">
              <w:t>)</w:t>
            </w:r>
          </w:p>
        </w:tc>
        <w:tc>
          <w:tcPr>
            <w:tcW w:w="1267" w:type="dxa"/>
          </w:tcPr>
          <w:p w14:paraId="61351141" w14:textId="10E4ADF9" w:rsidR="00D63F02" w:rsidRPr="00D638B0" w:rsidRDefault="00D63F02" w:rsidP="00E50798">
            <w:pPr>
              <w:spacing w:line="360" w:lineRule="auto"/>
              <w:jc w:val="center"/>
            </w:pPr>
            <w:r w:rsidRPr="00D638B0">
              <w:t>Reserves (</w:t>
            </w:r>
            <w:proofErr w:type="spellStart"/>
            <w:r w:rsidR="000243DD">
              <w:t>MMbo</w:t>
            </w:r>
            <w:proofErr w:type="spellEnd"/>
            <w:r w:rsidRPr="00D638B0">
              <w:t>)</w:t>
            </w:r>
          </w:p>
        </w:tc>
        <w:tc>
          <w:tcPr>
            <w:tcW w:w="1692" w:type="dxa"/>
          </w:tcPr>
          <w:p w14:paraId="4BE3CD4B" w14:textId="77777777" w:rsidR="00D63F02" w:rsidRPr="00D638B0" w:rsidRDefault="007C6865" w:rsidP="00801CCF">
            <w:pPr>
              <w:spacing w:line="360" w:lineRule="auto"/>
              <w:jc w:val="center"/>
            </w:pPr>
            <w:r w:rsidRPr="00D638B0">
              <w:t>Recovery factor</w:t>
            </w:r>
          </w:p>
        </w:tc>
        <w:tc>
          <w:tcPr>
            <w:tcW w:w="2522" w:type="dxa"/>
          </w:tcPr>
          <w:p w14:paraId="7D47988C" w14:textId="77777777" w:rsidR="00D63F02" w:rsidRPr="00D638B0" w:rsidRDefault="00D63F02" w:rsidP="00E50798">
            <w:pPr>
              <w:spacing w:line="360" w:lineRule="auto"/>
              <w:jc w:val="center"/>
            </w:pPr>
            <w:r w:rsidRPr="00D638B0">
              <w:t>Data source and notes</w:t>
            </w:r>
          </w:p>
        </w:tc>
      </w:tr>
      <w:tr w:rsidR="00D63F02" w:rsidRPr="00D638B0" w14:paraId="1AA771C6" w14:textId="77777777" w:rsidTr="000406AD">
        <w:tc>
          <w:tcPr>
            <w:tcW w:w="1160" w:type="dxa"/>
          </w:tcPr>
          <w:p w14:paraId="23E3A9DF" w14:textId="77777777" w:rsidR="00D63F02" w:rsidRPr="00D638B0" w:rsidRDefault="00D63F02" w:rsidP="00E50798">
            <w:pPr>
              <w:spacing w:line="360" w:lineRule="auto"/>
            </w:pPr>
            <w:r w:rsidRPr="00D638B0">
              <w:t>Hutton</w:t>
            </w:r>
          </w:p>
        </w:tc>
        <w:tc>
          <w:tcPr>
            <w:tcW w:w="748" w:type="dxa"/>
          </w:tcPr>
          <w:p w14:paraId="6FF882CF" w14:textId="77777777" w:rsidR="00D63F02" w:rsidRPr="00D638B0" w:rsidRDefault="00D63F02" w:rsidP="00E50798">
            <w:pPr>
              <w:spacing w:line="360" w:lineRule="auto"/>
            </w:pPr>
            <w:r w:rsidRPr="00D638B0">
              <w:t>1990</w:t>
            </w:r>
          </w:p>
        </w:tc>
        <w:tc>
          <w:tcPr>
            <w:tcW w:w="1127" w:type="dxa"/>
          </w:tcPr>
          <w:p w14:paraId="2BBF453F" w14:textId="77777777" w:rsidR="00D63F02" w:rsidRPr="00D638B0" w:rsidRDefault="00D63F02" w:rsidP="00E50798">
            <w:pPr>
              <w:spacing w:line="360" w:lineRule="auto"/>
              <w:ind w:right="175"/>
              <w:jc w:val="right"/>
            </w:pPr>
            <w:r w:rsidRPr="00D638B0">
              <w:t>590</w:t>
            </w:r>
          </w:p>
        </w:tc>
        <w:tc>
          <w:tcPr>
            <w:tcW w:w="1267" w:type="dxa"/>
          </w:tcPr>
          <w:p w14:paraId="63D05A13" w14:textId="77777777" w:rsidR="00D63F02" w:rsidRPr="00D638B0" w:rsidRDefault="00D63F02" w:rsidP="00E50798">
            <w:pPr>
              <w:spacing w:line="360" w:lineRule="auto"/>
              <w:ind w:right="216"/>
              <w:jc w:val="right"/>
            </w:pPr>
            <w:r w:rsidRPr="00D638B0">
              <w:t>214</w:t>
            </w:r>
          </w:p>
        </w:tc>
        <w:tc>
          <w:tcPr>
            <w:tcW w:w="1692" w:type="dxa"/>
          </w:tcPr>
          <w:p w14:paraId="4B1C8316" w14:textId="77777777" w:rsidR="00D63F02" w:rsidRPr="00D638B0" w:rsidRDefault="007C6865" w:rsidP="000406AD">
            <w:pPr>
              <w:spacing w:line="360" w:lineRule="auto"/>
              <w:jc w:val="center"/>
            </w:pPr>
            <w:r w:rsidRPr="00D638B0">
              <w:t>36%</w:t>
            </w:r>
          </w:p>
        </w:tc>
        <w:tc>
          <w:tcPr>
            <w:tcW w:w="2522" w:type="dxa"/>
          </w:tcPr>
          <w:p w14:paraId="1FDDCA52" w14:textId="77777777" w:rsidR="00D63F02" w:rsidRPr="00D638B0" w:rsidRDefault="00D63F02" w:rsidP="00E50798">
            <w:pPr>
              <w:spacing w:line="360" w:lineRule="auto"/>
            </w:pPr>
            <w:r w:rsidRPr="00D638B0">
              <w:t>Conoco long range development plan, Q-West listed as prospect</w:t>
            </w:r>
          </w:p>
        </w:tc>
      </w:tr>
      <w:tr w:rsidR="00D63F02" w:rsidRPr="00D638B0" w14:paraId="23EA0E1B" w14:textId="77777777" w:rsidTr="000406AD">
        <w:tc>
          <w:tcPr>
            <w:tcW w:w="1160" w:type="dxa"/>
          </w:tcPr>
          <w:p w14:paraId="24C4856F" w14:textId="77777777" w:rsidR="00D63F02" w:rsidRPr="00D638B0" w:rsidRDefault="00D63F02" w:rsidP="00E50798">
            <w:pPr>
              <w:spacing w:line="360" w:lineRule="auto"/>
            </w:pPr>
            <w:r w:rsidRPr="00D638B0">
              <w:t>Hutton</w:t>
            </w:r>
          </w:p>
        </w:tc>
        <w:tc>
          <w:tcPr>
            <w:tcW w:w="748" w:type="dxa"/>
          </w:tcPr>
          <w:p w14:paraId="223FB843" w14:textId="77777777" w:rsidR="00D63F02" w:rsidRPr="00D638B0" w:rsidRDefault="00D63F02" w:rsidP="00E50798">
            <w:pPr>
              <w:spacing w:line="360" w:lineRule="auto"/>
            </w:pPr>
            <w:r w:rsidRPr="00D638B0">
              <w:t>1991</w:t>
            </w:r>
          </w:p>
        </w:tc>
        <w:tc>
          <w:tcPr>
            <w:tcW w:w="1127" w:type="dxa"/>
          </w:tcPr>
          <w:p w14:paraId="018C9A04" w14:textId="77777777" w:rsidR="00D63F02" w:rsidRPr="00D638B0" w:rsidRDefault="00D63F02" w:rsidP="00E50798">
            <w:pPr>
              <w:spacing w:line="360" w:lineRule="auto"/>
              <w:ind w:right="175"/>
              <w:jc w:val="right"/>
            </w:pPr>
            <w:r w:rsidRPr="00D638B0">
              <w:t>559</w:t>
            </w:r>
          </w:p>
        </w:tc>
        <w:tc>
          <w:tcPr>
            <w:tcW w:w="1267" w:type="dxa"/>
          </w:tcPr>
          <w:p w14:paraId="09FD3D5C" w14:textId="77777777" w:rsidR="00D63F02" w:rsidRPr="00D638B0" w:rsidRDefault="00D63F02" w:rsidP="00E50798">
            <w:pPr>
              <w:spacing w:line="360" w:lineRule="auto"/>
              <w:ind w:right="216"/>
              <w:jc w:val="right"/>
            </w:pPr>
            <w:r w:rsidRPr="00D638B0">
              <w:t>190</w:t>
            </w:r>
          </w:p>
        </w:tc>
        <w:tc>
          <w:tcPr>
            <w:tcW w:w="1692" w:type="dxa"/>
          </w:tcPr>
          <w:p w14:paraId="5327A4D9" w14:textId="77777777" w:rsidR="00D63F02" w:rsidRPr="00D638B0" w:rsidRDefault="007C6865" w:rsidP="000406AD">
            <w:pPr>
              <w:spacing w:line="360" w:lineRule="auto"/>
              <w:jc w:val="center"/>
            </w:pPr>
            <w:r w:rsidRPr="00D638B0">
              <w:t>34%</w:t>
            </w:r>
          </w:p>
        </w:tc>
        <w:tc>
          <w:tcPr>
            <w:tcW w:w="2522" w:type="dxa"/>
          </w:tcPr>
          <w:p w14:paraId="32EC078A" w14:textId="77777777" w:rsidR="00D63F02" w:rsidRPr="00D638B0" w:rsidRDefault="00D63F02" w:rsidP="00E50798">
            <w:pPr>
              <w:spacing w:line="360" w:lineRule="auto"/>
            </w:pPr>
            <w:r w:rsidRPr="00D638B0">
              <w:t xml:space="preserve">Haig </w:t>
            </w:r>
            <w:r w:rsidR="007C08D9" w:rsidRPr="00D638B0">
              <w:t>(</w:t>
            </w:r>
            <w:r w:rsidRPr="00D638B0">
              <w:t>1991</w:t>
            </w:r>
            <w:r w:rsidR="007C08D9" w:rsidRPr="00D638B0">
              <w:t>)</w:t>
            </w:r>
            <w:r w:rsidRPr="00D638B0">
              <w:t xml:space="preserve"> Pre-dates Q-West</w:t>
            </w:r>
          </w:p>
        </w:tc>
      </w:tr>
      <w:tr w:rsidR="00D63F02" w:rsidRPr="00D638B0" w14:paraId="5683AAD4" w14:textId="77777777" w:rsidTr="000406AD">
        <w:tc>
          <w:tcPr>
            <w:tcW w:w="1160" w:type="dxa"/>
          </w:tcPr>
          <w:p w14:paraId="652BD488" w14:textId="77777777" w:rsidR="00D63F02" w:rsidRPr="00D638B0" w:rsidRDefault="00D63F02" w:rsidP="00E50798">
            <w:pPr>
              <w:spacing w:line="360" w:lineRule="auto"/>
            </w:pPr>
            <w:r w:rsidRPr="00D638B0">
              <w:lastRenderedPageBreak/>
              <w:t>Hutton</w:t>
            </w:r>
          </w:p>
        </w:tc>
        <w:tc>
          <w:tcPr>
            <w:tcW w:w="748" w:type="dxa"/>
          </w:tcPr>
          <w:p w14:paraId="5D85647C" w14:textId="77777777" w:rsidR="00D63F02" w:rsidRPr="00D638B0" w:rsidRDefault="00D63F02" w:rsidP="00E50798">
            <w:pPr>
              <w:spacing w:line="360" w:lineRule="auto"/>
            </w:pPr>
            <w:r w:rsidRPr="00D638B0">
              <w:t>2001</w:t>
            </w:r>
          </w:p>
        </w:tc>
        <w:tc>
          <w:tcPr>
            <w:tcW w:w="1127" w:type="dxa"/>
          </w:tcPr>
          <w:p w14:paraId="616CC548" w14:textId="77777777" w:rsidR="00D63F02" w:rsidRPr="00D638B0" w:rsidRDefault="00D63F02" w:rsidP="00E50798">
            <w:pPr>
              <w:spacing w:line="360" w:lineRule="auto"/>
              <w:ind w:right="175"/>
              <w:jc w:val="right"/>
            </w:pPr>
            <w:r w:rsidRPr="00D638B0">
              <w:t>527</w:t>
            </w:r>
          </w:p>
        </w:tc>
        <w:tc>
          <w:tcPr>
            <w:tcW w:w="1267" w:type="dxa"/>
          </w:tcPr>
          <w:p w14:paraId="24D94C00" w14:textId="77777777" w:rsidR="00D63F02" w:rsidRPr="00D638B0" w:rsidRDefault="00D63F02" w:rsidP="00E50798">
            <w:pPr>
              <w:spacing w:line="360" w:lineRule="auto"/>
              <w:ind w:right="216"/>
              <w:jc w:val="right"/>
            </w:pPr>
            <w:r w:rsidRPr="00D638B0">
              <w:t>195</w:t>
            </w:r>
          </w:p>
        </w:tc>
        <w:tc>
          <w:tcPr>
            <w:tcW w:w="1692" w:type="dxa"/>
          </w:tcPr>
          <w:p w14:paraId="3F45649B" w14:textId="77777777" w:rsidR="00D63F02" w:rsidRPr="00D638B0" w:rsidRDefault="007C6865" w:rsidP="000406AD">
            <w:pPr>
              <w:spacing w:line="360" w:lineRule="auto"/>
              <w:jc w:val="center"/>
            </w:pPr>
            <w:r w:rsidRPr="00D638B0">
              <w:t>37%</w:t>
            </w:r>
          </w:p>
        </w:tc>
        <w:tc>
          <w:tcPr>
            <w:tcW w:w="2522" w:type="dxa"/>
          </w:tcPr>
          <w:p w14:paraId="64316885" w14:textId="77777777" w:rsidR="00D63F02" w:rsidRPr="00D638B0" w:rsidRDefault="00D63F02" w:rsidP="00E50798">
            <w:pPr>
              <w:spacing w:line="360" w:lineRule="auto"/>
            </w:pPr>
            <w:r w:rsidRPr="00D638B0">
              <w:t>Kerr McGee (2001) cessation of production document</w:t>
            </w:r>
          </w:p>
        </w:tc>
      </w:tr>
      <w:tr w:rsidR="00D63F02" w:rsidRPr="00D638B0" w14:paraId="6A03D14F" w14:textId="77777777" w:rsidTr="000406AD">
        <w:tc>
          <w:tcPr>
            <w:tcW w:w="1160" w:type="dxa"/>
          </w:tcPr>
          <w:p w14:paraId="143D722B" w14:textId="77777777" w:rsidR="00D63F02" w:rsidRPr="00D638B0" w:rsidRDefault="00D63F02" w:rsidP="00E50798">
            <w:pPr>
              <w:spacing w:line="360" w:lineRule="auto"/>
            </w:pPr>
            <w:r w:rsidRPr="00D638B0">
              <w:t>Hutton</w:t>
            </w:r>
          </w:p>
        </w:tc>
        <w:tc>
          <w:tcPr>
            <w:tcW w:w="748" w:type="dxa"/>
          </w:tcPr>
          <w:p w14:paraId="1451855C" w14:textId="77777777" w:rsidR="00D63F02" w:rsidRPr="00D638B0" w:rsidRDefault="00D63F02" w:rsidP="00E50798">
            <w:pPr>
              <w:spacing w:line="360" w:lineRule="auto"/>
            </w:pPr>
            <w:r w:rsidRPr="00D638B0">
              <w:t>2006</w:t>
            </w:r>
          </w:p>
        </w:tc>
        <w:tc>
          <w:tcPr>
            <w:tcW w:w="1127" w:type="dxa"/>
          </w:tcPr>
          <w:p w14:paraId="1675D492" w14:textId="77777777" w:rsidR="00D63F02" w:rsidRPr="00D638B0" w:rsidRDefault="00D63F02" w:rsidP="00E50798">
            <w:pPr>
              <w:spacing w:line="360" w:lineRule="auto"/>
              <w:ind w:right="175"/>
              <w:jc w:val="right"/>
            </w:pPr>
            <w:r w:rsidRPr="00D638B0">
              <w:t>564</w:t>
            </w:r>
          </w:p>
        </w:tc>
        <w:tc>
          <w:tcPr>
            <w:tcW w:w="1267" w:type="dxa"/>
          </w:tcPr>
          <w:p w14:paraId="416896B7" w14:textId="77777777" w:rsidR="00D63F02" w:rsidRPr="00D638B0" w:rsidRDefault="00D63F02" w:rsidP="00E50798">
            <w:pPr>
              <w:spacing w:line="360" w:lineRule="auto"/>
              <w:ind w:right="216"/>
              <w:jc w:val="right"/>
            </w:pPr>
            <w:r w:rsidRPr="00D638B0">
              <w:t>-</w:t>
            </w:r>
          </w:p>
        </w:tc>
        <w:tc>
          <w:tcPr>
            <w:tcW w:w="1692" w:type="dxa"/>
          </w:tcPr>
          <w:p w14:paraId="646AD4BA" w14:textId="77777777" w:rsidR="00D63F02" w:rsidRPr="00D638B0" w:rsidRDefault="00D63F02" w:rsidP="000406AD">
            <w:pPr>
              <w:spacing w:line="360" w:lineRule="auto"/>
              <w:jc w:val="center"/>
              <w:rPr>
                <w:rFonts w:ascii="Times New Roman" w:hAnsi="Times New Roman" w:cs="Times New Roman"/>
                <w:color w:val="000000"/>
              </w:rPr>
            </w:pPr>
          </w:p>
        </w:tc>
        <w:tc>
          <w:tcPr>
            <w:tcW w:w="2522" w:type="dxa"/>
          </w:tcPr>
          <w:p w14:paraId="716FD323" w14:textId="77777777" w:rsidR="00D63F02" w:rsidRPr="00D638B0" w:rsidRDefault="00D63F02" w:rsidP="00E50798">
            <w:pPr>
              <w:spacing w:line="360" w:lineRule="auto"/>
            </w:pPr>
            <w:r w:rsidRPr="00D638B0">
              <w:t>Fairfield, Petrel model based upon data release on cessation of production, includes 133 mm BBL in Q-West</w:t>
            </w:r>
          </w:p>
        </w:tc>
      </w:tr>
      <w:tr w:rsidR="00D63F02" w:rsidRPr="00D638B0" w14:paraId="36DECCD5" w14:textId="77777777" w:rsidTr="000406AD">
        <w:tc>
          <w:tcPr>
            <w:tcW w:w="1160" w:type="dxa"/>
          </w:tcPr>
          <w:p w14:paraId="2F81BD9C" w14:textId="77777777" w:rsidR="00D63F02" w:rsidRPr="00D638B0" w:rsidRDefault="00D63F02" w:rsidP="00E50798">
            <w:pPr>
              <w:spacing w:line="360" w:lineRule="auto"/>
            </w:pPr>
            <w:r w:rsidRPr="00D638B0">
              <w:t>Q-West</w:t>
            </w:r>
          </w:p>
        </w:tc>
        <w:tc>
          <w:tcPr>
            <w:tcW w:w="748" w:type="dxa"/>
          </w:tcPr>
          <w:p w14:paraId="1F53D175" w14:textId="77777777" w:rsidR="00D63F02" w:rsidRPr="00D638B0" w:rsidRDefault="00D63F02" w:rsidP="00E50798">
            <w:pPr>
              <w:spacing w:line="360" w:lineRule="auto"/>
            </w:pPr>
            <w:r w:rsidRPr="00D638B0">
              <w:t>1994</w:t>
            </w:r>
          </w:p>
        </w:tc>
        <w:tc>
          <w:tcPr>
            <w:tcW w:w="1127" w:type="dxa"/>
          </w:tcPr>
          <w:p w14:paraId="6D97296D" w14:textId="77777777" w:rsidR="00D63F02" w:rsidRPr="00D638B0" w:rsidRDefault="00D63F02" w:rsidP="00E50798">
            <w:pPr>
              <w:spacing w:line="360" w:lineRule="auto"/>
              <w:ind w:right="175"/>
              <w:jc w:val="right"/>
            </w:pPr>
            <w:r w:rsidRPr="00D638B0">
              <w:t>60</w:t>
            </w:r>
          </w:p>
        </w:tc>
        <w:tc>
          <w:tcPr>
            <w:tcW w:w="1267" w:type="dxa"/>
          </w:tcPr>
          <w:p w14:paraId="5B1D3614" w14:textId="77777777" w:rsidR="00D63F02" w:rsidRPr="00D638B0" w:rsidRDefault="00D63F02" w:rsidP="00E50798">
            <w:pPr>
              <w:spacing w:line="360" w:lineRule="auto"/>
              <w:ind w:right="216"/>
              <w:jc w:val="right"/>
            </w:pPr>
            <w:r w:rsidRPr="00D638B0">
              <w:t>10</w:t>
            </w:r>
          </w:p>
        </w:tc>
        <w:tc>
          <w:tcPr>
            <w:tcW w:w="1692" w:type="dxa"/>
          </w:tcPr>
          <w:p w14:paraId="0AB0844C" w14:textId="77777777" w:rsidR="00D63F02" w:rsidRPr="00D638B0" w:rsidRDefault="00801CCF" w:rsidP="000406AD">
            <w:pPr>
              <w:spacing w:line="360" w:lineRule="auto"/>
              <w:jc w:val="center"/>
            </w:pPr>
            <w:r w:rsidRPr="00D638B0">
              <w:t>17%</w:t>
            </w:r>
          </w:p>
        </w:tc>
        <w:tc>
          <w:tcPr>
            <w:tcW w:w="2522" w:type="dxa"/>
          </w:tcPr>
          <w:p w14:paraId="30D001B8" w14:textId="77777777" w:rsidR="00D63F02" w:rsidRPr="00D638B0" w:rsidRDefault="00D63F02" w:rsidP="00E50798">
            <w:pPr>
              <w:spacing w:line="360" w:lineRule="auto"/>
            </w:pPr>
            <w:proofErr w:type="spellStart"/>
            <w:r w:rsidRPr="00D638B0">
              <w:t>Interra</w:t>
            </w:r>
            <w:proofErr w:type="spellEnd"/>
            <w:r w:rsidRPr="00D638B0">
              <w:t xml:space="preserve"> (1994) Q-West simulation study</w:t>
            </w:r>
          </w:p>
        </w:tc>
      </w:tr>
      <w:tr w:rsidR="00D63F02" w:rsidRPr="00D638B0" w14:paraId="37CC826C" w14:textId="77777777" w:rsidTr="000406AD">
        <w:tc>
          <w:tcPr>
            <w:tcW w:w="1160" w:type="dxa"/>
          </w:tcPr>
          <w:p w14:paraId="1C64CAD1" w14:textId="77777777" w:rsidR="00D63F02" w:rsidRPr="00D638B0" w:rsidRDefault="00D63F02" w:rsidP="00E50798">
            <w:pPr>
              <w:spacing w:line="360" w:lineRule="auto"/>
            </w:pPr>
            <w:r w:rsidRPr="00D638B0">
              <w:t>Q-West</w:t>
            </w:r>
          </w:p>
        </w:tc>
        <w:tc>
          <w:tcPr>
            <w:tcW w:w="748" w:type="dxa"/>
          </w:tcPr>
          <w:p w14:paraId="61C579AF" w14:textId="77777777" w:rsidR="00D63F02" w:rsidRPr="00D638B0" w:rsidRDefault="00D63F02" w:rsidP="00E50798">
            <w:pPr>
              <w:spacing w:line="360" w:lineRule="auto"/>
            </w:pPr>
            <w:r w:rsidRPr="00D638B0">
              <w:t>1994</w:t>
            </w:r>
          </w:p>
        </w:tc>
        <w:tc>
          <w:tcPr>
            <w:tcW w:w="1127" w:type="dxa"/>
          </w:tcPr>
          <w:p w14:paraId="6FDA0C88" w14:textId="77777777" w:rsidR="00D63F02" w:rsidRPr="00D638B0" w:rsidRDefault="00D63F02" w:rsidP="00E50798">
            <w:pPr>
              <w:spacing w:line="360" w:lineRule="auto"/>
              <w:ind w:right="175"/>
              <w:jc w:val="right"/>
            </w:pPr>
            <w:r w:rsidRPr="00D638B0">
              <w:t>95</w:t>
            </w:r>
          </w:p>
        </w:tc>
        <w:tc>
          <w:tcPr>
            <w:tcW w:w="1267" w:type="dxa"/>
          </w:tcPr>
          <w:p w14:paraId="1B1FB512" w14:textId="77777777" w:rsidR="00D63F02" w:rsidRPr="00D638B0" w:rsidRDefault="00D63F02" w:rsidP="00E50798">
            <w:pPr>
              <w:spacing w:line="360" w:lineRule="auto"/>
              <w:ind w:right="216"/>
              <w:jc w:val="right"/>
            </w:pPr>
            <w:r w:rsidRPr="00D638B0">
              <w:t>-</w:t>
            </w:r>
          </w:p>
        </w:tc>
        <w:tc>
          <w:tcPr>
            <w:tcW w:w="1692" w:type="dxa"/>
          </w:tcPr>
          <w:p w14:paraId="2A722A2A" w14:textId="77777777" w:rsidR="00D63F02" w:rsidRPr="00D638B0" w:rsidRDefault="00D63F02" w:rsidP="000406AD">
            <w:pPr>
              <w:spacing w:line="360" w:lineRule="auto"/>
              <w:jc w:val="center"/>
              <w:rPr>
                <w:rFonts w:ascii="Times New Roman" w:hAnsi="Times New Roman" w:cs="Times New Roman"/>
                <w:color w:val="000000"/>
              </w:rPr>
            </w:pPr>
          </w:p>
        </w:tc>
        <w:tc>
          <w:tcPr>
            <w:tcW w:w="2522" w:type="dxa"/>
          </w:tcPr>
          <w:p w14:paraId="78C850B1" w14:textId="77777777" w:rsidR="00D63F02" w:rsidRPr="00D638B0" w:rsidRDefault="00D63F02" w:rsidP="00E50798">
            <w:pPr>
              <w:spacing w:line="360" w:lineRule="auto"/>
            </w:pPr>
            <w:r w:rsidRPr="00D638B0">
              <w:t>Oryx 1994 mapping, reported in Hoy (1996)</w:t>
            </w:r>
          </w:p>
        </w:tc>
      </w:tr>
      <w:tr w:rsidR="00D63F02" w:rsidRPr="00D638B0" w14:paraId="60560DC0" w14:textId="77777777" w:rsidTr="000406AD">
        <w:tc>
          <w:tcPr>
            <w:tcW w:w="1160" w:type="dxa"/>
          </w:tcPr>
          <w:p w14:paraId="3BB44745" w14:textId="77777777" w:rsidR="00D63F02" w:rsidRPr="00D638B0" w:rsidRDefault="00D63F02" w:rsidP="00E50798">
            <w:pPr>
              <w:spacing w:line="360" w:lineRule="auto"/>
            </w:pPr>
            <w:r w:rsidRPr="00D638B0">
              <w:t>Q-West</w:t>
            </w:r>
          </w:p>
        </w:tc>
        <w:tc>
          <w:tcPr>
            <w:tcW w:w="748" w:type="dxa"/>
          </w:tcPr>
          <w:p w14:paraId="0E1EFA56" w14:textId="77777777" w:rsidR="00D63F02" w:rsidRPr="00D638B0" w:rsidRDefault="00D63F02" w:rsidP="00E50798">
            <w:pPr>
              <w:spacing w:line="360" w:lineRule="auto"/>
            </w:pPr>
            <w:r w:rsidRPr="00D638B0">
              <w:t>1996</w:t>
            </w:r>
          </w:p>
        </w:tc>
        <w:tc>
          <w:tcPr>
            <w:tcW w:w="1127" w:type="dxa"/>
          </w:tcPr>
          <w:p w14:paraId="557667AB" w14:textId="77777777" w:rsidR="00D63F02" w:rsidRPr="00D638B0" w:rsidRDefault="00D63F02" w:rsidP="00E50798">
            <w:pPr>
              <w:spacing w:line="360" w:lineRule="auto"/>
              <w:ind w:right="175"/>
              <w:jc w:val="right"/>
            </w:pPr>
            <w:r w:rsidRPr="00D638B0">
              <w:t>107</w:t>
            </w:r>
          </w:p>
        </w:tc>
        <w:tc>
          <w:tcPr>
            <w:tcW w:w="1267" w:type="dxa"/>
          </w:tcPr>
          <w:p w14:paraId="3A73EE54" w14:textId="77777777" w:rsidR="00D63F02" w:rsidRPr="00D638B0" w:rsidRDefault="00D63F02" w:rsidP="00E50798">
            <w:pPr>
              <w:spacing w:line="360" w:lineRule="auto"/>
              <w:ind w:right="216"/>
              <w:jc w:val="right"/>
            </w:pPr>
            <w:r w:rsidRPr="00D638B0">
              <w:t>17</w:t>
            </w:r>
          </w:p>
        </w:tc>
        <w:tc>
          <w:tcPr>
            <w:tcW w:w="1692" w:type="dxa"/>
          </w:tcPr>
          <w:p w14:paraId="0C8AD2E0" w14:textId="77777777" w:rsidR="00D63F02" w:rsidRPr="00D638B0" w:rsidRDefault="00801CCF" w:rsidP="000406AD">
            <w:pPr>
              <w:spacing w:line="360" w:lineRule="auto"/>
              <w:jc w:val="center"/>
            </w:pPr>
            <w:r w:rsidRPr="00D638B0">
              <w:t>16%</w:t>
            </w:r>
          </w:p>
        </w:tc>
        <w:tc>
          <w:tcPr>
            <w:tcW w:w="2522" w:type="dxa"/>
          </w:tcPr>
          <w:p w14:paraId="44C8A45B" w14:textId="77777777" w:rsidR="00D63F02" w:rsidRPr="00D638B0" w:rsidRDefault="00D63F02" w:rsidP="00E50798">
            <w:pPr>
              <w:spacing w:line="360" w:lineRule="auto"/>
            </w:pPr>
            <w:r w:rsidRPr="00D638B0">
              <w:t>Hoy (1996)</w:t>
            </w:r>
          </w:p>
        </w:tc>
      </w:tr>
      <w:tr w:rsidR="00D63F02" w:rsidRPr="00D638B0" w14:paraId="48A42B81" w14:textId="77777777" w:rsidTr="000406AD">
        <w:tc>
          <w:tcPr>
            <w:tcW w:w="1160" w:type="dxa"/>
          </w:tcPr>
          <w:p w14:paraId="605A5EA8" w14:textId="77777777" w:rsidR="00D63F02" w:rsidRPr="00D638B0" w:rsidRDefault="00D63F02" w:rsidP="00E50798">
            <w:pPr>
              <w:spacing w:line="360" w:lineRule="auto"/>
            </w:pPr>
            <w:r w:rsidRPr="00D638B0">
              <w:t>Q-West</w:t>
            </w:r>
          </w:p>
        </w:tc>
        <w:tc>
          <w:tcPr>
            <w:tcW w:w="748" w:type="dxa"/>
          </w:tcPr>
          <w:p w14:paraId="05EE400E" w14:textId="77777777" w:rsidR="00D63F02" w:rsidRPr="00D638B0" w:rsidRDefault="00D63F02" w:rsidP="00E50798">
            <w:pPr>
              <w:spacing w:line="360" w:lineRule="auto"/>
            </w:pPr>
            <w:r w:rsidRPr="00D638B0">
              <w:t>1997</w:t>
            </w:r>
          </w:p>
        </w:tc>
        <w:tc>
          <w:tcPr>
            <w:tcW w:w="1127" w:type="dxa"/>
          </w:tcPr>
          <w:p w14:paraId="201C1794" w14:textId="77777777" w:rsidR="00D63F02" w:rsidRPr="00D638B0" w:rsidRDefault="00D63F02" w:rsidP="00E50798">
            <w:pPr>
              <w:spacing w:line="360" w:lineRule="auto"/>
              <w:ind w:right="175"/>
              <w:jc w:val="right"/>
            </w:pPr>
            <w:r w:rsidRPr="00D638B0">
              <w:t>57</w:t>
            </w:r>
          </w:p>
        </w:tc>
        <w:tc>
          <w:tcPr>
            <w:tcW w:w="1267" w:type="dxa"/>
          </w:tcPr>
          <w:p w14:paraId="70C14EF9" w14:textId="77777777" w:rsidR="00D63F02" w:rsidRPr="00D638B0" w:rsidRDefault="00D63F02" w:rsidP="00E50798">
            <w:pPr>
              <w:spacing w:line="360" w:lineRule="auto"/>
              <w:ind w:right="216"/>
              <w:jc w:val="right"/>
            </w:pPr>
            <w:r w:rsidRPr="00D638B0">
              <w:t>16</w:t>
            </w:r>
          </w:p>
        </w:tc>
        <w:tc>
          <w:tcPr>
            <w:tcW w:w="1692" w:type="dxa"/>
          </w:tcPr>
          <w:p w14:paraId="42FF87DD" w14:textId="77777777" w:rsidR="00D63F02" w:rsidRPr="00D638B0" w:rsidRDefault="00801CCF" w:rsidP="000406AD">
            <w:pPr>
              <w:spacing w:line="360" w:lineRule="auto"/>
              <w:jc w:val="center"/>
            </w:pPr>
            <w:r w:rsidRPr="00D638B0">
              <w:t>28%</w:t>
            </w:r>
          </w:p>
        </w:tc>
        <w:tc>
          <w:tcPr>
            <w:tcW w:w="2522" w:type="dxa"/>
          </w:tcPr>
          <w:p w14:paraId="600C0838" w14:textId="77777777" w:rsidR="00D63F02" w:rsidRPr="00D638B0" w:rsidRDefault="00D63F02" w:rsidP="00E50798">
            <w:pPr>
              <w:spacing w:line="360" w:lineRule="auto"/>
            </w:pPr>
            <w:r w:rsidRPr="00D638B0">
              <w:t>Fraser (1997)</w:t>
            </w:r>
          </w:p>
        </w:tc>
      </w:tr>
      <w:tr w:rsidR="00D63F02" w:rsidRPr="00D638B0" w14:paraId="6708C5CD" w14:textId="77777777" w:rsidTr="000406AD">
        <w:tc>
          <w:tcPr>
            <w:tcW w:w="1160" w:type="dxa"/>
          </w:tcPr>
          <w:p w14:paraId="5D25C190" w14:textId="77777777" w:rsidR="00D63F02" w:rsidRPr="00D638B0" w:rsidRDefault="00D63F02" w:rsidP="00E50798">
            <w:pPr>
              <w:spacing w:line="360" w:lineRule="auto"/>
            </w:pPr>
            <w:r w:rsidRPr="00D638B0">
              <w:t>Q-West</w:t>
            </w:r>
          </w:p>
        </w:tc>
        <w:tc>
          <w:tcPr>
            <w:tcW w:w="748" w:type="dxa"/>
          </w:tcPr>
          <w:p w14:paraId="0C7F9904" w14:textId="77777777" w:rsidR="00D63F02" w:rsidRPr="00D638B0" w:rsidRDefault="00D63F02" w:rsidP="00E50798">
            <w:pPr>
              <w:spacing w:line="360" w:lineRule="auto"/>
            </w:pPr>
            <w:r w:rsidRPr="00D638B0">
              <w:t>2006</w:t>
            </w:r>
          </w:p>
        </w:tc>
        <w:tc>
          <w:tcPr>
            <w:tcW w:w="1127" w:type="dxa"/>
          </w:tcPr>
          <w:p w14:paraId="161DF0EB" w14:textId="77777777" w:rsidR="00D63F02" w:rsidRPr="00D638B0" w:rsidRDefault="00D63F02" w:rsidP="00E50798">
            <w:pPr>
              <w:spacing w:line="360" w:lineRule="auto"/>
              <w:ind w:right="175"/>
              <w:jc w:val="right"/>
            </w:pPr>
            <w:r w:rsidRPr="00D638B0">
              <w:t>97-133-146</w:t>
            </w:r>
          </w:p>
        </w:tc>
        <w:tc>
          <w:tcPr>
            <w:tcW w:w="1267" w:type="dxa"/>
          </w:tcPr>
          <w:p w14:paraId="15B01F45" w14:textId="77777777" w:rsidR="00D63F02" w:rsidRPr="00D638B0" w:rsidRDefault="00D63F02" w:rsidP="00E50798">
            <w:pPr>
              <w:spacing w:line="360" w:lineRule="auto"/>
              <w:ind w:right="216"/>
              <w:jc w:val="right"/>
            </w:pPr>
            <w:r w:rsidRPr="00D638B0">
              <w:t>-</w:t>
            </w:r>
          </w:p>
        </w:tc>
        <w:tc>
          <w:tcPr>
            <w:tcW w:w="1692" w:type="dxa"/>
          </w:tcPr>
          <w:p w14:paraId="20AC60E0" w14:textId="77777777" w:rsidR="00D63F02" w:rsidRPr="00D638B0" w:rsidRDefault="00D63F02" w:rsidP="000406AD">
            <w:pPr>
              <w:spacing w:line="360" w:lineRule="auto"/>
              <w:jc w:val="center"/>
              <w:rPr>
                <w:rFonts w:ascii="Times New Roman" w:hAnsi="Times New Roman" w:cs="Times New Roman"/>
                <w:color w:val="000000"/>
              </w:rPr>
            </w:pPr>
          </w:p>
        </w:tc>
        <w:tc>
          <w:tcPr>
            <w:tcW w:w="2522" w:type="dxa"/>
          </w:tcPr>
          <w:p w14:paraId="100D3DCE" w14:textId="77777777" w:rsidR="00D63F02" w:rsidRPr="00D638B0" w:rsidRDefault="00D63F02" w:rsidP="00E50798">
            <w:pPr>
              <w:spacing w:line="360" w:lineRule="auto"/>
            </w:pPr>
            <w:r w:rsidRPr="00D638B0">
              <w:t>Fairfield, Petrel model based upon data release on cessation of production</w:t>
            </w:r>
          </w:p>
        </w:tc>
      </w:tr>
      <w:tr w:rsidR="00D63F02" w:rsidRPr="00D638B0" w14:paraId="040D8BF3" w14:textId="77777777" w:rsidTr="000406AD">
        <w:tc>
          <w:tcPr>
            <w:tcW w:w="1160" w:type="dxa"/>
          </w:tcPr>
          <w:p w14:paraId="56992BA1" w14:textId="77777777" w:rsidR="00D63F02" w:rsidRPr="00D638B0" w:rsidRDefault="00D63F02" w:rsidP="00E50798">
            <w:pPr>
              <w:spacing w:line="360" w:lineRule="auto"/>
            </w:pPr>
            <w:r w:rsidRPr="00D638B0">
              <w:t>NW Hutton</w:t>
            </w:r>
          </w:p>
        </w:tc>
        <w:tc>
          <w:tcPr>
            <w:tcW w:w="748" w:type="dxa"/>
          </w:tcPr>
          <w:p w14:paraId="4D2B9761" w14:textId="77777777" w:rsidR="00D63F02" w:rsidRPr="00D638B0" w:rsidRDefault="00D63F02" w:rsidP="00E50798">
            <w:pPr>
              <w:spacing w:line="360" w:lineRule="auto"/>
            </w:pPr>
            <w:r w:rsidRPr="00D638B0">
              <w:t>1977</w:t>
            </w:r>
          </w:p>
        </w:tc>
        <w:tc>
          <w:tcPr>
            <w:tcW w:w="1127" w:type="dxa"/>
          </w:tcPr>
          <w:p w14:paraId="1C5B408D" w14:textId="77777777" w:rsidR="00D63F02" w:rsidRPr="00D638B0" w:rsidRDefault="00D63F02" w:rsidP="00E50798">
            <w:pPr>
              <w:spacing w:line="360" w:lineRule="auto"/>
              <w:ind w:right="175"/>
              <w:jc w:val="right"/>
            </w:pPr>
            <w:r w:rsidRPr="00D638B0">
              <w:t>1157</w:t>
            </w:r>
          </w:p>
        </w:tc>
        <w:tc>
          <w:tcPr>
            <w:tcW w:w="1267" w:type="dxa"/>
          </w:tcPr>
          <w:p w14:paraId="73C832AB" w14:textId="77777777" w:rsidR="00D63F02" w:rsidRPr="00D638B0" w:rsidRDefault="00D63F02" w:rsidP="00E50798">
            <w:pPr>
              <w:spacing w:line="360" w:lineRule="auto"/>
              <w:ind w:right="216"/>
              <w:jc w:val="right"/>
            </w:pPr>
            <w:r w:rsidRPr="00D638B0">
              <w:t>274</w:t>
            </w:r>
          </w:p>
        </w:tc>
        <w:tc>
          <w:tcPr>
            <w:tcW w:w="1692" w:type="dxa"/>
          </w:tcPr>
          <w:p w14:paraId="624CB4F8" w14:textId="77777777" w:rsidR="00D63F02" w:rsidRPr="00D638B0" w:rsidRDefault="00801CCF" w:rsidP="000406AD">
            <w:pPr>
              <w:spacing w:line="360" w:lineRule="auto"/>
              <w:jc w:val="center"/>
            </w:pPr>
            <w:r w:rsidRPr="00D638B0">
              <w:t>24%</w:t>
            </w:r>
          </w:p>
        </w:tc>
        <w:tc>
          <w:tcPr>
            <w:tcW w:w="2522" w:type="dxa"/>
          </w:tcPr>
          <w:p w14:paraId="33C768D5" w14:textId="77777777" w:rsidR="00D63F02" w:rsidRPr="00D638B0" w:rsidRDefault="00D63F02" w:rsidP="00E50798">
            <w:pPr>
              <w:spacing w:line="360" w:lineRule="auto"/>
            </w:pPr>
            <w:r w:rsidRPr="00D638B0">
              <w:t xml:space="preserve">Amoco Annex B, in BP (1999) Cessation of production document </w:t>
            </w:r>
          </w:p>
        </w:tc>
      </w:tr>
      <w:tr w:rsidR="00D63F02" w:rsidRPr="00D638B0" w14:paraId="75996F40" w14:textId="77777777" w:rsidTr="000406AD">
        <w:tc>
          <w:tcPr>
            <w:tcW w:w="1160" w:type="dxa"/>
          </w:tcPr>
          <w:p w14:paraId="16BE9138" w14:textId="77777777" w:rsidR="00D63F02" w:rsidRPr="00D638B0" w:rsidRDefault="00D63F02" w:rsidP="00E50798">
            <w:pPr>
              <w:spacing w:line="360" w:lineRule="auto"/>
            </w:pPr>
            <w:r w:rsidRPr="00D638B0">
              <w:t>NW Hutton</w:t>
            </w:r>
          </w:p>
        </w:tc>
        <w:tc>
          <w:tcPr>
            <w:tcW w:w="748" w:type="dxa"/>
          </w:tcPr>
          <w:p w14:paraId="27D5BDB4" w14:textId="77777777" w:rsidR="00D63F02" w:rsidRPr="00D638B0" w:rsidRDefault="00D63F02" w:rsidP="00E50798">
            <w:pPr>
              <w:spacing w:line="360" w:lineRule="auto"/>
            </w:pPr>
            <w:r w:rsidRPr="00D638B0">
              <w:t>1983</w:t>
            </w:r>
          </w:p>
        </w:tc>
        <w:tc>
          <w:tcPr>
            <w:tcW w:w="1127" w:type="dxa"/>
          </w:tcPr>
          <w:p w14:paraId="4DDB6A3F" w14:textId="77777777" w:rsidR="00D63F02" w:rsidRPr="00D638B0" w:rsidRDefault="00D63F02" w:rsidP="00E50798">
            <w:pPr>
              <w:spacing w:line="360" w:lineRule="auto"/>
              <w:ind w:right="175"/>
              <w:jc w:val="right"/>
            </w:pPr>
            <w:r w:rsidRPr="00D638B0">
              <w:t>-</w:t>
            </w:r>
          </w:p>
        </w:tc>
        <w:tc>
          <w:tcPr>
            <w:tcW w:w="1267" w:type="dxa"/>
          </w:tcPr>
          <w:p w14:paraId="7587D424" w14:textId="77777777" w:rsidR="00D63F02" w:rsidRPr="00D638B0" w:rsidRDefault="00D63F02" w:rsidP="00E50798">
            <w:pPr>
              <w:spacing w:line="360" w:lineRule="auto"/>
              <w:ind w:right="216"/>
              <w:jc w:val="right"/>
            </w:pPr>
            <w:r w:rsidRPr="00D638B0">
              <w:t>280</w:t>
            </w:r>
          </w:p>
        </w:tc>
        <w:tc>
          <w:tcPr>
            <w:tcW w:w="1692" w:type="dxa"/>
          </w:tcPr>
          <w:p w14:paraId="76E26070" w14:textId="77777777" w:rsidR="00D63F02" w:rsidRPr="00D638B0" w:rsidRDefault="00D63F02" w:rsidP="000406AD">
            <w:pPr>
              <w:spacing w:line="360" w:lineRule="auto"/>
              <w:jc w:val="center"/>
              <w:rPr>
                <w:rFonts w:ascii="Times New Roman" w:hAnsi="Times New Roman" w:cs="Times New Roman"/>
                <w:color w:val="000000"/>
              </w:rPr>
            </w:pPr>
          </w:p>
        </w:tc>
        <w:tc>
          <w:tcPr>
            <w:tcW w:w="2522" w:type="dxa"/>
          </w:tcPr>
          <w:p w14:paraId="659A9029" w14:textId="77777777" w:rsidR="00D63F02" w:rsidRPr="00D638B0" w:rsidRDefault="00D63F02" w:rsidP="00E50798">
            <w:pPr>
              <w:spacing w:line="360" w:lineRule="auto"/>
            </w:pPr>
            <w:proofErr w:type="spellStart"/>
            <w:r w:rsidRPr="00D638B0">
              <w:t>Bartz</w:t>
            </w:r>
            <w:proofErr w:type="spellEnd"/>
            <w:r w:rsidRPr="00D638B0">
              <w:t xml:space="preserve"> et al 1997, refers to initial reserves hence presumed to be 1983 at field start-up</w:t>
            </w:r>
          </w:p>
        </w:tc>
      </w:tr>
      <w:tr w:rsidR="00D63F02" w:rsidRPr="00D638B0" w14:paraId="0962CF75" w14:textId="77777777" w:rsidTr="000406AD">
        <w:tc>
          <w:tcPr>
            <w:tcW w:w="1160" w:type="dxa"/>
          </w:tcPr>
          <w:p w14:paraId="1A4DDBD8" w14:textId="77777777" w:rsidR="00D63F02" w:rsidRPr="00D638B0" w:rsidRDefault="00D63F02" w:rsidP="00E50798">
            <w:pPr>
              <w:spacing w:line="360" w:lineRule="auto"/>
            </w:pPr>
            <w:r w:rsidRPr="00D638B0">
              <w:t>NW Hutton</w:t>
            </w:r>
          </w:p>
        </w:tc>
        <w:tc>
          <w:tcPr>
            <w:tcW w:w="748" w:type="dxa"/>
          </w:tcPr>
          <w:p w14:paraId="37F7AF08" w14:textId="77777777" w:rsidR="00D63F02" w:rsidRPr="00D638B0" w:rsidRDefault="00D63F02" w:rsidP="00E50798">
            <w:pPr>
              <w:spacing w:line="360" w:lineRule="auto"/>
            </w:pPr>
            <w:r w:rsidRPr="00D638B0">
              <w:t>1983</w:t>
            </w:r>
          </w:p>
        </w:tc>
        <w:tc>
          <w:tcPr>
            <w:tcW w:w="1127" w:type="dxa"/>
          </w:tcPr>
          <w:p w14:paraId="34029D46" w14:textId="77777777" w:rsidR="00D63F02" w:rsidRPr="00D638B0" w:rsidRDefault="00D63F02" w:rsidP="00E50798">
            <w:pPr>
              <w:spacing w:line="360" w:lineRule="auto"/>
              <w:ind w:right="175"/>
              <w:jc w:val="right"/>
            </w:pPr>
            <w:r w:rsidRPr="00D638B0">
              <w:t>995</w:t>
            </w:r>
          </w:p>
        </w:tc>
        <w:tc>
          <w:tcPr>
            <w:tcW w:w="1267" w:type="dxa"/>
          </w:tcPr>
          <w:p w14:paraId="63585853" w14:textId="77777777" w:rsidR="00D63F02" w:rsidRPr="00D638B0" w:rsidRDefault="00D63F02" w:rsidP="00E50798">
            <w:pPr>
              <w:spacing w:line="360" w:lineRule="auto"/>
              <w:ind w:right="216"/>
              <w:jc w:val="right"/>
            </w:pPr>
            <w:r w:rsidRPr="00D638B0">
              <w:t>259</w:t>
            </w:r>
          </w:p>
        </w:tc>
        <w:tc>
          <w:tcPr>
            <w:tcW w:w="1692" w:type="dxa"/>
          </w:tcPr>
          <w:p w14:paraId="4F415672" w14:textId="77777777" w:rsidR="00D63F02" w:rsidRPr="00D638B0" w:rsidRDefault="00801CCF" w:rsidP="000406AD">
            <w:pPr>
              <w:spacing w:line="360" w:lineRule="auto"/>
              <w:jc w:val="center"/>
            </w:pPr>
            <w:r w:rsidRPr="00D638B0">
              <w:t>26%</w:t>
            </w:r>
          </w:p>
        </w:tc>
        <w:tc>
          <w:tcPr>
            <w:tcW w:w="2522" w:type="dxa"/>
          </w:tcPr>
          <w:p w14:paraId="189E3BA4" w14:textId="77777777" w:rsidR="00D63F02" w:rsidRPr="00D638B0" w:rsidRDefault="00D63F02" w:rsidP="00E50798">
            <w:pPr>
              <w:spacing w:line="360" w:lineRule="auto"/>
            </w:pPr>
            <w:r w:rsidRPr="00D638B0">
              <w:t>Amoco Annex B revision, in BP (1999) Cessation of production document</w:t>
            </w:r>
          </w:p>
        </w:tc>
      </w:tr>
      <w:tr w:rsidR="00D63F02" w:rsidRPr="00D638B0" w14:paraId="3FF96B7D" w14:textId="77777777" w:rsidTr="000406AD">
        <w:tc>
          <w:tcPr>
            <w:tcW w:w="1160" w:type="dxa"/>
          </w:tcPr>
          <w:p w14:paraId="2EBD7CEB" w14:textId="77777777" w:rsidR="00D63F02" w:rsidRPr="00D638B0" w:rsidRDefault="00D63F02" w:rsidP="00E50798">
            <w:pPr>
              <w:spacing w:line="360" w:lineRule="auto"/>
            </w:pPr>
            <w:r w:rsidRPr="00D638B0">
              <w:lastRenderedPageBreak/>
              <w:t>NW Hutton</w:t>
            </w:r>
          </w:p>
        </w:tc>
        <w:tc>
          <w:tcPr>
            <w:tcW w:w="748" w:type="dxa"/>
          </w:tcPr>
          <w:p w14:paraId="366E0CCD" w14:textId="77777777" w:rsidR="00D63F02" w:rsidRPr="00D638B0" w:rsidRDefault="00D63F02" w:rsidP="00E50798">
            <w:pPr>
              <w:spacing w:line="360" w:lineRule="auto"/>
            </w:pPr>
            <w:r w:rsidRPr="00D638B0">
              <w:t>1984</w:t>
            </w:r>
          </w:p>
        </w:tc>
        <w:tc>
          <w:tcPr>
            <w:tcW w:w="1127" w:type="dxa"/>
          </w:tcPr>
          <w:p w14:paraId="36EDEE9D" w14:textId="77777777" w:rsidR="00D63F02" w:rsidRPr="00D638B0" w:rsidRDefault="00D63F02" w:rsidP="00E50798">
            <w:pPr>
              <w:spacing w:line="360" w:lineRule="auto"/>
              <w:ind w:right="175"/>
              <w:jc w:val="right"/>
            </w:pPr>
            <w:r w:rsidRPr="00D638B0">
              <w:t>955</w:t>
            </w:r>
          </w:p>
        </w:tc>
        <w:tc>
          <w:tcPr>
            <w:tcW w:w="1267" w:type="dxa"/>
          </w:tcPr>
          <w:p w14:paraId="60E7C437" w14:textId="77777777" w:rsidR="00D63F02" w:rsidRPr="00D638B0" w:rsidRDefault="00D63F02" w:rsidP="00E50798">
            <w:pPr>
              <w:spacing w:line="360" w:lineRule="auto"/>
              <w:ind w:right="216"/>
              <w:jc w:val="right"/>
            </w:pPr>
            <w:r w:rsidRPr="00D638B0">
              <w:t>130</w:t>
            </w:r>
          </w:p>
        </w:tc>
        <w:tc>
          <w:tcPr>
            <w:tcW w:w="1692" w:type="dxa"/>
          </w:tcPr>
          <w:p w14:paraId="365F6140" w14:textId="77777777" w:rsidR="00D63F02" w:rsidRPr="00D638B0" w:rsidRDefault="00801CCF" w:rsidP="000406AD">
            <w:pPr>
              <w:spacing w:line="360" w:lineRule="auto"/>
              <w:jc w:val="center"/>
            </w:pPr>
            <w:r w:rsidRPr="00D638B0">
              <w:t>14%</w:t>
            </w:r>
          </w:p>
        </w:tc>
        <w:tc>
          <w:tcPr>
            <w:tcW w:w="2522" w:type="dxa"/>
          </w:tcPr>
          <w:p w14:paraId="0422A3FA" w14:textId="77777777" w:rsidR="00D63F02" w:rsidRPr="00D638B0" w:rsidRDefault="00D63F02" w:rsidP="00E50798">
            <w:pPr>
              <w:spacing w:line="360" w:lineRule="auto"/>
            </w:pPr>
            <w:r w:rsidRPr="00D638B0">
              <w:t>ERC evaluation for Enterprise Oil, in BP (1999) Cessation of production document</w:t>
            </w:r>
          </w:p>
        </w:tc>
      </w:tr>
      <w:tr w:rsidR="00D63F02" w:rsidRPr="00D638B0" w14:paraId="2F05E413" w14:textId="77777777" w:rsidTr="000406AD">
        <w:tc>
          <w:tcPr>
            <w:tcW w:w="1160" w:type="dxa"/>
          </w:tcPr>
          <w:p w14:paraId="5E9D60B1" w14:textId="77777777" w:rsidR="00D63F02" w:rsidRPr="00D638B0" w:rsidRDefault="00D63F02" w:rsidP="00E50798">
            <w:pPr>
              <w:spacing w:line="360" w:lineRule="auto"/>
            </w:pPr>
            <w:r w:rsidRPr="00D638B0">
              <w:t>NW Hutton</w:t>
            </w:r>
          </w:p>
        </w:tc>
        <w:tc>
          <w:tcPr>
            <w:tcW w:w="748" w:type="dxa"/>
          </w:tcPr>
          <w:p w14:paraId="56934EAD" w14:textId="77777777" w:rsidR="00D63F02" w:rsidRPr="00D638B0" w:rsidRDefault="00D63F02" w:rsidP="00E50798">
            <w:pPr>
              <w:spacing w:line="360" w:lineRule="auto"/>
            </w:pPr>
            <w:r w:rsidRPr="00D638B0">
              <w:t>1989</w:t>
            </w:r>
          </w:p>
        </w:tc>
        <w:tc>
          <w:tcPr>
            <w:tcW w:w="1127" w:type="dxa"/>
          </w:tcPr>
          <w:p w14:paraId="6C3E1DA9" w14:textId="77777777" w:rsidR="00D63F02" w:rsidRPr="00D638B0" w:rsidRDefault="00D63F02" w:rsidP="00E50798">
            <w:pPr>
              <w:spacing w:line="360" w:lineRule="auto"/>
              <w:ind w:right="175"/>
              <w:jc w:val="right"/>
            </w:pPr>
            <w:r w:rsidRPr="00D638B0">
              <w:t>673</w:t>
            </w:r>
          </w:p>
        </w:tc>
        <w:tc>
          <w:tcPr>
            <w:tcW w:w="1267" w:type="dxa"/>
          </w:tcPr>
          <w:p w14:paraId="2604BBEE" w14:textId="77777777" w:rsidR="00D63F02" w:rsidRPr="00D638B0" w:rsidRDefault="00D63F02" w:rsidP="00E50798">
            <w:pPr>
              <w:spacing w:line="360" w:lineRule="auto"/>
              <w:ind w:right="216"/>
              <w:jc w:val="right"/>
            </w:pPr>
            <w:r w:rsidRPr="00D638B0">
              <w:t>120</w:t>
            </w:r>
          </w:p>
        </w:tc>
        <w:tc>
          <w:tcPr>
            <w:tcW w:w="1692" w:type="dxa"/>
          </w:tcPr>
          <w:p w14:paraId="1EAA63B8" w14:textId="77777777" w:rsidR="00D63F02" w:rsidRPr="00D638B0" w:rsidRDefault="00801CCF" w:rsidP="000406AD">
            <w:pPr>
              <w:spacing w:line="360" w:lineRule="auto"/>
              <w:jc w:val="center"/>
            </w:pPr>
            <w:r w:rsidRPr="00D638B0">
              <w:t>18%</w:t>
            </w:r>
          </w:p>
        </w:tc>
        <w:tc>
          <w:tcPr>
            <w:tcW w:w="2522" w:type="dxa"/>
          </w:tcPr>
          <w:p w14:paraId="09C03D8C" w14:textId="77777777" w:rsidR="00D63F02" w:rsidRPr="00D638B0" w:rsidRDefault="00D63F02" w:rsidP="00E50798">
            <w:pPr>
              <w:spacing w:line="360" w:lineRule="auto"/>
            </w:pPr>
            <w:r w:rsidRPr="00D638B0">
              <w:t>Amoco report, in BP (1999) Cessation of production document</w:t>
            </w:r>
          </w:p>
        </w:tc>
      </w:tr>
      <w:tr w:rsidR="00D63F02" w:rsidRPr="00D638B0" w14:paraId="4C473676" w14:textId="77777777" w:rsidTr="000406AD">
        <w:tc>
          <w:tcPr>
            <w:tcW w:w="1160" w:type="dxa"/>
          </w:tcPr>
          <w:p w14:paraId="100B79EF" w14:textId="77777777" w:rsidR="00D63F02" w:rsidRPr="00D638B0" w:rsidRDefault="00D63F02" w:rsidP="00E50798">
            <w:pPr>
              <w:spacing w:line="360" w:lineRule="auto"/>
            </w:pPr>
            <w:r w:rsidRPr="00D638B0">
              <w:t>NW Hutton</w:t>
            </w:r>
          </w:p>
        </w:tc>
        <w:tc>
          <w:tcPr>
            <w:tcW w:w="748" w:type="dxa"/>
          </w:tcPr>
          <w:p w14:paraId="23516ED0" w14:textId="77777777" w:rsidR="00D63F02" w:rsidRPr="00D638B0" w:rsidRDefault="00D63F02" w:rsidP="00E50798">
            <w:pPr>
              <w:spacing w:line="360" w:lineRule="auto"/>
            </w:pPr>
            <w:r w:rsidRPr="00D638B0">
              <w:t>1991</w:t>
            </w:r>
          </w:p>
        </w:tc>
        <w:tc>
          <w:tcPr>
            <w:tcW w:w="1127" w:type="dxa"/>
          </w:tcPr>
          <w:p w14:paraId="0614E2C1" w14:textId="77777777" w:rsidR="00D63F02" w:rsidRPr="00D638B0" w:rsidRDefault="00D63F02" w:rsidP="00E50798">
            <w:pPr>
              <w:spacing w:line="360" w:lineRule="auto"/>
              <w:ind w:right="175"/>
              <w:jc w:val="right"/>
            </w:pPr>
            <w:r w:rsidRPr="00D638B0">
              <w:t>935</w:t>
            </w:r>
          </w:p>
        </w:tc>
        <w:tc>
          <w:tcPr>
            <w:tcW w:w="1267" w:type="dxa"/>
          </w:tcPr>
          <w:p w14:paraId="6A4BBAA3" w14:textId="77777777" w:rsidR="00D63F02" w:rsidRPr="00D638B0" w:rsidRDefault="00D63F02" w:rsidP="00E50798">
            <w:pPr>
              <w:spacing w:line="360" w:lineRule="auto"/>
              <w:ind w:right="216"/>
              <w:jc w:val="right"/>
            </w:pPr>
            <w:r w:rsidRPr="00D638B0">
              <w:t>136</w:t>
            </w:r>
          </w:p>
        </w:tc>
        <w:tc>
          <w:tcPr>
            <w:tcW w:w="1692" w:type="dxa"/>
          </w:tcPr>
          <w:p w14:paraId="7643E5B7" w14:textId="77777777" w:rsidR="00D63F02" w:rsidRPr="00D638B0" w:rsidRDefault="00801CCF" w:rsidP="000406AD">
            <w:pPr>
              <w:spacing w:line="360" w:lineRule="auto"/>
              <w:jc w:val="center"/>
            </w:pPr>
            <w:r w:rsidRPr="00D638B0">
              <w:t>15%</w:t>
            </w:r>
          </w:p>
        </w:tc>
        <w:tc>
          <w:tcPr>
            <w:tcW w:w="2522" w:type="dxa"/>
          </w:tcPr>
          <w:p w14:paraId="25D089E7" w14:textId="77777777" w:rsidR="00D63F02" w:rsidRPr="00D638B0" w:rsidRDefault="00D63F02" w:rsidP="00E50798">
            <w:pPr>
              <w:spacing w:line="360" w:lineRule="auto"/>
            </w:pPr>
            <w:proofErr w:type="spellStart"/>
            <w:r w:rsidRPr="00D638B0">
              <w:t>Johnes</w:t>
            </w:r>
            <w:proofErr w:type="spellEnd"/>
            <w:r w:rsidRPr="00D638B0">
              <w:t xml:space="preserve"> and </w:t>
            </w:r>
            <w:proofErr w:type="spellStart"/>
            <w:r w:rsidRPr="00D638B0">
              <w:t>Gauer</w:t>
            </w:r>
            <w:proofErr w:type="spellEnd"/>
            <w:r w:rsidRPr="00D638B0">
              <w:t>, 1991</w:t>
            </w:r>
          </w:p>
        </w:tc>
      </w:tr>
      <w:tr w:rsidR="00D63F02" w:rsidRPr="00D638B0" w14:paraId="696349C7" w14:textId="77777777" w:rsidTr="000406AD">
        <w:tc>
          <w:tcPr>
            <w:tcW w:w="1160" w:type="dxa"/>
          </w:tcPr>
          <w:p w14:paraId="63013B03" w14:textId="77777777" w:rsidR="00D63F02" w:rsidRPr="00D638B0" w:rsidRDefault="00D63F02" w:rsidP="00E50798">
            <w:pPr>
              <w:spacing w:line="360" w:lineRule="auto"/>
            </w:pPr>
            <w:r w:rsidRPr="00D638B0">
              <w:t>NW Hutton</w:t>
            </w:r>
          </w:p>
        </w:tc>
        <w:tc>
          <w:tcPr>
            <w:tcW w:w="748" w:type="dxa"/>
          </w:tcPr>
          <w:p w14:paraId="4141BC61" w14:textId="77777777" w:rsidR="00D63F02" w:rsidRPr="00D638B0" w:rsidRDefault="00D63F02" w:rsidP="00E50798">
            <w:pPr>
              <w:spacing w:line="360" w:lineRule="auto"/>
            </w:pPr>
            <w:r w:rsidRPr="00D638B0">
              <w:t>1997</w:t>
            </w:r>
          </w:p>
        </w:tc>
        <w:tc>
          <w:tcPr>
            <w:tcW w:w="1127" w:type="dxa"/>
          </w:tcPr>
          <w:p w14:paraId="11E4AA5C" w14:textId="77777777" w:rsidR="00D63F02" w:rsidRPr="00D638B0" w:rsidRDefault="00D63F02" w:rsidP="00E50798">
            <w:pPr>
              <w:spacing w:line="360" w:lineRule="auto"/>
              <w:ind w:right="175"/>
              <w:jc w:val="right"/>
            </w:pPr>
            <w:r w:rsidRPr="00D638B0">
              <w:t>576</w:t>
            </w:r>
          </w:p>
        </w:tc>
        <w:tc>
          <w:tcPr>
            <w:tcW w:w="1267" w:type="dxa"/>
          </w:tcPr>
          <w:p w14:paraId="0C684C17" w14:textId="77777777" w:rsidR="00D63F02" w:rsidRPr="00D638B0" w:rsidRDefault="00D63F02" w:rsidP="00E50798">
            <w:pPr>
              <w:spacing w:line="360" w:lineRule="auto"/>
              <w:ind w:right="216"/>
              <w:jc w:val="right"/>
            </w:pPr>
            <w:r w:rsidRPr="00D638B0">
              <w:t>108</w:t>
            </w:r>
          </w:p>
        </w:tc>
        <w:tc>
          <w:tcPr>
            <w:tcW w:w="1692" w:type="dxa"/>
          </w:tcPr>
          <w:p w14:paraId="183BB878" w14:textId="77777777" w:rsidR="00D63F02" w:rsidRPr="00D638B0" w:rsidRDefault="00801CCF" w:rsidP="000406AD">
            <w:pPr>
              <w:spacing w:line="360" w:lineRule="auto"/>
              <w:jc w:val="center"/>
            </w:pPr>
            <w:r w:rsidRPr="00D638B0">
              <w:t>19%</w:t>
            </w:r>
          </w:p>
        </w:tc>
        <w:tc>
          <w:tcPr>
            <w:tcW w:w="2522" w:type="dxa"/>
          </w:tcPr>
          <w:p w14:paraId="46208A37" w14:textId="77777777" w:rsidR="00D63F02" w:rsidRPr="00D638B0" w:rsidRDefault="00D63F02" w:rsidP="00E50798">
            <w:pPr>
              <w:spacing w:line="360" w:lineRule="auto"/>
            </w:pPr>
            <w:r w:rsidRPr="00D638B0">
              <w:t>Amoco draft cessation of production document, in BP (1999) Cessation of production document</w:t>
            </w:r>
          </w:p>
        </w:tc>
      </w:tr>
      <w:tr w:rsidR="00D63F02" w:rsidRPr="00D638B0" w14:paraId="1CF97A20" w14:textId="77777777" w:rsidTr="000406AD">
        <w:tc>
          <w:tcPr>
            <w:tcW w:w="1160" w:type="dxa"/>
          </w:tcPr>
          <w:p w14:paraId="2112436B" w14:textId="77777777" w:rsidR="00D63F02" w:rsidRPr="00D638B0" w:rsidRDefault="00D63F02" w:rsidP="00E50798">
            <w:pPr>
              <w:spacing w:line="360" w:lineRule="auto"/>
            </w:pPr>
            <w:r w:rsidRPr="00D638B0">
              <w:t>NW Hutton + Darwin</w:t>
            </w:r>
          </w:p>
        </w:tc>
        <w:tc>
          <w:tcPr>
            <w:tcW w:w="748" w:type="dxa"/>
          </w:tcPr>
          <w:p w14:paraId="54B11778" w14:textId="77777777" w:rsidR="00D63F02" w:rsidRPr="00D638B0" w:rsidRDefault="00D63F02" w:rsidP="00E50798">
            <w:pPr>
              <w:spacing w:line="360" w:lineRule="auto"/>
            </w:pPr>
            <w:r w:rsidRPr="00D638B0">
              <w:t>2012</w:t>
            </w:r>
          </w:p>
        </w:tc>
        <w:tc>
          <w:tcPr>
            <w:tcW w:w="1127" w:type="dxa"/>
          </w:tcPr>
          <w:p w14:paraId="28DE27E5" w14:textId="77777777" w:rsidR="00D63F02" w:rsidRPr="00D638B0" w:rsidRDefault="00D63F02" w:rsidP="00E50798">
            <w:pPr>
              <w:spacing w:line="360" w:lineRule="auto"/>
              <w:ind w:right="175"/>
              <w:jc w:val="right"/>
            </w:pPr>
            <w:r w:rsidRPr="00D638B0">
              <w:t>1225</w:t>
            </w:r>
          </w:p>
        </w:tc>
        <w:tc>
          <w:tcPr>
            <w:tcW w:w="1267" w:type="dxa"/>
          </w:tcPr>
          <w:p w14:paraId="6DAD32BD" w14:textId="77777777" w:rsidR="00D63F02" w:rsidRPr="00D638B0" w:rsidRDefault="00D63F02" w:rsidP="00E50798">
            <w:pPr>
              <w:spacing w:line="360" w:lineRule="auto"/>
              <w:ind w:right="216"/>
              <w:jc w:val="right"/>
            </w:pPr>
            <w:r w:rsidRPr="00D638B0">
              <w:t>-</w:t>
            </w:r>
          </w:p>
        </w:tc>
        <w:tc>
          <w:tcPr>
            <w:tcW w:w="1692" w:type="dxa"/>
          </w:tcPr>
          <w:p w14:paraId="28805F7E" w14:textId="77777777" w:rsidR="00D63F02" w:rsidRPr="00D638B0" w:rsidRDefault="00D63F02" w:rsidP="000406AD">
            <w:pPr>
              <w:spacing w:line="360" w:lineRule="auto"/>
              <w:jc w:val="center"/>
              <w:rPr>
                <w:rFonts w:ascii="Times New Roman" w:hAnsi="Times New Roman" w:cs="Times New Roman"/>
                <w:color w:val="000000"/>
              </w:rPr>
            </w:pPr>
          </w:p>
        </w:tc>
        <w:tc>
          <w:tcPr>
            <w:tcW w:w="2522" w:type="dxa"/>
          </w:tcPr>
          <w:p w14:paraId="5FDC2EBA" w14:textId="77777777" w:rsidR="00D63F02" w:rsidRPr="00D638B0" w:rsidRDefault="00D63F02" w:rsidP="00E50798">
            <w:pPr>
              <w:spacing w:line="360" w:lineRule="auto"/>
            </w:pPr>
            <w:r w:rsidRPr="00D638B0">
              <w:t>TAQA (2016) pre-drill wells 13, 13z and 14</w:t>
            </w:r>
          </w:p>
        </w:tc>
      </w:tr>
      <w:tr w:rsidR="00D63F02" w:rsidRPr="00D638B0" w14:paraId="657A4C74" w14:textId="77777777" w:rsidTr="000406AD">
        <w:tc>
          <w:tcPr>
            <w:tcW w:w="1160" w:type="dxa"/>
          </w:tcPr>
          <w:p w14:paraId="29CEEE53" w14:textId="77777777" w:rsidR="00D63F02" w:rsidRPr="00D638B0" w:rsidRDefault="00D63F02" w:rsidP="00E50798">
            <w:pPr>
              <w:spacing w:line="360" w:lineRule="auto"/>
            </w:pPr>
            <w:r w:rsidRPr="00D638B0">
              <w:t>NW Hutton + Darwin</w:t>
            </w:r>
          </w:p>
        </w:tc>
        <w:tc>
          <w:tcPr>
            <w:tcW w:w="748" w:type="dxa"/>
          </w:tcPr>
          <w:p w14:paraId="0299B1AF" w14:textId="77777777" w:rsidR="00D63F02" w:rsidRPr="00D638B0" w:rsidRDefault="00D63F02" w:rsidP="00E50798">
            <w:pPr>
              <w:spacing w:line="360" w:lineRule="auto"/>
            </w:pPr>
            <w:r w:rsidRPr="00D638B0">
              <w:t>2013</w:t>
            </w:r>
          </w:p>
        </w:tc>
        <w:tc>
          <w:tcPr>
            <w:tcW w:w="1127" w:type="dxa"/>
          </w:tcPr>
          <w:p w14:paraId="5D423DA5" w14:textId="77777777" w:rsidR="00D63F02" w:rsidRPr="00D638B0" w:rsidRDefault="00D63F02" w:rsidP="00E50798">
            <w:pPr>
              <w:spacing w:line="360" w:lineRule="auto"/>
              <w:ind w:right="175"/>
              <w:jc w:val="right"/>
            </w:pPr>
            <w:r w:rsidRPr="00D638B0">
              <w:t>847</w:t>
            </w:r>
          </w:p>
        </w:tc>
        <w:tc>
          <w:tcPr>
            <w:tcW w:w="1267" w:type="dxa"/>
          </w:tcPr>
          <w:p w14:paraId="5143D030" w14:textId="77777777" w:rsidR="00D63F02" w:rsidRPr="00D638B0" w:rsidRDefault="00D63F02" w:rsidP="00E50798">
            <w:pPr>
              <w:spacing w:line="360" w:lineRule="auto"/>
              <w:ind w:right="216"/>
              <w:jc w:val="right"/>
            </w:pPr>
            <w:r w:rsidRPr="00D638B0">
              <w:t>-</w:t>
            </w:r>
          </w:p>
        </w:tc>
        <w:tc>
          <w:tcPr>
            <w:tcW w:w="1692" w:type="dxa"/>
          </w:tcPr>
          <w:p w14:paraId="3196ABD6" w14:textId="77777777" w:rsidR="00D63F02" w:rsidRPr="00D638B0" w:rsidRDefault="00D63F02" w:rsidP="000406AD">
            <w:pPr>
              <w:spacing w:line="360" w:lineRule="auto"/>
              <w:jc w:val="center"/>
              <w:rPr>
                <w:rFonts w:ascii="Times New Roman" w:hAnsi="Times New Roman" w:cs="Times New Roman"/>
                <w:color w:val="000000"/>
              </w:rPr>
            </w:pPr>
          </w:p>
        </w:tc>
        <w:tc>
          <w:tcPr>
            <w:tcW w:w="2522" w:type="dxa"/>
          </w:tcPr>
          <w:p w14:paraId="7C4B07E1" w14:textId="77777777" w:rsidR="00D63F02" w:rsidRPr="00D638B0" w:rsidRDefault="00D63F02" w:rsidP="00E50798">
            <w:pPr>
              <w:spacing w:line="360" w:lineRule="auto"/>
            </w:pPr>
            <w:r w:rsidRPr="00D638B0">
              <w:t>TAQA (2016) post-drill wells 13, 13z and 14</w:t>
            </w:r>
          </w:p>
        </w:tc>
      </w:tr>
      <w:tr w:rsidR="00D63F02" w:rsidRPr="00D638B0" w14:paraId="2C1053B8" w14:textId="77777777" w:rsidTr="000406AD">
        <w:tc>
          <w:tcPr>
            <w:tcW w:w="1160" w:type="dxa"/>
          </w:tcPr>
          <w:p w14:paraId="1FD3F8F3" w14:textId="77777777" w:rsidR="00D63F02" w:rsidRPr="00D638B0" w:rsidRDefault="00D63F02" w:rsidP="00E50798">
            <w:pPr>
              <w:spacing w:line="360" w:lineRule="auto"/>
            </w:pPr>
            <w:r w:rsidRPr="00D638B0">
              <w:t>Darwin</w:t>
            </w:r>
          </w:p>
        </w:tc>
        <w:tc>
          <w:tcPr>
            <w:tcW w:w="748" w:type="dxa"/>
          </w:tcPr>
          <w:p w14:paraId="220250F4" w14:textId="77777777" w:rsidR="00D63F02" w:rsidRPr="00D638B0" w:rsidRDefault="00D63F02" w:rsidP="00E50798">
            <w:pPr>
              <w:spacing w:line="360" w:lineRule="auto"/>
            </w:pPr>
            <w:r w:rsidRPr="00D638B0">
              <w:t>2012</w:t>
            </w:r>
          </w:p>
        </w:tc>
        <w:tc>
          <w:tcPr>
            <w:tcW w:w="1127" w:type="dxa"/>
          </w:tcPr>
          <w:p w14:paraId="4DE86FD7" w14:textId="77777777" w:rsidR="00D63F02" w:rsidRPr="00D638B0" w:rsidRDefault="00D63F02" w:rsidP="00E50798">
            <w:pPr>
              <w:spacing w:line="360" w:lineRule="auto"/>
              <w:ind w:right="175"/>
              <w:jc w:val="right"/>
            </w:pPr>
            <w:r w:rsidRPr="00D638B0">
              <w:t>198</w:t>
            </w:r>
          </w:p>
        </w:tc>
        <w:tc>
          <w:tcPr>
            <w:tcW w:w="1267" w:type="dxa"/>
          </w:tcPr>
          <w:p w14:paraId="691764B8" w14:textId="77777777" w:rsidR="00D63F02" w:rsidRPr="00D638B0" w:rsidRDefault="00D63F02" w:rsidP="00E50798">
            <w:pPr>
              <w:spacing w:line="360" w:lineRule="auto"/>
              <w:ind w:right="216"/>
              <w:jc w:val="right"/>
            </w:pPr>
            <w:r w:rsidRPr="00D638B0">
              <w:t>-</w:t>
            </w:r>
          </w:p>
        </w:tc>
        <w:tc>
          <w:tcPr>
            <w:tcW w:w="1692" w:type="dxa"/>
          </w:tcPr>
          <w:p w14:paraId="417FC9F9" w14:textId="77777777" w:rsidR="00D63F02" w:rsidRPr="00D638B0" w:rsidRDefault="00D63F02" w:rsidP="000406AD">
            <w:pPr>
              <w:spacing w:line="360" w:lineRule="auto"/>
              <w:jc w:val="center"/>
              <w:rPr>
                <w:rFonts w:ascii="Times New Roman" w:hAnsi="Times New Roman" w:cs="Times New Roman"/>
                <w:color w:val="000000"/>
              </w:rPr>
            </w:pPr>
          </w:p>
        </w:tc>
        <w:tc>
          <w:tcPr>
            <w:tcW w:w="2522" w:type="dxa"/>
          </w:tcPr>
          <w:p w14:paraId="5E743B35" w14:textId="77777777" w:rsidR="00D63F02" w:rsidRPr="00D638B0" w:rsidRDefault="00D63F02" w:rsidP="00E50798">
            <w:pPr>
              <w:spacing w:line="360" w:lineRule="auto"/>
            </w:pPr>
            <w:r w:rsidRPr="00D638B0">
              <w:t>TAQA (2016) pre-drill wells 13, 13z and 14</w:t>
            </w:r>
          </w:p>
        </w:tc>
      </w:tr>
      <w:tr w:rsidR="00D63F02" w:rsidRPr="00D638B0" w14:paraId="24235D14" w14:textId="77777777" w:rsidTr="000406AD">
        <w:tc>
          <w:tcPr>
            <w:tcW w:w="1160" w:type="dxa"/>
          </w:tcPr>
          <w:p w14:paraId="0968902A" w14:textId="77777777" w:rsidR="00D63F02" w:rsidRPr="00D638B0" w:rsidRDefault="00D63F02" w:rsidP="00E50798">
            <w:pPr>
              <w:spacing w:line="360" w:lineRule="auto"/>
            </w:pPr>
            <w:r w:rsidRPr="00D638B0">
              <w:t>Darwin</w:t>
            </w:r>
          </w:p>
        </w:tc>
        <w:tc>
          <w:tcPr>
            <w:tcW w:w="748" w:type="dxa"/>
          </w:tcPr>
          <w:p w14:paraId="0B6F5854" w14:textId="77777777" w:rsidR="00D63F02" w:rsidRPr="00D638B0" w:rsidRDefault="00D63F02" w:rsidP="00E50798">
            <w:pPr>
              <w:spacing w:line="360" w:lineRule="auto"/>
            </w:pPr>
            <w:r w:rsidRPr="00D638B0">
              <w:t>2013</w:t>
            </w:r>
          </w:p>
        </w:tc>
        <w:tc>
          <w:tcPr>
            <w:tcW w:w="1127" w:type="dxa"/>
          </w:tcPr>
          <w:p w14:paraId="499C436A" w14:textId="77777777" w:rsidR="00D63F02" w:rsidRPr="00D638B0" w:rsidRDefault="00D63F02" w:rsidP="00E50798">
            <w:pPr>
              <w:spacing w:line="360" w:lineRule="auto"/>
              <w:ind w:right="175"/>
              <w:jc w:val="right"/>
            </w:pPr>
            <w:r w:rsidRPr="00D638B0">
              <w:t>46</w:t>
            </w:r>
          </w:p>
        </w:tc>
        <w:tc>
          <w:tcPr>
            <w:tcW w:w="1267" w:type="dxa"/>
          </w:tcPr>
          <w:p w14:paraId="0AD31C7E" w14:textId="77777777" w:rsidR="00D63F02" w:rsidRPr="00D638B0" w:rsidRDefault="00D63F02" w:rsidP="00E50798">
            <w:pPr>
              <w:spacing w:line="360" w:lineRule="auto"/>
              <w:ind w:right="216"/>
              <w:jc w:val="right"/>
            </w:pPr>
            <w:r w:rsidRPr="00D638B0">
              <w:t>-</w:t>
            </w:r>
          </w:p>
        </w:tc>
        <w:tc>
          <w:tcPr>
            <w:tcW w:w="1692" w:type="dxa"/>
          </w:tcPr>
          <w:p w14:paraId="5FF8BF39" w14:textId="77777777" w:rsidR="00D63F02" w:rsidRPr="00D638B0" w:rsidRDefault="00D63F02" w:rsidP="000406AD">
            <w:pPr>
              <w:spacing w:line="360" w:lineRule="auto"/>
              <w:jc w:val="center"/>
              <w:rPr>
                <w:rFonts w:ascii="Times New Roman" w:hAnsi="Times New Roman" w:cs="Times New Roman"/>
                <w:color w:val="000000"/>
              </w:rPr>
            </w:pPr>
          </w:p>
        </w:tc>
        <w:tc>
          <w:tcPr>
            <w:tcW w:w="2522" w:type="dxa"/>
          </w:tcPr>
          <w:p w14:paraId="64CCE969" w14:textId="77777777" w:rsidR="00D63F02" w:rsidRPr="00D638B0" w:rsidRDefault="00D63F02" w:rsidP="00E50798">
            <w:pPr>
              <w:spacing w:line="360" w:lineRule="auto"/>
            </w:pPr>
            <w:r w:rsidRPr="00D638B0">
              <w:t>TAQA (2016) post-drill wells 13, 13z and 14</w:t>
            </w:r>
          </w:p>
        </w:tc>
      </w:tr>
    </w:tbl>
    <w:p w14:paraId="7BB68C5F" w14:textId="77777777" w:rsidR="004F04A0" w:rsidRPr="00D638B0" w:rsidRDefault="004F04A0" w:rsidP="00E50798">
      <w:pPr>
        <w:spacing w:line="360" w:lineRule="auto"/>
      </w:pPr>
    </w:p>
    <w:p w14:paraId="25341CFD" w14:textId="77777777" w:rsidR="00632FBB" w:rsidRPr="00D638B0" w:rsidRDefault="00632FBB" w:rsidP="00E50798">
      <w:pPr>
        <w:pStyle w:val="Heading2"/>
        <w:spacing w:line="360" w:lineRule="auto"/>
      </w:pPr>
      <w:r w:rsidRPr="00D638B0">
        <w:t>Production</w:t>
      </w:r>
    </w:p>
    <w:p w14:paraId="5B48CEC8" w14:textId="77777777" w:rsidR="00014F8B" w:rsidRPr="00D638B0" w:rsidRDefault="00014F8B" w:rsidP="00E50798">
      <w:pPr>
        <w:spacing w:line="360" w:lineRule="auto"/>
      </w:pPr>
    </w:p>
    <w:p w14:paraId="1331A354" w14:textId="3C414ADD" w:rsidR="00014F8B" w:rsidRPr="00D638B0" w:rsidRDefault="00014F8B" w:rsidP="00E50798">
      <w:pPr>
        <w:spacing w:line="360" w:lineRule="auto"/>
      </w:pPr>
      <w:r w:rsidRPr="00D638B0">
        <w:t>Production from NW Hutton began in April 1983</w:t>
      </w:r>
      <w:r w:rsidR="0075383D" w:rsidRPr="00D638B0">
        <w:t xml:space="preserve"> and</w:t>
      </w:r>
      <w:r w:rsidRPr="00D638B0">
        <w:t xml:space="preserve"> from Hutton in August 1984</w:t>
      </w:r>
      <w:r w:rsidR="00311F78" w:rsidRPr="00D638B0">
        <w:t xml:space="preserve"> (Figure </w:t>
      </w:r>
      <w:r w:rsidR="00A27909">
        <w:t>8</w:t>
      </w:r>
      <w:r w:rsidR="00311F78" w:rsidRPr="00D638B0">
        <w:t>)</w:t>
      </w:r>
      <w:r w:rsidRPr="00D638B0">
        <w:t xml:space="preserve">. Hutton was six months later than </w:t>
      </w:r>
      <w:r w:rsidR="000A20ED" w:rsidRPr="00D638B0">
        <w:t>planned because of fabrication prob</w:t>
      </w:r>
      <w:r w:rsidRPr="00D638B0">
        <w:t>lems with the hull for the tension leg platform</w:t>
      </w:r>
      <w:r w:rsidR="000A20ED" w:rsidRPr="00D638B0">
        <w:t>.  However, it was NW Hutton which was to prove the most problematic of the two fields.</w:t>
      </w:r>
    </w:p>
    <w:p w14:paraId="72538ABB" w14:textId="77777777" w:rsidR="00311F78" w:rsidRPr="00D638B0" w:rsidRDefault="00311F78" w:rsidP="00E50798">
      <w:pPr>
        <w:spacing w:line="360" w:lineRule="auto"/>
      </w:pPr>
    </w:p>
    <w:p w14:paraId="09FE1123" w14:textId="77777777" w:rsidR="00BA6EF5" w:rsidRPr="00D638B0" w:rsidRDefault="00BA6EF5" w:rsidP="00F25B48">
      <w:pPr>
        <w:pStyle w:val="Heading3"/>
      </w:pPr>
      <w:r w:rsidRPr="00D638B0">
        <w:t>NW Hutton</w:t>
      </w:r>
    </w:p>
    <w:p w14:paraId="72E42016" w14:textId="2FE1C1D9" w:rsidR="00311F78" w:rsidRPr="00D638B0" w:rsidRDefault="00311F78" w:rsidP="00E50798">
      <w:pPr>
        <w:spacing w:line="360" w:lineRule="auto"/>
      </w:pPr>
      <w:r w:rsidRPr="00D638B0">
        <w:rPr>
          <w:b/>
        </w:rPr>
        <w:t xml:space="preserve">Figure </w:t>
      </w:r>
      <w:r w:rsidR="00A27909">
        <w:rPr>
          <w:b/>
        </w:rPr>
        <w:t>8</w:t>
      </w:r>
      <w:r w:rsidRPr="00D638B0">
        <w:t xml:space="preserve"> </w:t>
      </w:r>
      <w:r w:rsidR="00D342C8" w:rsidRPr="00D638B0">
        <w:t>Here</w:t>
      </w:r>
    </w:p>
    <w:p w14:paraId="34AFEAEC" w14:textId="77777777" w:rsidR="000A20ED" w:rsidRPr="00D638B0" w:rsidRDefault="000A20ED" w:rsidP="00E50798">
      <w:pPr>
        <w:spacing w:line="360" w:lineRule="auto"/>
      </w:pPr>
    </w:p>
    <w:p w14:paraId="5BD42E2F" w14:textId="11ED5BB1" w:rsidR="00C453F5" w:rsidRPr="00D638B0" w:rsidRDefault="000A20ED" w:rsidP="00E50798">
      <w:pPr>
        <w:spacing w:line="360" w:lineRule="auto"/>
      </w:pPr>
      <w:r w:rsidRPr="00D638B0">
        <w:t xml:space="preserve">The production rate from NW Hutton built up quickly as the pre-drilled wells were brought on stream.  </w:t>
      </w:r>
      <w:r w:rsidR="00DF30D4" w:rsidRPr="00D638B0">
        <w:t>The planned plateau rate was 100,000</w:t>
      </w:r>
      <w:r w:rsidR="00F21B8C" w:rsidRPr="00D638B0">
        <w:t xml:space="preserve"> </w:t>
      </w:r>
      <w:proofErr w:type="spellStart"/>
      <w:r w:rsidR="00F21B8C" w:rsidRPr="00D638B0">
        <w:t>bopd</w:t>
      </w:r>
      <w:proofErr w:type="spellEnd"/>
      <w:r w:rsidR="00DF30D4" w:rsidRPr="00D638B0">
        <w:t xml:space="preserve"> </w:t>
      </w:r>
      <w:r w:rsidR="007F588F" w:rsidRPr="00D638B0">
        <w:t xml:space="preserve">(barrels of oil per day) </w:t>
      </w:r>
      <w:r w:rsidR="00DF30D4" w:rsidRPr="00D638B0">
        <w:t xml:space="preserve">but the </w:t>
      </w:r>
      <w:r w:rsidR="00F21B8C" w:rsidRPr="00D638B0">
        <w:t>instantaneous daily rate peaked at 86</w:t>
      </w:r>
      <w:r w:rsidR="002A5834" w:rsidRPr="00D638B0">
        <w:t>,</w:t>
      </w:r>
      <w:r w:rsidR="00F21B8C" w:rsidRPr="00D638B0">
        <w:t xml:space="preserve">500 </w:t>
      </w:r>
      <w:proofErr w:type="spellStart"/>
      <w:r w:rsidR="00F21B8C" w:rsidRPr="00D638B0">
        <w:t>bopd</w:t>
      </w:r>
      <w:proofErr w:type="spellEnd"/>
      <w:r w:rsidR="00F21B8C" w:rsidRPr="00D638B0">
        <w:t xml:space="preserve"> </w:t>
      </w:r>
      <w:r w:rsidR="00DF30D4" w:rsidRPr="00D638B0">
        <w:t>production</w:t>
      </w:r>
      <w:r w:rsidR="00F21B8C" w:rsidRPr="00D638B0">
        <w:t xml:space="preserve"> in May 1983. Peak monthly field production</w:t>
      </w:r>
      <w:r w:rsidR="00DF30D4" w:rsidRPr="00D638B0">
        <w:t xml:space="preserve"> was 68,211 </w:t>
      </w:r>
      <w:proofErr w:type="spellStart"/>
      <w:r w:rsidR="00DF30D4" w:rsidRPr="00D638B0">
        <w:t>bopd</w:t>
      </w:r>
      <w:proofErr w:type="spellEnd"/>
      <w:r w:rsidR="00DF30D4" w:rsidRPr="00D638B0">
        <w:t xml:space="preserve"> in June 1983 </w:t>
      </w:r>
      <w:r w:rsidR="002A5834" w:rsidRPr="00D638B0">
        <w:t>but</w:t>
      </w:r>
      <w:r w:rsidR="00DF30D4" w:rsidRPr="00D638B0">
        <w:t xml:space="preserve"> there was no </w:t>
      </w:r>
      <w:r w:rsidR="007F588F" w:rsidRPr="00D638B0">
        <w:t xml:space="preserve">natural </w:t>
      </w:r>
      <w:r w:rsidR="00DF30D4" w:rsidRPr="00D638B0">
        <w:t xml:space="preserve">plateau.  Production rate fell rapidly to 50,000 </w:t>
      </w:r>
      <w:proofErr w:type="spellStart"/>
      <w:r w:rsidR="00DF30D4" w:rsidRPr="00D638B0">
        <w:t>bopd</w:t>
      </w:r>
      <w:proofErr w:type="spellEnd"/>
      <w:r w:rsidR="00DF30D4" w:rsidRPr="00D638B0">
        <w:t xml:space="preserve"> (</w:t>
      </w:r>
      <w:r w:rsidR="007202B6" w:rsidRPr="00D638B0">
        <w:t>September 1983) but was then maintained at above 4</w:t>
      </w:r>
      <w:r w:rsidR="00C453F5" w:rsidRPr="00D638B0">
        <w:t xml:space="preserve">0,000 </w:t>
      </w:r>
      <w:proofErr w:type="spellStart"/>
      <w:r w:rsidR="00C453F5" w:rsidRPr="00D638B0">
        <w:t>bopd</w:t>
      </w:r>
      <w:proofErr w:type="spellEnd"/>
      <w:r w:rsidR="00C453F5" w:rsidRPr="00D638B0">
        <w:t xml:space="preserve"> until the end of 1986</w:t>
      </w:r>
      <w:r w:rsidR="007202B6" w:rsidRPr="00D638B0">
        <w:t xml:space="preserve">.  During this period the full-field production rate was unstable as the operators tried to maintain production levels while the field pressure declined rapidly.  Many wells showed production profiles highly typical of wells draining limited rock volumes; a high initial rate (in excess of 20,000 </w:t>
      </w:r>
      <w:proofErr w:type="spellStart"/>
      <w:r w:rsidR="007202B6" w:rsidRPr="00D638B0">
        <w:t>bopd</w:t>
      </w:r>
      <w:proofErr w:type="spellEnd"/>
      <w:r w:rsidR="007202B6" w:rsidRPr="00D638B0">
        <w:t xml:space="preserve"> in a few wells) followed by rapid decline in both rate and well pressure while the gas-oil ratio of the produced fluid </w:t>
      </w:r>
      <w:r w:rsidR="00476427" w:rsidRPr="00D638B0">
        <w:t>increased by a factor of two or three</w:t>
      </w:r>
      <w:r w:rsidR="007202B6" w:rsidRPr="00D638B0">
        <w:t>.  Rarely was much water produced.  The declining production prompted the operator to reconfigure wells from oil production to water injection</w:t>
      </w:r>
      <w:r w:rsidR="00476427" w:rsidRPr="00D638B0">
        <w:t xml:space="preserve"> and thus give pressure support</w:t>
      </w:r>
      <w:r w:rsidR="007202B6" w:rsidRPr="00D638B0">
        <w:t xml:space="preserve">.  This was the case for well 211/27a-A5, one of the original pre-drilled production wells.  It came on stream at field start-up and </w:t>
      </w:r>
      <w:r w:rsidR="00C453F5" w:rsidRPr="00D638B0">
        <w:t>averaged</w:t>
      </w:r>
      <w:r w:rsidR="007202B6" w:rsidRPr="00D638B0">
        <w:t xml:space="preserve"> 20,</w:t>
      </w:r>
      <w:r w:rsidR="00C453F5" w:rsidRPr="00D638B0">
        <w:t>436 </w:t>
      </w:r>
      <w:proofErr w:type="spellStart"/>
      <w:r w:rsidR="00C453F5" w:rsidRPr="00D638B0">
        <w:t>bopd</w:t>
      </w:r>
      <w:proofErr w:type="spellEnd"/>
      <w:r w:rsidR="00C453F5" w:rsidRPr="00D638B0">
        <w:t xml:space="preserve"> in May 1983.  Production had fallen to 6387 </w:t>
      </w:r>
      <w:proofErr w:type="spellStart"/>
      <w:r w:rsidR="00C453F5" w:rsidRPr="00D638B0">
        <w:t>bopd</w:t>
      </w:r>
      <w:proofErr w:type="spellEnd"/>
      <w:r w:rsidR="00C453F5" w:rsidRPr="00D638B0">
        <w:t xml:space="preserve"> with almost no co-produced water when in June 1984 it was converted to (sea) water injection.  This pattern was repeated across the field.</w:t>
      </w:r>
    </w:p>
    <w:p w14:paraId="75FCA1BB" w14:textId="77777777" w:rsidR="00C453F5" w:rsidRPr="00D638B0" w:rsidRDefault="00C453F5" w:rsidP="00E50798">
      <w:pPr>
        <w:spacing w:line="360" w:lineRule="auto"/>
      </w:pPr>
    </w:p>
    <w:p w14:paraId="77D568E8" w14:textId="77777777" w:rsidR="000A20ED" w:rsidRPr="00D638B0" w:rsidRDefault="00A47F03" w:rsidP="00E50798">
      <w:pPr>
        <w:spacing w:line="360" w:lineRule="auto"/>
      </w:pPr>
      <w:r w:rsidRPr="00D638B0">
        <w:t>Significant water breakthrough occurred in September 1984</w:t>
      </w:r>
      <w:r w:rsidR="007C05BD" w:rsidRPr="00D638B0">
        <w:t xml:space="preserve"> and the water oil ratio rose steadily for two years</w:t>
      </w:r>
      <w:r w:rsidRPr="00D638B0">
        <w:t xml:space="preserve">.  </w:t>
      </w:r>
      <w:r w:rsidR="00C453F5" w:rsidRPr="00D638B0">
        <w:t xml:space="preserve">The field was shut-in at the end of 1986 and when production recommenced </w:t>
      </w:r>
      <w:r w:rsidR="00295370" w:rsidRPr="00D638B0">
        <w:t xml:space="preserve">a month later, </w:t>
      </w:r>
      <w:r w:rsidR="00C453F5" w:rsidRPr="00D638B0">
        <w:t xml:space="preserve">around 10,000 </w:t>
      </w:r>
      <w:proofErr w:type="spellStart"/>
      <w:r w:rsidR="00C453F5" w:rsidRPr="00D638B0">
        <w:t>bopd</w:t>
      </w:r>
      <w:proofErr w:type="spellEnd"/>
      <w:r w:rsidR="00C453F5" w:rsidRPr="00D638B0">
        <w:t xml:space="preserve"> production had been lost. By end</w:t>
      </w:r>
      <w:r w:rsidR="00F4598B" w:rsidRPr="00D638B0">
        <w:t xml:space="preserve"> 1986 th</w:t>
      </w:r>
      <w:r w:rsidRPr="00D638B0">
        <w:t>e water oil ratio</w:t>
      </w:r>
      <w:r w:rsidR="00F4598B" w:rsidRPr="00D638B0">
        <w:t xml:space="preserve"> had increased to 0.3 and some of the more permeable sandstones had already watered out.  This proved to be particularly problematic because when the field was shut-in, injection water flowed inside the wellbore, from the (now) higher pressure, high quality sandstones into the depleted but still </w:t>
      </w:r>
      <w:proofErr w:type="spellStart"/>
      <w:r w:rsidR="00F4598B" w:rsidRPr="00D638B0">
        <w:t>unswept</w:t>
      </w:r>
      <w:proofErr w:type="spellEnd"/>
      <w:r w:rsidR="00F4598B" w:rsidRPr="00D638B0">
        <w:t xml:space="preserve"> lower quality sandstones.  </w:t>
      </w:r>
      <w:r w:rsidR="005A399F" w:rsidRPr="00D638B0">
        <w:t xml:space="preserve">Barium </w:t>
      </w:r>
      <w:r w:rsidR="00F4598B" w:rsidRPr="00D638B0">
        <w:t xml:space="preserve">sulphate </w:t>
      </w:r>
      <w:r w:rsidR="005A399F" w:rsidRPr="00D638B0">
        <w:t xml:space="preserve">scale was caused by </w:t>
      </w:r>
      <w:r w:rsidR="00F4598B" w:rsidRPr="00D638B0">
        <w:t xml:space="preserve">sea-water </w:t>
      </w:r>
      <w:r w:rsidR="005A399F" w:rsidRPr="00D638B0">
        <w:t xml:space="preserve">injection and detrimentally impacted </w:t>
      </w:r>
      <w:r w:rsidR="005A399F" w:rsidRPr="00D638B0">
        <w:lastRenderedPageBreak/>
        <w:t xml:space="preserve">near-wellbore permeability. Scale inhibitor was </w:t>
      </w:r>
      <w:r w:rsidR="007C7CCF" w:rsidRPr="00D638B0">
        <w:t xml:space="preserve">available but </w:t>
      </w:r>
      <w:r w:rsidR="005A399F" w:rsidRPr="00D638B0">
        <w:t xml:space="preserve">not used </w:t>
      </w:r>
      <w:r w:rsidR="007C7CCF" w:rsidRPr="00D638B0">
        <w:t>because the cost was considered too high</w:t>
      </w:r>
      <w:r w:rsidR="005A399F" w:rsidRPr="00D638B0">
        <w:t xml:space="preserve"> </w:t>
      </w:r>
      <w:r w:rsidR="00F4598B" w:rsidRPr="00D638B0">
        <w:t xml:space="preserve">(pers comm C. Laing, 2008).  By mid 1991 production was at 10,000 </w:t>
      </w:r>
      <w:proofErr w:type="spellStart"/>
      <w:r w:rsidR="00F4598B" w:rsidRPr="00D638B0">
        <w:t>bopd</w:t>
      </w:r>
      <w:proofErr w:type="spellEnd"/>
      <w:r w:rsidR="00F4598B" w:rsidRPr="00D638B0">
        <w:t xml:space="preserve"> and </w:t>
      </w:r>
      <w:r w:rsidRPr="00D638B0">
        <w:t xml:space="preserve">declined to around 5000 </w:t>
      </w:r>
      <w:proofErr w:type="spellStart"/>
      <w:r w:rsidRPr="00D638B0">
        <w:t>bopd</w:t>
      </w:r>
      <w:proofErr w:type="spellEnd"/>
      <w:r w:rsidRPr="00D638B0">
        <w:t xml:space="preserve"> at the end of field life.</w:t>
      </w:r>
    </w:p>
    <w:p w14:paraId="512694BA" w14:textId="77777777" w:rsidR="00F87625" w:rsidRPr="00D638B0" w:rsidRDefault="00F87625" w:rsidP="00E50798">
      <w:pPr>
        <w:spacing w:line="360" w:lineRule="auto"/>
      </w:pPr>
    </w:p>
    <w:p w14:paraId="50247491" w14:textId="77777777" w:rsidR="005A399F" w:rsidRPr="00D638B0" w:rsidRDefault="005A399F" w:rsidP="00F25B48">
      <w:pPr>
        <w:pStyle w:val="Heading3"/>
      </w:pPr>
      <w:r w:rsidRPr="00D638B0">
        <w:t>Hutton</w:t>
      </w:r>
    </w:p>
    <w:p w14:paraId="2198C614" w14:textId="77777777" w:rsidR="00E039AC" w:rsidRPr="00D638B0" w:rsidRDefault="00E039AC" w:rsidP="00BB3A80"/>
    <w:p w14:paraId="7CF3BA37" w14:textId="55C9072E" w:rsidR="00D95002" w:rsidRPr="00D638B0" w:rsidRDefault="00F87625" w:rsidP="00E50798">
      <w:pPr>
        <w:spacing w:line="360" w:lineRule="auto"/>
      </w:pPr>
      <w:r w:rsidRPr="00D638B0">
        <w:t xml:space="preserve">Production from the Hutton Field was </w:t>
      </w:r>
      <w:r w:rsidR="00517CEC" w:rsidRPr="00D638B0">
        <w:t>less problematic</w:t>
      </w:r>
      <w:r w:rsidR="005323D8" w:rsidRPr="00D638B0">
        <w:t xml:space="preserve"> than</w:t>
      </w:r>
      <w:r w:rsidRPr="00D638B0">
        <w:t xml:space="preserve"> NW Hutton.  </w:t>
      </w:r>
      <w:r w:rsidR="00344414" w:rsidRPr="00D638B0">
        <w:t>‘</w:t>
      </w:r>
      <w:r w:rsidRPr="00D638B0">
        <w:t>First oil</w:t>
      </w:r>
      <w:r w:rsidR="00344414" w:rsidRPr="00D638B0">
        <w:t>’</w:t>
      </w:r>
      <w:r w:rsidRPr="00D638B0">
        <w:t xml:space="preserve"> was August 1984 from 10 pre-drilled wells and with</w:t>
      </w:r>
      <w:r w:rsidR="005323D8" w:rsidRPr="00D638B0">
        <w:t>in a month production volume</w:t>
      </w:r>
      <w:r w:rsidRPr="00D638B0">
        <w:t xml:space="preserve"> reached</w:t>
      </w:r>
      <w:r w:rsidR="005323D8" w:rsidRPr="00D638B0">
        <w:t xml:space="preserve"> 75,000 </w:t>
      </w:r>
      <w:proofErr w:type="spellStart"/>
      <w:r w:rsidR="005323D8" w:rsidRPr="00D638B0">
        <w:t>bopd</w:t>
      </w:r>
      <w:proofErr w:type="spellEnd"/>
      <w:r w:rsidR="005323D8" w:rsidRPr="00D638B0">
        <w:t xml:space="preserve"> but</w:t>
      </w:r>
      <w:r w:rsidRPr="00D638B0">
        <w:t xml:space="preserve"> pressure de</w:t>
      </w:r>
      <w:r w:rsidR="005323D8" w:rsidRPr="00D638B0">
        <w:t>clined quickly and the average production</w:t>
      </w:r>
      <w:r w:rsidRPr="00D638B0">
        <w:t xml:space="preserve"> in 1985 was 57,000 </w:t>
      </w:r>
      <w:proofErr w:type="spellStart"/>
      <w:r w:rsidR="000243DD">
        <w:t>bopd</w:t>
      </w:r>
      <w:proofErr w:type="spellEnd"/>
      <w:r w:rsidR="000243DD" w:rsidRPr="00D638B0">
        <w:t xml:space="preserve"> </w:t>
      </w:r>
      <w:r w:rsidR="005323D8" w:rsidRPr="00D638B0">
        <w:t>against a forecast of 90,000 </w:t>
      </w:r>
      <w:proofErr w:type="spellStart"/>
      <w:r w:rsidRPr="00D638B0">
        <w:t>bopd</w:t>
      </w:r>
      <w:proofErr w:type="spellEnd"/>
      <w:r w:rsidRPr="00D638B0">
        <w:t xml:space="preserve">.  </w:t>
      </w:r>
      <w:r w:rsidR="000932F0" w:rsidRPr="00D638B0">
        <w:t>D</w:t>
      </w:r>
      <w:r w:rsidR="00B658DD" w:rsidRPr="00D638B0">
        <w:t>eployment of wa</w:t>
      </w:r>
      <w:r w:rsidR="000932F0" w:rsidRPr="00D638B0">
        <w:t>ter injection on Hutton was</w:t>
      </w:r>
      <w:r w:rsidR="00B658DD" w:rsidRPr="00D638B0">
        <w:t xml:space="preserve"> successful and production levels </w:t>
      </w:r>
      <w:r w:rsidR="000243DD">
        <w:t xml:space="preserve">of </w:t>
      </w:r>
      <w:r w:rsidR="00B658DD" w:rsidRPr="00D638B0">
        <w:t xml:space="preserve">about 50,000 </w:t>
      </w:r>
      <w:proofErr w:type="spellStart"/>
      <w:r w:rsidR="00B658DD" w:rsidRPr="00D638B0">
        <w:t>bopd</w:t>
      </w:r>
      <w:proofErr w:type="spellEnd"/>
      <w:r w:rsidR="00B658DD" w:rsidRPr="00D638B0">
        <w:t xml:space="preserve"> </w:t>
      </w:r>
      <w:r w:rsidR="005A399F" w:rsidRPr="00D638B0">
        <w:t xml:space="preserve">were maintained </w:t>
      </w:r>
      <w:r w:rsidR="00B658DD" w:rsidRPr="00D638B0">
        <w:t xml:space="preserve">for four years until September 1988 when it began to fall.  By 1991 production levels were around 20,000 </w:t>
      </w:r>
      <w:proofErr w:type="spellStart"/>
      <w:r w:rsidR="00B658DD" w:rsidRPr="00D638B0">
        <w:t>bopd</w:t>
      </w:r>
      <w:proofErr w:type="spellEnd"/>
      <w:r w:rsidR="00B658DD" w:rsidRPr="00D638B0">
        <w:t xml:space="preserve">.  Thereafter water injection was increased substantially </w:t>
      </w:r>
      <w:r w:rsidR="007C05BD" w:rsidRPr="00D638B0">
        <w:t>allowing an oil rate of</w:t>
      </w:r>
      <w:r w:rsidR="00B658DD" w:rsidRPr="00D638B0">
        <w:t xml:space="preserve"> 10,000 to 25,000 </w:t>
      </w:r>
      <w:proofErr w:type="spellStart"/>
      <w:r w:rsidR="00B658DD" w:rsidRPr="00D638B0">
        <w:t>bopd</w:t>
      </w:r>
      <w:proofErr w:type="spellEnd"/>
      <w:r w:rsidR="00B658DD" w:rsidRPr="00D638B0">
        <w:t xml:space="preserve"> to be maintained until near end of field life.</w:t>
      </w:r>
    </w:p>
    <w:p w14:paraId="2D3BBEBA" w14:textId="77777777" w:rsidR="00E039AC" w:rsidRPr="00D638B0" w:rsidRDefault="00E039AC" w:rsidP="00E50798">
      <w:pPr>
        <w:spacing w:line="360" w:lineRule="auto"/>
      </w:pPr>
    </w:p>
    <w:p w14:paraId="6810AB07" w14:textId="77777777" w:rsidR="00632FBB" w:rsidRPr="00D638B0" w:rsidRDefault="00632FBB" w:rsidP="00BB3A80">
      <w:pPr>
        <w:pStyle w:val="Heading2"/>
      </w:pPr>
      <w:r w:rsidRPr="00D638B0">
        <w:t>End of field life</w:t>
      </w:r>
      <w:r w:rsidR="001B75A6" w:rsidRPr="00D638B0">
        <w:t xml:space="preserve"> and beyond</w:t>
      </w:r>
    </w:p>
    <w:p w14:paraId="627E13FE" w14:textId="77777777" w:rsidR="00087885" w:rsidRPr="00D638B0" w:rsidRDefault="00087885" w:rsidP="00E50798">
      <w:pPr>
        <w:spacing w:line="360" w:lineRule="auto"/>
      </w:pPr>
    </w:p>
    <w:p w14:paraId="19D1D90F" w14:textId="77777777" w:rsidR="00930461" w:rsidRPr="00D638B0" w:rsidRDefault="00344414" w:rsidP="00E50798">
      <w:pPr>
        <w:spacing w:line="360" w:lineRule="auto"/>
      </w:pPr>
      <w:r w:rsidRPr="00D638B0">
        <w:t>The Hutton Field decommissioning plan was submitted to government in 2001</w:t>
      </w:r>
      <w:r w:rsidR="00EF52FE" w:rsidRPr="00D638B0">
        <w:t xml:space="preserve"> (Beckman, 2004)</w:t>
      </w:r>
      <w:r w:rsidRPr="00D638B0">
        <w:t xml:space="preserve">.  The wells were abandoned, and then the tension leg platform, sea bed foundation and well templates removed, as were the </w:t>
      </w:r>
      <w:r w:rsidR="00844186" w:rsidRPr="00D638B0">
        <w:t xml:space="preserve">two pipelines (gas import and oil export).  </w:t>
      </w:r>
    </w:p>
    <w:p w14:paraId="2280C980" w14:textId="77777777" w:rsidR="00CE742D" w:rsidRPr="00D638B0" w:rsidRDefault="00CE742D" w:rsidP="00E50798">
      <w:pPr>
        <w:spacing w:line="360" w:lineRule="auto"/>
      </w:pPr>
    </w:p>
    <w:p w14:paraId="41BEFE0E" w14:textId="7F9191BE" w:rsidR="00CE742D" w:rsidRPr="00D638B0" w:rsidRDefault="00CE742D" w:rsidP="00E50798">
      <w:pPr>
        <w:spacing w:line="360" w:lineRule="auto"/>
      </w:pPr>
      <w:r w:rsidRPr="00D638B0">
        <w:t>Decommissioning of the fixed NW Hutton platform was completed in 2009 from</w:t>
      </w:r>
      <w:r w:rsidR="00F64056" w:rsidRPr="00D638B0">
        <w:t xml:space="preserve"> </w:t>
      </w:r>
      <w:r w:rsidRPr="00D638B0">
        <w:t xml:space="preserve">a plan submitted in 2005 (BP, 2005).  All that now remain are </w:t>
      </w:r>
      <w:r w:rsidR="000243DD" w:rsidRPr="00D638B0">
        <w:t>the cuttings pile (Nixon, 2013)</w:t>
      </w:r>
      <w:r w:rsidR="000243DD">
        <w:t xml:space="preserve"> and </w:t>
      </w:r>
      <w:r w:rsidRPr="00D638B0">
        <w:t xml:space="preserve">49 m of </w:t>
      </w:r>
      <w:r w:rsidR="00F64056" w:rsidRPr="00D638B0">
        <w:t>footings extending f</w:t>
      </w:r>
      <w:r w:rsidR="00BD0050" w:rsidRPr="00D638B0">
        <w:t>ro</w:t>
      </w:r>
      <w:r w:rsidR="00F64056" w:rsidRPr="00D638B0">
        <w:t>m the sea-</w:t>
      </w:r>
      <w:r w:rsidRPr="00D638B0">
        <w:t xml:space="preserve">bed </w:t>
      </w:r>
      <w:r w:rsidR="000243DD">
        <w:t xml:space="preserve">at </w:t>
      </w:r>
      <w:r w:rsidRPr="00D638B0">
        <w:t>140 m below sea-</w:t>
      </w:r>
      <w:proofErr w:type="gramStart"/>
      <w:r w:rsidRPr="00D638B0">
        <w:t>level</w:t>
      </w:r>
      <w:r w:rsidR="000243DD">
        <w:t>.</w:t>
      </w:r>
      <w:r w:rsidRPr="00D638B0">
        <w:t>.</w:t>
      </w:r>
      <w:proofErr w:type="gramEnd"/>
    </w:p>
    <w:p w14:paraId="57252EA9" w14:textId="77777777" w:rsidR="001B75A6" w:rsidRPr="00D638B0" w:rsidRDefault="001B75A6" w:rsidP="00E50798">
      <w:pPr>
        <w:spacing w:line="360" w:lineRule="auto"/>
      </w:pPr>
    </w:p>
    <w:p w14:paraId="487BDF7D" w14:textId="77777777" w:rsidR="001B75A6" w:rsidRPr="00D638B0" w:rsidRDefault="001B75A6" w:rsidP="00E50798">
      <w:pPr>
        <w:spacing w:line="360" w:lineRule="auto"/>
      </w:pPr>
      <w:r w:rsidRPr="00D638B0">
        <w:t>The initiative from Fairfield and TAQA to redevelop the southern part of NW</w:t>
      </w:r>
      <w:r w:rsidR="003812D7" w:rsidRPr="00D638B0">
        <w:t> </w:t>
      </w:r>
      <w:r w:rsidRPr="00D638B0">
        <w:t>Hutton</w:t>
      </w:r>
      <w:r w:rsidR="00D720B4" w:rsidRPr="00D638B0">
        <w:t xml:space="preserve"> and its extension southwards into Darwin was unsuccessful despite finding oil in two of the three wells drilled in 2012-2013.  </w:t>
      </w:r>
      <w:r w:rsidR="00D358A2" w:rsidRPr="00D638B0">
        <w:t xml:space="preserve">The poor reservoir </w:t>
      </w:r>
      <w:r w:rsidR="00D358A2" w:rsidRPr="00D638B0">
        <w:lastRenderedPageBreak/>
        <w:t xml:space="preserve">quality encountered and likely high degree of </w:t>
      </w:r>
      <w:proofErr w:type="spellStart"/>
      <w:r w:rsidR="00D358A2" w:rsidRPr="00D638B0">
        <w:t>compartmentalisation</w:t>
      </w:r>
      <w:proofErr w:type="spellEnd"/>
      <w:r w:rsidR="00D358A2" w:rsidRPr="00D638B0">
        <w:t xml:space="preserve"> in the area</w:t>
      </w:r>
      <w:r w:rsidRPr="00D638B0">
        <w:t xml:space="preserve"> </w:t>
      </w:r>
      <w:r w:rsidR="00D358A2" w:rsidRPr="00D638B0">
        <w:t>were both cited as reasons not to progress to devel</w:t>
      </w:r>
      <w:r w:rsidR="005F181C" w:rsidRPr="00D638B0">
        <w:t xml:space="preserve">opment (TAQA, 2016).  </w:t>
      </w:r>
    </w:p>
    <w:p w14:paraId="53398CEF" w14:textId="77777777" w:rsidR="000450FF" w:rsidRPr="00D638B0" w:rsidRDefault="000450FF" w:rsidP="00E50798">
      <w:pPr>
        <w:spacing w:line="360" w:lineRule="auto"/>
      </w:pPr>
    </w:p>
    <w:p w14:paraId="61E09473" w14:textId="53C9FC88" w:rsidR="000450FF" w:rsidRPr="00D638B0" w:rsidRDefault="000450FF" w:rsidP="00E50798">
      <w:pPr>
        <w:spacing w:line="360" w:lineRule="auto"/>
      </w:pPr>
      <w:r w:rsidRPr="00D638B0">
        <w:t xml:space="preserve">Figure </w:t>
      </w:r>
      <w:r w:rsidR="00A27909">
        <w:t>9</w:t>
      </w:r>
      <w:r w:rsidRPr="00D638B0">
        <w:t xml:space="preserve"> is a plot of recovery factor for Brent Province fields against depth to crest of field.  Depth to crest is a proxy for reservoir quality.  In broad terms relative to a linear regression fit of recovery factor to burial depth</w:t>
      </w:r>
      <w:r w:rsidR="009E376F" w:rsidRPr="00D638B0">
        <w:t>,</w:t>
      </w:r>
      <w:r w:rsidRPr="00D638B0">
        <w:t xml:space="preserve"> Hutton produced the expected volume of oil given its </w:t>
      </w:r>
      <w:r w:rsidR="00517CEC" w:rsidRPr="00D638B0">
        <w:t>oil volume</w:t>
      </w:r>
      <w:r w:rsidRPr="00D638B0">
        <w:t xml:space="preserve"> and NW Hutton significantly underperformed.  </w:t>
      </w:r>
      <w:r w:rsidR="00266CBF" w:rsidRPr="00D638B0">
        <w:t>Further evidence of the same come</w:t>
      </w:r>
      <w:r w:rsidR="009E376F" w:rsidRPr="00D638B0">
        <w:t>s</w:t>
      </w:r>
      <w:r w:rsidR="00266CBF" w:rsidRPr="00D638B0">
        <w:t xml:space="preserve"> from a plot of cumulative oil production against water/oil ratio</w:t>
      </w:r>
      <w:r w:rsidR="00242977" w:rsidRPr="00D638B0">
        <w:t xml:space="preserve"> (Figure 1</w:t>
      </w:r>
      <w:r w:rsidR="00A27909">
        <w:t>0</w:t>
      </w:r>
      <w:r w:rsidR="00242977" w:rsidRPr="00D638B0">
        <w:t>)</w:t>
      </w:r>
      <w:r w:rsidR="00266CBF" w:rsidRPr="00D638B0">
        <w:t>.  The progression of Hutton and NW Hutton was almost identical except that Hutton was produced to a water oil ratio of &gt;10 while NW Hutton was only produced to a water oil ratio of about 4.</w:t>
      </w:r>
      <w:r w:rsidR="009E376F" w:rsidRPr="00D638B0">
        <w:t xml:space="preserve">  </w:t>
      </w:r>
      <w:r w:rsidR="001F37B1" w:rsidRPr="00D638B0">
        <w:t xml:space="preserve">The implication is </w:t>
      </w:r>
      <w:r w:rsidR="00905B8E" w:rsidRPr="00D638B0">
        <w:t xml:space="preserve">that had NW Hutton continued to produce oil with the existing well stock it could have produced about 190 </w:t>
      </w:r>
      <w:proofErr w:type="spellStart"/>
      <w:r w:rsidR="00611772">
        <w:t>MMbo</w:t>
      </w:r>
      <w:proofErr w:type="spellEnd"/>
      <w:r w:rsidR="00611772" w:rsidRPr="00D638B0">
        <w:t xml:space="preserve"> </w:t>
      </w:r>
      <w:r w:rsidR="00905B8E" w:rsidRPr="00D638B0">
        <w:t xml:space="preserve">(55 </w:t>
      </w:r>
      <w:proofErr w:type="spellStart"/>
      <w:r w:rsidR="00611772">
        <w:t>MMbo</w:t>
      </w:r>
      <w:proofErr w:type="spellEnd"/>
      <w:r w:rsidR="00611772" w:rsidRPr="00D638B0">
        <w:t xml:space="preserve"> </w:t>
      </w:r>
      <w:r w:rsidR="00905B8E" w:rsidRPr="00D638B0">
        <w:t>more than at abandonment) with a water oil ratio of 10 to 20.</w:t>
      </w:r>
    </w:p>
    <w:p w14:paraId="7FABE1A1" w14:textId="77777777" w:rsidR="00242977" w:rsidRPr="00D638B0" w:rsidRDefault="00242977" w:rsidP="00E50798">
      <w:pPr>
        <w:spacing w:line="360" w:lineRule="auto"/>
      </w:pPr>
    </w:p>
    <w:p w14:paraId="7FFBE63B" w14:textId="516B0F1C" w:rsidR="00242977" w:rsidRPr="00D638B0" w:rsidRDefault="00242977" w:rsidP="00E50798">
      <w:pPr>
        <w:spacing w:line="360" w:lineRule="auto"/>
      </w:pPr>
      <w:r w:rsidRPr="00D638B0">
        <w:rPr>
          <w:b/>
        </w:rPr>
        <w:t xml:space="preserve">Figure </w:t>
      </w:r>
      <w:r w:rsidR="00A27909">
        <w:rPr>
          <w:b/>
        </w:rPr>
        <w:t>9</w:t>
      </w:r>
      <w:r w:rsidRPr="00D638B0">
        <w:t xml:space="preserve"> </w:t>
      </w:r>
      <w:r w:rsidR="00D342C8" w:rsidRPr="00D638B0">
        <w:t>Here</w:t>
      </w:r>
    </w:p>
    <w:p w14:paraId="7DBC524D" w14:textId="132F89A7" w:rsidR="00242977" w:rsidRPr="00D638B0" w:rsidRDefault="00242977" w:rsidP="00E50798">
      <w:pPr>
        <w:spacing w:line="360" w:lineRule="auto"/>
      </w:pPr>
      <w:r w:rsidRPr="00D638B0">
        <w:rPr>
          <w:b/>
        </w:rPr>
        <w:t>Figure 1</w:t>
      </w:r>
      <w:r w:rsidR="00A27909">
        <w:rPr>
          <w:b/>
        </w:rPr>
        <w:t>0</w:t>
      </w:r>
      <w:r w:rsidRPr="00D638B0">
        <w:t xml:space="preserve"> </w:t>
      </w:r>
      <w:r w:rsidR="00D342C8" w:rsidRPr="00D638B0">
        <w:t>here</w:t>
      </w:r>
    </w:p>
    <w:p w14:paraId="3CAE5154" w14:textId="77777777" w:rsidR="0086509C" w:rsidRPr="00D638B0" w:rsidRDefault="0086509C" w:rsidP="00E50798">
      <w:pPr>
        <w:spacing w:line="360" w:lineRule="auto"/>
      </w:pPr>
    </w:p>
    <w:p w14:paraId="0672D903" w14:textId="657C30B2" w:rsidR="00632291" w:rsidRPr="00D638B0" w:rsidRDefault="00E1477A" w:rsidP="001F174F">
      <w:pPr>
        <w:spacing w:line="360" w:lineRule="auto"/>
      </w:pPr>
      <w:r w:rsidRPr="00D638B0">
        <w:t>TAQA (2016)</w:t>
      </w:r>
      <w:r w:rsidR="0086509C" w:rsidRPr="00D638B0">
        <w:t xml:space="preserve"> identified the remaining potential of Darwin following the 211/27e-13, 13z and 211/27a-14 wells</w:t>
      </w:r>
      <w:r w:rsidR="001D44BA" w:rsidRPr="00D638B0">
        <w:t xml:space="preserve"> (Figure 4)</w:t>
      </w:r>
      <w:r w:rsidR="0086509C" w:rsidRPr="00D638B0">
        <w:t xml:space="preserve">.  </w:t>
      </w:r>
      <w:r w:rsidR="00632291" w:rsidRPr="00D638B0">
        <w:t>An additional portfolio of opportunities in the Hutton area</w:t>
      </w:r>
      <w:r w:rsidR="00611772">
        <w:t xml:space="preserve">, </w:t>
      </w:r>
      <w:r w:rsidR="00632291" w:rsidRPr="00D638B0">
        <w:t xml:space="preserve">derived from analysis of information collated from </w:t>
      </w:r>
      <w:r w:rsidR="00611772">
        <w:t>cessation of production</w:t>
      </w:r>
      <w:r w:rsidR="00611772" w:rsidRPr="00D638B0">
        <w:t xml:space="preserve"> </w:t>
      </w:r>
      <w:r w:rsidR="00632291" w:rsidRPr="00D638B0">
        <w:t>documents for the fields</w:t>
      </w:r>
      <w:r w:rsidR="00611772">
        <w:t xml:space="preserve">, is shown in </w:t>
      </w:r>
      <w:r w:rsidR="00632291" w:rsidRPr="00D638B0">
        <w:t>Figure 12.</w:t>
      </w:r>
    </w:p>
    <w:p w14:paraId="7EFC053A" w14:textId="77777777" w:rsidR="009C68BE" w:rsidRPr="00D638B0" w:rsidRDefault="009C68BE" w:rsidP="00E50798">
      <w:pPr>
        <w:spacing w:line="360" w:lineRule="auto"/>
      </w:pPr>
    </w:p>
    <w:p w14:paraId="7B9CB775" w14:textId="6A05ECD6" w:rsidR="00242977" w:rsidRPr="00D638B0" w:rsidRDefault="003812D7" w:rsidP="00EE1E48">
      <w:pPr>
        <w:spacing w:line="360" w:lineRule="auto"/>
      </w:pPr>
      <w:r w:rsidRPr="00D638B0">
        <w:t xml:space="preserve">The </w:t>
      </w:r>
      <w:r w:rsidR="009C68BE" w:rsidRPr="00D638B0">
        <w:t xml:space="preserve">Hutton </w:t>
      </w:r>
      <w:r w:rsidRPr="00D638B0">
        <w:t xml:space="preserve">area fields </w:t>
      </w:r>
      <w:r w:rsidR="009C68BE" w:rsidRPr="00D638B0">
        <w:t xml:space="preserve">may have been an early casualty of portfolio management decisions amid a period of competitive exploration </w:t>
      </w:r>
      <w:r w:rsidR="00611772">
        <w:t>and</w:t>
      </w:r>
      <w:r w:rsidR="00611772" w:rsidRPr="00D638B0">
        <w:t xml:space="preserve"> </w:t>
      </w:r>
      <w:r w:rsidR="009C68BE" w:rsidRPr="00D638B0">
        <w:t xml:space="preserve">development. Later, the </w:t>
      </w:r>
      <w:r w:rsidR="00611772">
        <w:t>i</w:t>
      </w:r>
      <w:r w:rsidR="00611772" w:rsidRPr="00D638B0">
        <w:t xml:space="preserve">ndustry </w:t>
      </w:r>
      <w:r w:rsidR="009C68BE" w:rsidRPr="00D638B0">
        <w:t>downturn and subsequent harsh economic climate undermined a period of new interest and investment. However, there remains significant potential in the area</w:t>
      </w:r>
      <w:r w:rsidR="00EE1E48">
        <w:t>.</w:t>
      </w:r>
    </w:p>
    <w:p w14:paraId="4636F791" w14:textId="77777777" w:rsidR="00632FBB" w:rsidRPr="00D638B0" w:rsidRDefault="00632FBB" w:rsidP="00E50798">
      <w:pPr>
        <w:pStyle w:val="Heading2"/>
        <w:spacing w:line="360" w:lineRule="auto"/>
      </w:pPr>
      <w:r w:rsidRPr="00D638B0">
        <w:t>References</w:t>
      </w:r>
    </w:p>
    <w:p w14:paraId="45C45D74" w14:textId="77777777" w:rsidR="00AD3882" w:rsidRPr="00D638B0" w:rsidRDefault="00AD3882" w:rsidP="00E50798">
      <w:pPr>
        <w:spacing w:line="360" w:lineRule="auto"/>
      </w:pPr>
    </w:p>
    <w:p w14:paraId="1941F493" w14:textId="77777777" w:rsidR="008925FC" w:rsidRPr="00D638B0" w:rsidRDefault="008925FC" w:rsidP="00E50798">
      <w:pPr>
        <w:spacing w:line="360" w:lineRule="auto"/>
        <w:rPr>
          <w:rFonts w:eastAsia="Times New Roman" w:cs="Times New Roman"/>
        </w:rPr>
      </w:pPr>
      <w:r w:rsidRPr="00D638B0">
        <w:lastRenderedPageBreak/>
        <w:t>Abbots</w:t>
      </w:r>
      <w:r w:rsidR="005B535A" w:rsidRPr="00D638B0">
        <w:t xml:space="preserve">, I.L. (1991) United Kingdom Oil and Gas Felds, 25 Years Commemorative Volume, Geological Society Memoir, </w:t>
      </w:r>
      <w:r w:rsidR="005B535A" w:rsidRPr="00D638B0">
        <w:rPr>
          <w:b/>
        </w:rPr>
        <w:t>14</w:t>
      </w:r>
      <w:r w:rsidR="005B535A" w:rsidRPr="00D638B0">
        <w:t xml:space="preserve">, </w:t>
      </w:r>
      <w:r w:rsidR="00D94D3A" w:rsidRPr="00D638B0">
        <w:t xml:space="preserve">573pp </w:t>
      </w:r>
      <w:hyperlink r:id="rId8" w:history="1">
        <w:r w:rsidR="005B535A" w:rsidRPr="00D638B0">
          <w:rPr>
            <w:rStyle w:val="Hyperlink"/>
            <w:rFonts w:ascii="Verdana" w:eastAsia="Times New Roman" w:hAnsi="Verdana" w:cs="Times New Roman"/>
            <w:color w:val="005594"/>
            <w:sz w:val="18"/>
            <w:szCs w:val="18"/>
            <w:bdr w:val="none" w:sz="0" w:space="0" w:color="auto" w:frame="1"/>
          </w:rPr>
          <w:t>https://doi.org/10.1144/GSL.MEM.1991.014.01.69</w:t>
        </w:r>
      </w:hyperlink>
      <w:r w:rsidR="00A85107" w:rsidRPr="00D638B0">
        <w:rPr>
          <w:rStyle w:val="Hyperlink"/>
          <w:rFonts w:ascii="Verdana" w:eastAsia="Times New Roman" w:hAnsi="Verdana" w:cs="Times New Roman"/>
          <w:color w:val="005594"/>
          <w:sz w:val="18"/>
          <w:szCs w:val="18"/>
          <w:bdr w:val="none" w:sz="0" w:space="0" w:color="auto" w:frame="1"/>
        </w:rPr>
        <w:t>.</w:t>
      </w:r>
    </w:p>
    <w:p w14:paraId="12505F2E" w14:textId="77777777" w:rsidR="008925FC" w:rsidRPr="00D638B0" w:rsidRDefault="008925FC" w:rsidP="00E50798">
      <w:pPr>
        <w:spacing w:line="360" w:lineRule="auto"/>
      </w:pPr>
    </w:p>
    <w:p w14:paraId="30602EE5" w14:textId="77777777" w:rsidR="00073E5E" w:rsidRPr="00D638B0" w:rsidRDefault="00315660" w:rsidP="00E50798">
      <w:pPr>
        <w:spacing w:line="360" w:lineRule="auto"/>
      </w:pPr>
      <w:r w:rsidRPr="00D638B0">
        <w:t>Allen, P.A. and Marshall, J.E.A. (</w:t>
      </w:r>
      <w:r w:rsidR="002E2CBF" w:rsidRPr="00D638B0">
        <w:t xml:space="preserve">1981) Depositional Environments and palynology of the Devonian South-east Shetland Basin, Scottish Journal of Geology, </w:t>
      </w:r>
      <w:r w:rsidR="002E2CBF" w:rsidRPr="00D638B0">
        <w:rPr>
          <w:b/>
        </w:rPr>
        <w:t>17</w:t>
      </w:r>
      <w:r w:rsidR="002E2CBF" w:rsidRPr="00D638B0">
        <w:t>, 257-273</w:t>
      </w:r>
      <w:r w:rsidR="00A85107" w:rsidRPr="00D638B0">
        <w:t>.</w:t>
      </w:r>
    </w:p>
    <w:p w14:paraId="74F3D018" w14:textId="77777777" w:rsidR="00985F21" w:rsidRPr="00D638B0" w:rsidRDefault="00985F21" w:rsidP="00E50798">
      <w:pPr>
        <w:spacing w:line="360" w:lineRule="auto"/>
      </w:pPr>
    </w:p>
    <w:p w14:paraId="48831ECE" w14:textId="77777777" w:rsidR="00985F21" w:rsidRPr="00D638B0" w:rsidRDefault="00985F21" w:rsidP="00E50798">
      <w:pPr>
        <w:spacing w:line="360" w:lineRule="auto"/>
      </w:pPr>
      <w:proofErr w:type="spellStart"/>
      <w:r w:rsidRPr="00D638B0">
        <w:t>Bartz</w:t>
      </w:r>
      <w:proofErr w:type="spellEnd"/>
      <w:r w:rsidRPr="00D638B0">
        <w:t xml:space="preserve">, M., Mach, J.M. </w:t>
      </w:r>
      <w:proofErr w:type="spellStart"/>
      <w:r w:rsidRPr="00D638B0">
        <w:t>Saeedi</w:t>
      </w:r>
      <w:proofErr w:type="spellEnd"/>
      <w:r w:rsidRPr="00D638B0">
        <w:t xml:space="preserve">, J., Haskell, J., Manrique, J., Mukherjee, H., Olsen, T., </w:t>
      </w:r>
      <w:proofErr w:type="spellStart"/>
      <w:r w:rsidR="0082406F" w:rsidRPr="00D638B0">
        <w:t>Opsal</w:t>
      </w:r>
      <w:proofErr w:type="spellEnd"/>
      <w:r w:rsidR="0082406F" w:rsidRPr="00D638B0">
        <w:t xml:space="preserve">, S., </w:t>
      </w:r>
      <w:proofErr w:type="spellStart"/>
      <w:r w:rsidR="0082406F" w:rsidRPr="00D638B0">
        <w:t>Proano</w:t>
      </w:r>
      <w:proofErr w:type="spellEnd"/>
      <w:r w:rsidR="0082406F" w:rsidRPr="00D638B0">
        <w:t xml:space="preserve">, E., </w:t>
      </w:r>
      <w:proofErr w:type="spellStart"/>
      <w:r w:rsidR="0082406F" w:rsidRPr="00D638B0">
        <w:t>Semmelbeck</w:t>
      </w:r>
      <w:proofErr w:type="spellEnd"/>
      <w:r w:rsidR="0082406F" w:rsidRPr="00D638B0">
        <w:t xml:space="preserve">, M., Spalding, G and </w:t>
      </w:r>
      <w:proofErr w:type="spellStart"/>
      <w:r w:rsidR="0082406F" w:rsidRPr="00D638B0">
        <w:t>Spath</w:t>
      </w:r>
      <w:proofErr w:type="spellEnd"/>
      <w:r w:rsidR="0082406F" w:rsidRPr="00D638B0">
        <w:t xml:space="preserve">, J. (1997) Let’s get the most out of existing wells, </w:t>
      </w:r>
      <w:r w:rsidR="00F81F7A" w:rsidRPr="00D638B0">
        <w:t xml:space="preserve">Schlumberger, </w:t>
      </w:r>
      <w:hyperlink r:id="rId9" w:history="1">
        <w:r w:rsidR="00F81F7A" w:rsidRPr="00D638B0">
          <w:rPr>
            <w:rStyle w:val="Hyperlink"/>
          </w:rPr>
          <w:t>https://www.slb.com/~/media/Files/resources/oilfield_review/ors97/win97/composite.pdf</w:t>
        </w:r>
      </w:hyperlink>
      <w:r w:rsidR="00F81F7A" w:rsidRPr="00D638B0">
        <w:t>, accessed on 7</w:t>
      </w:r>
      <w:r w:rsidR="00F81F7A" w:rsidRPr="00D638B0">
        <w:rPr>
          <w:vertAlign w:val="superscript"/>
        </w:rPr>
        <w:t>th</w:t>
      </w:r>
      <w:r w:rsidR="00F81F7A" w:rsidRPr="00D638B0">
        <w:t xml:space="preserve"> January 2018</w:t>
      </w:r>
      <w:r w:rsidR="00A85107" w:rsidRPr="00D638B0">
        <w:t>.</w:t>
      </w:r>
    </w:p>
    <w:p w14:paraId="6941A8DD" w14:textId="77777777" w:rsidR="00CE742D" w:rsidRPr="00D638B0" w:rsidRDefault="00CE742D" w:rsidP="00E50798">
      <w:pPr>
        <w:spacing w:line="360" w:lineRule="auto"/>
      </w:pPr>
    </w:p>
    <w:p w14:paraId="16F812EF" w14:textId="77777777" w:rsidR="00CE742D" w:rsidRPr="00D638B0" w:rsidRDefault="00CE742D" w:rsidP="00E50798">
      <w:pPr>
        <w:spacing w:line="360" w:lineRule="auto"/>
      </w:pPr>
      <w:r w:rsidRPr="00D638B0">
        <w:t xml:space="preserve">Beckman, J. (2004) </w:t>
      </w:r>
      <w:r w:rsidRPr="00D638B0">
        <w:rPr>
          <w:bCs/>
        </w:rPr>
        <w:t xml:space="preserve">World's heaviest topsides dismantled for new service off northern Russia, Offshore Magazine online, </w:t>
      </w:r>
      <w:hyperlink r:id="rId10" w:history="1">
        <w:r w:rsidR="00127D4A" w:rsidRPr="00D638B0">
          <w:rPr>
            <w:rStyle w:val="Hyperlink"/>
            <w:bCs/>
          </w:rPr>
          <w:t>http://www.offshore-mag.com/articles/print/volume-64/issue-6/decommissioning/worlds-heaviest-topsides-dismantled-for-new-service-off-northern-russia.html</w:t>
        </w:r>
      </w:hyperlink>
      <w:r w:rsidR="00127D4A" w:rsidRPr="00D638B0">
        <w:rPr>
          <w:bCs/>
        </w:rPr>
        <w:t>, accessed on 15</w:t>
      </w:r>
      <w:r w:rsidR="00127D4A" w:rsidRPr="00D638B0">
        <w:rPr>
          <w:bCs/>
          <w:vertAlign w:val="superscript"/>
        </w:rPr>
        <w:t>th</w:t>
      </w:r>
      <w:r w:rsidR="00127D4A" w:rsidRPr="00D638B0">
        <w:rPr>
          <w:bCs/>
        </w:rPr>
        <w:t xml:space="preserve"> January 2018</w:t>
      </w:r>
      <w:r w:rsidR="00A85107" w:rsidRPr="00D638B0">
        <w:rPr>
          <w:bCs/>
        </w:rPr>
        <w:t>.</w:t>
      </w:r>
    </w:p>
    <w:p w14:paraId="45FB1CD6" w14:textId="77777777" w:rsidR="007361EB" w:rsidRPr="00D638B0" w:rsidRDefault="007361EB" w:rsidP="00E50798">
      <w:pPr>
        <w:spacing w:line="360" w:lineRule="auto"/>
      </w:pPr>
    </w:p>
    <w:p w14:paraId="4D8E188E" w14:textId="77777777" w:rsidR="007361EB" w:rsidRPr="00D638B0" w:rsidRDefault="007361EB" w:rsidP="00E50798">
      <w:pPr>
        <w:spacing w:line="360" w:lineRule="auto"/>
      </w:pPr>
      <w:r w:rsidRPr="00D638B0">
        <w:t>BP (1999) NW Hutton Block 211/27a Cessation of Production document, Oil and Gas Authority (UK) data archive</w:t>
      </w:r>
      <w:r w:rsidR="00A85107" w:rsidRPr="00D638B0">
        <w:t>.</w:t>
      </w:r>
    </w:p>
    <w:p w14:paraId="5F50DF1E" w14:textId="77777777" w:rsidR="00844186" w:rsidRPr="00D638B0" w:rsidRDefault="00844186" w:rsidP="00E50798">
      <w:pPr>
        <w:spacing w:line="360" w:lineRule="auto"/>
      </w:pPr>
    </w:p>
    <w:p w14:paraId="3C8C7271" w14:textId="77777777" w:rsidR="00844186" w:rsidRPr="00D638B0" w:rsidRDefault="00844186" w:rsidP="00E50798">
      <w:pPr>
        <w:spacing w:line="360" w:lineRule="auto"/>
      </w:pPr>
      <w:r w:rsidRPr="00D638B0">
        <w:t xml:space="preserve">BP (2005) North West Hutton decommissioning </w:t>
      </w:r>
      <w:proofErr w:type="spellStart"/>
      <w:r w:rsidRPr="00D638B0">
        <w:t>programme</w:t>
      </w:r>
      <w:proofErr w:type="spellEnd"/>
      <w:r w:rsidRPr="00D638B0">
        <w:t xml:space="preserve">, </w:t>
      </w:r>
      <w:hyperlink r:id="rId11" w:history="1">
        <w:r w:rsidRPr="00D638B0">
          <w:rPr>
            <w:rStyle w:val="Hyperlink"/>
          </w:rPr>
          <w:t>https://www.bp.com/content/dam/bp-country/en_gb/united-kingdom/pdf/North_West_Hutton_Decommissioning_NEW.pdf</w:t>
        </w:r>
      </w:hyperlink>
      <w:r w:rsidRPr="00D638B0">
        <w:t>, accessed 15th January 2018</w:t>
      </w:r>
      <w:r w:rsidR="00A85107" w:rsidRPr="00D638B0">
        <w:t>.</w:t>
      </w:r>
    </w:p>
    <w:p w14:paraId="730F2C25" w14:textId="77777777" w:rsidR="00315660" w:rsidRPr="00D638B0" w:rsidRDefault="00315660" w:rsidP="00E50798">
      <w:pPr>
        <w:spacing w:line="360" w:lineRule="auto"/>
      </w:pPr>
    </w:p>
    <w:p w14:paraId="281D7224" w14:textId="77777777" w:rsidR="00073E5E" w:rsidRPr="00D638B0" w:rsidRDefault="00073E5E" w:rsidP="00E50798">
      <w:pPr>
        <w:spacing w:line="360" w:lineRule="auto"/>
        <w:rPr>
          <w:b/>
          <w:bCs/>
        </w:rPr>
      </w:pPr>
      <w:r w:rsidRPr="00D638B0">
        <w:t xml:space="preserve">Deegan, C. E. AND Scull, B. J. (1977) </w:t>
      </w:r>
      <w:r w:rsidRPr="00D638B0">
        <w:rPr>
          <w:i/>
          <w:iCs/>
        </w:rPr>
        <w:t xml:space="preserve">A standard lithostratigraphic nomenclature for the central and northern North Sea. </w:t>
      </w:r>
      <w:r w:rsidRPr="00D638B0">
        <w:t xml:space="preserve">Institute of Geological Sciences Report </w:t>
      </w:r>
      <w:r w:rsidRPr="00D638B0">
        <w:rPr>
          <w:b/>
          <w:bCs/>
        </w:rPr>
        <w:t>77/25</w:t>
      </w:r>
      <w:r w:rsidR="00A85107" w:rsidRPr="00D638B0">
        <w:rPr>
          <w:b/>
          <w:bCs/>
        </w:rPr>
        <w:t>.</w:t>
      </w:r>
    </w:p>
    <w:p w14:paraId="0CB09BBC" w14:textId="77777777" w:rsidR="00840F23" w:rsidRPr="00D638B0" w:rsidRDefault="00840F23" w:rsidP="00E50798">
      <w:pPr>
        <w:spacing w:line="360" w:lineRule="auto"/>
        <w:rPr>
          <w:lang w:val="en-GB"/>
        </w:rPr>
      </w:pPr>
    </w:p>
    <w:p w14:paraId="6E5327CD" w14:textId="77777777" w:rsidR="005E780F" w:rsidRPr="00D638B0" w:rsidRDefault="005E780F" w:rsidP="005E780F">
      <w:pPr>
        <w:spacing w:line="360" w:lineRule="auto"/>
        <w:rPr>
          <w:bCs/>
        </w:rPr>
      </w:pPr>
      <w:r w:rsidRPr="00D638B0">
        <w:rPr>
          <w:bCs/>
        </w:rPr>
        <w:lastRenderedPageBreak/>
        <w:t xml:space="preserve">Evans, D., Graham, C., </w:t>
      </w:r>
      <w:proofErr w:type="spellStart"/>
      <w:r w:rsidRPr="00D638B0">
        <w:rPr>
          <w:bCs/>
        </w:rPr>
        <w:t>Armour</w:t>
      </w:r>
      <w:proofErr w:type="spellEnd"/>
      <w:r w:rsidRPr="00D638B0">
        <w:rPr>
          <w:bCs/>
        </w:rPr>
        <w:t>, A. and Bathurst, P. (2003) The Millennium Atlas: Petroleum Geology of the Central and Northern North Sea, Geological Society London</w:t>
      </w:r>
      <w:r w:rsidR="00A85107" w:rsidRPr="00D638B0">
        <w:rPr>
          <w:bCs/>
        </w:rPr>
        <w:t>.</w:t>
      </w:r>
    </w:p>
    <w:p w14:paraId="072ADFA2" w14:textId="77777777" w:rsidR="00073E5E" w:rsidRPr="00D638B0" w:rsidRDefault="00073E5E" w:rsidP="00E50798">
      <w:pPr>
        <w:spacing w:line="360" w:lineRule="auto"/>
        <w:rPr>
          <w:lang w:val="en-GB"/>
        </w:rPr>
      </w:pPr>
    </w:p>
    <w:p w14:paraId="12D1FC95" w14:textId="77777777" w:rsidR="002C50CD" w:rsidRPr="00D638B0" w:rsidRDefault="00345E0F" w:rsidP="00E50798">
      <w:pPr>
        <w:spacing w:line="360" w:lineRule="auto"/>
        <w:rPr>
          <w:lang w:val="en-GB"/>
        </w:rPr>
      </w:pPr>
      <w:r w:rsidRPr="00D638B0">
        <w:rPr>
          <w:lang w:val="en-GB"/>
        </w:rPr>
        <w:t>Flint,</w:t>
      </w:r>
      <w:r w:rsidR="002C50CD" w:rsidRPr="00D638B0">
        <w:rPr>
          <w:lang w:val="en-GB"/>
        </w:rPr>
        <w:t xml:space="preserve"> S., Knight, S. and </w:t>
      </w:r>
      <w:proofErr w:type="spellStart"/>
      <w:r w:rsidR="002C50CD" w:rsidRPr="00D638B0">
        <w:rPr>
          <w:lang w:val="en-GB"/>
        </w:rPr>
        <w:t>Tillbrook</w:t>
      </w:r>
      <w:proofErr w:type="spellEnd"/>
      <w:r w:rsidR="002C50CD" w:rsidRPr="00D638B0">
        <w:rPr>
          <w:lang w:val="en-GB"/>
        </w:rPr>
        <w:t xml:space="preserve">, A. (1998) Application of high- resolution sequence stratigraphy to northwest Hutton field, northern North Sea: Implications for management of a mature Brent Group field: AAPG Bulletin, v. 82, no. 7, p. 1416 – 1436. </w:t>
      </w:r>
    </w:p>
    <w:p w14:paraId="1CD3927C" w14:textId="77777777" w:rsidR="00784AD5" w:rsidRPr="00D638B0" w:rsidRDefault="00784AD5" w:rsidP="00E50798">
      <w:pPr>
        <w:spacing w:line="360" w:lineRule="auto"/>
        <w:rPr>
          <w:lang w:val="en-GB"/>
        </w:rPr>
      </w:pPr>
    </w:p>
    <w:p w14:paraId="7BA754EB" w14:textId="77777777" w:rsidR="00784AD5" w:rsidRPr="00D638B0" w:rsidRDefault="00784AD5" w:rsidP="00E50798">
      <w:pPr>
        <w:spacing w:line="360" w:lineRule="auto"/>
        <w:rPr>
          <w:lang w:val="en-GB"/>
        </w:rPr>
      </w:pPr>
      <w:r w:rsidRPr="00D638B0">
        <w:rPr>
          <w:lang w:val="en-GB"/>
        </w:rPr>
        <w:t xml:space="preserve">Fraser, J. (1997) </w:t>
      </w:r>
      <w:r w:rsidR="002553BA" w:rsidRPr="00D638B0">
        <w:t>Hutton Q-West 1997 Simulation Study Report, Oryx UK Energy Company, (British Geological Survey, data archive, Hutton Field, deposited by Kerr McGee)</w:t>
      </w:r>
      <w:r w:rsidR="00A85107" w:rsidRPr="00D638B0">
        <w:t>.</w:t>
      </w:r>
    </w:p>
    <w:p w14:paraId="5D71AC36" w14:textId="77777777" w:rsidR="00D921F3" w:rsidRPr="00D638B0" w:rsidRDefault="00D921F3" w:rsidP="00E50798">
      <w:pPr>
        <w:spacing w:line="360" w:lineRule="auto"/>
        <w:rPr>
          <w:lang w:val="en-GB"/>
        </w:rPr>
      </w:pPr>
    </w:p>
    <w:p w14:paraId="6CE882BC" w14:textId="77777777" w:rsidR="00D921F3" w:rsidRPr="00D638B0" w:rsidRDefault="00D921F3" w:rsidP="00E50798">
      <w:pPr>
        <w:spacing w:line="360" w:lineRule="auto"/>
      </w:pPr>
      <w:r w:rsidRPr="00D638B0">
        <w:t xml:space="preserve">Gluyas, J.G. (1985) Reduction and prediction of sandstone reservoir potential, Jurassic North Sea, Phil Trans Roy Soc </w:t>
      </w:r>
      <w:r w:rsidRPr="00D638B0">
        <w:rPr>
          <w:b/>
        </w:rPr>
        <w:t>A315</w:t>
      </w:r>
      <w:r w:rsidRPr="00D638B0">
        <w:t>, 187-202.</w:t>
      </w:r>
    </w:p>
    <w:p w14:paraId="2EEC4E73" w14:textId="77777777" w:rsidR="008925FC" w:rsidRPr="00D638B0" w:rsidRDefault="008925FC" w:rsidP="00E50798">
      <w:pPr>
        <w:spacing w:line="360" w:lineRule="auto"/>
      </w:pPr>
    </w:p>
    <w:p w14:paraId="3A8A57D6" w14:textId="77777777" w:rsidR="008925FC" w:rsidRPr="00D638B0" w:rsidRDefault="008925FC" w:rsidP="00E50798">
      <w:pPr>
        <w:spacing w:line="360" w:lineRule="auto"/>
        <w:rPr>
          <w:rFonts w:eastAsia="Times New Roman" w:cs="Times New Roman"/>
        </w:rPr>
      </w:pPr>
      <w:r w:rsidRPr="00D638B0">
        <w:t>Gluyas</w:t>
      </w:r>
      <w:r w:rsidR="00C57500" w:rsidRPr="00D638B0">
        <w:t xml:space="preserve">, J.G. and Hichens, H. (2003) UK Oil and Gas Fields Commemorative Millennium Volume, Geological Society Memoir, </w:t>
      </w:r>
      <w:r w:rsidR="00C57500" w:rsidRPr="00D638B0">
        <w:rPr>
          <w:b/>
        </w:rPr>
        <w:t>20</w:t>
      </w:r>
      <w:r w:rsidR="00C57500" w:rsidRPr="00D638B0">
        <w:t xml:space="preserve">, </w:t>
      </w:r>
      <w:r w:rsidR="00D94D3A" w:rsidRPr="00D638B0">
        <w:t xml:space="preserve">1006pp </w:t>
      </w:r>
      <w:hyperlink r:id="rId12" w:history="1">
        <w:r w:rsidR="00C57500" w:rsidRPr="00D638B0">
          <w:rPr>
            <w:rStyle w:val="Hyperlink"/>
            <w:rFonts w:ascii="Verdana" w:eastAsia="Times New Roman" w:hAnsi="Verdana" w:cs="Times New Roman"/>
            <w:color w:val="005594"/>
            <w:sz w:val="18"/>
            <w:szCs w:val="18"/>
            <w:bdr w:val="none" w:sz="0" w:space="0" w:color="auto" w:frame="1"/>
          </w:rPr>
          <w:t>https://doi.org/10.1144/GSL.MEM.2003.020.01.01</w:t>
        </w:r>
      </w:hyperlink>
      <w:r w:rsidR="00A85107" w:rsidRPr="00D638B0">
        <w:rPr>
          <w:rStyle w:val="Hyperlink"/>
          <w:rFonts w:ascii="Verdana" w:eastAsia="Times New Roman" w:hAnsi="Verdana" w:cs="Times New Roman"/>
          <w:color w:val="005594"/>
          <w:sz w:val="18"/>
          <w:szCs w:val="18"/>
          <w:bdr w:val="none" w:sz="0" w:space="0" w:color="auto" w:frame="1"/>
        </w:rPr>
        <w:t>.</w:t>
      </w:r>
    </w:p>
    <w:p w14:paraId="68588036" w14:textId="77777777" w:rsidR="00AA4B7E" w:rsidRPr="00D638B0" w:rsidRDefault="00AA4B7E" w:rsidP="00E50798">
      <w:pPr>
        <w:spacing w:line="360" w:lineRule="auto"/>
      </w:pPr>
    </w:p>
    <w:p w14:paraId="263B7ECC" w14:textId="796FC675" w:rsidR="00AA4B7E" w:rsidRDefault="00AA4B7E" w:rsidP="00E50798">
      <w:pPr>
        <w:spacing w:line="360" w:lineRule="auto"/>
      </w:pPr>
      <w:r w:rsidRPr="00D638B0">
        <w:t xml:space="preserve">Gluyas, J.G., Robinson, A.G., Emery, D., Grant, </w:t>
      </w:r>
      <w:proofErr w:type="gramStart"/>
      <w:r w:rsidRPr="00D638B0">
        <w:t>S,M.</w:t>
      </w:r>
      <w:proofErr w:type="gramEnd"/>
      <w:r w:rsidRPr="00D638B0">
        <w:t xml:space="preserve"> and Oxtoby, N.H. (1993) The link between petroleum emplacement and sandstone cementation In Parker, J. R. (ed.) </w:t>
      </w:r>
      <w:r w:rsidRPr="00D638B0">
        <w:rPr>
          <w:i/>
        </w:rPr>
        <w:t>Petroleum Geology of Northwest Europe</w:t>
      </w:r>
      <w:r w:rsidRPr="00D638B0">
        <w:t>, Geological Society London, Petroleum Geology Conference series 4, 1395-1402</w:t>
      </w:r>
      <w:r w:rsidR="00A85107" w:rsidRPr="00D638B0">
        <w:t>.</w:t>
      </w:r>
    </w:p>
    <w:p w14:paraId="501D683C" w14:textId="747479CA" w:rsidR="00E3789C" w:rsidRDefault="00E3789C" w:rsidP="00E50798">
      <w:pPr>
        <w:spacing w:line="360" w:lineRule="auto"/>
      </w:pPr>
    </w:p>
    <w:p w14:paraId="33713A49" w14:textId="392ADC97" w:rsidR="00E3789C" w:rsidRPr="00D638B0" w:rsidRDefault="00E3789C" w:rsidP="00E50798">
      <w:pPr>
        <w:spacing w:line="360" w:lineRule="auto"/>
        <w:rPr>
          <w:lang w:val="en-GB"/>
        </w:rPr>
      </w:pPr>
      <w:r w:rsidRPr="00E3789C">
        <w:rPr>
          <w:bCs/>
        </w:rPr>
        <w:t>Gluyas, J.G.</w:t>
      </w:r>
      <w:r w:rsidRPr="00411564">
        <w:t xml:space="preserve"> &amp; Underhill, J.R. (2003) The Staffa Field, Block 3/8b, UK North Sea, </w:t>
      </w:r>
      <w:r w:rsidRPr="00411564">
        <w:rPr>
          <w:i/>
        </w:rPr>
        <w:t xml:space="preserve">In </w:t>
      </w:r>
      <w:r w:rsidRPr="00411564">
        <w:t xml:space="preserve">United Kingdom Oil and Gas Fields – Commemorative Millennium Volume (eds </w:t>
      </w:r>
      <w:proofErr w:type="spellStart"/>
      <w:proofErr w:type="gramStart"/>
      <w:r w:rsidRPr="00411564">
        <w:t>J.Gluyas</w:t>
      </w:r>
      <w:proofErr w:type="spellEnd"/>
      <w:proofErr w:type="gramEnd"/>
      <w:r w:rsidRPr="00411564">
        <w:t xml:space="preserve"> &amp; </w:t>
      </w:r>
      <w:proofErr w:type="spellStart"/>
      <w:r w:rsidRPr="00411564">
        <w:t>H.M.Hichens</w:t>
      </w:r>
      <w:proofErr w:type="spellEnd"/>
      <w:r w:rsidRPr="00411564">
        <w:t xml:space="preserve">), Geological Society of London Memoir No. </w:t>
      </w:r>
      <w:r w:rsidRPr="00411564">
        <w:rPr>
          <w:b/>
        </w:rPr>
        <w:t>20</w:t>
      </w:r>
      <w:r w:rsidRPr="00411564">
        <w:t>, 327-334</w:t>
      </w:r>
    </w:p>
    <w:p w14:paraId="537C1028" w14:textId="77777777" w:rsidR="002C50CD" w:rsidRPr="00D638B0" w:rsidRDefault="002C50CD" w:rsidP="00E50798">
      <w:pPr>
        <w:spacing w:line="360" w:lineRule="auto"/>
      </w:pPr>
    </w:p>
    <w:p w14:paraId="5984A346" w14:textId="77777777" w:rsidR="00AD3882" w:rsidRPr="00D638B0" w:rsidRDefault="00AD3882" w:rsidP="00E50798">
      <w:pPr>
        <w:spacing w:line="360" w:lineRule="auto"/>
      </w:pPr>
      <w:r w:rsidRPr="00D638B0">
        <w:t xml:space="preserve">Haig, </w:t>
      </w:r>
      <w:r w:rsidR="00E01367" w:rsidRPr="00D638B0">
        <w:t xml:space="preserve">D. </w:t>
      </w:r>
      <w:r w:rsidRPr="00D638B0">
        <w:t>B. (1991)</w:t>
      </w:r>
      <w:r w:rsidR="00724AFC" w:rsidRPr="00D638B0">
        <w:t xml:space="preserve"> </w:t>
      </w:r>
      <w:r w:rsidR="00E01367" w:rsidRPr="00D638B0">
        <w:t>The Hutton Field, Blocks 211/28, 211/27, UK North Sea, In</w:t>
      </w:r>
      <w:r w:rsidR="00724AFC" w:rsidRPr="00D638B0">
        <w:t xml:space="preserve"> Abbots, I.L. (ed</w:t>
      </w:r>
      <w:r w:rsidR="00E01367" w:rsidRPr="00D638B0">
        <w:t>.</w:t>
      </w:r>
      <w:r w:rsidR="00724AFC" w:rsidRPr="00D638B0">
        <w:t xml:space="preserve">) 1991 </w:t>
      </w:r>
      <w:r w:rsidR="00724AFC" w:rsidRPr="00D638B0">
        <w:rPr>
          <w:i/>
        </w:rPr>
        <w:t xml:space="preserve">United Kingdom Oil and Gas Fields, 25 Years Commemorative Volume, </w:t>
      </w:r>
      <w:r w:rsidR="00724AFC" w:rsidRPr="00D638B0">
        <w:t>Geolo</w:t>
      </w:r>
      <w:r w:rsidR="00ED7B63" w:rsidRPr="00D638B0">
        <w:t>gical Society Memoir 14, 135-143</w:t>
      </w:r>
      <w:r w:rsidR="00A85107" w:rsidRPr="00D638B0">
        <w:t>.</w:t>
      </w:r>
    </w:p>
    <w:p w14:paraId="50789EFA" w14:textId="77777777" w:rsidR="00615940" w:rsidRPr="00D638B0" w:rsidRDefault="00615940" w:rsidP="00E50798">
      <w:pPr>
        <w:spacing w:line="360" w:lineRule="auto"/>
      </w:pPr>
    </w:p>
    <w:p w14:paraId="3E77C1E6" w14:textId="77777777" w:rsidR="00615940" w:rsidRPr="00D638B0" w:rsidRDefault="00615940" w:rsidP="00E50798">
      <w:pPr>
        <w:spacing w:line="360" w:lineRule="auto"/>
      </w:pPr>
      <w:r w:rsidRPr="00D638B0">
        <w:lastRenderedPageBreak/>
        <w:t xml:space="preserve">Harris, N.B. (1992) Burial diagenesis of Brent sandstones: a study of </w:t>
      </w:r>
      <w:proofErr w:type="spellStart"/>
      <w:r w:rsidRPr="00D638B0">
        <w:t>Statfjord</w:t>
      </w:r>
      <w:proofErr w:type="spellEnd"/>
      <w:r w:rsidRPr="00D638B0">
        <w:t xml:space="preserve">, Hutton and Lyell fields, In Morton, A.C., </w:t>
      </w:r>
      <w:proofErr w:type="spellStart"/>
      <w:r w:rsidRPr="00D638B0">
        <w:t>Haszeldine</w:t>
      </w:r>
      <w:proofErr w:type="spellEnd"/>
      <w:r w:rsidRPr="00D638B0">
        <w:t xml:space="preserve">, R.S. and Giles, M.R. (eds) </w:t>
      </w:r>
      <w:r w:rsidRPr="00D638B0">
        <w:rPr>
          <w:i/>
        </w:rPr>
        <w:t>Geology of the Brent Group</w:t>
      </w:r>
      <w:r w:rsidRPr="00D638B0">
        <w:t xml:space="preserve">, Geological Society Special Publication, </w:t>
      </w:r>
      <w:r w:rsidRPr="00D638B0">
        <w:rPr>
          <w:b/>
        </w:rPr>
        <w:t>61</w:t>
      </w:r>
      <w:r w:rsidRPr="00D638B0">
        <w:t>, 351-375</w:t>
      </w:r>
      <w:r w:rsidR="00A85107" w:rsidRPr="00D638B0">
        <w:t>.</w:t>
      </w:r>
    </w:p>
    <w:p w14:paraId="13566FAC" w14:textId="77777777" w:rsidR="002553BA" w:rsidRPr="00D638B0" w:rsidRDefault="002553BA" w:rsidP="00E50798">
      <w:pPr>
        <w:spacing w:line="360" w:lineRule="auto"/>
      </w:pPr>
    </w:p>
    <w:p w14:paraId="7606C829" w14:textId="77777777" w:rsidR="002553BA" w:rsidRPr="00D638B0" w:rsidRDefault="002553BA" w:rsidP="00E50798">
      <w:pPr>
        <w:spacing w:line="360" w:lineRule="auto"/>
      </w:pPr>
      <w:r w:rsidRPr="00D638B0">
        <w:t>Hoy, A. (1996) Q West simulation study update, conducted for Oryx Energy Limited, Reservoir Management Limited, REPORT NO U:\960RxOOl\WORD\021, (British Geological Survey, data archive, Hutton Field, deposited by Kerr McGee)</w:t>
      </w:r>
      <w:r w:rsidR="00A85107" w:rsidRPr="00D638B0">
        <w:t>.</w:t>
      </w:r>
    </w:p>
    <w:p w14:paraId="7D39D350" w14:textId="77777777" w:rsidR="002553BA" w:rsidRPr="00D638B0" w:rsidRDefault="002553BA" w:rsidP="00E50798">
      <w:pPr>
        <w:spacing w:line="360" w:lineRule="auto"/>
      </w:pPr>
    </w:p>
    <w:p w14:paraId="2E6C9F2C" w14:textId="77777777" w:rsidR="002553BA" w:rsidRPr="00D638B0" w:rsidRDefault="002553BA" w:rsidP="00E50798">
      <w:pPr>
        <w:spacing w:line="360" w:lineRule="auto"/>
      </w:pPr>
      <w:proofErr w:type="spellStart"/>
      <w:r w:rsidRPr="00D638B0">
        <w:t>Inter</w:t>
      </w:r>
      <w:r w:rsidR="00D63F02" w:rsidRPr="00D638B0">
        <w:t>r</w:t>
      </w:r>
      <w:r w:rsidRPr="00D638B0">
        <w:t>a</w:t>
      </w:r>
      <w:proofErr w:type="spellEnd"/>
      <w:r w:rsidRPr="00D638B0">
        <w:t xml:space="preserve"> (1994) Hutton “Q West” Simulation study prepared for Oryx UK Energy Co (British Geological Survey, data archive, Hutton Field, deposited by Kerr McGee)</w:t>
      </w:r>
      <w:r w:rsidR="00A85107" w:rsidRPr="00D638B0">
        <w:t>.</w:t>
      </w:r>
    </w:p>
    <w:p w14:paraId="18231F3F" w14:textId="77777777" w:rsidR="00AD3882" w:rsidRPr="00D638B0" w:rsidRDefault="00AD3882" w:rsidP="00E50798">
      <w:pPr>
        <w:spacing w:line="360" w:lineRule="auto"/>
      </w:pPr>
    </w:p>
    <w:p w14:paraId="16727993" w14:textId="77777777" w:rsidR="00ED7B63" w:rsidRPr="00D638B0" w:rsidRDefault="00AD3882" w:rsidP="00E50798">
      <w:pPr>
        <w:spacing w:line="360" w:lineRule="auto"/>
      </w:pPr>
      <w:proofErr w:type="spellStart"/>
      <w:r w:rsidRPr="00D638B0">
        <w:t>Johnes</w:t>
      </w:r>
      <w:proofErr w:type="spellEnd"/>
      <w:r w:rsidRPr="00D638B0">
        <w:t xml:space="preserve">, L.H. and </w:t>
      </w:r>
      <w:proofErr w:type="spellStart"/>
      <w:r w:rsidRPr="00D638B0">
        <w:t>Gauer</w:t>
      </w:r>
      <w:proofErr w:type="spellEnd"/>
      <w:r w:rsidRPr="00D638B0">
        <w:t>, M.B. (1991)</w:t>
      </w:r>
      <w:r w:rsidR="00ED7B63" w:rsidRPr="00D638B0">
        <w:t xml:space="preserve"> Northwest Hutton Field, Block 211/27, UK North Sea. </w:t>
      </w:r>
      <w:r w:rsidR="00ED7B63" w:rsidRPr="00D638B0">
        <w:rPr>
          <w:i/>
          <w:iCs/>
        </w:rPr>
        <w:t xml:space="preserve">In: </w:t>
      </w:r>
      <w:r w:rsidR="00E4452E" w:rsidRPr="00D638B0">
        <w:t>Abbotts</w:t>
      </w:r>
      <w:r w:rsidR="00ED7B63" w:rsidRPr="00D638B0">
        <w:t xml:space="preserve">, I. L. (ed.) </w:t>
      </w:r>
      <w:r w:rsidR="00ED7B63" w:rsidRPr="00D638B0">
        <w:rPr>
          <w:i/>
          <w:iCs/>
        </w:rPr>
        <w:t xml:space="preserve">United Kingdom Oil and Gas Fields 25 Years Commemorative Volume. </w:t>
      </w:r>
      <w:r w:rsidR="00ED7B63" w:rsidRPr="00D638B0">
        <w:t>Geological Socie</w:t>
      </w:r>
      <w:r w:rsidR="002C50CD" w:rsidRPr="00D638B0">
        <w:t xml:space="preserve">ty, London, Memoir, </w:t>
      </w:r>
      <w:r w:rsidR="002C50CD" w:rsidRPr="00D638B0">
        <w:rPr>
          <w:b/>
        </w:rPr>
        <w:t>14</w:t>
      </w:r>
      <w:r w:rsidR="002C50CD" w:rsidRPr="00D638B0">
        <w:t>, 145-151</w:t>
      </w:r>
      <w:r w:rsidR="00A85107" w:rsidRPr="00D638B0">
        <w:t>.</w:t>
      </w:r>
    </w:p>
    <w:p w14:paraId="40AEAD08" w14:textId="77777777" w:rsidR="006D00C7" w:rsidRPr="00D638B0" w:rsidRDefault="006D00C7" w:rsidP="00E50798">
      <w:pPr>
        <w:spacing w:line="360" w:lineRule="auto"/>
      </w:pPr>
    </w:p>
    <w:p w14:paraId="0830E154" w14:textId="77777777" w:rsidR="00AC42DE" w:rsidRPr="00D638B0" w:rsidRDefault="006D00C7" w:rsidP="00E50798">
      <w:pPr>
        <w:spacing w:line="360" w:lineRule="auto"/>
      </w:pPr>
      <w:r w:rsidRPr="00D638B0">
        <w:t>Kay</w:t>
      </w:r>
      <w:r w:rsidR="00FB60C2" w:rsidRPr="00D638B0">
        <w:t xml:space="preserve">, S. (2003) The Heather Field, Block 2/5, UK North Sea, In, Gluyas, J. G. &amp; Hichens, H. M. (eds) 2003. </w:t>
      </w:r>
      <w:r w:rsidR="00FB60C2" w:rsidRPr="00D638B0">
        <w:rPr>
          <w:i/>
        </w:rPr>
        <w:t xml:space="preserve">United Kingdom Oil and Gas Fields, Commemorative Millennium Volume. </w:t>
      </w:r>
      <w:r w:rsidR="00FB60C2" w:rsidRPr="00D638B0">
        <w:t>Geological Society, London, Memoir, 20, 291–304.</w:t>
      </w:r>
    </w:p>
    <w:p w14:paraId="564109B0" w14:textId="77777777" w:rsidR="0044113C" w:rsidRPr="00D638B0" w:rsidRDefault="0044113C" w:rsidP="00E50798">
      <w:pPr>
        <w:spacing w:line="360" w:lineRule="auto"/>
      </w:pPr>
    </w:p>
    <w:p w14:paraId="181D8B4B" w14:textId="77777777" w:rsidR="0044113C" w:rsidRPr="00D638B0" w:rsidRDefault="0044113C" w:rsidP="00E50798">
      <w:pPr>
        <w:spacing w:line="360" w:lineRule="auto"/>
      </w:pPr>
      <w:r w:rsidRPr="00D638B0">
        <w:t>Kerr McGee (2001) Hutton Field Blocks 211/27a &amp; 211/28a cessation of production document, Report number KMG-BUS-REP-</w:t>
      </w:r>
      <w:proofErr w:type="gramStart"/>
      <w:r w:rsidRPr="00D638B0">
        <w:t>015  (</w:t>
      </w:r>
      <w:proofErr w:type="gramEnd"/>
      <w:r w:rsidRPr="00D638B0">
        <w:t>British Geological Survey, data archive, Hutton Field, deposited by Kerr McGee)</w:t>
      </w:r>
      <w:r w:rsidR="00A85107" w:rsidRPr="00D638B0">
        <w:t>.</w:t>
      </w:r>
    </w:p>
    <w:p w14:paraId="4075745E" w14:textId="77777777" w:rsidR="000C6793" w:rsidRPr="00D638B0" w:rsidRDefault="000C6793" w:rsidP="00E50798">
      <w:pPr>
        <w:spacing w:line="360" w:lineRule="auto"/>
      </w:pPr>
    </w:p>
    <w:p w14:paraId="74FE15DC" w14:textId="77777777" w:rsidR="00D32356" w:rsidRPr="00D638B0" w:rsidRDefault="00D32356" w:rsidP="00E50798">
      <w:pPr>
        <w:spacing w:line="360" w:lineRule="auto"/>
      </w:pPr>
      <w:proofErr w:type="spellStart"/>
      <w:r w:rsidRPr="00D638B0">
        <w:t>Livera</w:t>
      </w:r>
      <w:proofErr w:type="spellEnd"/>
      <w:r w:rsidRPr="00D638B0">
        <w:t xml:space="preserve">, S.E. (1989) Facies associations and sand-body geometries in the Ness Formation in the Brent Group, Brent Field, </w:t>
      </w:r>
      <w:proofErr w:type="spellStart"/>
      <w:r w:rsidRPr="00D638B0">
        <w:t>Geol</w:t>
      </w:r>
      <w:proofErr w:type="spellEnd"/>
      <w:r w:rsidRPr="00D638B0">
        <w:t xml:space="preserve"> Soc. Spec. Publ.</w:t>
      </w:r>
      <w:r w:rsidRPr="00D638B0">
        <w:rPr>
          <w:b/>
        </w:rPr>
        <w:t xml:space="preserve"> 41</w:t>
      </w:r>
      <w:r w:rsidRPr="00D638B0">
        <w:t>, 269-286</w:t>
      </w:r>
      <w:r w:rsidR="00A85107" w:rsidRPr="00D638B0">
        <w:t>.</w:t>
      </w:r>
    </w:p>
    <w:p w14:paraId="52997F59" w14:textId="77777777" w:rsidR="00D32356" w:rsidRPr="00D638B0" w:rsidRDefault="00D32356" w:rsidP="00E50798">
      <w:pPr>
        <w:spacing w:line="360" w:lineRule="auto"/>
      </w:pPr>
    </w:p>
    <w:p w14:paraId="65B75EDC" w14:textId="77777777" w:rsidR="000C6793" w:rsidRPr="00D638B0" w:rsidRDefault="000C6793" w:rsidP="00E50798">
      <w:pPr>
        <w:spacing w:line="360" w:lineRule="auto"/>
      </w:pPr>
      <w:r w:rsidRPr="00D638B0">
        <w:t xml:space="preserve">Lee, M.J. and Hwang, Y.J. (1993) Tectonic evolution and structural styles of the East Shetland Basin, </w:t>
      </w:r>
      <w:r w:rsidR="009126ED" w:rsidRPr="00D638B0">
        <w:t xml:space="preserve">In Parker, J. R. (ed.) </w:t>
      </w:r>
      <w:r w:rsidR="009126ED" w:rsidRPr="00D638B0">
        <w:rPr>
          <w:i/>
        </w:rPr>
        <w:t>Petroleum Geology of Northwest Europe</w:t>
      </w:r>
      <w:r w:rsidR="009126ED" w:rsidRPr="00D638B0">
        <w:t xml:space="preserve">, </w:t>
      </w:r>
      <w:r w:rsidRPr="00D638B0">
        <w:t>Geological Society London, Petroleum Geology Conference series 4, 1137-1149</w:t>
      </w:r>
      <w:r w:rsidR="00A85107" w:rsidRPr="00D638B0">
        <w:t>.</w:t>
      </w:r>
    </w:p>
    <w:p w14:paraId="46BEFC7B" w14:textId="77777777" w:rsidR="005E780F" w:rsidRPr="00D638B0" w:rsidRDefault="005E780F" w:rsidP="005E780F">
      <w:pPr>
        <w:spacing w:line="360" w:lineRule="auto"/>
      </w:pPr>
    </w:p>
    <w:p w14:paraId="27E8DD5E" w14:textId="77777777" w:rsidR="005E780F" w:rsidRPr="00D638B0" w:rsidRDefault="005E780F" w:rsidP="005E780F">
      <w:pPr>
        <w:spacing w:line="360" w:lineRule="auto"/>
      </w:pPr>
      <w:r w:rsidRPr="00D638B0">
        <w:t xml:space="preserve">McLeod, A.E. and Underhill, J.R. (1999) Processes and products of footwall degradation, northern Brent Field, Northern North Sea, </w:t>
      </w:r>
      <w:r w:rsidRPr="00D638B0">
        <w:rPr>
          <w:i/>
        </w:rPr>
        <w:t>In</w:t>
      </w:r>
      <w:r w:rsidRPr="00D638B0">
        <w:t xml:space="preserve"> Fleet, A.J. and </w:t>
      </w:r>
      <w:proofErr w:type="spellStart"/>
      <w:r w:rsidRPr="00D638B0">
        <w:t>Boldy</w:t>
      </w:r>
      <w:proofErr w:type="spellEnd"/>
      <w:r w:rsidRPr="00D638B0">
        <w:t xml:space="preserve">, </w:t>
      </w:r>
      <w:r w:rsidRPr="00D638B0">
        <w:lastRenderedPageBreak/>
        <w:t>S.A.R. (eds) Petroleum Geology of Northwest Europe: Proceedings of the 5</w:t>
      </w:r>
      <w:r w:rsidRPr="00D638B0">
        <w:rPr>
          <w:vertAlign w:val="superscript"/>
        </w:rPr>
        <w:t>th</w:t>
      </w:r>
      <w:r w:rsidRPr="00D638B0">
        <w:t xml:space="preserve"> Conference, Geological Society, London, 91-106</w:t>
      </w:r>
      <w:r w:rsidR="00A85107" w:rsidRPr="00D638B0">
        <w:t>.</w:t>
      </w:r>
    </w:p>
    <w:p w14:paraId="2B811B18" w14:textId="77777777" w:rsidR="00FE4286" w:rsidRPr="00D638B0" w:rsidRDefault="00FE4286" w:rsidP="00E50798">
      <w:pPr>
        <w:spacing w:line="360" w:lineRule="auto"/>
      </w:pPr>
    </w:p>
    <w:p w14:paraId="12F92730" w14:textId="77777777" w:rsidR="00FE4286" w:rsidRPr="00D638B0" w:rsidRDefault="00FE4286" w:rsidP="00E50798">
      <w:pPr>
        <w:spacing w:line="360" w:lineRule="auto"/>
      </w:pPr>
      <w:r w:rsidRPr="00D638B0">
        <w:t xml:space="preserve">Mitchener, B. C., Lawrence, D.A., Partington, M.A., Bowman, M.B.J. and Gluyas, J.G. (1992) Brent Group: Sequence stratigraphy and regional implications, </w:t>
      </w:r>
      <w:proofErr w:type="spellStart"/>
      <w:r w:rsidRPr="00D638B0">
        <w:t>Geol</w:t>
      </w:r>
      <w:proofErr w:type="spellEnd"/>
      <w:r w:rsidRPr="00D638B0">
        <w:t xml:space="preserve"> Soc. Spec. Publ.</w:t>
      </w:r>
      <w:r w:rsidRPr="00D638B0">
        <w:rPr>
          <w:b/>
        </w:rPr>
        <w:t xml:space="preserve"> 61</w:t>
      </w:r>
      <w:r w:rsidRPr="00D638B0">
        <w:t>, 45-80</w:t>
      </w:r>
      <w:r w:rsidR="00A85107" w:rsidRPr="00D638B0">
        <w:t>.</w:t>
      </w:r>
    </w:p>
    <w:p w14:paraId="7B610A24" w14:textId="77777777" w:rsidR="00CE742D" w:rsidRPr="00D638B0" w:rsidRDefault="00CE742D" w:rsidP="00E50798">
      <w:pPr>
        <w:spacing w:line="360" w:lineRule="auto"/>
      </w:pPr>
    </w:p>
    <w:p w14:paraId="54CEFFA3" w14:textId="77777777" w:rsidR="00CE742D" w:rsidRPr="00D638B0" w:rsidRDefault="00CE742D" w:rsidP="00E50798">
      <w:pPr>
        <w:spacing w:line="360" w:lineRule="auto"/>
      </w:pPr>
      <w:r w:rsidRPr="00D638B0">
        <w:t xml:space="preserve">Nixon, B. (2013) </w:t>
      </w:r>
      <w:r w:rsidRPr="00D638B0">
        <w:rPr>
          <w:bCs/>
        </w:rPr>
        <w:t xml:space="preserve">Decommissioning North Sea giants, </w:t>
      </w:r>
      <w:proofErr w:type="spellStart"/>
      <w:r w:rsidRPr="00D638B0">
        <w:rPr>
          <w:bCs/>
        </w:rPr>
        <w:t>Ingenia</w:t>
      </w:r>
      <w:proofErr w:type="spellEnd"/>
      <w:r w:rsidRPr="00D638B0">
        <w:rPr>
          <w:bCs/>
        </w:rPr>
        <w:t xml:space="preserve">, </w:t>
      </w:r>
      <w:r w:rsidRPr="00D638B0">
        <w:rPr>
          <w:b/>
          <w:bCs/>
        </w:rPr>
        <w:t>57</w:t>
      </w:r>
      <w:r w:rsidRPr="00D638B0">
        <w:rPr>
          <w:bCs/>
        </w:rPr>
        <w:t>, 13-10</w:t>
      </w:r>
      <w:r w:rsidR="00A85107" w:rsidRPr="00D638B0">
        <w:rPr>
          <w:bCs/>
        </w:rPr>
        <w:t>.</w:t>
      </w:r>
    </w:p>
    <w:p w14:paraId="2431F419" w14:textId="77777777" w:rsidR="00AC42DE" w:rsidRPr="00D638B0" w:rsidRDefault="00AC42DE" w:rsidP="00E50798">
      <w:pPr>
        <w:spacing w:line="360" w:lineRule="auto"/>
      </w:pPr>
    </w:p>
    <w:p w14:paraId="2B6E1B6E" w14:textId="77777777" w:rsidR="00AC42DE" w:rsidRPr="00D638B0" w:rsidRDefault="00AC42DE" w:rsidP="00E50798">
      <w:pPr>
        <w:spacing w:line="360" w:lineRule="auto"/>
      </w:pPr>
      <w:proofErr w:type="spellStart"/>
      <w:r w:rsidRPr="00D638B0">
        <w:t>Nystuen</w:t>
      </w:r>
      <w:proofErr w:type="spellEnd"/>
      <w:r w:rsidRPr="00D638B0">
        <w:t xml:space="preserve">, J.P. and </w:t>
      </w:r>
      <w:proofErr w:type="spellStart"/>
      <w:r w:rsidRPr="00D638B0">
        <w:t>F</w:t>
      </w:r>
      <w:r w:rsidRPr="00D638B0">
        <w:rPr>
          <w:rFonts w:ascii="Cambria" w:hAnsi="Cambria"/>
        </w:rPr>
        <w:t>ä</w:t>
      </w:r>
      <w:r w:rsidRPr="00D638B0">
        <w:t>lt</w:t>
      </w:r>
      <w:proofErr w:type="spellEnd"/>
      <w:r w:rsidRPr="00D638B0">
        <w:t xml:space="preserve">, L-M. (1995) Upper Triassic-Lower Jurassic reservoir rocks of the </w:t>
      </w:r>
      <w:proofErr w:type="spellStart"/>
      <w:r w:rsidRPr="00D638B0">
        <w:t>Tampen</w:t>
      </w:r>
      <w:proofErr w:type="spellEnd"/>
      <w:r w:rsidRPr="00D638B0">
        <w:t xml:space="preserve"> Spur area, Norwegian North Sea, Norwegian Petroleum Society Special Publications, </w:t>
      </w:r>
      <w:r w:rsidRPr="00D638B0">
        <w:rPr>
          <w:b/>
        </w:rPr>
        <w:t>4</w:t>
      </w:r>
      <w:r w:rsidRPr="00D638B0">
        <w:t>, 135-179</w:t>
      </w:r>
      <w:r w:rsidR="00A85107" w:rsidRPr="00D638B0">
        <w:t>.</w:t>
      </w:r>
    </w:p>
    <w:p w14:paraId="3A1F1537" w14:textId="77777777" w:rsidR="00631C47" w:rsidRPr="00D638B0" w:rsidRDefault="00631C47" w:rsidP="00E50798">
      <w:pPr>
        <w:spacing w:line="360" w:lineRule="auto"/>
      </w:pPr>
    </w:p>
    <w:p w14:paraId="557DB90B" w14:textId="77777777" w:rsidR="00631C47" w:rsidRPr="00D638B0" w:rsidRDefault="00631C47" w:rsidP="00E50798">
      <w:pPr>
        <w:spacing w:line="360" w:lineRule="auto"/>
      </w:pPr>
      <w:r w:rsidRPr="00D638B0">
        <w:t>Oryx (1985) Hutton Field, Q West Area, Development Plan (British Geological Survey, data archive, Hutton Field</w:t>
      </w:r>
      <w:r w:rsidR="0023224D" w:rsidRPr="00D638B0">
        <w:t>, deposited by Kerr McGee</w:t>
      </w:r>
      <w:r w:rsidRPr="00D638B0">
        <w:t>)</w:t>
      </w:r>
      <w:r w:rsidR="00A85107" w:rsidRPr="00D638B0">
        <w:t>.</w:t>
      </w:r>
    </w:p>
    <w:p w14:paraId="5330C192" w14:textId="77777777" w:rsidR="00BC22D0" w:rsidRPr="00D638B0" w:rsidRDefault="00BC22D0" w:rsidP="00E50798">
      <w:pPr>
        <w:spacing w:line="360" w:lineRule="auto"/>
      </w:pPr>
    </w:p>
    <w:p w14:paraId="107EF16F" w14:textId="77777777" w:rsidR="00BC22D0" w:rsidRPr="00D638B0" w:rsidRDefault="00BC22D0" w:rsidP="00E50798">
      <w:pPr>
        <w:spacing w:line="360" w:lineRule="auto"/>
      </w:pPr>
      <w:r w:rsidRPr="00D638B0">
        <w:t xml:space="preserve">Oxtoby, N.H., Mitchell, A.W. and Gluyas, J.G. (1995) The filling and emptying of the Ula oilfield (Norwegian North Sea), </w:t>
      </w:r>
      <w:proofErr w:type="spellStart"/>
      <w:r w:rsidRPr="00D638B0">
        <w:t>Geol</w:t>
      </w:r>
      <w:proofErr w:type="spellEnd"/>
      <w:r w:rsidRPr="00D638B0">
        <w:t xml:space="preserve"> Soc. Sec. </w:t>
      </w:r>
      <w:proofErr w:type="spellStart"/>
      <w:r w:rsidRPr="00D638B0">
        <w:t>Publ.No</w:t>
      </w:r>
      <w:proofErr w:type="spellEnd"/>
      <w:r w:rsidRPr="00D638B0">
        <w:t xml:space="preserve">. 86, The Geochemistry of Reservoirs (eds. </w:t>
      </w:r>
      <w:proofErr w:type="spellStart"/>
      <w:r w:rsidRPr="00D638B0">
        <w:t>J.</w:t>
      </w:r>
      <w:proofErr w:type="gramStart"/>
      <w:r w:rsidRPr="00D638B0">
        <w:t>M.Cubitt</w:t>
      </w:r>
      <w:proofErr w:type="spellEnd"/>
      <w:proofErr w:type="gramEnd"/>
      <w:r w:rsidRPr="00D638B0">
        <w:t xml:space="preserve"> and </w:t>
      </w:r>
      <w:proofErr w:type="spellStart"/>
      <w:r w:rsidRPr="00D638B0">
        <w:t>W.A.England</w:t>
      </w:r>
      <w:proofErr w:type="spellEnd"/>
      <w:r w:rsidRPr="00D638B0">
        <w:t>), 141-158</w:t>
      </w:r>
      <w:r w:rsidR="00A85107" w:rsidRPr="00D638B0">
        <w:t>.</w:t>
      </w:r>
    </w:p>
    <w:p w14:paraId="7100D84F" w14:textId="77777777" w:rsidR="00D50A06" w:rsidRPr="00D638B0" w:rsidRDefault="00D50A06" w:rsidP="00E50798">
      <w:pPr>
        <w:spacing w:line="360" w:lineRule="auto"/>
      </w:pPr>
    </w:p>
    <w:p w14:paraId="48773640" w14:textId="77777777" w:rsidR="00D50A06" w:rsidRPr="00D638B0" w:rsidRDefault="00D50A06" w:rsidP="00E50798">
      <w:pPr>
        <w:spacing w:line="360" w:lineRule="auto"/>
      </w:pPr>
      <w:r w:rsidRPr="00D638B0">
        <w:t xml:space="preserve">Partington, M.A., Mitchener, B.C., Milton, N.J. and Fraser, A.J. </w:t>
      </w:r>
      <w:r w:rsidR="005118C7" w:rsidRPr="00D638B0">
        <w:t xml:space="preserve">(1993) </w:t>
      </w:r>
      <w:r w:rsidRPr="00D638B0">
        <w:t xml:space="preserve">Genetic sequence stratigraphy for the North Sea Late Jurassic and Early Cretaceous: distribution and prediction of Kimmeridgian-Late </w:t>
      </w:r>
      <w:proofErr w:type="spellStart"/>
      <w:r w:rsidRPr="00D638B0">
        <w:t>Ryazanian</w:t>
      </w:r>
      <w:proofErr w:type="spellEnd"/>
      <w:r w:rsidRPr="00D638B0">
        <w:t xml:space="preserve"> reservoirs in the North Sea and adjacent areas, In Parker, J. R. (ed.) </w:t>
      </w:r>
      <w:r w:rsidRPr="00D638B0">
        <w:rPr>
          <w:i/>
        </w:rPr>
        <w:t>Petroleum Geology of Northwest Europe</w:t>
      </w:r>
      <w:r w:rsidRPr="00D638B0">
        <w:t>, Geological Society London, Petroleum Geology Conference series 4, 347-370</w:t>
      </w:r>
      <w:r w:rsidR="00A85107" w:rsidRPr="00D638B0">
        <w:t>.</w:t>
      </w:r>
    </w:p>
    <w:p w14:paraId="2069104A" w14:textId="77777777" w:rsidR="00925938" w:rsidRPr="00D638B0" w:rsidRDefault="00925938" w:rsidP="00E50798">
      <w:pPr>
        <w:spacing w:line="360" w:lineRule="auto"/>
      </w:pPr>
    </w:p>
    <w:p w14:paraId="79A2B4F4" w14:textId="77777777" w:rsidR="00925938" w:rsidRPr="00D638B0" w:rsidRDefault="00925938" w:rsidP="00E50798">
      <w:pPr>
        <w:spacing w:line="360" w:lineRule="auto"/>
      </w:pPr>
      <w:r w:rsidRPr="00D638B0">
        <w:t xml:space="preserve">Qin, H. (2014) </w:t>
      </w:r>
      <w:r w:rsidR="00491049" w:rsidRPr="00D638B0">
        <w:t xml:space="preserve">Interpretation of Upper Jurassic sandstone in the area between </w:t>
      </w:r>
      <w:proofErr w:type="spellStart"/>
      <w:r w:rsidR="00491049" w:rsidRPr="00D638B0">
        <w:t>Statfjord</w:t>
      </w:r>
      <w:proofErr w:type="spellEnd"/>
      <w:r w:rsidR="00491049" w:rsidRPr="00D638B0">
        <w:t xml:space="preserve"> an </w:t>
      </w:r>
      <w:proofErr w:type="spellStart"/>
      <w:r w:rsidR="00491049" w:rsidRPr="00D638B0">
        <w:t>Tordis</w:t>
      </w:r>
      <w:proofErr w:type="spellEnd"/>
      <w:r w:rsidR="00491049" w:rsidRPr="00D638B0">
        <w:t xml:space="preserve"> field</w:t>
      </w:r>
      <w:r w:rsidR="000D0AFE" w:rsidRPr="00D638B0">
        <w:t xml:space="preserve">s, Northern North Sea, </w:t>
      </w:r>
      <w:proofErr w:type="spellStart"/>
      <w:r w:rsidR="000D0AFE" w:rsidRPr="00D638B0">
        <w:t>Masters</w:t>
      </w:r>
      <w:proofErr w:type="spellEnd"/>
      <w:r w:rsidR="000D0AFE" w:rsidRPr="00D638B0">
        <w:t xml:space="preserve"> t</w:t>
      </w:r>
      <w:r w:rsidR="00491049" w:rsidRPr="00D638B0">
        <w:t xml:space="preserve">hesis, University of Stavanger, Norway, </w:t>
      </w:r>
      <w:hyperlink r:id="rId13" w:history="1">
        <w:r w:rsidR="00E91962" w:rsidRPr="00D638B0">
          <w:rPr>
            <w:rStyle w:val="Hyperlink"/>
          </w:rPr>
          <w:t>http://hdl.handle.net/11250/224380</w:t>
        </w:r>
      </w:hyperlink>
      <w:r w:rsidR="00E91962" w:rsidRPr="00D638B0">
        <w:t xml:space="preserve"> </w:t>
      </w:r>
      <w:r w:rsidR="00A85107" w:rsidRPr="00D638B0">
        <w:t>.</w:t>
      </w:r>
    </w:p>
    <w:p w14:paraId="7204FF2E" w14:textId="77777777" w:rsidR="002C50CD" w:rsidRPr="00D638B0" w:rsidRDefault="002C50CD" w:rsidP="00E50798">
      <w:pPr>
        <w:spacing w:line="360" w:lineRule="auto"/>
      </w:pPr>
    </w:p>
    <w:p w14:paraId="44BE825E" w14:textId="77777777" w:rsidR="002C50CD" w:rsidRPr="00D638B0" w:rsidRDefault="002C50CD" w:rsidP="00E50798">
      <w:pPr>
        <w:spacing w:line="360" w:lineRule="auto"/>
      </w:pPr>
      <w:r w:rsidRPr="00D638B0">
        <w:lastRenderedPageBreak/>
        <w:t xml:space="preserve">Richards, P.C. and Brown, S. (1986) Shoreface storm deposits in the Rannoch Formation (Middle Jurassic), North West Hutton oilfield, Scottish Journal of Geology, 22, 367-375, </w:t>
      </w:r>
      <w:hyperlink r:id="rId14" w:history="1">
        <w:r w:rsidRPr="00D638B0">
          <w:rPr>
            <w:rStyle w:val="Hyperlink"/>
          </w:rPr>
          <w:t>https://doi.org/10.1144/sjg22030367</w:t>
        </w:r>
      </w:hyperlink>
      <w:r w:rsidRPr="00D638B0">
        <w:t xml:space="preserve"> </w:t>
      </w:r>
      <w:r w:rsidR="00A85107" w:rsidRPr="00D638B0">
        <w:t>.</w:t>
      </w:r>
    </w:p>
    <w:p w14:paraId="5B9C3753" w14:textId="77777777" w:rsidR="00100CF9" w:rsidRPr="00D638B0" w:rsidRDefault="00100CF9" w:rsidP="00E50798">
      <w:pPr>
        <w:spacing w:line="360" w:lineRule="auto"/>
      </w:pPr>
    </w:p>
    <w:p w14:paraId="13034991" w14:textId="77777777" w:rsidR="00100CF9" w:rsidRPr="00D638B0" w:rsidRDefault="00100CF9" w:rsidP="00E50798">
      <w:pPr>
        <w:spacing w:line="360" w:lineRule="auto"/>
      </w:pPr>
      <w:r w:rsidRPr="00D638B0">
        <w:t xml:space="preserve">Scotchman, I.C., </w:t>
      </w:r>
      <w:proofErr w:type="spellStart"/>
      <w:r w:rsidRPr="00D638B0">
        <w:t>Johnes</w:t>
      </w:r>
      <w:proofErr w:type="spellEnd"/>
      <w:r w:rsidRPr="00D638B0">
        <w:t xml:space="preserve">, L.H. and Miller, S. (1989) Clay diagenesis and oil migration in Brent Group sandstones, NW Hutton Field, UK North Sea, Clay Minerals </w:t>
      </w:r>
      <w:r w:rsidRPr="00D638B0">
        <w:rPr>
          <w:b/>
        </w:rPr>
        <w:t>24</w:t>
      </w:r>
      <w:r w:rsidRPr="00D638B0">
        <w:t>, 339-374</w:t>
      </w:r>
      <w:r w:rsidR="00A85107" w:rsidRPr="00D638B0">
        <w:t>.</w:t>
      </w:r>
    </w:p>
    <w:p w14:paraId="0029EE10" w14:textId="77777777" w:rsidR="006D00C7" w:rsidRPr="00D638B0" w:rsidRDefault="006D00C7" w:rsidP="00E50798">
      <w:pPr>
        <w:spacing w:line="360" w:lineRule="auto"/>
      </w:pPr>
    </w:p>
    <w:p w14:paraId="639E79A2" w14:textId="77777777" w:rsidR="006D00C7" w:rsidRPr="00D638B0" w:rsidRDefault="006D00C7" w:rsidP="00E50798">
      <w:pPr>
        <w:spacing w:line="360" w:lineRule="auto"/>
      </w:pPr>
      <w:r w:rsidRPr="00D638B0">
        <w:t>Stewart</w:t>
      </w:r>
      <w:r w:rsidR="00E4452E" w:rsidRPr="00D638B0">
        <w:t xml:space="preserve">, D. M. &amp; Faulkner, J. G. (1991) The Emerald Field, Blocks 2/10a, 2/5a, 3/11b, UK North Sea, </w:t>
      </w:r>
      <w:r w:rsidR="00E4452E" w:rsidRPr="00D638B0">
        <w:rPr>
          <w:i/>
          <w:iCs/>
        </w:rPr>
        <w:t xml:space="preserve">In: </w:t>
      </w:r>
      <w:r w:rsidR="00E4452E" w:rsidRPr="00D638B0">
        <w:t xml:space="preserve">Abbotts, I. L. (ed.) </w:t>
      </w:r>
      <w:r w:rsidR="00E4452E" w:rsidRPr="00D638B0">
        <w:rPr>
          <w:i/>
          <w:iCs/>
        </w:rPr>
        <w:t xml:space="preserve">United Kingdom Oil and Gas Fields 25 Years Commemorative Volume. </w:t>
      </w:r>
      <w:r w:rsidR="00E4452E" w:rsidRPr="00D638B0">
        <w:t xml:space="preserve">Geological Society, London, Memoir, </w:t>
      </w:r>
      <w:r w:rsidR="00E4452E" w:rsidRPr="00D638B0">
        <w:rPr>
          <w:b/>
        </w:rPr>
        <w:t>14</w:t>
      </w:r>
      <w:r w:rsidR="00E4452E" w:rsidRPr="00D638B0">
        <w:t>, 111–116</w:t>
      </w:r>
      <w:r w:rsidR="00A85107" w:rsidRPr="00D638B0">
        <w:t>.</w:t>
      </w:r>
    </w:p>
    <w:p w14:paraId="51AD20EE" w14:textId="77777777" w:rsidR="00372262" w:rsidRPr="00D638B0" w:rsidRDefault="00372262" w:rsidP="00E50798">
      <w:pPr>
        <w:spacing w:line="360" w:lineRule="auto"/>
      </w:pPr>
    </w:p>
    <w:p w14:paraId="79D533F5" w14:textId="77777777" w:rsidR="00372262" w:rsidRPr="00D638B0" w:rsidRDefault="00372262" w:rsidP="00E50798">
      <w:pPr>
        <w:spacing w:line="360" w:lineRule="auto"/>
      </w:pPr>
      <w:r w:rsidRPr="00D638B0">
        <w:t xml:space="preserve">Swarbrick, R.E. (1994) Reservoir diagenesis and hydrocarbon migration under hydrostatic </w:t>
      </w:r>
      <w:proofErr w:type="spellStart"/>
      <w:r w:rsidRPr="00D638B0">
        <w:t>palaeopressure</w:t>
      </w:r>
      <w:proofErr w:type="spellEnd"/>
      <w:r w:rsidRPr="00D638B0">
        <w:t xml:space="preserve"> conditions, Clay Minerals, </w:t>
      </w:r>
      <w:r w:rsidRPr="00D638B0">
        <w:rPr>
          <w:b/>
        </w:rPr>
        <w:t>29</w:t>
      </w:r>
      <w:r w:rsidRPr="00D638B0">
        <w:t>, 463-473</w:t>
      </w:r>
      <w:r w:rsidR="00A85107" w:rsidRPr="00D638B0">
        <w:t>.</w:t>
      </w:r>
    </w:p>
    <w:p w14:paraId="0337349F" w14:textId="77777777" w:rsidR="00783979" w:rsidRPr="00D638B0" w:rsidRDefault="00783979" w:rsidP="00E50798">
      <w:pPr>
        <w:spacing w:line="360" w:lineRule="auto"/>
      </w:pPr>
    </w:p>
    <w:p w14:paraId="77EA598D" w14:textId="77777777" w:rsidR="00783979" w:rsidRPr="00D638B0" w:rsidRDefault="00783979" w:rsidP="00E50798">
      <w:pPr>
        <w:spacing w:line="360" w:lineRule="auto"/>
      </w:pPr>
      <w:r w:rsidRPr="00D638B0">
        <w:t xml:space="preserve">TAQA (2016) UKCS </w:t>
      </w:r>
      <w:proofErr w:type="spellStart"/>
      <w:r w:rsidR="005958E8" w:rsidRPr="00D638B0">
        <w:t>Lisense</w:t>
      </w:r>
      <w:proofErr w:type="spellEnd"/>
      <w:r w:rsidRPr="00D638B0">
        <w:t xml:space="preserve"> P1634 Block 27e, Relinquishment report, TAQA Britani Limited and INEOS Clipper South Limited</w:t>
      </w:r>
      <w:r w:rsidR="00A85107" w:rsidRPr="00D638B0">
        <w:t>.</w:t>
      </w:r>
      <w:r w:rsidRPr="00D638B0">
        <w:t xml:space="preserve"> </w:t>
      </w:r>
      <w:hyperlink r:id="rId15" w:history="1">
        <w:r w:rsidRPr="00D638B0">
          <w:rPr>
            <w:rFonts w:ascii="Calibri" w:hAnsi="Calibri" w:cs="Calibri"/>
            <w:color w:val="0000E9"/>
            <w:szCs w:val="28"/>
            <w:u w:val="single" w:color="0000E9"/>
          </w:rPr>
          <w:t>https://itportal.ogauthority.co.uk/web_files/relinqs/jul2016/P1634.pdf</w:t>
        </w:r>
      </w:hyperlink>
      <w:r w:rsidRPr="00D638B0">
        <w:rPr>
          <w:rFonts w:ascii="Calibri" w:hAnsi="Calibri" w:cs="Calibri"/>
          <w:szCs w:val="28"/>
        </w:rPr>
        <w:t>  accessed on 5</w:t>
      </w:r>
      <w:r w:rsidRPr="00D638B0">
        <w:rPr>
          <w:rFonts w:ascii="Calibri" w:hAnsi="Calibri" w:cs="Calibri"/>
          <w:szCs w:val="28"/>
          <w:vertAlign w:val="superscript"/>
        </w:rPr>
        <w:t>th</w:t>
      </w:r>
      <w:r w:rsidRPr="00D638B0">
        <w:rPr>
          <w:rFonts w:ascii="Calibri" w:hAnsi="Calibri" w:cs="Calibri"/>
          <w:szCs w:val="28"/>
        </w:rPr>
        <w:t xml:space="preserve"> January 2018</w:t>
      </w:r>
      <w:r w:rsidR="00A85107" w:rsidRPr="00D638B0">
        <w:rPr>
          <w:rFonts w:ascii="Calibri" w:hAnsi="Calibri" w:cs="Calibri"/>
          <w:szCs w:val="28"/>
        </w:rPr>
        <w:t>.</w:t>
      </w:r>
    </w:p>
    <w:p w14:paraId="747A735A" w14:textId="77777777" w:rsidR="00227732" w:rsidRPr="00D638B0" w:rsidRDefault="00227732" w:rsidP="00E50798">
      <w:pPr>
        <w:spacing w:line="360" w:lineRule="auto"/>
      </w:pPr>
    </w:p>
    <w:p w14:paraId="18A841A7" w14:textId="77777777" w:rsidR="00227732" w:rsidRPr="00D638B0" w:rsidRDefault="00227732" w:rsidP="00E50798">
      <w:pPr>
        <w:spacing w:line="360" w:lineRule="auto"/>
      </w:pPr>
      <w:r w:rsidRPr="00D638B0">
        <w:t xml:space="preserve">Yielding, G., </w:t>
      </w:r>
      <w:proofErr w:type="spellStart"/>
      <w:r w:rsidRPr="00D638B0">
        <w:t>Badley</w:t>
      </w:r>
      <w:proofErr w:type="spellEnd"/>
      <w:r w:rsidRPr="00D638B0">
        <w:t>, M.E. and Roberts, A.M. (1992) The structural evolution of the Brent Province, Geological Society, Special Publication 61, 27-43</w:t>
      </w:r>
      <w:r w:rsidR="00A85107" w:rsidRPr="00D638B0">
        <w:t>.</w:t>
      </w:r>
    </w:p>
    <w:p w14:paraId="09EB642F" w14:textId="77777777" w:rsidR="00105025" w:rsidRPr="00D638B0" w:rsidRDefault="00105025" w:rsidP="00E50798">
      <w:pPr>
        <w:spacing w:line="360" w:lineRule="auto"/>
      </w:pPr>
    </w:p>
    <w:p w14:paraId="266F219D" w14:textId="77777777" w:rsidR="00383F2C" w:rsidRPr="00D638B0" w:rsidRDefault="00383F2C" w:rsidP="00E50798">
      <w:pPr>
        <w:spacing w:line="360" w:lineRule="auto"/>
      </w:pPr>
      <w:r w:rsidRPr="00D638B0">
        <w:t>Figure 1 – Location map – license block with field outlines and inset regional map</w:t>
      </w:r>
      <w:r w:rsidR="000D17BB" w:rsidRPr="00D638B0">
        <w:t>.</w:t>
      </w:r>
      <w:r w:rsidRPr="00D638B0">
        <w:t xml:space="preserve"> </w:t>
      </w:r>
      <w:r w:rsidR="000D17BB" w:rsidRPr="00D638B0">
        <w:t>Area coverage of the PGS/TGS East Shetland Basin ESB09 3D seismic survey outlined in red.</w:t>
      </w:r>
      <w:r w:rsidR="00DA5A4E" w:rsidRPr="00D638B0">
        <w:t xml:space="preserve"> The exploration and appraisal wells drilled in the Hutton area are also shown.</w:t>
      </w:r>
    </w:p>
    <w:p w14:paraId="106942E7" w14:textId="77777777" w:rsidR="000370DC" w:rsidRPr="00D638B0" w:rsidRDefault="000370DC" w:rsidP="00E50798">
      <w:pPr>
        <w:spacing w:line="360" w:lineRule="auto"/>
      </w:pPr>
    </w:p>
    <w:p w14:paraId="31385A9B" w14:textId="77777777" w:rsidR="00383F2C" w:rsidRPr="00D638B0" w:rsidRDefault="00383F2C" w:rsidP="00E50798">
      <w:pPr>
        <w:spacing w:line="360" w:lineRule="auto"/>
      </w:pPr>
      <w:r w:rsidRPr="00D638B0">
        <w:t>Figure 2 – Reservoir stratigraphy with subdivisions and</w:t>
      </w:r>
      <w:r w:rsidR="003410BC" w:rsidRPr="00D638B0">
        <w:t xml:space="preserve"> reservoir properties.  T</w:t>
      </w:r>
      <w:r w:rsidRPr="00D638B0">
        <w:t>ypical gamma-ray log profile</w:t>
      </w:r>
      <w:r w:rsidR="003410BC" w:rsidRPr="00D638B0">
        <w:t xml:space="preserve"> for Brent Group shown on left.</w:t>
      </w:r>
    </w:p>
    <w:p w14:paraId="59F8B91C" w14:textId="77777777" w:rsidR="00383F2C" w:rsidRPr="00D638B0" w:rsidRDefault="00383F2C" w:rsidP="00E50798">
      <w:pPr>
        <w:spacing w:line="360" w:lineRule="auto"/>
      </w:pPr>
    </w:p>
    <w:p w14:paraId="35E247FB" w14:textId="135D3272" w:rsidR="00383F2C" w:rsidRPr="00D638B0" w:rsidRDefault="00383F2C" w:rsidP="00E50798">
      <w:pPr>
        <w:spacing w:line="360" w:lineRule="auto"/>
      </w:pPr>
      <w:r w:rsidRPr="00D638B0">
        <w:t>Figure 3 Hutton</w:t>
      </w:r>
      <w:r w:rsidR="00A27909">
        <w:t xml:space="preserve">, NW Hutton </w:t>
      </w:r>
      <w:r w:rsidRPr="00D638B0">
        <w:t xml:space="preserve">and Q-West </w:t>
      </w:r>
      <w:r w:rsidR="00A27909">
        <w:t xml:space="preserve">Field </w:t>
      </w:r>
      <w:r w:rsidRPr="00D638B0">
        <w:t>location of exploration, appraisal and development wells on top reservoir depth map.</w:t>
      </w:r>
    </w:p>
    <w:p w14:paraId="1294FB85" w14:textId="42A2BA01" w:rsidR="00E93609" w:rsidRPr="00D638B0" w:rsidRDefault="00E93609" w:rsidP="00E50798">
      <w:pPr>
        <w:spacing w:line="360" w:lineRule="auto"/>
      </w:pPr>
    </w:p>
    <w:p w14:paraId="7881D476" w14:textId="327BD2D8" w:rsidR="00E93609" w:rsidRPr="00D638B0" w:rsidRDefault="00E93609" w:rsidP="00E50798">
      <w:pPr>
        <w:spacing w:line="360" w:lineRule="auto"/>
      </w:pPr>
      <w:r w:rsidRPr="00D638B0">
        <w:t xml:space="preserve">Figure </w:t>
      </w:r>
      <w:r w:rsidR="00A27909">
        <w:t>4</w:t>
      </w:r>
      <w:r w:rsidRPr="00D638B0">
        <w:t xml:space="preserve"> Regional two-way-time map on the Base Cretaceous Unconformity</w:t>
      </w:r>
      <w:r w:rsidR="00C01816">
        <w:t>, showing pre-existing structural grain, both NE-SW and NW-</w:t>
      </w:r>
      <w:proofErr w:type="gramStart"/>
      <w:r w:rsidR="00C01816">
        <w:t>SE .</w:t>
      </w:r>
      <w:proofErr w:type="gramEnd"/>
    </w:p>
    <w:p w14:paraId="27C0A715" w14:textId="77777777" w:rsidR="00383F2C" w:rsidRPr="00D638B0" w:rsidRDefault="00383F2C" w:rsidP="00E50798">
      <w:pPr>
        <w:spacing w:line="360" w:lineRule="auto"/>
      </w:pPr>
    </w:p>
    <w:p w14:paraId="24D69FFB" w14:textId="5354756B" w:rsidR="00383F2C" w:rsidRPr="00D638B0" w:rsidRDefault="00383F2C" w:rsidP="00E50798">
      <w:pPr>
        <w:spacing w:line="360" w:lineRule="auto"/>
      </w:pPr>
      <w:r w:rsidRPr="00D638B0">
        <w:t xml:space="preserve">Figure </w:t>
      </w:r>
      <w:r w:rsidR="00A27909">
        <w:t>5</w:t>
      </w:r>
      <w:r w:rsidR="00E93609" w:rsidRPr="00D638B0">
        <w:t xml:space="preserve"> </w:t>
      </w:r>
      <w:r w:rsidR="005958E8" w:rsidRPr="00D638B0">
        <w:t>C</w:t>
      </w:r>
      <w:r w:rsidRPr="00D638B0">
        <w:t>omparison of seismic line from 1979 3D acquisition with original processing (a) and 2007 reprocessing (b).</w:t>
      </w:r>
    </w:p>
    <w:p w14:paraId="58C4215F" w14:textId="77777777" w:rsidR="00E93609" w:rsidRPr="00D638B0" w:rsidRDefault="00E93609" w:rsidP="00E50798">
      <w:pPr>
        <w:spacing w:line="360" w:lineRule="auto"/>
      </w:pPr>
    </w:p>
    <w:p w14:paraId="77411466" w14:textId="6A29789D" w:rsidR="00E93609" w:rsidRPr="00D638B0" w:rsidRDefault="00E93609" w:rsidP="00E50798">
      <w:pPr>
        <w:spacing w:line="360" w:lineRule="auto"/>
      </w:pPr>
      <w:r w:rsidRPr="00D638B0">
        <w:t xml:space="preserve">Figure </w:t>
      </w:r>
      <w:r w:rsidR="00A27909">
        <w:t>6</w:t>
      </w:r>
      <w:r w:rsidRPr="00D638B0">
        <w:t xml:space="preserve"> NW to SE cross section across NW Hutton, Q-West and Hutton showing distribution of oil-water contacts</w:t>
      </w:r>
    </w:p>
    <w:p w14:paraId="16B8738F" w14:textId="77777777" w:rsidR="00383F2C" w:rsidRPr="00D638B0" w:rsidRDefault="00383F2C" w:rsidP="00E50798">
      <w:pPr>
        <w:spacing w:line="360" w:lineRule="auto"/>
      </w:pPr>
    </w:p>
    <w:p w14:paraId="3D35FB02" w14:textId="54050AB5" w:rsidR="00383F2C" w:rsidRPr="00D638B0" w:rsidRDefault="00383F2C" w:rsidP="00E50798">
      <w:pPr>
        <w:spacing w:line="360" w:lineRule="auto"/>
      </w:pPr>
      <w:r w:rsidRPr="00D638B0">
        <w:t xml:space="preserve">Figure </w:t>
      </w:r>
      <w:r w:rsidR="00A27909">
        <w:t>7</w:t>
      </w:r>
      <w:r w:rsidR="00E93609" w:rsidRPr="00D638B0">
        <w:t xml:space="preserve"> </w:t>
      </w:r>
      <w:proofErr w:type="spellStart"/>
      <w:r w:rsidRPr="00D638B0">
        <w:t>Crossplots</w:t>
      </w:r>
      <w:proofErr w:type="spellEnd"/>
      <w:r w:rsidRPr="00D638B0">
        <w:t xml:space="preserve"> of depth versus porosity (a) and permeability (b) for cored wells in Hutton</w:t>
      </w:r>
      <w:r w:rsidR="00E83E75">
        <w:t xml:space="preserve"> (black square)</w:t>
      </w:r>
      <w:r w:rsidRPr="00D638B0">
        <w:t>, NW Hutton</w:t>
      </w:r>
      <w:r w:rsidR="00E83E75">
        <w:t xml:space="preserve"> (red triangle)</w:t>
      </w:r>
      <w:r w:rsidRPr="00D638B0">
        <w:t>, Q-West</w:t>
      </w:r>
      <w:r w:rsidR="00E83E75">
        <w:t xml:space="preserve"> (green diamond),</w:t>
      </w:r>
      <w:r w:rsidRPr="00D638B0">
        <w:t xml:space="preserve"> Darwin</w:t>
      </w:r>
      <w:r w:rsidR="00E83E75">
        <w:t xml:space="preserve"> (grey square) and 211/28-7 (blue circle).</w:t>
      </w:r>
    </w:p>
    <w:p w14:paraId="5AEB4F32" w14:textId="77777777" w:rsidR="00383F2C" w:rsidRPr="00D638B0" w:rsidRDefault="00383F2C" w:rsidP="00E50798">
      <w:pPr>
        <w:spacing w:line="360" w:lineRule="auto"/>
      </w:pPr>
    </w:p>
    <w:p w14:paraId="104A1858" w14:textId="60789C44" w:rsidR="00383F2C" w:rsidRPr="00D638B0" w:rsidRDefault="00383F2C" w:rsidP="00E50798">
      <w:pPr>
        <w:spacing w:line="360" w:lineRule="auto"/>
      </w:pPr>
      <w:r w:rsidRPr="00D638B0">
        <w:t xml:space="preserve">Figure </w:t>
      </w:r>
      <w:r w:rsidR="00A27909">
        <w:t>8</w:t>
      </w:r>
      <w:r w:rsidRPr="00D638B0">
        <w:t xml:space="preserve"> Oil and water production profiles for Hutton and </w:t>
      </w:r>
      <w:r w:rsidR="00D707C9" w:rsidRPr="00D638B0">
        <w:t>NW Hutton.  The anomalous trough (end 1990) and peak (end 2001)</w:t>
      </w:r>
      <w:r w:rsidRPr="00D638B0">
        <w:t xml:space="preserve"> identified on the NW Hutton plot are probably data errors in the released production data from the UK Oil and Gas Authority.</w:t>
      </w:r>
    </w:p>
    <w:p w14:paraId="0594A005" w14:textId="77777777" w:rsidR="00383F2C" w:rsidRPr="00D638B0" w:rsidRDefault="00383F2C" w:rsidP="00E50798">
      <w:pPr>
        <w:spacing w:line="360" w:lineRule="auto"/>
      </w:pPr>
    </w:p>
    <w:p w14:paraId="31CB8E33" w14:textId="0E47A83D" w:rsidR="00383F2C" w:rsidRPr="00D638B0" w:rsidRDefault="00383F2C" w:rsidP="00E50798">
      <w:pPr>
        <w:spacing w:line="360" w:lineRule="auto"/>
      </w:pPr>
      <w:r w:rsidRPr="00D638B0">
        <w:t xml:space="preserve">Figure </w:t>
      </w:r>
      <w:r w:rsidR="00A27909">
        <w:t>9</w:t>
      </w:r>
      <w:r w:rsidRPr="00D638B0">
        <w:t xml:space="preserve"> Brent Province recovery factors, data from Abbots, 1991 and Gluyas and Hichens, 2003.</w:t>
      </w:r>
    </w:p>
    <w:p w14:paraId="691AFEB6" w14:textId="77777777" w:rsidR="00383F2C" w:rsidRPr="00D638B0" w:rsidRDefault="00383F2C" w:rsidP="00E50798">
      <w:pPr>
        <w:spacing w:line="360" w:lineRule="auto"/>
      </w:pPr>
    </w:p>
    <w:p w14:paraId="4BAA7132" w14:textId="6E0DD764" w:rsidR="00383F2C" w:rsidRPr="00D638B0" w:rsidRDefault="00383F2C" w:rsidP="00E50798">
      <w:pPr>
        <w:spacing w:line="360" w:lineRule="auto"/>
      </w:pPr>
      <w:r w:rsidRPr="00D638B0">
        <w:t>Figure 1</w:t>
      </w:r>
      <w:r w:rsidR="00A27909">
        <w:t>0</w:t>
      </w:r>
      <w:r w:rsidRPr="00D638B0">
        <w:t xml:space="preserve"> water oil ratio progression for Hutton and NW Hutton</w:t>
      </w:r>
      <w:r w:rsidR="001322B6" w:rsidRPr="00D638B0">
        <w:t xml:space="preserve"> (low WOR)</w:t>
      </w:r>
      <w:r w:rsidR="00EA73E7" w:rsidRPr="00D638B0">
        <w:t xml:space="preserve"> at 100 </w:t>
      </w:r>
      <w:proofErr w:type="spellStart"/>
      <w:r w:rsidR="00EA73E7" w:rsidRPr="00D638B0">
        <w:t>mmbbl</w:t>
      </w:r>
      <w:proofErr w:type="spellEnd"/>
      <w:r w:rsidR="00EA73E7" w:rsidRPr="00D638B0">
        <w:t xml:space="preserve"> for NW Hutton is a data </w:t>
      </w:r>
      <w:r w:rsidR="00FD33D4" w:rsidRPr="00D638B0">
        <w:t>e</w:t>
      </w:r>
      <w:r w:rsidR="00EA73E7" w:rsidRPr="00D638B0">
        <w:t>rror</w:t>
      </w:r>
    </w:p>
    <w:p w14:paraId="63CE9FCC" w14:textId="77777777" w:rsidR="00105025" w:rsidRPr="00D638B0" w:rsidRDefault="00105025" w:rsidP="00E50798">
      <w:pPr>
        <w:spacing w:line="360" w:lineRule="auto"/>
      </w:pPr>
    </w:p>
    <w:p w14:paraId="08D55012" w14:textId="77777777" w:rsidR="00747C9A" w:rsidRPr="00D638B0" w:rsidRDefault="00105025" w:rsidP="00E50798">
      <w:pPr>
        <w:spacing w:line="360" w:lineRule="auto"/>
      </w:pPr>
      <w:r w:rsidRPr="00D638B0">
        <w:t xml:space="preserve">Table </w:t>
      </w:r>
      <w:r w:rsidR="00377060" w:rsidRPr="00D638B0">
        <w:t>1</w:t>
      </w:r>
      <w:r w:rsidR="00173D0A" w:rsidRPr="00D638B0">
        <w:t xml:space="preserve"> </w:t>
      </w:r>
      <w:r w:rsidR="00AC4FA8" w:rsidRPr="00D638B0">
        <w:t>Hutton area oil-water contact depths</w:t>
      </w:r>
    </w:p>
    <w:p w14:paraId="7A6D78C9" w14:textId="77777777" w:rsidR="00AD3882" w:rsidRPr="00AD3882" w:rsidRDefault="00747C9A" w:rsidP="00E50798">
      <w:pPr>
        <w:spacing w:line="360" w:lineRule="auto"/>
      </w:pPr>
      <w:r w:rsidRPr="00D638B0">
        <w:t xml:space="preserve">Table </w:t>
      </w:r>
      <w:r w:rsidR="00377060" w:rsidRPr="00D638B0">
        <w:t>2</w:t>
      </w:r>
      <w:r w:rsidRPr="00D638B0">
        <w:t xml:space="preserve"> </w:t>
      </w:r>
      <w:r w:rsidR="00F65AE0" w:rsidRPr="00D638B0">
        <w:t>Oil in place and reserves progression for Hutton area fields</w:t>
      </w:r>
    </w:p>
    <w:sectPr w:rsidR="00AD3882" w:rsidRPr="00AD3882" w:rsidSect="00E50798">
      <w:headerReference w:type="default" r:id="rId16"/>
      <w:pgSz w:w="11900" w:h="16840"/>
      <w:pgMar w:top="1440" w:right="1800" w:bottom="1440" w:left="180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94F0B0" w14:textId="77777777" w:rsidR="009A406C" w:rsidRDefault="009A406C" w:rsidP="00A815DF">
      <w:r>
        <w:separator/>
      </w:r>
    </w:p>
  </w:endnote>
  <w:endnote w:type="continuationSeparator" w:id="0">
    <w:p w14:paraId="73832834" w14:textId="77777777" w:rsidR="009A406C" w:rsidRDefault="009A406C" w:rsidP="00A815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FD1638" w14:textId="77777777" w:rsidR="009A406C" w:rsidRDefault="009A406C" w:rsidP="00A815DF">
      <w:r>
        <w:separator/>
      </w:r>
    </w:p>
  </w:footnote>
  <w:footnote w:type="continuationSeparator" w:id="0">
    <w:p w14:paraId="06305D0E" w14:textId="77777777" w:rsidR="009A406C" w:rsidRDefault="009A406C" w:rsidP="00A815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19665590"/>
      <w:docPartObj>
        <w:docPartGallery w:val="Page Numbers (Top of Page)"/>
        <w:docPartUnique/>
      </w:docPartObj>
    </w:sdtPr>
    <w:sdtEndPr>
      <w:rPr>
        <w:noProof/>
      </w:rPr>
    </w:sdtEndPr>
    <w:sdtContent>
      <w:p w14:paraId="4848A552" w14:textId="2290D26D" w:rsidR="00414612" w:rsidRDefault="00414612">
        <w:pPr>
          <w:pStyle w:val="Header"/>
          <w:jc w:val="right"/>
        </w:pPr>
        <w:r>
          <w:fldChar w:fldCharType="begin"/>
        </w:r>
        <w:r>
          <w:instrText xml:space="preserve"> PAGE   \* MERGEFORMAT </w:instrText>
        </w:r>
        <w:r>
          <w:fldChar w:fldCharType="separate"/>
        </w:r>
        <w:r w:rsidR="004D304E">
          <w:rPr>
            <w:noProof/>
          </w:rPr>
          <w:t>2</w:t>
        </w:r>
        <w:r>
          <w:rPr>
            <w:noProof/>
          </w:rPr>
          <w:fldChar w:fldCharType="end"/>
        </w:r>
      </w:p>
    </w:sdtContent>
  </w:sdt>
  <w:p w14:paraId="25FB105C" w14:textId="77777777" w:rsidR="00414612" w:rsidRDefault="004146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F44C49"/>
    <w:multiLevelType w:val="hybridMultilevel"/>
    <w:tmpl w:val="D5B4DE98"/>
    <w:lvl w:ilvl="0" w:tplc="7DC42F2A">
      <w:start w:val="16"/>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5C0"/>
    <w:rsid w:val="00002987"/>
    <w:rsid w:val="00002E2A"/>
    <w:rsid w:val="000108FB"/>
    <w:rsid w:val="00014F8B"/>
    <w:rsid w:val="000172CE"/>
    <w:rsid w:val="00021A85"/>
    <w:rsid w:val="00023360"/>
    <w:rsid w:val="00023706"/>
    <w:rsid w:val="000243DD"/>
    <w:rsid w:val="000274D5"/>
    <w:rsid w:val="00032326"/>
    <w:rsid w:val="000338C5"/>
    <w:rsid w:val="00034E56"/>
    <w:rsid w:val="000370DC"/>
    <w:rsid w:val="000406AD"/>
    <w:rsid w:val="000409B7"/>
    <w:rsid w:val="000416E2"/>
    <w:rsid w:val="00041E9B"/>
    <w:rsid w:val="00042CCA"/>
    <w:rsid w:val="000437A8"/>
    <w:rsid w:val="00043CE4"/>
    <w:rsid w:val="00043DCD"/>
    <w:rsid w:val="00044BAF"/>
    <w:rsid w:val="000450FF"/>
    <w:rsid w:val="000500E7"/>
    <w:rsid w:val="00053101"/>
    <w:rsid w:val="000537AB"/>
    <w:rsid w:val="0005417C"/>
    <w:rsid w:val="00054EB4"/>
    <w:rsid w:val="00055195"/>
    <w:rsid w:val="000553CE"/>
    <w:rsid w:val="00055898"/>
    <w:rsid w:val="00061D52"/>
    <w:rsid w:val="0006236D"/>
    <w:rsid w:val="00065C39"/>
    <w:rsid w:val="00071466"/>
    <w:rsid w:val="00071AED"/>
    <w:rsid w:val="00073862"/>
    <w:rsid w:val="00073C90"/>
    <w:rsid w:val="00073E5E"/>
    <w:rsid w:val="00082B4B"/>
    <w:rsid w:val="00083EF8"/>
    <w:rsid w:val="00087885"/>
    <w:rsid w:val="000879DC"/>
    <w:rsid w:val="000903F6"/>
    <w:rsid w:val="000932A6"/>
    <w:rsid w:val="000932F0"/>
    <w:rsid w:val="0009390D"/>
    <w:rsid w:val="00097EB5"/>
    <w:rsid w:val="000A10D4"/>
    <w:rsid w:val="000A20ED"/>
    <w:rsid w:val="000A2F76"/>
    <w:rsid w:val="000A6FD3"/>
    <w:rsid w:val="000B0BDB"/>
    <w:rsid w:val="000B27B3"/>
    <w:rsid w:val="000B2CE8"/>
    <w:rsid w:val="000B6F67"/>
    <w:rsid w:val="000C08F9"/>
    <w:rsid w:val="000C2623"/>
    <w:rsid w:val="000C395E"/>
    <w:rsid w:val="000C6793"/>
    <w:rsid w:val="000D0AFE"/>
    <w:rsid w:val="000D17BB"/>
    <w:rsid w:val="000D33E0"/>
    <w:rsid w:val="000D37C6"/>
    <w:rsid w:val="000D6F45"/>
    <w:rsid w:val="000E0A37"/>
    <w:rsid w:val="000E0BB2"/>
    <w:rsid w:val="000F00EC"/>
    <w:rsid w:val="000F1E22"/>
    <w:rsid w:val="000F322D"/>
    <w:rsid w:val="000F5B6B"/>
    <w:rsid w:val="000F6EEF"/>
    <w:rsid w:val="00100CF9"/>
    <w:rsid w:val="0010246A"/>
    <w:rsid w:val="00102BD7"/>
    <w:rsid w:val="00103536"/>
    <w:rsid w:val="00105025"/>
    <w:rsid w:val="00106D5B"/>
    <w:rsid w:val="0011127B"/>
    <w:rsid w:val="00116D7B"/>
    <w:rsid w:val="00125277"/>
    <w:rsid w:val="00127D4A"/>
    <w:rsid w:val="00131763"/>
    <w:rsid w:val="001320CE"/>
    <w:rsid w:val="001322B6"/>
    <w:rsid w:val="00133A38"/>
    <w:rsid w:val="00133DB5"/>
    <w:rsid w:val="00136635"/>
    <w:rsid w:val="00140E6E"/>
    <w:rsid w:val="001418C2"/>
    <w:rsid w:val="00145471"/>
    <w:rsid w:val="00145B31"/>
    <w:rsid w:val="001466CE"/>
    <w:rsid w:val="0015048C"/>
    <w:rsid w:val="001528F9"/>
    <w:rsid w:val="001531BD"/>
    <w:rsid w:val="00154FA0"/>
    <w:rsid w:val="001556B7"/>
    <w:rsid w:val="0015696D"/>
    <w:rsid w:val="001605B5"/>
    <w:rsid w:val="001612EA"/>
    <w:rsid w:val="00162F88"/>
    <w:rsid w:val="001663A2"/>
    <w:rsid w:val="00173D0A"/>
    <w:rsid w:val="00175D81"/>
    <w:rsid w:val="00181279"/>
    <w:rsid w:val="001817DC"/>
    <w:rsid w:val="00183507"/>
    <w:rsid w:val="00185984"/>
    <w:rsid w:val="00185CD7"/>
    <w:rsid w:val="00190576"/>
    <w:rsid w:val="001932F4"/>
    <w:rsid w:val="00193BFE"/>
    <w:rsid w:val="00197BA0"/>
    <w:rsid w:val="001A0D32"/>
    <w:rsid w:val="001A2B3E"/>
    <w:rsid w:val="001A33C9"/>
    <w:rsid w:val="001A7F49"/>
    <w:rsid w:val="001B75A6"/>
    <w:rsid w:val="001C23CB"/>
    <w:rsid w:val="001C4EC3"/>
    <w:rsid w:val="001C523B"/>
    <w:rsid w:val="001C5AF3"/>
    <w:rsid w:val="001C6524"/>
    <w:rsid w:val="001C667F"/>
    <w:rsid w:val="001D024E"/>
    <w:rsid w:val="001D2ABE"/>
    <w:rsid w:val="001D44BA"/>
    <w:rsid w:val="001D4C25"/>
    <w:rsid w:val="001D74F5"/>
    <w:rsid w:val="001D7794"/>
    <w:rsid w:val="001D7B45"/>
    <w:rsid w:val="001E089B"/>
    <w:rsid w:val="001E394A"/>
    <w:rsid w:val="001E5E5A"/>
    <w:rsid w:val="001F174F"/>
    <w:rsid w:val="001F2F84"/>
    <w:rsid w:val="001F37B1"/>
    <w:rsid w:val="001F5458"/>
    <w:rsid w:val="001F7654"/>
    <w:rsid w:val="001F7A8C"/>
    <w:rsid w:val="0020176B"/>
    <w:rsid w:val="00201AC6"/>
    <w:rsid w:val="0020534F"/>
    <w:rsid w:val="0020581A"/>
    <w:rsid w:val="002058AC"/>
    <w:rsid w:val="002073EF"/>
    <w:rsid w:val="002115D0"/>
    <w:rsid w:val="00216C87"/>
    <w:rsid w:val="00222753"/>
    <w:rsid w:val="002244FD"/>
    <w:rsid w:val="002260F3"/>
    <w:rsid w:val="00226787"/>
    <w:rsid w:val="00227732"/>
    <w:rsid w:val="0023224D"/>
    <w:rsid w:val="00240813"/>
    <w:rsid w:val="00241893"/>
    <w:rsid w:val="00242977"/>
    <w:rsid w:val="002434F4"/>
    <w:rsid w:val="00253B9B"/>
    <w:rsid w:val="002553BA"/>
    <w:rsid w:val="00255D18"/>
    <w:rsid w:val="002579F4"/>
    <w:rsid w:val="00262655"/>
    <w:rsid w:val="00266CBF"/>
    <w:rsid w:val="002710D1"/>
    <w:rsid w:val="0027186A"/>
    <w:rsid w:val="00272DCF"/>
    <w:rsid w:val="00273052"/>
    <w:rsid w:val="00274317"/>
    <w:rsid w:val="002749AA"/>
    <w:rsid w:val="002804F2"/>
    <w:rsid w:val="002807F8"/>
    <w:rsid w:val="0028500D"/>
    <w:rsid w:val="002864A4"/>
    <w:rsid w:val="002866C5"/>
    <w:rsid w:val="00286F48"/>
    <w:rsid w:val="0028720D"/>
    <w:rsid w:val="00287CE0"/>
    <w:rsid w:val="00287EC5"/>
    <w:rsid w:val="0029290B"/>
    <w:rsid w:val="00294624"/>
    <w:rsid w:val="00295370"/>
    <w:rsid w:val="00295493"/>
    <w:rsid w:val="00295BED"/>
    <w:rsid w:val="00297A80"/>
    <w:rsid w:val="002A5834"/>
    <w:rsid w:val="002A7D0B"/>
    <w:rsid w:val="002B6FA0"/>
    <w:rsid w:val="002C0911"/>
    <w:rsid w:val="002C2979"/>
    <w:rsid w:val="002C4A8E"/>
    <w:rsid w:val="002C50CD"/>
    <w:rsid w:val="002C6B96"/>
    <w:rsid w:val="002D4010"/>
    <w:rsid w:val="002D5FB7"/>
    <w:rsid w:val="002E0F24"/>
    <w:rsid w:val="002E2A8F"/>
    <w:rsid w:val="002E2CBF"/>
    <w:rsid w:val="002E2E90"/>
    <w:rsid w:val="002E5B3D"/>
    <w:rsid w:val="002E788C"/>
    <w:rsid w:val="002F0E7E"/>
    <w:rsid w:val="002F19E8"/>
    <w:rsid w:val="002F2070"/>
    <w:rsid w:val="002F3D4F"/>
    <w:rsid w:val="002F41F6"/>
    <w:rsid w:val="002F5145"/>
    <w:rsid w:val="002F515A"/>
    <w:rsid w:val="003019AC"/>
    <w:rsid w:val="003035BC"/>
    <w:rsid w:val="00303F01"/>
    <w:rsid w:val="00304AC5"/>
    <w:rsid w:val="00305713"/>
    <w:rsid w:val="00310C2E"/>
    <w:rsid w:val="0031186A"/>
    <w:rsid w:val="00311F78"/>
    <w:rsid w:val="003146D6"/>
    <w:rsid w:val="00315660"/>
    <w:rsid w:val="00323D0D"/>
    <w:rsid w:val="0032439B"/>
    <w:rsid w:val="003274AC"/>
    <w:rsid w:val="00327FE7"/>
    <w:rsid w:val="00334906"/>
    <w:rsid w:val="003410BC"/>
    <w:rsid w:val="00341269"/>
    <w:rsid w:val="00342F0E"/>
    <w:rsid w:val="00343F22"/>
    <w:rsid w:val="00344414"/>
    <w:rsid w:val="00344FC1"/>
    <w:rsid w:val="00345E0F"/>
    <w:rsid w:val="00347F12"/>
    <w:rsid w:val="00350ABF"/>
    <w:rsid w:val="003538C9"/>
    <w:rsid w:val="00355DED"/>
    <w:rsid w:val="00362D98"/>
    <w:rsid w:val="003634F3"/>
    <w:rsid w:val="00367C57"/>
    <w:rsid w:val="00370BFA"/>
    <w:rsid w:val="00372262"/>
    <w:rsid w:val="003742F2"/>
    <w:rsid w:val="00377060"/>
    <w:rsid w:val="003812D7"/>
    <w:rsid w:val="00382F7F"/>
    <w:rsid w:val="0038318E"/>
    <w:rsid w:val="00383F2C"/>
    <w:rsid w:val="00384E37"/>
    <w:rsid w:val="003854B0"/>
    <w:rsid w:val="003917C5"/>
    <w:rsid w:val="00391AA5"/>
    <w:rsid w:val="0039419A"/>
    <w:rsid w:val="003A1BD8"/>
    <w:rsid w:val="003A4CB0"/>
    <w:rsid w:val="003A65D2"/>
    <w:rsid w:val="003B32C2"/>
    <w:rsid w:val="003B400E"/>
    <w:rsid w:val="003B58A9"/>
    <w:rsid w:val="003C277D"/>
    <w:rsid w:val="003C2B4A"/>
    <w:rsid w:val="003C615B"/>
    <w:rsid w:val="003C765B"/>
    <w:rsid w:val="003D1E75"/>
    <w:rsid w:val="003D37E7"/>
    <w:rsid w:val="003D4B60"/>
    <w:rsid w:val="003D4BF0"/>
    <w:rsid w:val="003D710E"/>
    <w:rsid w:val="003E6C55"/>
    <w:rsid w:val="003E6E42"/>
    <w:rsid w:val="003E70A6"/>
    <w:rsid w:val="003E7644"/>
    <w:rsid w:val="003F1FC0"/>
    <w:rsid w:val="004006AE"/>
    <w:rsid w:val="00400D86"/>
    <w:rsid w:val="0040318C"/>
    <w:rsid w:val="00411056"/>
    <w:rsid w:val="00411395"/>
    <w:rsid w:val="00413DCA"/>
    <w:rsid w:val="00414612"/>
    <w:rsid w:val="0042178B"/>
    <w:rsid w:val="004250CB"/>
    <w:rsid w:val="00430403"/>
    <w:rsid w:val="00431070"/>
    <w:rsid w:val="00432E01"/>
    <w:rsid w:val="0044113C"/>
    <w:rsid w:val="00444EF2"/>
    <w:rsid w:val="00446E18"/>
    <w:rsid w:val="004473CC"/>
    <w:rsid w:val="004510E0"/>
    <w:rsid w:val="004511AE"/>
    <w:rsid w:val="00454A01"/>
    <w:rsid w:val="004558E8"/>
    <w:rsid w:val="00455DD5"/>
    <w:rsid w:val="0046349C"/>
    <w:rsid w:val="00464F14"/>
    <w:rsid w:val="004665E1"/>
    <w:rsid w:val="0047216F"/>
    <w:rsid w:val="0047286A"/>
    <w:rsid w:val="00475B59"/>
    <w:rsid w:val="00476427"/>
    <w:rsid w:val="00477BD8"/>
    <w:rsid w:val="00483F65"/>
    <w:rsid w:val="0048563A"/>
    <w:rsid w:val="00490013"/>
    <w:rsid w:val="00490980"/>
    <w:rsid w:val="00491049"/>
    <w:rsid w:val="00491E32"/>
    <w:rsid w:val="00493F07"/>
    <w:rsid w:val="00494A60"/>
    <w:rsid w:val="00497535"/>
    <w:rsid w:val="004A51AA"/>
    <w:rsid w:val="004B4A8B"/>
    <w:rsid w:val="004B5E93"/>
    <w:rsid w:val="004C25E1"/>
    <w:rsid w:val="004C45B6"/>
    <w:rsid w:val="004C591F"/>
    <w:rsid w:val="004C67EF"/>
    <w:rsid w:val="004C6E92"/>
    <w:rsid w:val="004D0CDE"/>
    <w:rsid w:val="004D304E"/>
    <w:rsid w:val="004E2312"/>
    <w:rsid w:val="004E3885"/>
    <w:rsid w:val="004E562C"/>
    <w:rsid w:val="004F04A0"/>
    <w:rsid w:val="004F537B"/>
    <w:rsid w:val="005009F9"/>
    <w:rsid w:val="0050386C"/>
    <w:rsid w:val="005118C7"/>
    <w:rsid w:val="00516B97"/>
    <w:rsid w:val="00517CEC"/>
    <w:rsid w:val="00525692"/>
    <w:rsid w:val="00530712"/>
    <w:rsid w:val="00530B47"/>
    <w:rsid w:val="005323D8"/>
    <w:rsid w:val="005378DC"/>
    <w:rsid w:val="00541034"/>
    <w:rsid w:val="00547EBD"/>
    <w:rsid w:val="00553B63"/>
    <w:rsid w:val="00560E8F"/>
    <w:rsid w:val="00562FDD"/>
    <w:rsid w:val="005662EF"/>
    <w:rsid w:val="00573A1F"/>
    <w:rsid w:val="00581AD3"/>
    <w:rsid w:val="00582E56"/>
    <w:rsid w:val="00583F13"/>
    <w:rsid w:val="00585353"/>
    <w:rsid w:val="00586C94"/>
    <w:rsid w:val="00592516"/>
    <w:rsid w:val="005958E8"/>
    <w:rsid w:val="005A030C"/>
    <w:rsid w:val="005A2762"/>
    <w:rsid w:val="005A29A4"/>
    <w:rsid w:val="005A399F"/>
    <w:rsid w:val="005A65F9"/>
    <w:rsid w:val="005B10F0"/>
    <w:rsid w:val="005B535A"/>
    <w:rsid w:val="005C1782"/>
    <w:rsid w:val="005C3709"/>
    <w:rsid w:val="005D388C"/>
    <w:rsid w:val="005E7763"/>
    <w:rsid w:val="005E780F"/>
    <w:rsid w:val="005F04DF"/>
    <w:rsid w:val="005F181C"/>
    <w:rsid w:val="005F29B2"/>
    <w:rsid w:val="006012A5"/>
    <w:rsid w:val="00601CF5"/>
    <w:rsid w:val="00602648"/>
    <w:rsid w:val="00605A03"/>
    <w:rsid w:val="00607110"/>
    <w:rsid w:val="00611772"/>
    <w:rsid w:val="00611AC7"/>
    <w:rsid w:val="00615940"/>
    <w:rsid w:val="0062035A"/>
    <w:rsid w:val="00624A65"/>
    <w:rsid w:val="00631C47"/>
    <w:rsid w:val="00632291"/>
    <w:rsid w:val="00632FBB"/>
    <w:rsid w:val="00634E86"/>
    <w:rsid w:val="00635179"/>
    <w:rsid w:val="00635FBA"/>
    <w:rsid w:val="006428AC"/>
    <w:rsid w:val="00653AD0"/>
    <w:rsid w:val="00653F1A"/>
    <w:rsid w:val="006606B3"/>
    <w:rsid w:val="00676848"/>
    <w:rsid w:val="00677411"/>
    <w:rsid w:val="0068203C"/>
    <w:rsid w:val="006823CB"/>
    <w:rsid w:val="0068430D"/>
    <w:rsid w:val="00687DA0"/>
    <w:rsid w:val="0069125E"/>
    <w:rsid w:val="0069483D"/>
    <w:rsid w:val="006972BB"/>
    <w:rsid w:val="006A10DD"/>
    <w:rsid w:val="006A191D"/>
    <w:rsid w:val="006A54D4"/>
    <w:rsid w:val="006B01BA"/>
    <w:rsid w:val="006B096F"/>
    <w:rsid w:val="006B0C1A"/>
    <w:rsid w:val="006B0C60"/>
    <w:rsid w:val="006B5DDC"/>
    <w:rsid w:val="006C44B7"/>
    <w:rsid w:val="006C57A9"/>
    <w:rsid w:val="006C6B94"/>
    <w:rsid w:val="006C723D"/>
    <w:rsid w:val="006D00C7"/>
    <w:rsid w:val="006D422E"/>
    <w:rsid w:val="006D47AC"/>
    <w:rsid w:val="006E1A25"/>
    <w:rsid w:val="006E369C"/>
    <w:rsid w:val="006E3847"/>
    <w:rsid w:val="006E41E6"/>
    <w:rsid w:val="006E4A64"/>
    <w:rsid w:val="006E588A"/>
    <w:rsid w:val="006F0FE7"/>
    <w:rsid w:val="006F2A29"/>
    <w:rsid w:val="006F3201"/>
    <w:rsid w:val="006F6717"/>
    <w:rsid w:val="006F6BF7"/>
    <w:rsid w:val="006F6E0B"/>
    <w:rsid w:val="00700678"/>
    <w:rsid w:val="00705842"/>
    <w:rsid w:val="00706244"/>
    <w:rsid w:val="00707204"/>
    <w:rsid w:val="00710C65"/>
    <w:rsid w:val="007113C7"/>
    <w:rsid w:val="007202B6"/>
    <w:rsid w:val="00721627"/>
    <w:rsid w:val="00724AFC"/>
    <w:rsid w:val="007271CE"/>
    <w:rsid w:val="007349DC"/>
    <w:rsid w:val="007361EB"/>
    <w:rsid w:val="00736FAD"/>
    <w:rsid w:val="00742038"/>
    <w:rsid w:val="0074540E"/>
    <w:rsid w:val="00747C9A"/>
    <w:rsid w:val="00752313"/>
    <w:rsid w:val="0075383D"/>
    <w:rsid w:val="00753CD4"/>
    <w:rsid w:val="0075731F"/>
    <w:rsid w:val="0076157E"/>
    <w:rsid w:val="00767111"/>
    <w:rsid w:val="007771B5"/>
    <w:rsid w:val="0078073B"/>
    <w:rsid w:val="00783979"/>
    <w:rsid w:val="00784AD5"/>
    <w:rsid w:val="00786B29"/>
    <w:rsid w:val="00791DAB"/>
    <w:rsid w:val="00792823"/>
    <w:rsid w:val="00794EA5"/>
    <w:rsid w:val="007A0F20"/>
    <w:rsid w:val="007A2352"/>
    <w:rsid w:val="007A293A"/>
    <w:rsid w:val="007A495C"/>
    <w:rsid w:val="007B7018"/>
    <w:rsid w:val="007B7DA7"/>
    <w:rsid w:val="007C05BD"/>
    <w:rsid w:val="007C08D9"/>
    <w:rsid w:val="007C20B9"/>
    <w:rsid w:val="007C25DB"/>
    <w:rsid w:val="007C410E"/>
    <w:rsid w:val="007C6865"/>
    <w:rsid w:val="007C7CCF"/>
    <w:rsid w:val="007D3598"/>
    <w:rsid w:val="007D42C3"/>
    <w:rsid w:val="007D68C2"/>
    <w:rsid w:val="007E34DD"/>
    <w:rsid w:val="007E65CC"/>
    <w:rsid w:val="007E7CC8"/>
    <w:rsid w:val="007F08B6"/>
    <w:rsid w:val="007F23F5"/>
    <w:rsid w:val="007F5774"/>
    <w:rsid w:val="007F588F"/>
    <w:rsid w:val="007F5B10"/>
    <w:rsid w:val="007F6450"/>
    <w:rsid w:val="008012BD"/>
    <w:rsid w:val="00801CCF"/>
    <w:rsid w:val="00803C1A"/>
    <w:rsid w:val="008104A2"/>
    <w:rsid w:val="0081168E"/>
    <w:rsid w:val="008120B1"/>
    <w:rsid w:val="00812242"/>
    <w:rsid w:val="008138F5"/>
    <w:rsid w:val="00815A23"/>
    <w:rsid w:val="00820318"/>
    <w:rsid w:val="0082406F"/>
    <w:rsid w:val="008350CA"/>
    <w:rsid w:val="00835173"/>
    <w:rsid w:val="00835F63"/>
    <w:rsid w:val="00840980"/>
    <w:rsid w:val="00840F23"/>
    <w:rsid w:val="00844186"/>
    <w:rsid w:val="008516DF"/>
    <w:rsid w:val="00854FE0"/>
    <w:rsid w:val="00856C88"/>
    <w:rsid w:val="00860ABC"/>
    <w:rsid w:val="00860B43"/>
    <w:rsid w:val="00861C2E"/>
    <w:rsid w:val="008625C2"/>
    <w:rsid w:val="00862DB8"/>
    <w:rsid w:val="00864D05"/>
    <w:rsid w:val="0086509C"/>
    <w:rsid w:val="00873217"/>
    <w:rsid w:val="00876F12"/>
    <w:rsid w:val="00881B28"/>
    <w:rsid w:val="008837B7"/>
    <w:rsid w:val="00883A02"/>
    <w:rsid w:val="00886724"/>
    <w:rsid w:val="008879AB"/>
    <w:rsid w:val="00890FDC"/>
    <w:rsid w:val="008912A8"/>
    <w:rsid w:val="00891F0D"/>
    <w:rsid w:val="008925FC"/>
    <w:rsid w:val="00893108"/>
    <w:rsid w:val="0089716A"/>
    <w:rsid w:val="008B25BB"/>
    <w:rsid w:val="008B2C14"/>
    <w:rsid w:val="008B2C4A"/>
    <w:rsid w:val="008C1258"/>
    <w:rsid w:val="008C6080"/>
    <w:rsid w:val="008C61CD"/>
    <w:rsid w:val="008D1757"/>
    <w:rsid w:val="008D17B4"/>
    <w:rsid w:val="008D1F83"/>
    <w:rsid w:val="008E0F11"/>
    <w:rsid w:val="008F0F45"/>
    <w:rsid w:val="00903604"/>
    <w:rsid w:val="00905B8E"/>
    <w:rsid w:val="00907A35"/>
    <w:rsid w:val="009105C0"/>
    <w:rsid w:val="009126ED"/>
    <w:rsid w:val="0091345B"/>
    <w:rsid w:val="009136F0"/>
    <w:rsid w:val="0091441D"/>
    <w:rsid w:val="00921F3D"/>
    <w:rsid w:val="0092375D"/>
    <w:rsid w:val="00925938"/>
    <w:rsid w:val="00930461"/>
    <w:rsid w:val="00934688"/>
    <w:rsid w:val="009364BA"/>
    <w:rsid w:val="00941F70"/>
    <w:rsid w:val="00945574"/>
    <w:rsid w:val="00950172"/>
    <w:rsid w:val="0096399A"/>
    <w:rsid w:val="00964141"/>
    <w:rsid w:val="00966159"/>
    <w:rsid w:val="00966EBC"/>
    <w:rsid w:val="00975CFC"/>
    <w:rsid w:val="00976898"/>
    <w:rsid w:val="009818AC"/>
    <w:rsid w:val="00985F21"/>
    <w:rsid w:val="0098625A"/>
    <w:rsid w:val="0099163E"/>
    <w:rsid w:val="00994AA9"/>
    <w:rsid w:val="00994C57"/>
    <w:rsid w:val="009954BF"/>
    <w:rsid w:val="009955A7"/>
    <w:rsid w:val="00996D0F"/>
    <w:rsid w:val="009A127C"/>
    <w:rsid w:val="009A2AB4"/>
    <w:rsid w:val="009A406C"/>
    <w:rsid w:val="009A449B"/>
    <w:rsid w:val="009B0046"/>
    <w:rsid w:val="009B0561"/>
    <w:rsid w:val="009B233B"/>
    <w:rsid w:val="009B2452"/>
    <w:rsid w:val="009B2459"/>
    <w:rsid w:val="009B5843"/>
    <w:rsid w:val="009B5C3F"/>
    <w:rsid w:val="009B6AF0"/>
    <w:rsid w:val="009C1F2E"/>
    <w:rsid w:val="009C39FA"/>
    <w:rsid w:val="009C4DA7"/>
    <w:rsid w:val="009C5C21"/>
    <w:rsid w:val="009C68BE"/>
    <w:rsid w:val="009D0D37"/>
    <w:rsid w:val="009D1AED"/>
    <w:rsid w:val="009D65FB"/>
    <w:rsid w:val="009D66A4"/>
    <w:rsid w:val="009D6823"/>
    <w:rsid w:val="009D6878"/>
    <w:rsid w:val="009D761B"/>
    <w:rsid w:val="009E27FB"/>
    <w:rsid w:val="009E356B"/>
    <w:rsid w:val="009E376F"/>
    <w:rsid w:val="009E6122"/>
    <w:rsid w:val="009E784B"/>
    <w:rsid w:val="009F036A"/>
    <w:rsid w:val="009F7AEB"/>
    <w:rsid w:val="00A0018F"/>
    <w:rsid w:val="00A011BB"/>
    <w:rsid w:val="00A01974"/>
    <w:rsid w:val="00A07307"/>
    <w:rsid w:val="00A11598"/>
    <w:rsid w:val="00A13E5A"/>
    <w:rsid w:val="00A15732"/>
    <w:rsid w:val="00A17AC9"/>
    <w:rsid w:val="00A215D3"/>
    <w:rsid w:val="00A27909"/>
    <w:rsid w:val="00A3098B"/>
    <w:rsid w:val="00A31F43"/>
    <w:rsid w:val="00A32880"/>
    <w:rsid w:val="00A376B5"/>
    <w:rsid w:val="00A41220"/>
    <w:rsid w:val="00A43E0F"/>
    <w:rsid w:val="00A44706"/>
    <w:rsid w:val="00A47F03"/>
    <w:rsid w:val="00A5201F"/>
    <w:rsid w:val="00A5217D"/>
    <w:rsid w:val="00A53DF3"/>
    <w:rsid w:val="00A53E4D"/>
    <w:rsid w:val="00A55504"/>
    <w:rsid w:val="00A562F2"/>
    <w:rsid w:val="00A60827"/>
    <w:rsid w:val="00A64E0B"/>
    <w:rsid w:val="00A763BA"/>
    <w:rsid w:val="00A77D2A"/>
    <w:rsid w:val="00A815DF"/>
    <w:rsid w:val="00A82175"/>
    <w:rsid w:val="00A8392B"/>
    <w:rsid w:val="00A85107"/>
    <w:rsid w:val="00A879A0"/>
    <w:rsid w:val="00A90738"/>
    <w:rsid w:val="00A91FB6"/>
    <w:rsid w:val="00A92CBE"/>
    <w:rsid w:val="00A93A39"/>
    <w:rsid w:val="00A962C7"/>
    <w:rsid w:val="00A9666A"/>
    <w:rsid w:val="00AA3A71"/>
    <w:rsid w:val="00AA4B7E"/>
    <w:rsid w:val="00AA6F88"/>
    <w:rsid w:val="00AA7E7C"/>
    <w:rsid w:val="00AB291F"/>
    <w:rsid w:val="00AB3E92"/>
    <w:rsid w:val="00AC2F0F"/>
    <w:rsid w:val="00AC42DE"/>
    <w:rsid w:val="00AC4FA8"/>
    <w:rsid w:val="00AC5F59"/>
    <w:rsid w:val="00AC61FF"/>
    <w:rsid w:val="00AC640E"/>
    <w:rsid w:val="00AD1B5C"/>
    <w:rsid w:val="00AD1E86"/>
    <w:rsid w:val="00AD3882"/>
    <w:rsid w:val="00AD7642"/>
    <w:rsid w:val="00AD7CB1"/>
    <w:rsid w:val="00AE53D3"/>
    <w:rsid w:val="00AE5623"/>
    <w:rsid w:val="00AE705C"/>
    <w:rsid w:val="00AF0BF1"/>
    <w:rsid w:val="00AF297F"/>
    <w:rsid w:val="00AF3878"/>
    <w:rsid w:val="00B00C93"/>
    <w:rsid w:val="00B10B18"/>
    <w:rsid w:val="00B15E2C"/>
    <w:rsid w:val="00B20545"/>
    <w:rsid w:val="00B226C5"/>
    <w:rsid w:val="00B23F7D"/>
    <w:rsid w:val="00B24D6F"/>
    <w:rsid w:val="00B37E8E"/>
    <w:rsid w:val="00B452D2"/>
    <w:rsid w:val="00B45DA5"/>
    <w:rsid w:val="00B658DD"/>
    <w:rsid w:val="00B6598D"/>
    <w:rsid w:val="00B67347"/>
    <w:rsid w:val="00B70F44"/>
    <w:rsid w:val="00B712CB"/>
    <w:rsid w:val="00B73C15"/>
    <w:rsid w:val="00B76A14"/>
    <w:rsid w:val="00B77112"/>
    <w:rsid w:val="00B77C75"/>
    <w:rsid w:val="00B77CF8"/>
    <w:rsid w:val="00B81F1F"/>
    <w:rsid w:val="00B82342"/>
    <w:rsid w:val="00B82778"/>
    <w:rsid w:val="00B85CE7"/>
    <w:rsid w:val="00B914FB"/>
    <w:rsid w:val="00B94D12"/>
    <w:rsid w:val="00B978F6"/>
    <w:rsid w:val="00BA2C80"/>
    <w:rsid w:val="00BA6EF5"/>
    <w:rsid w:val="00BB0158"/>
    <w:rsid w:val="00BB3A80"/>
    <w:rsid w:val="00BB51E3"/>
    <w:rsid w:val="00BB7532"/>
    <w:rsid w:val="00BC1C61"/>
    <w:rsid w:val="00BC22D0"/>
    <w:rsid w:val="00BC3EAB"/>
    <w:rsid w:val="00BC6BAA"/>
    <w:rsid w:val="00BD0050"/>
    <w:rsid w:val="00BD06B0"/>
    <w:rsid w:val="00BD4BD6"/>
    <w:rsid w:val="00BD7964"/>
    <w:rsid w:val="00BD7C31"/>
    <w:rsid w:val="00BE317E"/>
    <w:rsid w:val="00BE403F"/>
    <w:rsid w:val="00BE5CA6"/>
    <w:rsid w:val="00BE7BE3"/>
    <w:rsid w:val="00BF3574"/>
    <w:rsid w:val="00BF4C94"/>
    <w:rsid w:val="00BF6641"/>
    <w:rsid w:val="00BF782E"/>
    <w:rsid w:val="00C01816"/>
    <w:rsid w:val="00C02265"/>
    <w:rsid w:val="00C10BF9"/>
    <w:rsid w:val="00C17473"/>
    <w:rsid w:val="00C174BF"/>
    <w:rsid w:val="00C2052D"/>
    <w:rsid w:val="00C20E63"/>
    <w:rsid w:val="00C246AC"/>
    <w:rsid w:val="00C37781"/>
    <w:rsid w:val="00C40F8E"/>
    <w:rsid w:val="00C4338A"/>
    <w:rsid w:val="00C453F5"/>
    <w:rsid w:val="00C46D1E"/>
    <w:rsid w:val="00C547FC"/>
    <w:rsid w:val="00C54AAA"/>
    <w:rsid w:val="00C5572C"/>
    <w:rsid w:val="00C57500"/>
    <w:rsid w:val="00C63825"/>
    <w:rsid w:val="00C70A22"/>
    <w:rsid w:val="00C766A3"/>
    <w:rsid w:val="00C776FB"/>
    <w:rsid w:val="00C81CD1"/>
    <w:rsid w:val="00C83E20"/>
    <w:rsid w:val="00C8495F"/>
    <w:rsid w:val="00C84B36"/>
    <w:rsid w:val="00C86227"/>
    <w:rsid w:val="00C87966"/>
    <w:rsid w:val="00C90A5A"/>
    <w:rsid w:val="00C93021"/>
    <w:rsid w:val="00C969DD"/>
    <w:rsid w:val="00C96EEC"/>
    <w:rsid w:val="00CA3BE5"/>
    <w:rsid w:val="00CA4C32"/>
    <w:rsid w:val="00CA56CA"/>
    <w:rsid w:val="00CA633D"/>
    <w:rsid w:val="00CB44D6"/>
    <w:rsid w:val="00CB594D"/>
    <w:rsid w:val="00CB59E5"/>
    <w:rsid w:val="00CD2642"/>
    <w:rsid w:val="00CD5396"/>
    <w:rsid w:val="00CD6985"/>
    <w:rsid w:val="00CE072C"/>
    <w:rsid w:val="00CE176C"/>
    <w:rsid w:val="00CE2D08"/>
    <w:rsid w:val="00CE4D10"/>
    <w:rsid w:val="00CE742D"/>
    <w:rsid w:val="00CE745A"/>
    <w:rsid w:val="00CF1E10"/>
    <w:rsid w:val="00CF2907"/>
    <w:rsid w:val="00CF34F9"/>
    <w:rsid w:val="00CF6CDD"/>
    <w:rsid w:val="00D03FEE"/>
    <w:rsid w:val="00D0454F"/>
    <w:rsid w:val="00D079AB"/>
    <w:rsid w:val="00D07E01"/>
    <w:rsid w:val="00D14350"/>
    <w:rsid w:val="00D162B4"/>
    <w:rsid w:val="00D2307F"/>
    <w:rsid w:val="00D25EFF"/>
    <w:rsid w:val="00D32356"/>
    <w:rsid w:val="00D32E6F"/>
    <w:rsid w:val="00D336C4"/>
    <w:rsid w:val="00D33B3A"/>
    <w:rsid w:val="00D342C8"/>
    <w:rsid w:val="00D358A2"/>
    <w:rsid w:val="00D42939"/>
    <w:rsid w:val="00D4539C"/>
    <w:rsid w:val="00D50A06"/>
    <w:rsid w:val="00D51989"/>
    <w:rsid w:val="00D5199A"/>
    <w:rsid w:val="00D52304"/>
    <w:rsid w:val="00D528AD"/>
    <w:rsid w:val="00D547D1"/>
    <w:rsid w:val="00D54DA4"/>
    <w:rsid w:val="00D555E5"/>
    <w:rsid w:val="00D55F9F"/>
    <w:rsid w:val="00D60B1D"/>
    <w:rsid w:val="00D62782"/>
    <w:rsid w:val="00D62EFC"/>
    <w:rsid w:val="00D638B0"/>
    <w:rsid w:val="00D63F02"/>
    <w:rsid w:val="00D66C2C"/>
    <w:rsid w:val="00D67517"/>
    <w:rsid w:val="00D67CC6"/>
    <w:rsid w:val="00D707C9"/>
    <w:rsid w:val="00D720B4"/>
    <w:rsid w:val="00D73C9E"/>
    <w:rsid w:val="00D9069D"/>
    <w:rsid w:val="00D921F3"/>
    <w:rsid w:val="00D94D3A"/>
    <w:rsid w:val="00D95002"/>
    <w:rsid w:val="00D97C7F"/>
    <w:rsid w:val="00DA05C7"/>
    <w:rsid w:val="00DA2114"/>
    <w:rsid w:val="00DA252F"/>
    <w:rsid w:val="00DA3B68"/>
    <w:rsid w:val="00DA4585"/>
    <w:rsid w:val="00DA5939"/>
    <w:rsid w:val="00DA5A4E"/>
    <w:rsid w:val="00DA6E48"/>
    <w:rsid w:val="00DB1815"/>
    <w:rsid w:val="00DB654A"/>
    <w:rsid w:val="00DB7F49"/>
    <w:rsid w:val="00DC5AFB"/>
    <w:rsid w:val="00DC5BE9"/>
    <w:rsid w:val="00DD21FA"/>
    <w:rsid w:val="00DD243F"/>
    <w:rsid w:val="00DD27C2"/>
    <w:rsid w:val="00DD5105"/>
    <w:rsid w:val="00DD593D"/>
    <w:rsid w:val="00DE11B4"/>
    <w:rsid w:val="00DE2CFA"/>
    <w:rsid w:val="00DE3326"/>
    <w:rsid w:val="00DF2D77"/>
    <w:rsid w:val="00DF2DBA"/>
    <w:rsid w:val="00DF30D4"/>
    <w:rsid w:val="00E0119C"/>
    <w:rsid w:val="00E01367"/>
    <w:rsid w:val="00E0299A"/>
    <w:rsid w:val="00E039AC"/>
    <w:rsid w:val="00E041BD"/>
    <w:rsid w:val="00E0440B"/>
    <w:rsid w:val="00E047B4"/>
    <w:rsid w:val="00E047F2"/>
    <w:rsid w:val="00E06BF8"/>
    <w:rsid w:val="00E105F8"/>
    <w:rsid w:val="00E139DD"/>
    <w:rsid w:val="00E1477A"/>
    <w:rsid w:val="00E1516E"/>
    <w:rsid w:val="00E1518A"/>
    <w:rsid w:val="00E20176"/>
    <w:rsid w:val="00E323A9"/>
    <w:rsid w:val="00E3789C"/>
    <w:rsid w:val="00E407EF"/>
    <w:rsid w:val="00E4209F"/>
    <w:rsid w:val="00E4452E"/>
    <w:rsid w:val="00E454B3"/>
    <w:rsid w:val="00E46A87"/>
    <w:rsid w:val="00E50798"/>
    <w:rsid w:val="00E55391"/>
    <w:rsid w:val="00E60EF4"/>
    <w:rsid w:val="00E61A0B"/>
    <w:rsid w:val="00E63122"/>
    <w:rsid w:val="00E635A3"/>
    <w:rsid w:val="00E65190"/>
    <w:rsid w:val="00E727CA"/>
    <w:rsid w:val="00E7340C"/>
    <w:rsid w:val="00E74E3C"/>
    <w:rsid w:val="00E83E75"/>
    <w:rsid w:val="00E91962"/>
    <w:rsid w:val="00E93609"/>
    <w:rsid w:val="00EA48DE"/>
    <w:rsid w:val="00EA4A84"/>
    <w:rsid w:val="00EA73E7"/>
    <w:rsid w:val="00EA7699"/>
    <w:rsid w:val="00EB1DC0"/>
    <w:rsid w:val="00EB2B6B"/>
    <w:rsid w:val="00EB444E"/>
    <w:rsid w:val="00EB463A"/>
    <w:rsid w:val="00EB6AA2"/>
    <w:rsid w:val="00EB7CA8"/>
    <w:rsid w:val="00EC114C"/>
    <w:rsid w:val="00EC25D3"/>
    <w:rsid w:val="00EC2EEB"/>
    <w:rsid w:val="00ED0B1F"/>
    <w:rsid w:val="00ED131D"/>
    <w:rsid w:val="00ED5500"/>
    <w:rsid w:val="00ED7B63"/>
    <w:rsid w:val="00EE1E48"/>
    <w:rsid w:val="00EE2756"/>
    <w:rsid w:val="00EE540C"/>
    <w:rsid w:val="00EF1960"/>
    <w:rsid w:val="00EF2F5F"/>
    <w:rsid w:val="00EF3C62"/>
    <w:rsid w:val="00EF52FE"/>
    <w:rsid w:val="00EF5499"/>
    <w:rsid w:val="00F01DF5"/>
    <w:rsid w:val="00F01EF0"/>
    <w:rsid w:val="00F033FB"/>
    <w:rsid w:val="00F06837"/>
    <w:rsid w:val="00F101E3"/>
    <w:rsid w:val="00F13C44"/>
    <w:rsid w:val="00F20B17"/>
    <w:rsid w:val="00F21B8C"/>
    <w:rsid w:val="00F25B48"/>
    <w:rsid w:val="00F26C98"/>
    <w:rsid w:val="00F27425"/>
    <w:rsid w:val="00F27DE7"/>
    <w:rsid w:val="00F311F1"/>
    <w:rsid w:val="00F31206"/>
    <w:rsid w:val="00F34A56"/>
    <w:rsid w:val="00F352D2"/>
    <w:rsid w:val="00F37FBB"/>
    <w:rsid w:val="00F4598B"/>
    <w:rsid w:val="00F50544"/>
    <w:rsid w:val="00F5299E"/>
    <w:rsid w:val="00F57A3A"/>
    <w:rsid w:val="00F57FE0"/>
    <w:rsid w:val="00F64056"/>
    <w:rsid w:val="00F65A1F"/>
    <w:rsid w:val="00F65AE0"/>
    <w:rsid w:val="00F668B9"/>
    <w:rsid w:val="00F8071E"/>
    <w:rsid w:val="00F81F7A"/>
    <w:rsid w:val="00F827D2"/>
    <w:rsid w:val="00F82A1A"/>
    <w:rsid w:val="00F83355"/>
    <w:rsid w:val="00F855B4"/>
    <w:rsid w:val="00F87625"/>
    <w:rsid w:val="00F91575"/>
    <w:rsid w:val="00F93FE7"/>
    <w:rsid w:val="00F94121"/>
    <w:rsid w:val="00F960CE"/>
    <w:rsid w:val="00F97B42"/>
    <w:rsid w:val="00FA2044"/>
    <w:rsid w:val="00FA3BAF"/>
    <w:rsid w:val="00FA5119"/>
    <w:rsid w:val="00FA5557"/>
    <w:rsid w:val="00FA7871"/>
    <w:rsid w:val="00FB60C2"/>
    <w:rsid w:val="00FB71CE"/>
    <w:rsid w:val="00FC2253"/>
    <w:rsid w:val="00FC347A"/>
    <w:rsid w:val="00FC6BAF"/>
    <w:rsid w:val="00FD106B"/>
    <w:rsid w:val="00FD33D4"/>
    <w:rsid w:val="00FE0BBB"/>
    <w:rsid w:val="00FE1A24"/>
    <w:rsid w:val="00FE1CB2"/>
    <w:rsid w:val="00FE2625"/>
    <w:rsid w:val="00FE29F1"/>
    <w:rsid w:val="00FE4286"/>
    <w:rsid w:val="00FF29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A6CF91C"/>
  <w14:defaultImageDpi w14:val="300"/>
  <w15:docId w15:val="{BB036080-BF08-4CE3-A5B3-A3C6C4AFA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32FB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632FB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Heading2"/>
    <w:next w:val="Normal"/>
    <w:link w:val="Heading3Char"/>
    <w:uiPriority w:val="9"/>
    <w:unhideWhenUsed/>
    <w:qFormat/>
    <w:rsid w:val="00193BFE"/>
    <w:pPr>
      <w:outlineLvl w:val="2"/>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32FBB"/>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632FBB"/>
    <w:rPr>
      <w:rFonts w:asciiTheme="majorHAnsi" w:eastAsiaTheme="majorEastAsia" w:hAnsiTheme="majorHAnsi" w:cstheme="majorBidi"/>
      <w:b/>
      <w:bCs/>
      <w:color w:val="345A8A" w:themeColor="accent1" w:themeShade="B5"/>
      <w:sz w:val="32"/>
      <w:szCs w:val="32"/>
    </w:rPr>
  </w:style>
  <w:style w:type="table" w:styleId="TableGrid">
    <w:name w:val="Table Grid"/>
    <w:basedOn w:val="TableNormal"/>
    <w:uiPriority w:val="59"/>
    <w:rsid w:val="006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01367"/>
    <w:pPr>
      <w:widowControl w:val="0"/>
      <w:autoSpaceDE w:val="0"/>
      <w:autoSpaceDN w:val="0"/>
      <w:adjustRightInd w:val="0"/>
    </w:pPr>
    <w:rPr>
      <w:rFonts w:ascii="Times New Roman" w:hAnsi="Times New Roman" w:cs="Times New Roman"/>
      <w:color w:val="000000"/>
    </w:rPr>
  </w:style>
  <w:style w:type="character" w:styleId="Hyperlink">
    <w:name w:val="Hyperlink"/>
    <w:basedOn w:val="DefaultParagraphFont"/>
    <w:uiPriority w:val="99"/>
    <w:unhideWhenUsed/>
    <w:rsid w:val="002C50CD"/>
    <w:rPr>
      <w:color w:val="0000FF" w:themeColor="hyperlink"/>
      <w:u w:val="single"/>
    </w:rPr>
  </w:style>
  <w:style w:type="character" w:styleId="FollowedHyperlink">
    <w:name w:val="FollowedHyperlink"/>
    <w:basedOn w:val="DefaultParagraphFont"/>
    <w:uiPriority w:val="99"/>
    <w:semiHidden/>
    <w:unhideWhenUsed/>
    <w:rsid w:val="002C50CD"/>
    <w:rPr>
      <w:color w:val="800080" w:themeColor="followedHyperlink"/>
      <w:u w:val="single"/>
    </w:rPr>
  </w:style>
  <w:style w:type="paragraph" w:styleId="BalloonText">
    <w:name w:val="Balloon Text"/>
    <w:basedOn w:val="Normal"/>
    <w:link w:val="BalloonTextChar"/>
    <w:uiPriority w:val="99"/>
    <w:semiHidden/>
    <w:unhideWhenUsed/>
    <w:rsid w:val="009C5C2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C5C21"/>
    <w:rPr>
      <w:rFonts w:ascii="Lucida Grande" w:hAnsi="Lucida Grande" w:cs="Lucida Grande"/>
      <w:sz w:val="18"/>
      <w:szCs w:val="18"/>
    </w:rPr>
  </w:style>
  <w:style w:type="character" w:styleId="CommentReference">
    <w:name w:val="annotation reference"/>
    <w:basedOn w:val="DefaultParagraphFont"/>
    <w:uiPriority w:val="99"/>
    <w:semiHidden/>
    <w:unhideWhenUsed/>
    <w:rsid w:val="00DF2DBA"/>
    <w:rPr>
      <w:sz w:val="18"/>
      <w:szCs w:val="18"/>
    </w:rPr>
  </w:style>
  <w:style w:type="paragraph" w:styleId="CommentText">
    <w:name w:val="annotation text"/>
    <w:basedOn w:val="Normal"/>
    <w:link w:val="CommentTextChar"/>
    <w:uiPriority w:val="99"/>
    <w:semiHidden/>
    <w:unhideWhenUsed/>
    <w:rsid w:val="00DF2DBA"/>
  </w:style>
  <w:style w:type="character" w:customStyle="1" w:styleId="CommentTextChar">
    <w:name w:val="Comment Text Char"/>
    <w:basedOn w:val="DefaultParagraphFont"/>
    <w:link w:val="CommentText"/>
    <w:uiPriority w:val="99"/>
    <w:semiHidden/>
    <w:rsid w:val="00DF2DBA"/>
  </w:style>
  <w:style w:type="paragraph" w:styleId="CommentSubject">
    <w:name w:val="annotation subject"/>
    <w:basedOn w:val="CommentText"/>
    <w:next w:val="CommentText"/>
    <w:link w:val="CommentSubjectChar"/>
    <w:uiPriority w:val="99"/>
    <w:semiHidden/>
    <w:unhideWhenUsed/>
    <w:rsid w:val="00DF2DBA"/>
    <w:rPr>
      <w:b/>
      <w:bCs/>
      <w:sz w:val="20"/>
      <w:szCs w:val="20"/>
    </w:rPr>
  </w:style>
  <w:style w:type="character" w:customStyle="1" w:styleId="CommentSubjectChar">
    <w:name w:val="Comment Subject Char"/>
    <w:basedOn w:val="CommentTextChar"/>
    <w:link w:val="CommentSubject"/>
    <w:uiPriority w:val="99"/>
    <w:semiHidden/>
    <w:rsid w:val="00DF2DBA"/>
    <w:rPr>
      <w:b/>
      <w:bCs/>
      <w:sz w:val="20"/>
      <w:szCs w:val="20"/>
    </w:rPr>
  </w:style>
  <w:style w:type="paragraph" w:styleId="NormalWeb">
    <w:name w:val="Normal (Web)"/>
    <w:basedOn w:val="Normal"/>
    <w:uiPriority w:val="99"/>
    <w:semiHidden/>
    <w:unhideWhenUsed/>
    <w:rsid w:val="004510E0"/>
    <w:rPr>
      <w:rFonts w:ascii="Times New Roman" w:hAnsi="Times New Roman" w:cs="Times New Roman"/>
    </w:rPr>
  </w:style>
  <w:style w:type="paragraph" w:styleId="ListParagraph">
    <w:name w:val="List Paragraph"/>
    <w:basedOn w:val="Normal"/>
    <w:uiPriority w:val="34"/>
    <w:qFormat/>
    <w:rsid w:val="008516DF"/>
    <w:pPr>
      <w:ind w:left="720"/>
      <w:contextualSpacing/>
    </w:pPr>
  </w:style>
  <w:style w:type="paragraph" w:styleId="Revision">
    <w:name w:val="Revision"/>
    <w:hidden/>
    <w:uiPriority w:val="99"/>
    <w:semiHidden/>
    <w:rsid w:val="007A495C"/>
  </w:style>
  <w:style w:type="character" w:customStyle="1" w:styleId="Heading3Char">
    <w:name w:val="Heading 3 Char"/>
    <w:basedOn w:val="DefaultParagraphFont"/>
    <w:link w:val="Heading3"/>
    <w:uiPriority w:val="9"/>
    <w:rsid w:val="00193BFE"/>
    <w:rPr>
      <w:rFonts w:asciiTheme="majorHAnsi" w:eastAsiaTheme="majorEastAsia" w:hAnsiTheme="majorHAnsi" w:cstheme="majorBidi"/>
      <w:b/>
      <w:bCs/>
      <w:i/>
      <w:color w:val="4F81BD" w:themeColor="accent1"/>
      <w:sz w:val="26"/>
      <w:szCs w:val="26"/>
    </w:rPr>
  </w:style>
  <w:style w:type="paragraph" w:styleId="Header">
    <w:name w:val="header"/>
    <w:basedOn w:val="Normal"/>
    <w:link w:val="HeaderChar"/>
    <w:uiPriority w:val="99"/>
    <w:unhideWhenUsed/>
    <w:rsid w:val="00A815DF"/>
    <w:pPr>
      <w:tabs>
        <w:tab w:val="center" w:pos="4513"/>
        <w:tab w:val="right" w:pos="9026"/>
      </w:tabs>
    </w:pPr>
  </w:style>
  <w:style w:type="character" w:customStyle="1" w:styleId="HeaderChar">
    <w:name w:val="Header Char"/>
    <w:basedOn w:val="DefaultParagraphFont"/>
    <w:link w:val="Header"/>
    <w:uiPriority w:val="99"/>
    <w:rsid w:val="00A815DF"/>
  </w:style>
  <w:style w:type="paragraph" w:styleId="Footer">
    <w:name w:val="footer"/>
    <w:basedOn w:val="Normal"/>
    <w:link w:val="FooterChar"/>
    <w:uiPriority w:val="99"/>
    <w:unhideWhenUsed/>
    <w:rsid w:val="00A815DF"/>
    <w:pPr>
      <w:tabs>
        <w:tab w:val="center" w:pos="4513"/>
        <w:tab w:val="right" w:pos="9026"/>
      </w:tabs>
    </w:pPr>
  </w:style>
  <w:style w:type="character" w:customStyle="1" w:styleId="FooterChar">
    <w:name w:val="Footer Char"/>
    <w:basedOn w:val="DefaultParagraphFont"/>
    <w:link w:val="Footer"/>
    <w:uiPriority w:val="99"/>
    <w:rsid w:val="00A815DF"/>
  </w:style>
  <w:style w:type="character" w:styleId="LineNumber">
    <w:name w:val="line number"/>
    <w:basedOn w:val="DefaultParagraphFont"/>
    <w:uiPriority w:val="99"/>
    <w:semiHidden/>
    <w:unhideWhenUsed/>
    <w:rsid w:val="00E507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2451803">
      <w:bodyDiv w:val="1"/>
      <w:marLeft w:val="0"/>
      <w:marRight w:val="0"/>
      <w:marTop w:val="0"/>
      <w:marBottom w:val="0"/>
      <w:divBdr>
        <w:top w:val="none" w:sz="0" w:space="0" w:color="auto"/>
        <w:left w:val="none" w:sz="0" w:space="0" w:color="auto"/>
        <w:bottom w:val="none" w:sz="0" w:space="0" w:color="auto"/>
        <w:right w:val="none" w:sz="0" w:space="0" w:color="auto"/>
      </w:divBdr>
    </w:div>
    <w:div w:id="392118553">
      <w:bodyDiv w:val="1"/>
      <w:marLeft w:val="0"/>
      <w:marRight w:val="0"/>
      <w:marTop w:val="0"/>
      <w:marBottom w:val="0"/>
      <w:divBdr>
        <w:top w:val="none" w:sz="0" w:space="0" w:color="auto"/>
        <w:left w:val="none" w:sz="0" w:space="0" w:color="auto"/>
        <w:bottom w:val="none" w:sz="0" w:space="0" w:color="auto"/>
        <w:right w:val="none" w:sz="0" w:space="0" w:color="auto"/>
      </w:divBdr>
      <w:divsChild>
        <w:div w:id="1864971555">
          <w:marLeft w:val="0"/>
          <w:marRight w:val="0"/>
          <w:marTop w:val="0"/>
          <w:marBottom w:val="0"/>
          <w:divBdr>
            <w:top w:val="none" w:sz="0" w:space="0" w:color="auto"/>
            <w:left w:val="none" w:sz="0" w:space="0" w:color="auto"/>
            <w:bottom w:val="none" w:sz="0" w:space="0" w:color="auto"/>
            <w:right w:val="none" w:sz="0" w:space="0" w:color="auto"/>
          </w:divBdr>
          <w:divsChild>
            <w:div w:id="1273900572">
              <w:marLeft w:val="0"/>
              <w:marRight w:val="0"/>
              <w:marTop w:val="0"/>
              <w:marBottom w:val="0"/>
              <w:divBdr>
                <w:top w:val="none" w:sz="0" w:space="0" w:color="auto"/>
                <w:left w:val="none" w:sz="0" w:space="0" w:color="auto"/>
                <w:bottom w:val="none" w:sz="0" w:space="0" w:color="auto"/>
                <w:right w:val="none" w:sz="0" w:space="0" w:color="auto"/>
              </w:divBdr>
              <w:divsChild>
                <w:div w:id="124178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971619">
      <w:bodyDiv w:val="1"/>
      <w:marLeft w:val="0"/>
      <w:marRight w:val="0"/>
      <w:marTop w:val="0"/>
      <w:marBottom w:val="0"/>
      <w:divBdr>
        <w:top w:val="none" w:sz="0" w:space="0" w:color="auto"/>
        <w:left w:val="none" w:sz="0" w:space="0" w:color="auto"/>
        <w:bottom w:val="none" w:sz="0" w:space="0" w:color="auto"/>
        <w:right w:val="none" w:sz="0" w:space="0" w:color="auto"/>
      </w:divBdr>
    </w:div>
    <w:div w:id="939721866">
      <w:bodyDiv w:val="1"/>
      <w:marLeft w:val="0"/>
      <w:marRight w:val="0"/>
      <w:marTop w:val="0"/>
      <w:marBottom w:val="0"/>
      <w:divBdr>
        <w:top w:val="none" w:sz="0" w:space="0" w:color="auto"/>
        <w:left w:val="none" w:sz="0" w:space="0" w:color="auto"/>
        <w:bottom w:val="none" w:sz="0" w:space="0" w:color="auto"/>
        <w:right w:val="none" w:sz="0" w:space="0" w:color="auto"/>
      </w:divBdr>
    </w:div>
    <w:div w:id="1032149381">
      <w:bodyDiv w:val="1"/>
      <w:marLeft w:val="0"/>
      <w:marRight w:val="0"/>
      <w:marTop w:val="0"/>
      <w:marBottom w:val="0"/>
      <w:divBdr>
        <w:top w:val="none" w:sz="0" w:space="0" w:color="auto"/>
        <w:left w:val="none" w:sz="0" w:space="0" w:color="auto"/>
        <w:bottom w:val="none" w:sz="0" w:space="0" w:color="auto"/>
        <w:right w:val="none" w:sz="0" w:space="0" w:color="auto"/>
      </w:divBdr>
    </w:div>
    <w:div w:id="1237281792">
      <w:bodyDiv w:val="1"/>
      <w:marLeft w:val="0"/>
      <w:marRight w:val="0"/>
      <w:marTop w:val="0"/>
      <w:marBottom w:val="0"/>
      <w:divBdr>
        <w:top w:val="none" w:sz="0" w:space="0" w:color="auto"/>
        <w:left w:val="none" w:sz="0" w:space="0" w:color="auto"/>
        <w:bottom w:val="none" w:sz="0" w:space="0" w:color="auto"/>
        <w:right w:val="none" w:sz="0" w:space="0" w:color="auto"/>
      </w:divBdr>
      <w:divsChild>
        <w:div w:id="11494819">
          <w:marLeft w:val="0"/>
          <w:marRight w:val="0"/>
          <w:marTop w:val="0"/>
          <w:marBottom w:val="0"/>
          <w:divBdr>
            <w:top w:val="none" w:sz="0" w:space="0" w:color="auto"/>
            <w:left w:val="none" w:sz="0" w:space="0" w:color="auto"/>
            <w:bottom w:val="none" w:sz="0" w:space="0" w:color="auto"/>
            <w:right w:val="none" w:sz="0" w:space="0" w:color="auto"/>
          </w:divBdr>
          <w:divsChild>
            <w:div w:id="630524558">
              <w:marLeft w:val="0"/>
              <w:marRight w:val="0"/>
              <w:marTop w:val="0"/>
              <w:marBottom w:val="0"/>
              <w:divBdr>
                <w:top w:val="none" w:sz="0" w:space="0" w:color="auto"/>
                <w:left w:val="none" w:sz="0" w:space="0" w:color="auto"/>
                <w:bottom w:val="none" w:sz="0" w:space="0" w:color="auto"/>
                <w:right w:val="none" w:sz="0" w:space="0" w:color="auto"/>
              </w:divBdr>
              <w:divsChild>
                <w:div w:id="18155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673700">
      <w:bodyDiv w:val="1"/>
      <w:marLeft w:val="0"/>
      <w:marRight w:val="0"/>
      <w:marTop w:val="0"/>
      <w:marBottom w:val="0"/>
      <w:divBdr>
        <w:top w:val="none" w:sz="0" w:space="0" w:color="auto"/>
        <w:left w:val="none" w:sz="0" w:space="0" w:color="auto"/>
        <w:bottom w:val="none" w:sz="0" w:space="0" w:color="auto"/>
        <w:right w:val="none" w:sz="0" w:space="0" w:color="auto"/>
      </w:divBdr>
    </w:div>
    <w:div w:id="14094239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144/GSL.MEM.1991.014.01.69" TargetMode="External"/><Relationship Id="rId13" Type="http://schemas.openxmlformats.org/officeDocument/2006/relationships/hyperlink" Target="http://hdl.handle.net/11250/22438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i.org/10.1144/GSL.MEM.2003.020.01.0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p.com/content/dam/bp-country/en_gb/united-kingdom/pdf/North_West_Hutton_Decommissioning_NEW.pdf" TargetMode="External"/><Relationship Id="rId5" Type="http://schemas.openxmlformats.org/officeDocument/2006/relationships/webSettings" Target="webSettings.xml"/><Relationship Id="rId15" Type="http://schemas.openxmlformats.org/officeDocument/2006/relationships/hyperlink" Target="https://itportal.ogauthority.co.uk/web_files/relinqs/jul2016/P1634.pdf" TargetMode="External"/><Relationship Id="rId10" Type="http://schemas.openxmlformats.org/officeDocument/2006/relationships/hyperlink" Target="http://www.offshore-mag.com/articles/print/volume-64/issue-6/decommissioning/worlds-heaviest-topsides-dismantled-for-new-service-off-northern-russia.html" TargetMode="External"/><Relationship Id="rId4" Type="http://schemas.openxmlformats.org/officeDocument/2006/relationships/settings" Target="settings.xml"/><Relationship Id="rId9" Type="http://schemas.openxmlformats.org/officeDocument/2006/relationships/hyperlink" Target="https://www.slb.com/~/media/Files/resources/oilfield_review/ors97/win97/composite.pdf" TargetMode="External"/><Relationship Id="rId14" Type="http://schemas.openxmlformats.org/officeDocument/2006/relationships/hyperlink" Target="https://doi.org/10.1144/sjg2203036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D14A15-82CD-4181-8835-69EDB594B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6073</Words>
  <Characters>34620</Characters>
  <Application>Microsoft Office Word</Application>
  <DocSecurity>4</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Durham University</Company>
  <LinksUpToDate>false</LinksUpToDate>
  <CharactersWithSpaces>40612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Gluyas</dc:creator>
  <cp:keywords/>
  <dc:description/>
  <cp:lastModifiedBy>helen@helen-turnell.com</cp:lastModifiedBy>
  <cp:revision>2</cp:revision>
  <cp:lastPrinted>2019-05-16T10:22:00Z</cp:lastPrinted>
  <dcterms:created xsi:type="dcterms:W3CDTF">2019-07-09T12:08:00Z</dcterms:created>
  <dcterms:modified xsi:type="dcterms:W3CDTF">2019-07-09T12:08:00Z</dcterms:modified>
</cp:coreProperties>
</file>