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0A" w:rsidRPr="004C3C9B" w:rsidRDefault="004C0173" w:rsidP="004C3C9B">
      <w:pPr>
        <w:spacing w:after="0" w:line="480" w:lineRule="auto"/>
        <w:jc w:val="both"/>
        <w:rPr>
          <w:rFonts w:ascii="Times New Roman" w:hAnsi="Times New Roman" w:cs="Times New Roman"/>
          <w:b/>
          <w:sz w:val="24"/>
          <w:szCs w:val="24"/>
          <w:u w:val="single"/>
        </w:rPr>
      </w:pPr>
      <w:bookmarkStart w:id="0" w:name="_GoBack"/>
      <w:bookmarkEnd w:id="0"/>
      <w:r w:rsidRPr="004C3C9B">
        <w:rPr>
          <w:rFonts w:ascii="Times New Roman" w:hAnsi="Times New Roman" w:cs="Times New Roman"/>
          <w:b/>
          <w:sz w:val="24"/>
          <w:szCs w:val="24"/>
          <w:u w:val="single"/>
        </w:rPr>
        <w:t>Introduction</w:t>
      </w:r>
    </w:p>
    <w:p w:rsidR="00B15F1F" w:rsidRPr="004C3C9B" w:rsidRDefault="00B15F1F" w:rsidP="004C3C9B">
      <w:pPr>
        <w:spacing w:after="0" w:line="480" w:lineRule="auto"/>
        <w:jc w:val="both"/>
        <w:rPr>
          <w:rFonts w:ascii="Times New Roman" w:hAnsi="Times New Roman" w:cs="Times New Roman"/>
          <w:b/>
          <w:sz w:val="24"/>
          <w:szCs w:val="24"/>
          <w:u w:val="single"/>
        </w:rPr>
      </w:pPr>
    </w:p>
    <w:p w:rsidR="00BE4528" w:rsidRPr="004C3C9B" w:rsidRDefault="00631102"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 xml:space="preserve">The </w:t>
      </w:r>
      <w:r w:rsidR="00986C89" w:rsidRPr="004C3C9B">
        <w:rPr>
          <w:rFonts w:ascii="Times New Roman" w:eastAsia="SimSun" w:hAnsi="Times New Roman" w:cs="Times New Roman"/>
          <w:bCs/>
          <w:sz w:val="24"/>
          <w:szCs w:val="24"/>
        </w:rPr>
        <w:t>NHS has undergone many reforms to meet the ever-increasing demands placed upon the service since its formation in 1948. Subsequently; the role of many healthcare professionals has expanded well beyond their conventional responsibilities (Stuttle 2010). One such example is the introduction of prescribing rights for nurses</w:t>
      </w:r>
      <w:r w:rsidR="00BE4528" w:rsidRPr="004C3C9B">
        <w:rPr>
          <w:rFonts w:ascii="Times New Roman" w:eastAsia="SimSun" w:hAnsi="Times New Roman" w:cs="Times New Roman"/>
          <w:bCs/>
          <w:sz w:val="24"/>
          <w:szCs w:val="24"/>
        </w:rPr>
        <w:t>, midwives</w:t>
      </w:r>
      <w:r w:rsidR="00986C89" w:rsidRPr="004C3C9B">
        <w:rPr>
          <w:rFonts w:ascii="Times New Roman" w:eastAsia="SimSun" w:hAnsi="Times New Roman" w:cs="Times New Roman"/>
          <w:bCs/>
          <w:sz w:val="24"/>
          <w:szCs w:val="24"/>
        </w:rPr>
        <w:t xml:space="preserve"> and other a</w:t>
      </w:r>
      <w:r w:rsidR="00131961" w:rsidRPr="004C3C9B">
        <w:rPr>
          <w:rFonts w:ascii="Times New Roman" w:eastAsia="SimSun" w:hAnsi="Times New Roman" w:cs="Times New Roman"/>
          <w:bCs/>
          <w:sz w:val="24"/>
          <w:szCs w:val="24"/>
        </w:rPr>
        <w:t>llied health professionals (AHP</w:t>
      </w:r>
      <w:r w:rsidR="00986C89" w:rsidRPr="004C3C9B">
        <w:rPr>
          <w:rFonts w:ascii="Times New Roman" w:eastAsia="SimSun" w:hAnsi="Times New Roman" w:cs="Times New Roman"/>
          <w:bCs/>
          <w:sz w:val="24"/>
          <w:szCs w:val="24"/>
        </w:rPr>
        <w:t>s)</w:t>
      </w:r>
      <w:r w:rsidR="00702570" w:rsidRPr="004C3C9B">
        <w:rPr>
          <w:rFonts w:ascii="Times New Roman" w:eastAsia="SimSun" w:hAnsi="Times New Roman" w:cs="Times New Roman"/>
          <w:bCs/>
          <w:sz w:val="24"/>
          <w:szCs w:val="24"/>
        </w:rPr>
        <w:t>,</w:t>
      </w:r>
      <w:r w:rsidR="00986C89" w:rsidRPr="004C3C9B">
        <w:rPr>
          <w:rFonts w:ascii="Times New Roman" w:eastAsia="SimSun" w:hAnsi="Times New Roman" w:cs="Times New Roman"/>
          <w:bCs/>
          <w:sz w:val="24"/>
          <w:szCs w:val="24"/>
        </w:rPr>
        <w:t xml:space="preserve"> a role previously restricted to doctors and dentists (Creedon et al 2009). </w:t>
      </w:r>
      <w:r w:rsidR="00BE4528" w:rsidRPr="004C3C9B">
        <w:rPr>
          <w:rFonts w:ascii="Times New Roman" w:eastAsia="SimSun" w:hAnsi="Times New Roman" w:cs="Times New Roman"/>
          <w:bCs/>
          <w:sz w:val="24"/>
          <w:szCs w:val="24"/>
        </w:rPr>
        <w:t xml:space="preserve">Whilst many healthcare professionals </w:t>
      </w:r>
      <w:r w:rsidR="00E2796A" w:rsidRPr="004C3C9B">
        <w:rPr>
          <w:rFonts w:ascii="Times New Roman" w:eastAsia="SimSun" w:hAnsi="Times New Roman" w:cs="Times New Roman"/>
          <w:bCs/>
          <w:sz w:val="24"/>
          <w:szCs w:val="24"/>
        </w:rPr>
        <w:t xml:space="preserve">now </w:t>
      </w:r>
      <w:r w:rsidR="00BE4528" w:rsidRPr="004C3C9B">
        <w:rPr>
          <w:rFonts w:ascii="Times New Roman" w:eastAsia="SimSun" w:hAnsi="Times New Roman" w:cs="Times New Roman"/>
          <w:bCs/>
          <w:sz w:val="24"/>
          <w:szCs w:val="24"/>
        </w:rPr>
        <w:t>have prescriptive authority, this review focusses specifically on nurse independent prescribers</w:t>
      </w:r>
      <w:r w:rsidR="00FF4DB1" w:rsidRPr="004C3C9B">
        <w:rPr>
          <w:rFonts w:ascii="Times New Roman" w:eastAsia="SimSun" w:hAnsi="Times New Roman" w:cs="Times New Roman"/>
          <w:bCs/>
          <w:sz w:val="24"/>
          <w:szCs w:val="24"/>
        </w:rPr>
        <w:t xml:space="preserve"> (NIPs)</w:t>
      </w:r>
      <w:r w:rsidR="00BE4528" w:rsidRPr="004C3C9B">
        <w:rPr>
          <w:rFonts w:ascii="Times New Roman" w:eastAsia="SimSun" w:hAnsi="Times New Roman" w:cs="Times New Roman"/>
          <w:bCs/>
          <w:sz w:val="24"/>
          <w:szCs w:val="24"/>
        </w:rPr>
        <w:t xml:space="preserve"> based within the primary care setting as this </w:t>
      </w:r>
      <w:r w:rsidR="00622F8F" w:rsidRPr="004C3C9B">
        <w:rPr>
          <w:rFonts w:ascii="Times New Roman" w:eastAsia="SimSun" w:hAnsi="Times New Roman" w:cs="Times New Roman"/>
          <w:bCs/>
          <w:sz w:val="24"/>
          <w:szCs w:val="24"/>
        </w:rPr>
        <w:t xml:space="preserve">is directly related to the authors own </w:t>
      </w:r>
      <w:r w:rsidR="003C649E" w:rsidRPr="004C3C9B">
        <w:rPr>
          <w:rFonts w:ascii="Times New Roman" w:eastAsia="SimSun" w:hAnsi="Times New Roman" w:cs="Times New Roman"/>
          <w:bCs/>
          <w:sz w:val="24"/>
          <w:szCs w:val="24"/>
        </w:rPr>
        <w:t>clinical background</w:t>
      </w:r>
      <w:r w:rsidR="00622F8F" w:rsidRPr="004C3C9B">
        <w:rPr>
          <w:rFonts w:ascii="Times New Roman" w:eastAsia="SimSun" w:hAnsi="Times New Roman" w:cs="Times New Roman"/>
          <w:bCs/>
          <w:sz w:val="24"/>
          <w:szCs w:val="24"/>
        </w:rPr>
        <w:t xml:space="preserve"> and area of interest. </w:t>
      </w:r>
    </w:p>
    <w:p w:rsidR="00EB7BBA" w:rsidRPr="004C3C9B" w:rsidRDefault="00EB7BBA" w:rsidP="004C3C9B">
      <w:pPr>
        <w:spacing w:after="0" w:line="480" w:lineRule="auto"/>
        <w:jc w:val="both"/>
        <w:rPr>
          <w:rFonts w:ascii="Times New Roman" w:hAnsi="Times New Roman" w:cs="Times New Roman"/>
          <w:b/>
          <w:sz w:val="24"/>
          <w:szCs w:val="24"/>
          <w:u w:val="single"/>
        </w:rPr>
      </w:pPr>
    </w:p>
    <w:p w:rsidR="00EB7BBA" w:rsidRPr="004C3C9B" w:rsidRDefault="00B15F1F" w:rsidP="004C3C9B">
      <w:pPr>
        <w:spacing w:after="0" w:line="480" w:lineRule="auto"/>
        <w:jc w:val="both"/>
        <w:rPr>
          <w:rFonts w:ascii="Times New Roman" w:hAnsi="Times New Roman" w:cs="Times New Roman"/>
          <w:b/>
          <w:sz w:val="24"/>
          <w:szCs w:val="24"/>
          <w:u w:val="single"/>
        </w:rPr>
      </w:pPr>
      <w:r w:rsidRPr="004C3C9B">
        <w:rPr>
          <w:rFonts w:ascii="Times New Roman" w:hAnsi="Times New Roman" w:cs="Times New Roman"/>
          <w:b/>
          <w:sz w:val="24"/>
          <w:szCs w:val="24"/>
          <w:u w:val="single"/>
        </w:rPr>
        <w:t>Background</w:t>
      </w:r>
    </w:p>
    <w:p w:rsidR="00FD5880" w:rsidRPr="004C3C9B" w:rsidRDefault="00FD5880" w:rsidP="004C3C9B">
      <w:pPr>
        <w:spacing w:after="0" w:line="480" w:lineRule="auto"/>
        <w:jc w:val="both"/>
        <w:rPr>
          <w:rFonts w:ascii="Times New Roman" w:hAnsi="Times New Roman" w:cs="Times New Roman"/>
          <w:b/>
          <w:sz w:val="24"/>
          <w:szCs w:val="24"/>
          <w:u w:val="single"/>
        </w:rPr>
      </w:pPr>
    </w:p>
    <w:p w:rsidR="00076586" w:rsidRPr="004C3C9B" w:rsidRDefault="00FD5880"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The course of nursing practice in England, and subsequently the rest of the UK, was irrevocably altered following the publication of the Cumberlege Report</w:t>
      </w:r>
      <w:r w:rsidR="007F6D53" w:rsidRPr="004C3C9B">
        <w:rPr>
          <w:rFonts w:ascii="Times New Roman" w:eastAsia="SimSun" w:hAnsi="Times New Roman" w:cs="Times New Roman"/>
          <w:bCs/>
          <w:sz w:val="24"/>
          <w:szCs w:val="24"/>
        </w:rPr>
        <w:t xml:space="preserve"> (1986) and the Crown Report (1989)</w:t>
      </w:r>
      <w:r w:rsidRPr="004C3C9B">
        <w:rPr>
          <w:rFonts w:ascii="Times New Roman" w:eastAsia="SimSun" w:hAnsi="Times New Roman" w:cs="Times New Roman"/>
          <w:bCs/>
          <w:sz w:val="24"/>
          <w:szCs w:val="24"/>
        </w:rPr>
        <w:t xml:space="preserve">. </w:t>
      </w:r>
      <w:r w:rsidR="007F6D53" w:rsidRPr="004C3C9B">
        <w:rPr>
          <w:rFonts w:ascii="Times New Roman" w:eastAsia="SimSun" w:hAnsi="Times New Roman" w:cs="Times New Roman"/>
          <w:bCs/>
          <w:sz w:val="24"/>
          <w:szCs w:val="24"/>
        </w:rPr>
        <w:t xml:space="preserve">The findings </w:t>
      </w:r>
      <w:r w:rsidRPr="004C3C9B">
        <w:rPr>
          <w:rFonts w:ascii="Times New Roman" w:eastAsia="SimSun" w:hAnsi="Times New Roman" w:cs="Times New Roman"/>
          <w:bCs/>
          <w:sz w:val="24"/>
          <w:szCs w:val="24"/>
        </w:rPr>
        <w:t xml:space="preserve">decreed that prescribing rights should be extended to include not just doctors and dentists, but </w:t>
      </w:r>
      <w:r w:rsidR="00D844CC" w:rsidRPr="004C3C9B">
        <w:rPr>
          <w:rFonts w:ascii="Times New Roman" w:eastAsia="SimSun" w:hAnsi="Times New Roman" w:cs="Times New Roman"/>
          <w:bCs/>
          <w:sz w:val="24"/>
          <w:szCs w:val="24"/>
        </w:rPr>
        <w:t xml:space="preserve">community </w:t>
      </w:r>
      <w:r w:rsidRPr="004C3C9B">
        <w:rPr>
          <w:rFonts w:ascii="Times New Roman" w:eastAsia="SimSun" w:hAnsi="Times New Roman" w:cs="Times New Roman"/>
          <w:bCs/>
          <w:sz w:val="24"/>
          <w:szCs w:val="24"/>
        </w:rPr>
        <w:t>nurses as well (Department</w:t>
      </w:r>
      <w:r w:rsidR="00A315AF" w:rsidRPr="004C3C9B">
        <w:rPr>
          <w:rFonts w:ascii="Times New Roman" w:eastAsia="SimSun" w:hAnsi="Times New Roman" w:cs="Times New Roman"/>
          <w:bCs/>
          <w:sz w:val="24"/>
          <w:szCs w:val="24"/>
        </w:rPr>
        <w:t xml:space="preserve"> of Health and Social Security</w:t>
      </w:r>
      <w:r w:rsidR="005D6758" w:rsidRPr="004C3C9B">
        <w:rPr>
          <w:rFonts w:ascii="Times New Roman" w:eastAsia="SimSun" w:hAnsi="Times New Roman" w:cs="Times New Roman"/>
          <w:bCs/>
          <w:sz w:val="24"/>
          <w:szCs w:val="24"/>
        </w:rPr>
        <w:t xml:space="preserve"> 1986</w:t>
      </w:r>
      <w:r w:rsidR="007F6D53" w:rsidRPr="004C3C9B">
        <w:rPr>
          <w:rFonts w:ascii="Times New Roman" w:eastAsia="SimSun" w:hAnsi="Times New Roman" w:cs="Times New Roman"/>
          <w:bCs/>
          <w:sz w:val="24"/>
          <w:szCs w:val="24"/>
        </w:rPr>
        <w:t>, Department of Health (DH) 1989</w:t>
      </w:r>
      <w:r w:rsidR="005D6758" w:rsidRPr="004C3C9B">
        <w:rPr>
          <w:rFonts w:ascii="Times New Roman" w:eastAsia="SimSun" w:hAnsi="Times New Roman" w:cs="Times New Roman"/>
          <w:bCs/>
          <w:sz w:val="24"/>
          <w:szCs w:val="24"/>
        </w:rPr>
        <w:t xml:space="preserve">). </w:t>
      </w:r>
      <w:r w:rsidRPr="004C3C9B">
        <w:rPr>
          <w:rFonts w:ascii="Times New Roman" w:eastAsia="SimSun" w:hAnsi="Times New Roman" w:cs="Times New Roman"/>
          <w:bCs/>
          <w:sz w:val="24"/>
          <w:szCs w:val="24"/>
        </w:rPr>
        <w:t>In 1992</w:t>
      </w:r>
      <w:r w:rsidR="00B50CBA" w:rsidRPr="004C3C9B">
        <w:rPr>
          <w:rFonts w:ascii="Times New Roman" w:eastAsia="SimSun" w:hAnsi="Times New Roman" w:cs="Times New Roman"/>
          <w:bCs/>
          <w:sz w:val="24"/>
          <w:szCs w:val="24"/>
        </w:rPr>
        <w:t>,</w:t>
      </w:r>
      <w:r w:rsidRPr="004C3C9B">
        <w:rPr>
          <w:rFonts w:ascii="Times New Roman" w:eastAsia="SimSun" w:hAnsi="Times New Roman" w:cs="Times New Roman"/>
          <w:bCs/>
          <w:sz w:val="24"/>
          <w:szCs w:val="24"/>
        </w:rPr>
        <w:t xml:space="preserve"> the Medicinal Products: Prescription by Nurses etc. Act was passed and provided a legal framework for the inception of nurs</w:t>
      </w:r>
      <w:r w:rsidR="008579D0" w:rsidRPr="004C3C9B">
        <w:rPr>
          <w:rFonts w:ascii="Times New Roman" w:eastAsia="SimSun" w:hAnsi="Times New Roman" w:cs="Times New Roman"/>
          <w:bCs/>
          <w:sz w:val="24"/>
          <w:szCs w:val="24"/>
        </w:rPr>
        <w:t>e prescribing (D</w:t>
      </w:r>
      <w:r w:rsidRPr="004C3C9B">
        <w:rPr>
          <w:rFonts w:ascii="Times New Roman" w:eastAsia="SimSun" w:hAnsi="Times New Roman" w:cs="Times New Roman"/>
          <w:bCs/>
          <w:sz w:val="24"/>
          <w:szCs w:val="24"/>
        </w:rPr>
        <w:t xml:space="preserve">H 1992). </w:t>
      </w:r>
      <w:r w:rsidR="00A315AF" w:rsidRPr="004C3C9B">
        <w:rPr>
          <w:rFonts w:ascii="Times New Roman" w:eastAsia="SimSun" w:hAnsi="Times New Roman" w:cs="Times New Roman"/>
          <w:bCs/>
          <w:sz w:val="24"/>
          <w:szCs w:val="24"/>
        </w:rPr>
        <w:t>This w</w:t>
      </w:r>
      <w:r w:rsidRPr="004C3C9B">
        <w:rPr>
          <w:rFonts w:ascii="Times New Roman" w:eastAsia="SimSun" w:hAnsi="Times New Roman" w:cs="Times New Roman"/>
          <w:bCs/>
          <w:sz w:val="24"/>
          <w:szCs w:val="24"/>
        </w:rPr>
        <w:t>as finally piloted in 8</w:t>
      </w:r>
      <w:r w:rsidR="00B50CBA" w:rsidRPr="004C3C9B">
        <w:rPr>
          <w:rFonts w:ascii="Times New Roman" w:eastAsia="SimSun" w:hAnsi="Times New Roman" w:cs="Times New Roman"/>
          <w:bCs/>
          <w:sz w:val="24"/>
          <w:szCs w:val="24"/>
        </w:rPr>
        <w:t xml:space="preserve"> demonstration sites across England</w:t>
      </w:r>
      <w:r w:rsidR="00A315AF" w:rsidRPr="004C3C9B">
        <w:rPr>
          <w:rFonts w:ascii="Times New Roman" w:eastAsia="SimSun" w:hAnsi="Times New Roman" w:cs="Times New Roman"/>
          <w:bCs/>
          <w:sz w:val="24"/>
          <w:szCs w:val="24"/>
        </w:rPr>
        <w:t xml:space="preserve"> in 1994, with c</w:t>
      </w:r>
      <w:r w:rsidR="00F414E7" w:rsidRPr="004C3C9B">
        <w:rPr>
          <w:rFonts w:ascii="Times New Roman" w:eastAsia="SimSun" w:hAnsi="Times New Roman" w:cs="Times New Roman"/>
          <w:bCs/>
          <w:sz w:val="24"/>
          <w:szCs w:val="24"/>
        </w:rPr>
        <w:t>ommunity nurses that held a district nursing</w:t>
      </w:r>
      <w:r w:rsidR="00640C47" w:rsidRPr="004C3C9B">
        <w:rPr>
          <w:rFonts w:ascii="Times New Roman" w:eastAsia="SimSun" w:hAnsi="Times New Roman" w:cs="Times New Roman"/>
          <w:bCs/>
          <w:sz w:val="24"/>
          <w:szCs w:val="24"/>
        </w:rPr>
        <w:t xml:space="preserve"> (DN)</w:t>
      </w:r>
      <w:r w:rsidR="00F414E7" w:rsidRPr="004C3C9B">
        <w:rPr>
          <w:rFonts w:ascii="Times New Roman" w:eastAsia="SimSun" w:hAnsi="Times New Roman" w:cs="Times New Roman"/>
          <w:bCs/>
          <w:sz w:val="24"/>
          <w:szCs w:val="24"/>
        </w:rPr>
        <w:t xml:space="preserve"> or health visitor</w:t>
      </w:r>
      <w:r w:rsidR="00702570" w:rsidRPr="004C3C9B">
        <w:rPr>
          <w:rFonts w:ascii="Times New Roman" w:eastAsia="SimSun" w:hAnsi="Times New Roman" w:cs="Times New Roman"/>
          <w:bCs/>
          <w:sz w:val="24"/>
          <w:szCs w:val="24"/>
        </w:rPr>
        <w:t xml:space="preserve"> (HV)</w:t>
      </w:r>
      <w:r w:rsidR="00F414E7" w:rsidRPr="004C3C9B">
        <w:rPr>
          <w:rFonts w:ascii="Times New Roman" w:eastAsia="SimSun" w:hAnsi="Times New Roman" w:cs="Times New Roman"/>
          <w:bCs/>
          <w:sz w:val="24"/>
          <w:szCs w:val="24"/>
        </w:rPr>
        <w:t xml:space="preserve"> qualification </w:t>
      </w:r>
      <w:r w:rsidR="00A315AF" w:rsidRPr="004C3C9B">
        <w:rPr>
          <w:rFonts w:ascii="Times New Roman" w:eastAsia="SimSun" w:hAnsi="Times New Roman" w:cs="Times New Roman"/>
          <w:bCs/>
          <w:sz w:val="24"/>
          <w:szCs w:val="24"/>
        </w:rPr>
        <w:t xml:space="preserve">independently </w:t>
      </w:r>
      <w:r w:rsidR="00A315AF" w:rsidRPr="004C3C9B">
        <w:rPr>
          <w:rFonts w:ascii="Times New Roman" w:eastAsia="SimSun" w:hAnsi="Times New Roman" w:cs="Times New Roman"/>
          <w:bCs/>
          <w:sz w:val="24"/>
          <w:szCs w:val="24"/>
        </w:rPr>
        <w:lastRenderedPageBreak/>
        <w:t xml:space="preserve">prescribing </w:t>
      </w:r>
      <w:r w:rsidR="00131961" w:rsidRPr="004C3C9B">
        <w:rPr>
          <w:rFonts w:ascii="Times New Roman" w:eastAsia="SimSun" w:hAnsi="Times New Roman" w:cs="Times New Roman"/>
          <w:bCs/>
          <w:sz w:val="24"/>
          <w:szCs w:val="24"/>
        </w:rPr>
        <w:t xml:space="preserve">a limited range of </w:t>
      </w:r>
      <w:r w:rsidR="00A315AF" w:rsidRPr="004C3C9B">
        <w:rPr>
          <w:rFonts w:ascii="Times New Roman" w:eastAsia="SimSun" w:hAnsi="Times New Roman" w:cs="Times New Roman"/>
          <w:bCs/>
          <w:sz w:val="24"/>
          <w:szCs w:val="24"/>
        </w:rPr>
        <w:t>medicinal products</w:t>
      </w:r>
      <w:r w:rsidR="0045219C" w:rsidRPr="004C3C9B">
        <w:rPr>
          <w:rFonts w:ascii="Times New Roman" w:eastAsia="SimSun" w:hAnsi="Times New Roman" w:cs="Times New Roman"/>
          <w:bCs/>
          <w:sz w:val="24"/>
          <w:szCs w:val="24"/>
        </w:rPr>
        <w:t xml:space="preserve"> </w:t>
      </w:r>
      <w:r w:rsidR="00131961" w:rsidRPr="004C3C9B">
        <w:rPr>
          <w:rFonts w:ascii="Times New Roman" w:eastAsia="SimSun" w:hAnsi="Times New Roman" w:cs="Times New Roman"/>
          <w:bCs/>
          <w:sz w:val="24"/>
          <w:szCs w:val="24"/>
        </w:rPr>
        <w:t xml:space="preserve">specified in the </w:t>
      </w:r>
      <w:r w:rsidR="0045219C" w:rsidRPr="004C3C9B">
        <w:rPr>
          <w:rFonts w:ascii="Times New Roman" w:eastAsia="SimSun" w:hAnsi="Times New Roman" w:cs="Times New Roman"/>
          <w:bCs/>
          <w:sz w:val="24"/>
          <w:szCs w:val="24"/>
        </w:rPr>
        <w:t>Nurse Prescribers</w:t>
      </w:r>
      <w:r w:rsidR="00AB2B22" w:rsidRPr="004C3C9B">
        <w:rPr>
          <w:rFonts w:ascii="Times New Roman" w:eastAsia="SimSun" w:hAnsi="Times New Roman" w:cs="Times New Roman"/>
          <w:bCs/>
          <w:sz w:val="24"/>
          <w:szCs w:val="24"/>
        </w:rPr>
        <w:t>’</w:t>
      </w:r>
      <w:r w:rsidR="0045219C" w:rsidRPr="004C3C9B">
        <w:rPr>
          <w:rFonts w:ascii="Times New Roman" w:eastAsia="SimSun" w:hAnsi="Times New Roman" w:cs="Times New Roman"/>
          <w:bCs/>
          <w:sz w:val="24"/>
          <w:szCs w:val="24"/>
        </w:rPr>
        <w:t xml:space="preserve"> Formulary (NPF)</w:t>
      </w:r>
      <w:r w:rsidR="00E5630D" w:rsidRPr="004C3C9B">
        <w:rPr>
          <w:rFonts w:ascii="Times New Roman" w:eastAsia="SimSun" w:hAnsi="Times New Roman" w:cs="Times New Roman"/>
          <w:bCs/>
          <w:sz w:val="24"/>
          <w:szCs w:val="24"/>
        </w:rPr>
        <w:t xml:space="preserve"> following completion of a 3-day training package</w:t>
      </w:r>
      <w:r w:rsidR="0045219C" w:rsidRPr="004C3C9B">
        <w:rPr>
          <w:rFonts w:ascii="Times New Roman" w:eastAsia="SimSun" w:hAnsi="Times New Roman" w:cs="Times New Roman"/>
          <w:bCs/>
          <w:sz w:val="24"/>
          <w:szCs w:val="24"/>
        </w:rPr>
        <w:t xml:space="preserve"> </w:t>
      </w:r>
      <w:r w:rsidRPr="004C3C9B">
        <w:rPr>
          <w:rFonts w:ascii="Times New Roman" w:eastAsia="SimSun" w:hAnsi="Times New Roman" w:cs="Times New Roman"/>
          <w:bCs/>
          <w:sz w:val="24"/>
          <w:szCs w:val="24"/>
        </w:rPr>
        <w:t>(Gumber, Khoosal and Gajebasia 2012). The pilot proved to be successful</w:t>
      </w:r>
      <w:r w:rsidR="00BD6C2D" w:rsidRPr="004C3C9B">
        <w:rPr>
          <w:rFonts w:ascii="Times New Roman" w:eastAsia="SimSun" w:hAnsi="Times New Roman" w:cs="Times New Roman"/>
          <w:bCs/>
          <w:sz w:val="24"/>
          <w:szCs w:val="24"/>
        </w:rPr>
        <w:t xml:space="preserve"> and </w:t>
      </w:r>
      <w:r w:rsidR="00850245" w:rsidRPr="004C3C9B">
        <w:rPr>
          <w:rFonts w:ascii="Times New Roman" w:eastAsia="SimSun" w:hAnsi="Times New Roman" w:cs="Times New Roman"/>
          <w:bCs/>
          <w:sz w:val="24"/>
          <w:szCs w:val="24"/>
        </w:rPr>
        <w:t>in 1998</w:t>
      </w:r>
      <w:r w:rsidR="00076586" w:rsidRPr="004C3C9B">
        <w:rPr>
          <w:rFonts w:ascii="Times New Roman" w:eastAsia="SimSun" w:hAnsi="Times New Roman" w:cs="Times New Roman"/>
          <w:bCs/>
          <w:sz w:val="24"/>
          <w:szCs w:val="24"/>
        </w:rPr>
        <w:t>,</w:t>
      </w:r>
      <w:r w:rsidR="00850245" w:rsidRPr="004C3C9B">
        <w:rPr>
          <w:rFonts w:ascii="Times New Roman" w:eastAsia="SimSun" w:hAnsi="Times New Roman" w:cs="Times New Roman"/>
          <w:bCs/>
          <w:sz w:val="24"/>
          <w:szCs w:val="24"/>
        </w:rPr>
        <w:t xml:space="preserve"> </w:t>
      </w:r>
      <w:r w:rsidR="004077CE" w:rsidRPr="004C3C9B">
        <w:rPr>
          <w:rFonts w:ascii="Times New Roman" w:eastAsia="SimSun" w:hAnsi="Times New Roman" w:cs="Times New Roman"/>
          <w:bCs/>
          <w:sz w:val="24"/>
          <w:szCs w:val="24"/>
        </w:rPr>
        <w:t>the</w:t>
      </w:r>
      <w:r w:rsidR="00850245" w:rsidRPr="004C3C9B">
        <w:rPr>
          <w:rFonts w:ascii="Times New Roman" w:eastAsia="SimSun" w:hAnsi="Times New Roman" w:cs="Times New Roman"/>
          <w:bCs/>
          <w:sz w:val="24"/>
          <w:szCs w:val="24"/>
        </w:rPr>
        <w:t xml:space="preserve"> process of expanding these rights to all community nurses with a specialist </w:t>
      </w:r>
      <w:r w:rsidR="00702570" w:rsidRPr="004C3C9B">
        <w:rPr>
          <w:rFonts w:ascii="Times New Roman" w:eastAsia="SimSun" w:hAnsi="Times New Roman" w:cs="Times New Roman"/>
          <w:bCs/>
          <w:sz w:val="24"/>
          <w:szCs w:val="24"/>
        </w:rPr>
        <w:t>DN o</w:t>
      </w:r>
      <w:r w:rsidR="00850245" w:rsidRPr="004C3C9B">
        <w:rPr>
          <w:rFonts w:ascii="Times New Roman" w:eastAsia="SimSun" w:hAnsi="Times New Roman" w:cs="Times New Roman"/>
          <w:bCs/>
          <w:sz w:val="24"/>
          <w:szCs w:val="24"/>
        </w:rPr>
        <w:t>r</w:t>
      </w:r>
      <w:r w:rsidR="00702570" w:rsidRPr="004C3C9B">
        <w:rPr>
          <w:rFonts w:ascii="Times New Roman" w:eastAsia="SimSun" w:hAnsi="Times New Roman" w:cs="Times New Roman"/>
          <w:bCs/>
          <w:sz w:val="24"/>
          <w:szCs w:val="24"/>
        </w:rPr>
        <w:t xml:space="preserve"> HV </w:t>
      </w:r>
      <w:r w:rsidR="00850245" w:rsidRPr="004C3C9B">
        <w:rPr>
          <w:rFonts w:ascii="Times New Roman" w:eastAsia="SimSun" w:hAnsi="Times New Roman" w:cs="Times New Roman"/>
          <w:bCs/>
          <w:sz w:val="24"/>
          <w:szCs w:val="24"/>
        </w:rPr>
        <w:t>qualification</w:t>
      </w:r>
      <w:r w:rsidR="00076586" w:rsidRPr="004C3C9B">
        <w:rPr>
          <w:rFonts w:ascii="Times New Roman" w:eastAsia="SimSun" w:hAnsi="Times New Roman" w:cs="Times New Roman"/>
          <w:bCs/>
          <w:sz w:val="24"/>
          <w:szCs w:val="24"/>
        </w:rPr>
        <w:t xml:space="preserve"> </w:t>
      </w:r>
      <w:r w:rsidR="00850245" w:rsidRPr="004C3C9B">
        <w:rPr>
          <w:rFonts w:ascii="Times New Roman" w:eastAsia="SimSun" w:hAnsi="Times New Roman" w:cs="Times New Roman"/>
          <w:bCs/>
          <w:sz w:val="24"/>
          <w:szCs w:val="24"/>
        </w:rPr>
        <w:t xml:space="preserve">began with the roll out of the </w:t>
      </w:r>
      <w:r w:rsidR="004077CE" w:rsidRPr="004C3C9B">
        <w:rPr>
          <w:rFonts w:ascii="Times New Roman" w:eastAsia="SimSun" w:hAnsi="Times New Roman" w:cs="Times New Roman"/>
          <w:bCs/>
          <w:sz w:val="24"/>
          <w:szCs w:val="24"/>
        </w:rPr>
        <w:t xml:space="preserve">V100 nurse prescribing </w:t>
      </w:r>
      <w:r w:rsidR="00E5044A" w:rsidRPr="004C3C9B">
        <w:rPr>
          <w:rFonts w:ascii="Times New Roman" w:eastAsia="SimSun" w:hAnsi="Times New Roman" w:cs="Times New Roman"/>
          <w:bCs/>
          <w:sz w:val="24"/>
          <w:szCs w:val="24"/>
        </w:rPr>
        <w:t xml:space="preserve">training </w:t>
      </w:r>
      <w:r w:rsidR="004077CE" w:rsidRPr="004C3C9B">
        <w:rPr>
          <w:rFonts w:ascii="Times New Roman" w:eastAsia="SimSun" w:hAnsi="Times New Roman" w:cs="Times New Roman"/>
          <w:bCs/>
          <w:sz w:val="24"/>
          <w:szCs w:val="24"/>
        </w:rPr>
        <w:t>programme (</w:t>
      </w:r>
      <w:r w:rsidR="007C2D31" w:rsidRPr="004C3C9B">
        <w:rPr>
          <w:rFonts w:ascii="Times New Roman" w:eastAsia="SimSun" w:hAnsi="Times New Roman" w:cs="Times New Roman"/>
          <w:bCs/>
          <w:sz w:val="24"/>
          <w:szCs w:val="24"/>
        </w:rPr>
        <w:t>Ward and Armstrong 2015)</w:t>
      </w:r>
      <w:r w:rsidR="004077CE" w:rsidRPr="004C3C9B">
        <w:rPr>
          <w:rFonts w:ascii="Times New Roman" w:eastAsia="SimSun" w:hAnsi="Times New Roman" w:cs="Times New Roman"/>
          <w:bCs/>
          <w:sz w:val="24"/>
          <w:szCs w:val="24"/>
        </w:rPr>
        <w:t xml:space="preserve">. </w:t>
      </w:r>
    </w:p>
    <w:p w:rsidR="00076586" w:rsidRPr="004C3C9B" w:rsidRDefault="00076586" w:rsidP="004C3C9B">
      <w:pPr>
        <w:spacing w:after="0" w:line="480" w:lineRule="auto"/>
        <w:jc w:val="both"/>
        <w:rPr>
          <w:rFonts w:ascii="Times New Roman" w:eastAsia="SimSun" w:hAnsi="Times New Roman" w:cs="Times New Roman"/>
          <w:bCs/>
          <w:sz w:val="24"/>
          <w:szCs w:val="24"/>
        </w:rPr>
      </w:pPr>
    </w:p>
    <w:p w:rsidR="0044004C" w:rsidRPr="004C3C9B" w:rsidRDefault="00076586"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A</w:t>
      </w:r>
      <w:r w:rsidR="00FD5880" w:rsidRPr="004C3C9B">
        <w:rPr>
          <w:rFonts w:ascii="Times New Roman" w:eastAsia="SimSun" w:hAnsi="Times New Roman" w:cs="Times New Roman"/>
          <w:bCs/>
          <w:sz w:val="24"/>
          <w:szCs w:val="24"/>
        </w:rPr>
        <w:t xml:space="preserve"> second Crown Report was</w:t>
      </w:r>
      <w:r w:rsidRPr="004C3C9B">
        <w:rPr>
          <w:rFonts w:ascii="Times New Roman" w:eastAsia="SimSun" w:hAnsi="Times New Roman" w:cs="Times New Roman"/>
          <w:bCs/>
          <w:sz w:val="24"/>
          <w:szCs w:val="24"/>
        </w:rPr>
        <w:t xml:space="preserve"> </w:t>
      </w:r>
      <w:r w:rsidR="00FD5880" w:rsidRPr="004C3C9B">
        <w:rPr>
          <w:rFonts w:ascii="Times New Roman" w:eastAsia="SimSun" w:hAnsi="Times New Roman" w:cs="Times New Roman"/>
          <w:bCs/>
          <w:sz w:val="24"/>
          <w:szCs w:val="24"/>
        </w:rPr>
        <w:t>published</w:t>
      </w:r>
      <w:r w:rsidRPr="004C3C9B">
        <w:rPr>
          <w:rFonts w:ascii="Times New Roman" w:eastAsia="SimSun" w:hAnsi="Times New Roman" w:cs="Times New Roman"/>
          <w:bCs/>
          <w:sz w:val="24"/>
          <w:szCs w:val="24"/>
        </w:rPr>
        <w:t xml:space="preserve"> in 1999</w:t>
      </w:r>
      <w:r w:rsidR="00FD5880" w:rsidRPr="004C3C9B">
        <w:rPr>
          <w:rFonts w:ascii="Times New Roman" w:eastAsia="SimSun" w:hAnsi="Times New Roman" w:cs="Times New Roman"/>
          <w:bCs/>
          <w:sz w:val="24"/>
          <w:szCs w:val="24"/>
        </w:rPr>
        <w:t>, advocating the further extension of prescr</w:t>
      </w:r>
      <w:r w:rsidR="007C2D31" w:rsidRPr="004C3C9B">
        <w:rPr>
          <w:rFonts w:ascii="Times New Roman" w:eastAsia="SimSun" w:hAnsi="Times New Roman" w:cs="Times New Roman"/>
          <w:bCs/>
          <w:sz w:val="24"/>
          <w:szCs w:val="24"/>
        </w:rPr>
        <w:t>ibing rights to other nurses (D</w:t>
      </w:r>
      <w:r w:rsidR="00FD5880" w:rsidRPr="004C3C9B">
        <w:rPr>
          <w:rFonts w:ascii="Times New Roman" w:eastAsia="SimSun" w:hAnsi="Times New Roman" w:cs="Times New Roman"/>
          <w:bCs/>
          <w:sz w:val="24"/>
          <w:szCs w:val="24"/>
        </w:rPr>
        <w:t xml:space="preserve">H 1999). </w:t>
      </w:r>
      <w:r w:rsidRPr="004C3C9B">
        <w:rPr>
          <w:rFonts w:ascii="Times New Roman" w:eastAsia="SimSun" w:hAnsi="Times New Roman" w:cs="Times New Roman"/>
          <w:bCs/>
          <w:sz w:val="24"/>
          <w:szCs w:val="24"/>
        </w:rPr>
        <w:t>The NPF was reviewed and expanded</w:t>
      </w:r>
      <w:r w:rsidR="00702570" w:rsidRPr="004C3C9B">
        <w:rPr>
          <w:rFonts w:ascii="Times New Roman" w:eastAsia="SimSun" w:hAnsi="Times New Roman" w:cs="Times New Roman"/>
          <w:bCs/>
          <w:sz w:val="24"/>
          <w:szCs w:val="24"/>
        </w:rPr>
        <w:t>, giving rise to the Nurse Prescribers’ Extended Formulary</w:t>
      </w:r>
      <w:r w:rsidR="00C42229" w:rsidRPr="004C3C9B">
        <w:rPr>
          <w:rFonts w:ascii="Times New Roman" w:eastAsia="SimSun" w:hAnsi="Times New Roman" w:cs="Times New Roman"/>
          <w:bCs/>
          <w:sz w:val="24"/>
          <w:szCs w:val="24"/>
        </w:rPr>
        <w:t xml:space="preserve"> (NPEF)</w:t>
      </w:r>
      <w:r w:rsidR="00702570" w:rsidRPr="004C3C9B">
        <w:rPr>
          <w:rFonts w:ascii="Times New Roman" w:eastAsia="SimSun" w:hAnsi="Times New Roman" w:cs="Times New Roman"/>
          <w:bCs/>
          <w:sz w:val="24"/>
          <w:szCs w:val="24"/>
        </w:rPr>
        <w:t>. This covered 4 areas of clinical practice, (minor illness, minor injury, health promotion and palliative care), and included all general sales list</w:t>
      </w:r>
      <w:r w:rsidR="007347D9" w:rsidRPr="004C3C9B">
        <w:rPr>
          <w:rFonts w:ascii="Times New Roman" w:eastAsia="SimSun" w:hAnsi="Times New Roman" w:cs="Times New Roman"/>
          <w:bCs/>
          <w:sz w:val="24"/>
          <w:szCs w:val="24"/>
        </w:rPr>
        <w:t xml:space="preserve">, </w:t>
      </w:r>
      <w:r w:rsidR="00B7660B" w:rsidRPr="004C3C9B">
        <w:rPr>
          <w:rFonts w:ascii="Times New Roman" w:eastAsia="SimSun" w:hAnsi="Times New Roman" w:cs="Times New Roman"/>
          <w:bCs/>
          <w:sz w:val="24"/>
          <w:szCs w:val="24"/>
        </w:rPr>
        <w:t>licenced pharmacy</w:t>
      </w:r>
      <w:r w:rsidR="003A00CB" w:rsidRPr="004C3C9B">
        <w:rPr>
          <w:rFonts w:ascii="Times New Roman" w:eastAsia="SimSun" w:hAnsi="Times New Roman" w:cs="Times New Roman"/>
          <w:bCs/>
          <w:sz w:val="24"/>
          <w:szCs w:val="24"/>
        </w:rPr>
        <w:t xml:space="preserve"> </w:t>
      </w:r>
      <w:r w:rsidR="00B7660B" w:rsidRPr="004C3C9B">
        <w:rPr>
          <w:rFonts w:ascii="Times New Roman" w:eastAsia="SimSun" w:hAnsi="Times New Roman" w:cs="Times New Roman"/>
          <w:bCs/>
          <w:sz w:val="24"/>
          <w:szCs w:val="24"/>
        </w:rPr>
        <w:t>and 140 prescription-only medicines (Ward and Armstrong 2015).</w:t>
      </w:r>
      <w:r w:rsidR="00643E3E" w:rsidRPr="004C3C9B">
        <w:rPr>
          <w:rFonts w:ascii="Times New Roman" w:eastAsia="SimSun" w:hAnsi="Times New Roman" w:cs="Times New Roman"/>
          <w:bCs/>
          <w:sz w:val="24"/>
          <w:szCs w:val="24"/>
        </w:rPr>
        <w:t xml:space="preserve"> </w:t>
      </w:r>
      <w:r w:rsidR="00D74E3E" w:rsidRPr="004C3C9B">
        <w:rPr>
          <w:rFonts w:ascii="Times New Roman" w:eastAsia="SimSun" w:hAnsi="Times New Roman" w:cs="Times New Roman"/>
          <w:bCs/>
          <w:sz w:val="24"/>
          <w:szCs w:val="24"/>
        </w:rPr>
        <w:t xml:space="preserve">To ensure that </w:t>
      </w:r>
      <w:r w:rsidR="00643E3E" w:rsidRPr="004C3C9B">
        <w:rPr>
          <w:rFonts w:ascii="Times New Roman" w:eastAsia="SimSun" w:hAnsi="Times New Roman" w:cs="Times New Roman"/>
          <w:bCs/>
          <w:sz w:val="24"/>
          <w:szCs w:val="24"/>
        </w:rPr>
        <w:t xml:space="preserve">nurses were adequately prepared to prescribe from </w:t>
      </w:r>
      <w:r w:rsidR="00D74E3E" w:rsidRPr="004C3C9B">
        <w:rPr>
          <w:rFonts w:ascii="Times New Roman" w:eastAsia="SimSun" w:hAnsi="Times New Roman" w:cs="Times New Roman"/>
          <w:bCs/>
          <w:sz w:val="24"/>
          <w:szCs w:val="24"/>
        </w:rPr>
        <w:t>the NPEF a more rigorous training programme (V200)</w:t>
      </w:r>
      <w:r w:rsidR="00643E3E" w:rsidRPr="004C3C9B">
        <w:rPr>
          <w:rFonts w:ascii="Times New Roman" w:eastAsia="SimSun" w:hAnsi="Times New Roman" w:cs="Times New Roman"/>
          <w:bCs/>
          <w:sz w:val="24"/>
          <w:szCs w:val="24"/>
        </w:rPr>
        <w:t xml:space="preserve"> was rolled out</w:t>
      </w:r>
      <w:r w:rsidR="00D74E3E" w:rsidRPr="004C3C9B">
        <w:rPr>
          <w:rFonts w:ascii="Times New Roman" w:eastAsia="SimSun" w:hAnsi="Times New Roman" w:cs="Times New Roman"/>
          <w:bCs/>
          <w:sz w:val="24"/>
          <w:szCs w:val="24"/>
        </w:rPr>
        <w:t xml:space="preserve"> in 2002</w:t>
      </w:r>
      <w:r w:rsidR="003C6DBE" w:rsidRPr="004C3C9B">
        <w:rPr>
          <w:rFonts w:ascii="Times New Roman" w:eastAsia="SimSun" w:hAnsi="Times New Roman" w:cs="Times New Roman"/>
          <w:bCs/>
          <w:sz w:val="24"/>
          <w:szCs w:val="24"/>
        </w:rPr>
        <w:t xml:space="preserve"> to all first level registered nurses with a minimum 3 years’ experience working within specialist areas such as GP surgeries, emergency departments and walk-in centres (</w:t>
      </w:r>
      <w:r w:rsidR="002E57D2" w:rsidRPr="004C3C9B">
        <w:rPr>
          <w:rFonts w:ascii="Times New Roman" w:eastAsia="SimSun" w:hAnsi="Times New Roman" w:cs="Times New Roman"/>
          <w:bCs/>
          <w:sz w:val="24"/>
          <w:szCs w:val="24"/>
        </w:rPr>
        <w:t>Radcliffe 2008).</w:t>
      </w:r>
    </w:p>
    <w:p w:rsidR="0044004C" w:rsidRPr="004C3C9B" w:rsidRDefault="0044004C" w:rsidP="004C3C9B">
      <w:pPr>
        <w:spacing w:after="0" w:line="480" w:lineRule="auto"/>
        <w:jc w:val="both"/>
        <w:rPr>
          <w:rFonts w:ascii="Times New Roman" w:eastAsia="SimSun" w:hAnsi="Times New Roman" w:cs="Times New Roman"/>
          <w:bCs/>
          <w:sz w:val="24"/>
          <w:szCs w:val="24"/>
        </w:rPr>
      </w:pPr>
    </w:p>
    <w:p w:rsidR="004652D2" w:rsidRPr="004C3C9B" w:rsidRDefault="008732C7"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 xml:space="preserve">In 2003, </w:t>
      </w:r>
      <w:r w:rsidR="0044004C" w:rsidRPr="004C3C9B">
        <w:rPr>
          <w:rFonts w:ascii="Times New Roman" w:eastAsia="SimSun" w:hAnsi="Times New Roman" w:cs="Times New Roman"/>
          <w:bCs/>
          <w:sz w:val="24"/>
          <w:szCs w:val="24"/>
        </w:rPr>
        <w:t xml:space="preserve">the V200 was extended to </w:t>
      </w:r>
      <w:r w:rsidR="00B76329" w:rsidRPr="004C3C9B">
        <w:rPr>
          <w:rFonts w:ascii="Times New Roman" w:eastAsia="SimSun" w:hAnsi="Times New Roman" w:cs="Times New Roman"/>
          <w:bCs/>
          <w:sz w:val="24"/>
          <w:szCs w:val="24"/>
        </w:rPr>
        <w:t xml:space="preserve">incorporate </w:t>
      </w:r>
      <w:r w:rsidR="0044004C" w:rsidRPr="004C3C9B">
        <w:rPr>
          <w:rFonts w:ascii="Times New Roman" w:eastAsia="SimSun" w:hAnsi="Times New Roman" w:cs="Times New Roman"/>
          <w:bCs/>
          <w:sz w:val="24"/>
          <w:szCs w:val="24"/>
        </w:rPr>
        <w:t>supplementary prescribing</w:t>
      </w:r>
      <w:r w:rsidR="001029CA" w:rsidRPr="004C3C9B">
        <w:rPr>
          <w:rFonts w:ascii="Times New Roman" w:eastAsia="SimSun" w:hAnsi="Times New Roman" w:cs="Times New Roman"/>
          <w:bCs/>
          <w:sz w:val="24"/>
          <w:szCs w:val="24"/>
        </w:rPr>
        <w:t xml:space="preserve"> (SP)</w:t>
      </w:r>
      <w:r w:rsidR="00B76329" w:rsidRPr="004C3C9B">
        <w:rPr>
          <w:rFonts w:ascii="Times New Roman" w:eastAsia="SimSun" w:hAnsi="Times New Roman" w:cs="Times New Roman"/>
          <w:bCs/>
          <w:sz w:val="24"/>
          <w:szCs w:val="24"/>
        </w:rPr>
        <w:t>. This differed from extended nurse prescribing in that it was a formal agreement between a</w:t>
      </w:r>
      <w:r w:rsidR="005C082D" w:rsidRPr="004C3C9B">
        <w:rPr>
          <w:rFonts w:ascii="Times New Roman" w:eastAsia="SimSun" w:hAnsi="Times New Roman" w:cs="Times New Roman"/>
          <w:bCs/>
          <w:sz w:val="24"/>
          <w:szCs w:val="24"/>
        </w:rPr>
        <w:t xml:space="preserve"> medical</w:t>
      </w:r>
      <w:r w:rsidR="00B76329" w:rsidRPr="004C3C9B">
        <w:rPr>
          <w:rFonts w:ascii="Times New Roman" w:eastAsia="SimSun" w:hAnsi="Times New Roman" w:cs="Times New Roman"/>
          <w:bCs/>
          <w:sz w:val="24"/>
          <w:szCs w:val="24"/>
        </w:rPr>
        <w:t xml:space="preserve"> independent prescriber</w:t>
      </w:r>
      <w:r w:rsidR="00015D8D" w:rsidRPr="004C3C9B">
        <w:rPr>
          <w:rFonts w:ascii="Times New Roman" w:eastAsia="SimSun" w:hAnsi="Times New Roman" w:cs="Times New Roman"/>
          <w:bCs/>
          <w:sz w:val="24"/>
          <w:szCs w:val="24"/>
        </w:rPr>
        <w:t xml:space="preserve"> (IP)</w:t>
      </w:r>
      <w:r w:rsidR="00B76329" w:rsidRPr="004C3C9B">
        <w:rPr>
          <w:rFonts w:ascii="Times New Roman" w:eastAsia="SimSun" w:hAnsi="Times New Roman" w:cs="Times New Roman"/>
          <w:bCs/>
          <w:sz w:val="24"/>
          <w:szCs w:val="24"/>
        </w:rPr>
        <w:t xml:space="preserve"> (doctor</w:t>
      </w:r>
      <w:r w:rsidR="005C082D" w:rsidRPr="004C3C9B">
        <w:rPr>
          <w:rFonts w:ascii="Times New Roman" w:eastAsia="SimSun" w:hAnsi="Times New Roman" w:cs="Times New Roman"/>
          <w:bCs/>
          <w:sz w:val="24"/>
          <w:szCs w:val="24"/>
        </w:rPr>
        <w:t>/dentist</w:t>
      </w:r>
      <w:r w:rsidR="00B76329" w:rsidRPr="004C3C9B">
        <w:rPr>
          <w:rFonts w:ascii="Times New Roman" w:eastAsia="SimSun" w:hAnsi="Times New Roman" w:cs="Times New Roman"/>
          <w:bCs/>
          <w:sz w:val="24"/>
          <w:szCs w:val="24"/>
        </w:rPr>
        <w:t>)</w:t>
      </w:r>
      <w:r w:rsidR="005C082D" w:rsidRPr="004C3C9B">
        <w:rPr>
          <w:rFonts w:ascii="Times New Roman" w:eastAsia="SimSun" w:hAnsi="Times New Roman" w:cs="Times New Roman"/>
          <w:bCs/>
          <w:sz w:val="24"/>
          <w:szCs w:val="24"/>
        </w:rPr>
        <w:t>, nurse supplementary prescriber and the patient</w:t>
      </w:r>
      <w:r w:rsidR="00EA5220" w:rsidRPr="004C3C9B">
        <w:rPr>
          <w:rFonts w:ascii="Times New Roman" w:eastAsia="SimSun" w:hAnsi="Times New Roman" w:cs="Times New Roman"/>
          <w:bCs/>
          <w:sz w:val="24"/>
          <w:szCs w:val="24"/>
        </w:rPr>
        <w:t>. This t</w:t>
      </w:r>
      <w:r w:rsidR="005C082D" w:rsidRPr="004C3C9B">
        <w:rPr>
          <w:rFonts w:ascii="Times New Roman" w:eastAsia="SimSun" w:hAnsi="Times New Roman" w:cs="Times New Roman"/>
          <w:bCs/>
          <w:sz w:val="24"/>
          <w:szCs w:val="24"/>
        </w:rPr>
        <w:t>ook the form of a patient-specific clinical management plan (CMP)</w:t>
      </w:r>
      <w:r w:rsidR="00015D8D" w:rsidRPr="004C3C9B">
        <w:rPr>
          <w:rFonts w:ascii="Times New Roman" w:eastAsia="SimSun" w:hAnsi="Times New Roman" w:cs="Times New Roman"/>
          <w:bCs/>
          <w:sz w:val="24"/>
          <w:szCs w:val="24"/>
        </w:rPr>
        <w:t xml:space="preserve"> following an initial </w:t>
      </w:r>
      <w:r w:rsidR="00015D8D" w:rsidRPr="004C3C9B">
        <w:rPr>
          <w:rFonts w:ascii="Times New Roman" w:eastAsia="SimSun" w:hAnsi="Times New Roman" w:cs="Times New Roman"/>
          <w:bCs/>
          <w:sz w:val="24"/>
          <w:szCs w:val="24"/>
        </w:rPr>
        <w:lastRenderedPageBreak/>
        <w:t>diagnosis made by the IP</w:t>
      </w:r>
      <w:r w:rsidR="005C082D" w:rsidRPr="004C3C9B">
        <w:rPr>
          <w:rFonts w:ascii="Times New Roman" w:eastAsia="SimSun" w:hAnsi="Times New Roman" w:cs="Times New Roman"/>
          <w:bCs/>
          <w:sz w:val="24"/>
          <w:szCs w:val="24"/>
        </w:rPr>
        <w:t xml:space="preserve"> (DH 2003).</w:t>
      </w:r>
      <w:r w:rsidR="00DE419C" w:rsidRPr="004C3C9B">
        <w:rPr>
          <w:rFonts w:ascii="Times New Roman" w:eastAsia="SimSun" w:hAnsi="Times New Roman" w:cs="Times New Roman"/>
          <w:bCs/>
          <w:sz w:val="24"/>
          <w:szCs w:val="24"/>
        </w:rPr>
        <w:t xml:space="preserve"> The CMP included details of the condition(s) to be treated, the medications to be prescribed and when to </w:t>
      </w:r>
      <w:r w:rsidR="00EA5220" w:rsidRPr="004C3C9B">
        <w:rPr>
          <w:rFonts w:ascii="Times New Roman" w:eastAsia="SimSun" w:hAnsi="Times New Roman" w:cs="Times New Roman"/>
          <w:bCs/>
          <w:sz w:val="24"/>
          <w:szCs w:val="24"/>
        </w:rPr>
        <w:t>refer on</w:t>
      </w:r>
      <w:r w:rsidR="00DE419C" w:rsidRPr="004C3C9B">
        <w:rPr>
          <w:rFonts w:ascii="Times New Roman" w:eastAsia="SimSun" w:hAnsi="Times New Roman" w:cs="Times New Roman"/>
          <w:bCs/>
          <w:sz w:val="24"/>
          <w:szCs w:val="24"/>
        </w:rPr>
        <w:t xml:space="preserve"> to the IP</w:t>
      </w:r>
      <w:r w:rsidR="001029CA" w:rsidRPr="004C3C9B">
        <w:rPr>
          <w:rFonts w:ascii="Times New Roman" w:eastAsia="SimSun" w:hAnsi="Times New Roman" w:cs="Times New Roman"/>
          <w:bCs/>
          <w:sz w:val="24"/>
          <w:szCs w:val="24"/>
        </w:rPr>
        <w:t xml:space="preserve">. </w:t>
      </w:r>
      <w:r w:rsidR="00E7510A" w:rsidRPr="004C3C9B">
        <w:rPr>
          <w:rFonts w:ascii="Times New Roman" w:eastAsia="SimSun" w:hAnsi="Times New Roman" w:cs="Times New Roman"/>
          <w:bCs/>
          <w:sz w:val="24"/>
          <w:szCs w:val="24"/>
        </w:rPr>
        <w:t>(Smith</w:t>
      </w:r>
      <w:r w:rsidR="0008088A" w:rsidRPr="004C3C9B">
        <w:rPr>
          <w:rFonts w:ascii="Times New Roman" w:eastAsia="SimSun" w:hAnsi="Times New Roman" w:cs="Times New Roman"/>
          <w:bCs/>
          <w:sz w:val="24"/>
          <w:szCs w:val="24"/>
        </w:rPr>
        <w:t xml:space="preserve"> et al </w:t>
      </w:r>
      <w:r w:rsidR="00E7510A" w:rsidRPr="004C3C9B">
        <w:rPr>
          <w:rFonts w:ascii="Times New Roman" w:eastAsia="SimSun" w:hAnsi="Times New Roman" w:cs="Times New Roman"/>
          <w:bCs/>
          <w:sz w:val="24"/>
          <w:szCs w:val="24"/>
        </w:rPr>
        <w:t xml:space="preserve">2014). </w:t>
      </w:r>
      <w:r w:rsidR="001029CA" w:rsidRPr="004C3C9B">
        <w:rPr>
          <w:rFonts w:ascii="Times New Roman" w:eastAsia="SimSun" w:hAnsi="Times New Roman" w:cs="Times New Roman"/>
          <w:bCs/>
          <w:sz w:val="24"/>
          <w:szCs w:val="24"/>
        </w:rPr>
        <w:t xml:space="preserve">In some respects, </w:t>
      </w:r>
      <w:r w:rsidR="004652D2" w:rsidRPr="004C3C9B">
        <w:rPr>
          <w:rFonts w:ascii="Times New Roman" w:eastAsia="SimSun" w:hAnsi="Times New Roman" w:cs="Times New Roman"/>
          <w:bCs/>
          <w:sz w:val="24"/>
          <w:szCs w:val="24"/>
        </w:rPr>
        <w:t>S</w:t>
      </w:r>
      <w:r w:rsidR="001029CA" w:rsidRPr="004C3C9B">
        <w:rPr>
          <w:rFonts w:ascii="Times New Roman" w:eastAsia="SimSun" w:hAnsi="Times New Roman" w:cs="Times New Roman"/>
          <w:bCs/>
          <w:sz w:val="24"/>
          <w:szCs w:val="24"/>
        </w:rPr>
        <w:t xml:space="preserve">P provided nurses with a wider range of prescribing powers as they could prescribe any medication, including controlled drugs or off-license medications if specified </w:t>
      </w:r>
      <w:r w:rsidR="00D94D99" w:rsidRPr="004C3C9B">
        <w:rPr>
          <w:rFonts w:ascii="Times New Roman" w:eastAsia="SimSun" w:hAnsi="Times New Roman" w:cs="Times New Roman"/>
          <w:bCs/>
          <w:sz w:val="24"/>
          <w:szCs w:val="24"/>
        </w:rPr>
        <w:t>o</w:t>
      </w:r>
      <w:r w:rsidR="001029CA" w:rsidRPr="004C3C9B">
        <w:rPr>
          <w:rFonts w:ascii="Times New Roman" w:eastAsia="SimSun" w:hAnsi="Times New Roman" w:cs="Times New Roman"/>
          <w:bCs/>
          <w:sz w:val="24"/>
          <w:szCs w:val="24"/>
        </w:rPr>
        <w:t xml:space="preserve">n the CMP. </w:t>
      </w:r>
      <w:r w:rsidR="00B032A2" w:rsidRPr="004C3C9B">
        <w:rPr>
          <w:rFonts w:ascii="Times New Roman" w:eastAsia="SimSun" w:hAnsi="Times New Roman" w:cs="Times New Roman"/>
          <w:bCs/>
          <w:sz w:val="24"/>
          <w:szCs w:val="24"/>
        </w:rPr>
        <w:t xml:space="preserve">Whilst </w:t>
      </w:r>
      <w:r w:rsidR="004652D2" w:rsidRPr="004C3C9B">
        <w:rPr>
          <w:rFonts w:ascii="Times New Roman" w:eastAsia="SimSun" w:hAnsi="Times New Roman" w:cs="Times New Roman"/>
          <w:bCs/>
          <w:sz w:val="24"/>
          <w:szCs w:val="24"/>
        </w:rPr>
        <w:t>useful in the management of long term conditions</w:t>
      </w:r>
      <w:r w:rsidR="00B032A2" w:rsidRPr="004C3C9B">
        <w:rPr>
          <w:rFonts w:ascii="Times New Roman" w:eastAsia="SimSun" w:hAnsi="Times New Roman" w:cs="Times New Roman"/>
          <w:bCs/>
          <w:sz w:val="24"/>
          <w:szCs w:val="24"/>
        </w:rPr>
        <w:t xml:space="preserve">, SP </w:t>
      </w:r>
      <w:r w:rsidR="001029CA" w:rsidRPr="004C3C9B">
        <w:rPr>
          <w:rFonts w:ascii="Times New Roman" w:eastAsia="SimSun" w:hAnsi="Times New Roman" w:cs="Times New Roman"/>
          <w:bCs/>
          <w:sz w:val="24"/>
          <w:szCs w:val="24"/>
        </w:rPr>
        <w:t>is not suited to</w:t>
      </w:r>
      <w:r w:rsidR="00E72D0F" w:rsidRPr="004C3C9B">
        <w:rPr>
          <w:rFonts w:ascii="Times New Roman" w:eastAsia="SimSun" w:hAnsi="Times New Roman" w:cs="Times New Roman"/>
          <w:bCs/>
          <w:sz w:val="24"/>
          <w:szCs w:val="24"/>
        </w:rPr>
        <w:t xml:space="preserve"> episodes of one-off prescribing as is likely in </w:t>
      </w:r>
      <w:r w:rsidR="001029CA" w:rsidRPr="004C3C9B">
        <w:rPr>
          <w:rFonts w:ascii="Times New Roman" w:eastAsia="SimSun" w:hAnsi="Times New Roman" w:cs="Times New Roman"/>
          <w:bCs/>
          <w:sz w:val="24"/>
          <w:szCs w:val="24"/>
        </w:rPr>
        <w:t>areas such as out of hours se</w:t>
      </w:r>
      <w:r w:rsidR="00D94D99" w:rsidRPr="004C3C9B">
        <w:rPr>
          <w:rFonts w:ascii="Times New Roman" w:eastAsia="SimSun" w:hAnsi="Times New Roman" w:cs="Times New Roman"/>
          <w:bCs/>
          <w:sz w:val="24"/>
          <w:szCs w:val="24"/>
        </w:rPr>
        <w:t xml:space="preserve">rvices or walk-in centres where patients are not regular attenders (Radcliffe 2008). </w:t>
      </w:r>
    </w:p>
    <w:p w:rsidR="004652D2" w:rsidRPr="004C3C9B" w:rsidRDefault="004652D2" w:rsidP="004C3C9B">
      <w:pPr>
        <w:spacing w:after="0" w:line="480" w:lineRule="auto"/>
        <w:jc w:val="both"/>
        <w:rPr>
          <w:rFonts w:ascii="Times New Roman" w:eastAsia="SimSun" w:hAnsi="Times New Roman" w:cs="Times New Roman"/>
          <w:bCs/>
          <w:sz w:val="24"/>
          <w:szCs w:val="24"/>
        </w:rPr>
      </w:pPr>
    </w:p>
    <w:p w:rsidR="00650DC4" w:rsidRPr="004C3C9B" w:rsidRDefault="00D6492B"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 xml:space="preserve">Following an extensive consultation process, the government announced plans to further expand the prescribing rights for nurses, </w:t>
      </w:r>
      <w:r w:rsidR="007735B8" w:rsidRPr="004C3C9B">
        <w:rPr>
          <w:rFonts w:ascii="Times New Roman" w:eastAsia="SimSun" w:hAnsi="Times New Roman" w:cs="Times New Roman"/>
          <w:bCs/>
          <w:sz w:val="24"/>
          <w:szCs w:val="24"/>
        </w:rPr>
        <w:t xml:space="preserve">allowing them to </w:t>
      </w:r>
      <w:r w:rsidRPr="004C3C9B">
        <w:rPr>
          <w:rFonts w:ascii="Times New Roman" w:eastAsia="SimSun" w:hAnsi="Times New Roman" w:cs="Times New Roman"/>
          <w:bCs/>
          <w:sz w:val="24"/>
          <w:szCs w:val="24"/>
        </w:rPr>
        <w:t xml:space="preserve">prescribe </w:t>
      </w:r>
      <w:r w:rsidR="00E7510A" w:rsidRPr="004C3C9B">
        <w:rPr>
          <w:rFonts w:ascii="Times New Roman" w:eastAsia="SimSun" w:hAnsi="Times New Roman" w:cs="Times New Roman"/>
          <w:bCs/>
          <w:sz w:val="24"/>
          <w:szCs w:val="24"/>
        </w:rPr>
        <w:t xml:space="preserve">any licensed drug excluding </w:t>
      </w:r>
      <w:r w:rsidR="00D062AE" w:rsidRPr="004C3C9B">
        <w:rPr>
          <w:rFonts w:ascii="Times New Roman" w:eastAsia="SimSun" w:hAnsi="Times New Roman" w:cs="Times New Roman"/>
          <w:bCs/>
          <w:sz w:val="24"/>
          <w:szCs w:val="24"/>
        </w:rPr>
        <w:t>controlled drugs (</w:t>
      </w:r>
      <w:r w:rsidR="00C7770E" w:rsidRPr="004C3C9B">
        <w:rPr>
          <w:rFonts w:ascii="Times New Roman" w:eastAsia="SimSun" w:hAnsi="Times New Roman" w:cs="Times New Roman"/>
          <w:bCs/>
          <w:sz w:val="24"/>
          <w:szCs w:val="24"/>
        </w:rPr>
        <w:t>CD</w:t>
      </w:r>
      <w:r w:rsidRPr="004C3C9B">
        <w:rPr>
          <w:rFonts w:ascii="Times New Roman" w:eastAsia="SimSun" w:hAnsi="Times New Roman" w:cs="Times New Roman"/>
          <w:bCs/>
          <w:sz w:val="24"/>
          <w:szCs w:val="24"/>
        </w:rPr>
        <w:t>s</w:t>
      </w:r>
      <w:r w:rsidR="00D062AE" w:rsidRPr="004C3C9B">
        <w:rPr>
          <w:rFonts w:ascii="Times New Roman" w:eastAsia="SimSun" w:hAnsi="Times New Roman" w:cs="Times New Roman"/>
          <w:bCs/>
          <w:sz w:val="24"/>
          <w:szCs w:val="24"/>
        </w:rPr>
        <w:t>)</w:t>
      </w:r>
      <w:r w:rsidR="00E7510A" w:rsidRPr="004C3C9B">
        <w:rPr>
          <w:rFonts w:ascii="Times New Roman" w:eastAsia="SimSun" w:hAnsi="Times New Roman" w:cs="Times New Roman"/>
          <w:bCs/>
          <w:sz w:val="24"/>
          <w:szCs w:val="24"/>
        </w:rPr>
        <w:t xml:space="preserve"> from the </w:t>
      </w:r>
      <w:r w:rsidR="00D062AE" w:rsidRPr="004C3C9B">
        <w:rPr>
          <w:rFonts w:ascii="Times New Roman" w:eastAsia="SimSun" w:hAnsi="Times New Roman" w:cs="Times New Roman"/>
          <w:bCs/>
          <w:sz w:val="24"/>
          <w:szCs w:val="24"/>
        </w:rPr>
        <w:t>British National Formulary (</w:t>
      </w:r>
      <w:r w:rsidR="00E7510A" w:rsidRPr="004C3C9B">
        <w:rPr>
          <w:rFonts w:ascii="Times New Roman" w:eastAsia="SimSun" w:hAnsi="Times New Roman" w:cs="Times New Roman"/>
          <w:bCs/>
          <w:sz w:val="24"/>
          <w:szCs w:val="24"/>
        </w:rPr>
        <w:t>BNF</w:t>
      </w:r>
      <w:r w:rsidR="00D062AE" w:rsidRPr="004C3C9B">
        <w:rPr>
          <w:rFonts w:ascii="Times New Roman" w:eastAsia="SimSun" w:hAnsi="Times New Roman" w:cs="Times New Roman"/>
          <w:bCs/>
          <w:sz w:val="24"/>
          <w:szCs w:val="24"/>
        </w:rPr>
        <w:t>)</w:t>
      </w:r>
      <w:r w:rsidR="007735B8" w:rsidRPr="004C3C9B">
        <w:rPr>
          <w:rFonts w:ascii="Times New Roman" w:eastAsia="SimSun" w:hAnsi="Times New Roman" w:cs="Times New Roman"/>
          <w:bCs/>
          <w:sz w:val="24"/>
          <w:szCs w:val="24"/>
        </w:rPr>
        <w:t xml:space="preserve">, thus discontinuing </w:t>
      </w:r>
      <w:r w:rsidR="00C42229" w:rsidRPr="004C3C9B">
        <w:rPr>
          <w:rFonts w:ascii="Times New Roman" w:eastAsia="SimSun" w:hAnsi="Times New Roman" w:cs="Times New Roman"/>
          <w:bCs/>
          <w:sz w:val="24"/>
          <w:szCs w:val="24"/>
        </w:rPr>
        <w:t>the NPEF</w:t>
      </w:r>
      <w:r w:rsidR="00E7510A" w:rsidRPr="004C3C9B">
        <w:rPr>
          <w:rFonts w:ascii="Times New Roman" w:eastAsia="SimSun" w:hAnsi="Times New Roman" w:cs="Times New Roman"/>
          <w:bCs/>
          <w:sz w:val="24"/>
          <w:szCs w:val="24"/>
        </w:rPr>
        <w:t xml:space="preserve"> (</w:t>
      </w:r>
      <w:r w:rsidR="00D062AE" w:rsidRPr="004C3C9B">
        <w:rPr>
          <w:rFonts w:ascii="Times New Roman" w:eastAsia="SimSun" w:hAnsi="Times New Roman" w:cs="Times New Roman"/>
          <w:bCs/>
          <w:sz w:val="24"/>
          <w:szCs w:val="24"/>
        </w:rPr>
        <w:t>DH</w:t>
      </w:r>
      <w:r w:rsidR="00E7510A" w:rsidRPr="004C3C9B">
        <w:rPr>
          <w:rFonts w:ascii="Times New Roman" w:eastAsia="SimSun" w:hAnsi="Times New Roman" w:cs="Times New Roman"/>
          <w:bCs/>
          <w:sz w:val="24"/>
          <w:szCs w:val="24"/>
        </w:rPr>
        <w:t xml:space="preserve"> 200</w:t>
      </w:r>
      <w:r w:rsidR="00627AB8" w:rsidRPr="004C3C9B">
        <w:rPr>
          <w:rFonts w:ascii="Times New Roman" w:eastAsia="SimSun" w:hAnsi="Times New Roman" w:cs="Times New Roman"/>
          <w:bCs/>
          <w:sz w:val="24"/>
          <w:szCs w:val="24"/>
        </w:rPr>
        <w:t>6</w:t>
      </w:r>
      <w:r w:rsidR="00E7510A" w:rsidRPr="004C3C9B">
        <w:rPr>
          <w:rFonts w:ascii="Times New Roman" w:eastAsia="SimSun" w:hAnsi="Times New Roman" w:cs="Times New Roman"/>
          <w:bCs/>
          <w:sz w:val="24"/>
          <w:szCs w:val="24"/>
        </w:rPr>
        <w:t>). When plans for the proposed expansion of rights were unveiled in 2005, it was met with some opposition from medical colleagues. The</w:t>
      </w:r>
      <w:r w:rsidR="00C7770E" w:rsidRPr="004C3C9B">
        <w:rPr>
          <w:rFonts w:ascii="Times New Roman" w:eastAsia="SimSun" w:hAnsi="Times New Roman" w:cs="Times New Roman"/>
          <w:bCs/>
          <w:sz w:val="24"/>
          <w:szCs w:val="24"/>
        </w:rPr>
        <w:t xml:space="preserve"> British Medical Association (</w:t>
      </w:r>
      <w:r w:rsidR="00E7510A" w:rsidRPr="004C3C9B">
        <w:rPr>
          <w:rFonts w:ascii="Times New Roman" w:eastAsia="SimSun" w:hAnsi="Times New Roman" w:cs="Times New Roman"/>
          <w:bCs/>
          <w:sz w:val="24"/>
          <w:szCs w:val="24"/>
        </w:rPr>
        <w:t>BMA</w:t>
      </w:r>
      <w:r w:rsidR="00C7770E" w:rsidRPr="004C3C9B">
        <w:rPr>
          <w:rFonts w:ascii="Times New Roman" w:eastAsia="SimSun" w:hAnsi="Times New Roman" w:cs="Times New Roman"/>
          <w:bCs/>
          <w:sz w:val="24"/>
          <w:szCs w:val="24"/>
        </w:rPr>
        <w:t>)</w:t>
      </w:r>
      <w:r w:rsidR="00E7510A" w:rsidRPr="004C3C9B">
        <w:rPr>
          <w:rFonts w:ascii="Times New Roman" w:eastAsia="SimSun" w:hAnsi="Times New Roman" w:cs="Times New Roman"/>
          <w:bCs/>
          <w:sz w:val="24"/>
          <w:szCs w:val="24"/>
        </w:rPr>
        <w:t xml:space="preserve"> stipulated that they felt nurses lacked the required assessment and diagnostic skills that would facilitate safe and effective prescribing practice (Day 2005). Nevertheless, this move went ahead, and in 200</w:t>
      </w:r>
      <w:r w:rsidR="00C42229" w:rsidRPr="004C3C9B">
        <w:rPr>
          <w:rFonts w:ascii="Times New Roman" w:eastAsia="SimSun" w:hAnsi="Times New Roman" w:cs="Times New Roman"/>
          <w:bCs/>
          <w:sz w:val="24"/>
          <w:szCs w:val="24"/>
        </w:rPr>
        <w:t>6</w:t>
      </w:r>
      <w:r w:rsidR="00E7510A" w:rsidRPr="004C3C9B">
        <w:rPr>
          <w:rFonts w:ascii="Times New Roman" w:eastAsia="SimSun" w:hAnsi="Times New Roman" w:cs="Times New Roman"/>
          <w:bCs/>
          <w:sz w:val="24"/>
          <w:szCs w:val="24"/>
        </w:rPr>
        <w:t>,</w:t>
      </w:r>
      <w:r w:rsidR="00C42229" w:rsidRPr="004C3C9B">
        <w:rPr>
          <w:rFonts w:ascii="Times New Roman" w:eastAsia="SimSun" w:hAnsi="Times New Roman" w:cs="Times New Roman"/>
          <w:bCs/>
          <w:sz w:val="24"/>
          <w:szCs w:val="24"/>
        </w:rPr>
        <w:t xml:space="preserve"> the V200 programme was superseded by the more comprehensive V300 Nurse Independent/Supplementary </w:t>
      </w:r>
      <w:r w:rsidR="00650DC4" w:rsidRPr="004C3C9B">
        <w:rPr>
          <w:rFonts w:ascii="Times New Roman" w:eastAsia="SimSun" w:hAnsi="Times New Roman" w:cs="Times New Roman"/>
          <w:bCs/>
          <w:sz w:val="24"/>
          <w:szCs w:val="24"/>
        </w:rPr>
        <w:t>Prescrib</w:t>
      </w:r>
      <w:r w:rsidR="00812830" w:rsidRPr="004C3C9B">
        <w:rPr>
          <w:rFonts w:ascii="Times New Roman" w:eastAsia="SimSun" w:hAnsi="Times New Roman" w:cs="Times New Roman"/>
          <w:bCs/>
          <w:sz w:val="24"/>
          <w:szCs w:val="24"/>
        </w:rPr>
        <w:t>er pro</w:t>
      </w:r>
      <w:r w:rsidR="00C42229" w:rsidRPr="004C3C9B">
        <w:rPr>
          <w:rFonts w:ascii="Times New Roman" w:eastAsia="SimSun" w:hAnsi="Times New Roman" w:cs="Times New Roman"/>
          <w:bCs/>
          <w:sz w:val="24"/>
          <w:szCs w:val="24"/>
        </w:rPr>
        <w:t>gramme.</w:t>
      </w:r>
      <w:r w:rsidR="001D263F" w:rsidRPr="004C3C9B">
        <w:rPr>
          <w:rFonts w:ascii="Times New Roman" w:eastAsia="SimSun" w:hAnsi="Times New Roman" w:cs="Times New Roman"/>
          <w:bCs/>
          <w:sz w:val="24"/>
          <w:szCs w:val="24"/>
        </w:rPr>
        <w:t xml:space="preserve"> To coincide with this development, the </w:t>
      </w:r>
      <w:r w:rsidR="00DF0F07" w:rsidRPr="004C3C9B">
        <w:rPr>
          <w:rFonts w:ascii="Times New Roman" w:eastAsia="SimSun" w:hAnsi="Times New Roman" w:cs="Times New Roman"/>
          <w:bCs/>
          <w:sz w:val="24"/>
          <w:szCs w:val="24"/>
        </w:rPr>
        <w:t>Nursing and Midwifery Council (NMC)</w:t>
      </w:r>
      <w:r w:rsidR="001D263F" w:rsidRPr="004C3C9B">
        <w:rPr>
          <w:rFonts w:ascii="Times New Roman" w:eastAsia="SimSun" w:hAnsi="Times New Roman" w:cs="Times New Roman"/>
          <w:bCs/>
          <w:sz w:val="24"/>
          <w:szCs w:val="24"/>
        </w:rPr>
        <w:t xml:space="preserve"> developed </w:t>
      </w:r>
      <w:r w:rsidR="00473E84" w:rsidRPr="004C3C9B">
        <w:rPr>
          <w:rFonts w:ascii="Times New Roman" w:eastAsia="SimSun" w:hAnsi="Times New Roman" w:cs="Times New Roman"/>
          <w:bCs/>
          <w:sz w:val="24"/>
          <w:szCs w:val="24"/>
        </w:rPr>
        <w:t>the Standards</w:t>
      </w:r>
      <w:r w:rsidR="00DF0F07" w:rsidRPr="004C3C9B">
        <w:rPr>
          <w:rFonts w:ascii="Times New Roman" w:eastAsia="SimSun" w:hAnsi="Times New Roman" w:cs="Times New Roman"/>
          <w:bCs/>
          <w:sz w:val="24"/>
          <w:szCs w:val="24"/>
        </w:rPr>
        <w:t xml:space="preserve"> of </w:t>
      </w:r>
      <w:r w:rsidR="0010658D" w:rsidRPr="004C3C9B">
        <w:rPr>
          <w:rFonts w:ascii="Times New Roman" w:eastAsia="SimSun" w:hAnsi="Times New Roman" w:cs="Times New Roman"/>
          <w:bCs/>
          <w:sz w:val="24"/>
          <w:szCs w:val="24"/>
        </w:rPr>
        <w:t>P</w:t>
      </w:r>
      <w:r w:rsidR="00DF0F07" w:rsidRPr="004C3C9B">
        <w:rPr>
          <w:rFonts w:ascii="Times New Roman" w:eastAsia="SimSun" w:hAnsi="Times New Roman" w:cs="Times New Roman"/>
          <w:bCs/>
          <w:sz w:val="24"/>
          <w:szCs w:val="24"/>
        </w:rPr>
        <w:t xml:space="preserve">roficiency for </w:t>
      </w:r>
      <w:r w:rsidR="0010658D" w:rsidRPr="004C3C9B">
        <w:rPr>
          <w:rFonts w:ascii="Times New Roman" w:eastAsia="SimSun" w:hAnsi="Times New Roman" w:cs="Times New Roman"/>
          <w:bCs/>
          <w:sz w:val="24"/>
          <w:szCs w:val="24"/>
        </w:rPr>
        <w:t>N</w:t>
      </w:r>
      <w:r w:rsidR="00DF0F07" w:rsidRPr="004C3C9B">
        <w:rPr>
          <w:rFonts w:ascii="Times New Roman" w:eastAsia="SimSun" w:hAnsi="Times New Roman" w:cs="Times New Roman"/>
          <w:bCs/>
          <w:sz w:val="24"/>
          <w:szCs w:val="24"/>
        </w:rPr>
        <w:t xml:space="preserve">urse and </w:t>
      </w:r>
      <w:r w:rsidR="0010658D" w:rsidRPr="004C3C9B">
        <w:rPr>
          <w:rFonts w:ascii="Times New Roman" w:eastAsia="SimSun" w:hAnsi="Times New Roman" w:cs="Times New Roman"/>
          <w:bCs/>
          <w:sz w:val="24"/>
          <w:szCs w:val="24"/>
        </w:rPr>
        <w:t>M</w:t>
      </w:r>
      <w:r w:rsidR="00DF0F07" w:rsidRPr="004C3C9B">
        <w:rPr>
          <w:rFonts w:ascii="Times New Roman" w:eastAsia="SimSun" w:hAnsi="Times New Roman" w:cs="Times New Roman"/>
          <w:bCs/>
          <w:sz w:val="24"/>
          <w:szCs w:val="24"/>
        </w:rPr>
        <w:t>idwife prescribers</w:t>
      </w:r>
      <w:r w:rsidR="0010658D" w:rsidRPr="004C3C9B">
        <w:rPr>
          <w:rFonts w:ascii="Times New Roman" w:eastAsia="SimSun" w:hAnsi="Times New Roman" w:cs="Times New Roman"/>
          <w:bCs/>
          <w:sz w:val="24"/>
          <w:szCs w:val="24"/>
        </w:rPr>
        <w:t xml:space="preserve"> which </w:t>
      </w:r>
      <w:r w:rsidR="001D263F" w:rsidRPr="004C3C9B">
        <w:rPr>
          <w:rFonts w:ascii="Times New Roman" w:eastAsia="SimSun" w:hAnsi="Times New Roman" w:cs="Times New Roman"/>
          <w:bCs/>
          <w:sz w:val="24"/>
          <w:szCs w:val="24"/>
        </w:rPr>
        <w:t>specifie</w:t>
      </w:r>
      <w:r w:rsidR="00926BF5" w:rsidRPr="004C3C9B">
        <w:rPr>
          <w:rFonts w:ascii="Times New Roman" w:eastAsia="SimSun" w:hAnsi="Times New Roman" w:cs="Times New Roman"/>
          <w:bCs/>
          <w:sz w:val="24"/>
          <w:szCs w:val="24"/>
        </w:rPr>
        <w:t>d</w:t>
      </w:r>
      <w:r w:rsidR="001D263F" w:rsidRPr="004C3C9B">
        <w:rPr>
          <w:rFonts w:ascii="Times New Roman" w:eastAsia="SimSun" w:hAnsi="Times New Roman" w:cs="Times New Roman"/>
          <w:bCs/>
          <w:sz w:val="24"/>
          <w:szCs w:val="24"/>
        </w:rPr>
        <w:t xml:space="preserve"> the educational and </w:t>
      </w:r>
      <w:r w:rsidR="006A79B0" w:rsidRPr="004C3C9B">
        <w:rPr>
          <w:rFonts w:ascii="Times New Roman" w:eastAsia="SimSun" w:hAnsi="Times New Roman" w:cs="Times New Roman"/>
          <w:bCs/>
          <w:sz w:val="24"/>
          <w:szCs w:val="24"/>
        </w:rPr>
        <w:t xml:space="preserve">professional </w:t>
      </w:r>
      <w:r w:rsidR="00473E84" w:rsidRPr="004C3C9B">
        <w:rPr>
          <w:rFonts w:ascii="Times New Roman" w:eastAsia="SimSun" w:hAnsi="Times New Roman" w:cs="Times New Roman"/>
          <w:bCs/>
          <w:sz w:val="24"/>
          <w:szCs w:val="24"/>
        </w:rPr>
        <w:t>standards</w:t>
      </w:r>
      <w:r w:rsidR="001D263F" w:rsidRPr="004C3C9B">
        <w:rPr>
          <w:rFonts w:ascii="Times New Roman" w:eastAsia="SimSun" w:hAnsi="Times New Roman" w:cs="Times New Roman"/>
          <w:bCs/>
          <w:sz w:val="24"/>
          <w:szCs w:val="24"/>
        </w:rPr>
        <w:t xml:space="preserve"> that are required </w:t>
      </w:r>
      <w:r w:rsidR="001D263F" w:rsidRPr="004C3C9B">
        <w:rPr>
          <w:rFonts w:ascii="Times New Roman" w:eastAsia="SimSun" w:hAnsi="Times New Roman" w:cs="Times New Roman"/>
          <w:bCs/>
          <w:sz w:val="24"/>
          <w:szCs w:val="24"/>
        </w:rPr>
        <w:lastRenderedPageBreak/>
        <w:t xml:space="preserve">in order to ensure that nurses are adequately prepared to </w:t>
      </w:r>
      <w:r w:rsidR="006A79B0" w:rsidRPr="004C3C9B">
        <w:rPr>
          <w:rFonts w:ascii="Times New Roman" w:eastAsia="SimSun" w:hAnsi="Times New Roman" w:cs="Times New Roman"/>
          <w:bCs/>
          <w:sz w:val="24"/>
          <w:szCs w:val="24"/>
        </w:rPr>
        <w:t xml:space="preserve">become safe and effective prescribers (NMC 2006). </w:t>
      </w:r>
      <w:r w:rsidR="001D263F" w:rsidRPr="004C3C9B">
        <w:rPr>
          <w:rFonts w:ascii="Times New Roman" w:eastAsia="SimSun" w:hAnsi="Times New Roman" w:cs="Times New Roman"/>
          <w:bCs/>
          <w:sz w:val="24"/>
          <w:szCs w:val="24"/>
        </w:rPr>
        <w:t xml:space="preserve"> </w:t>
      </w:r>
    </w:p>
    <w:p w:rsidR="00382377" w:rsidRPr="004C3C9B" w:rsidRDefault="00382377" w:rsidP="004C3C9B">
      <w:pPr>
        <w:spacing w:after="0" w:line="480" w:lineRule="auto"/>
        <w:jc w:val="both"/>
        <w:rPr>
          <w:rFonts w:ascii="Times New Roman" w:eastAsia="SimSun" w:hAnsi="Times New Roman" w:cs="Times New Roman"/>
          <w:bCs/>
          <w:sz w:val="24"/>
          <w:szCs w:val="24"/>
        </w:rPr>
      </w:pPr>
    </w:p>
    <w:p w:rsidR="00E7510A" w:rsidRPr="004C3C9B" w:rsidRDefault="00F06CD2"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The development of nurse</w:t>
      </w:r>
      <w:r w:rsidR="00990EAB" w:rsidRPr="004C3C9B">
        <w:rPr>
          <w:rFonts w:ascii="Times New Roman" w:eastAsia="SimSun" w:hAnsi="Times New Roman" w:cs="Times New Roman"/>
          <w:bCs/>
          <w:sz w:val="24"/>
          <w:szCs w:val="24"/>
        </w:rPr>
        <w:t xml:space="preserve"> </w:t>
      </w:r>
      <w:r w:rsidRPr="004C3C9B">
        <w:rPr>
          <w:rFonts w:ascii="Times New Roman" w:eastAsia="SimSun" w:hAnsi="Times New Roman" w:cs="Times New Roman"/>
          <w:bCs/>
          <w:sz w:val="24"/>
          <w:szCs w:val="24"/>
        </w:rPr>
        <w:t xml:space="preserve">prescribing progressed quickly from this date, and in </w:t>
      </w:r>
      <w:r w:rsidR="00A709F8" w:rsidRPr="004C3C9B">
        <w:rPr>
          <w:rFonts w:ascii="Times New Roman" w:eastAsia="SimSun" w:hAnsi="Times New Roman" w:cs="Times New Roman"/>
          <w:bCs/>
          <w:sz w:val="24"/>
          <w:szCs w:val="24"/>
        </w:rPr>
        <w:t>2007</w:t>
      </w:r>
      <w:r w:rsidR="00220269" w:rsidRPr="004C3C9B">
        <w:rPr>
          <w:rFonts w:ascii="Times New Roman" w:eastAsia="SimSun" w:hAnsi="Times New Roman" w:cs="Times New Roman"/>
          <w:bCs/>
          <w:sz w:val="24"/>
          <w:szCs w:val="24"/>
        </w:rPr>
        <w:t>, it was decided that all community nurses and not just those with a specialist practice qualification, would be able to prescribe from the NPF following completion of the V150 programme</w:t>
      </w:r>
      <w:r w:rsidR="007A30DF" w:rsidRPr="004C3C9B">
        <w:rPr>
          <w:rFonts w:ascii="Times New Roman" w:eastAsia="SimSun" w:hAnsi="Times New Roman" w:cs="Times New Roman"/>
          <w:bCs/>
          <w:sz w:val="24"/>
          <w:szCs w:val="24"/>
        </w:rPr>
        <w:t xml:space="preserve">, </w:t>
      </w:r>
      <w:r w:rsidR="00FD707F" w:rsidRPr="004C3C9B">
        <w:rPr>
          <w:rFonts w:ascii="Times New Roman" w:eastAsia="SimSun" w:hAnsi="Times New Roman" w:cs="Times New Roman"/>
          <w:bCs/>
          <w:sz w:val="24"/>
          <w:szCs w:val="24"/>
        </w:rPr>
        <w:t>following identification of</w:t>
      </w:r>
      <w:r w:rsidR="007A30DF" w:rsidRPr="004C3C9B">
        <w:rPr>
          <w:rFonts w:ascii="Times New Roman" w:eastAsia="SimSun" w:hAnsi="Times New Roman" w:cs="Times New Roman"/>
          <w:bCs/>
          <w:sz w:val="24"/>
          <w:szCs w:val="24"/>
        </w:rPr>
        <w:t xml:space="preserve"> a</w:t>
      </w:r>
      <w:r w:rsidR="00990EAB" w:rsidRPr="004C3C9B">
        <w:rPr>
          <w:rFonts w:ascii="Times New Roman" w:eastAsia="SimSun" w:hAnsi="Times New Roman" w:cs="Times New Roman"/>
          <w:bCs/>
          <w:sz w:val="24"/>
          <w:szCs w:val="24"/>
        </w:rPr>
        <w:t xml:space="preserve">n area of clinical need within their practice where this would enhance care provision </w:t>
      </w:r>
      <w:r w:rsidR="00220269" w:rsidRPr="004C3C9B">
        <w:rPr>
          <w:rFonts w:ascii="Times New Roman" w:eastAsia="SimSun" w:hAnsi="Times New Roman" w:cs="Times New Roman"/>
          <w:bCs/>
          <w:sz w:val="24"/>
          <w:szCs w:val="24"/>
        </w:rPr>
        <w:t xml:space="preserve">(Ward and Armstrong 2015). </w:t>
      </w:r>
      <w:r w:rsidR="00EC3DB6" w:rsidRPr="004C3C9B">
        <w:rPr>
          <w:rFonts w:ascii="Times New Roman" w:eastAsia="SimSun" w:hAnsi="Times New Roman" w:cs="Times New Roman"/>
          <w:bCs/>
          <w:sz w:val="24"/>
          <w:szCs w:val="24"/>
        </w:rPr>
        <w:t xml:space="preserve">In 2009, </w:t>
      </w:r>
      <w:r w:rsidR="00E7510A" w:rsidRPr="004C3C9B">
        <w:rPr>
          <w:rFonts w:ascii="Times New Roman" w:eastAsia="SimSun" w:hAnsi="Times New Roman" w:cs="Times New Roman"/>
          <w:bCs/>
          <w:sz w:val="24"/>
          <w:szCs w:val="24"/>
        </w:rPr>
        <w:t xml:space="preserve">the prescribing of unlicensed medications was introduced for </w:t>
      </w:r>
      <w:r w:rsidR="00990EAB" w:rsidRPr="004C3C9B">
        <w:rPr>
          <w:rFonts w:ascii="Times New Roman" w:eastAsia="SimSun" w:hAnsi="Times New Roman" w:cs="Times New Roman"/>
          <w:bCs/>
          <w:sz w:val="24"/>
          <w:szCs w:val="24"/>
        </w:rPr>
        <w:t>NIPs</w:t>
      </w:r>
      <w:r w:rsidR="00E7510A" w:rsidRPr="004C3C9B">
        <w:rPr>
          <w:rFonts w:ascii="Times New Roman" w:eastAsia="SimSun" w:hAnsi="Times New Roman" w:cs="Times New Roman"/>
          <w:bCs/>
          <w:sz w:val="24"/>
          <w:szCs w:val="24"/>
        </w:rPr>
        <w:t xml:space="preserve">, </w:t>
      </w:r>
      <w:r w:rsidR="00E12417" w:rsidRPr="004C3C9B">
        <w:rPr>
          <w:rFonts w:ascii="Times New Roman" w:eastAsia="SimSun" w:hAnsi="Times New Roman" w:cs="Times New Roman"/>
          <w:bCs/>
          <w:sz w:val="24"/>
          <w:szCs w:val="24"/>
        </w:rPr>
        <w:t>provid</w:t>
      </w:r>
      <w:r w:rsidR="00E66FAF" w:rsidRPr="004C3C9B">
        <w:rPr>
          <w:rFonts w:ascii="Times New Roman" w:eastAsia="SimSun" w:hAnsi="Times New Roman" w:cs="Times New Roman"/>
          <w:bCs/>
          <w:sz w:val="24"/>
          <w:szCs w:val="24"/>
        </w:rPr>
        <w:t>ing</w:t>
      </w:r>
      <w:r w:rsidR="00585956" w:rsidRPr="004C3C9B">
        <w:rPr>
          <w:rFonts w:ascii="Times New Roman" w:eastAsia="SimSun" w:hAnsi="Times New Roman" w:cs="Times New Roman"/>
          <w:bCs/>
          <w:sz w:val="24"/>
          <w:szCs w:val="24"/>
        </w:rPr>
        <w:t xml:space="preserve"> </w:t>
      </w:r>
      <w:r w:rsidR="00E7510A" w:rsidRPr="004C3C9B">
        <w:rPr>
          <w:rFonts w:ascii="Times New Roman" w:eastAsia="SimSun" w:hAnsi="Times New Roman" w:cs="Times New Roman"/>
          <w:bCs/>
          <w:sz w:val="24"/>
          <w:szCs w:val="24"/>
        </w:rPr>
        <w:t xml:space="preserve">it was within their scope of practice </w:t>
      </w:r>
      <w:r w:rsidR="002E0F7B" w:rsidRPr="004C3C9B">
        <w:rPr>
          <w:rFonts w:ascii="Times New Roman" w:eastAsia="SimSun" w:hAnsi="Times New Roman" w:cs="Times New Roman"/>
          <w:bCs/>
          <w:sz w:val="24"/>
          <w:szCs w:val="24"/>
        </w:rPr>
        <w:t xml:space="preserve">and followed the principles as </w:t>
      </w:r>
      <w:r w:rsidR="00F75B3A" w:rsidRPr="004C3C9B">
        <w:rPr>
          <w:rFonts w:ascii="Times New Roman" w:eastAsia="SimSun" w:hAnsi="Times New Roman" w:cs="Times New Roman"/>
          <w:bCs/>
          <w:sz w:val="24"/>
          <w:szCs w:val="24"/>
        </w:rPr>
        <w:t xml:space="preserve">directed </w:t>
      </w:r>
      <w:r w:rsidR="002E0F7B" w:rsidRPr="004C3C9B">
        <w:rPr>
          <w:rFonts w:ascii="Times New Roman" w:eastAsia="SimSun" w:hAnsi="Times New Roman" w:cs="Times New Roman"/>
          <w:bCs/>
          <w:sz w:val="24"/>
          <w:szCs w:val="24"/>
        </w:rPr>
        <w:t>by the NMC</w:t>
      </w:r>
      <w:r w:rsidR="00FD707F" w:rsidRPr="004C3C9B">
        <w:rPr>
          <w:rFonts w:ascii="Times New Roman" w:eastAsia="SimSun" w:hAnsi="Times New Roman" w:cs="Times New Roman"/>
          <w:bCs/>
          <w:sz w:val="24"/>
          <w:szCs w:val="24"/>
        </w:rPr>
        <w:t xml:space="preserve"> (2</w:t>
      </w:r>
      <w:r w:rsidR="002E0F7B" w:rsidRPr="004C3C9B">
        <w:rPr>
          <w:rFonts w:ascii="Times New Roman" w:eastAsia="SimSun" w:hAnsi="Times New Roman" w:cs="Times New Roman"/>
          <w:bCs/>
          <w:sz w:val="24"/>
          <w:szCs w:val="24"/>
        </w:rPr>
        <w:t>006</w:t>
      </w:r>
      <w:r w:rsidR="00FD707F" w:rsidRPr="004C3C9B">
        <w:rPr>
          <w:rFonts w:ascii="Times New Roman" w:eastAsia="SimSun" w:hAnsi="Times New Roman" w:cs="Times New Roman"/>
          <w:bCs/>
          <w:sz w:val="24"/>
          <w:szCs w:val="24"/>
        </w:rPr>
        <w:t>) (</w:t>
      </w:r>
      <w:r w:rsidR="00E7510A" w:rsidRPr="004C3C9B">
        <w:rPr>
          <w:rFonts w:ascii="Times New Roman" w:eastAsia="SimSun" w:hAnsi="Times New Roman" w:cs="Times New Roman"/>
          <w:bCs/>
          <w:sz w:val="24"/>
          <w:szCs w:val="24"/>
        </w:rPr>
        <w:t>Bourne</w:t>
      </w:r>
      <w:r w:rsidR="0008088A" w:rsidRPr="004C3C9B">
        <w:rPr>
          <w:rFonts w:ascii="Times New Roman" w:eastAsia="SimSun" w:hAnsi="Times New Roman" w:cs="Times New Roman"/>
          <w:bCs/>
          <w:sz w:val="24"/>
          <w:szCs w:val="24"/>
        </w:rPr>
        <w:t xml:space="preserve"> et al </w:t>
      </w:r>
      <w:r w:rsidR="00E7510A" w:rsidRPr="004C3C9B">
        <w:rPr>
          <w:rFonts w:ascii="Times New Roman" w:eastAsia="SimSun" w:hAnsi="Times New Roman" w:cs="Times New Roman"/>
          <w:bCs/>
          <w:sz w:val="24"/>
          <w:szCs w:val="24"/>
        </w:rPr>
        <w:t>2016). Finally, in 2012</w:t>
      </w:r>
      <w:r w:rsidR="00013F87" w:rsidRPr="004C3C9B">
        <w:rPr>
          <w:rFonts w:ascii="Times New Roman" w:eastAsia="SimSun" w:hAnsi="Times New Roman" w:cs="Times New Roman"/>
          <w:bCs/>
          <w:sz w:val="24"/>
          <w:szCs w:val="24"/>
        </w:rPr>
        <w:t xml:space="preserve"> amendments to the Misuse of Drugs Act 1971 meant that</w:t>
      </w:r>
      <w:r w:rsidR="00E7510A" w:rsidRPr="004C3C9B">
        <w:rPr>
          <w:rFonts w:ascii="Times New Roman" w:eastAsia="SimSun" w:hAnsi="Times New Roman" w:cs="Times New Roman"/>
          <w:bCs/>
          <w:sz w:val="24"/>
          <w:szCs w:val="24"/>
        </w:rPr>
        <w:t xml:space="preserve"> </w:t>
      </w:r>
      <w:r w:rsidR="003735F4" w:rsidRPr="004C3C9B">
        <w:rPr>
          <w:rFonts w:ascii="Times New Roman" w:eastAsia="SimSun" w:hAnsi="Times New Roman" w:cs="Times New Roman"/>
          <w:bCs/>
          <w:sz w:val="24"/>
          <w:szCs w:val="24"/>
        </w:rPr>
        <w:t>NIPs</w:t>
      </w:r>
      <w:r w:rsidR="00E7510A" w:rsidRPr="004C3C9B">
        <w:rPr>
          <w:rFonts w:ascii="Times New Roman" w:eastAsia="SimSun" w:hAnsi="Times New Roman" w:cs="Times New Roman"/>
          <w:bCs/>
          <w:sz w:val="24"/>
          <w:szCs w:val="24"/>
        </w:rPr>
        <w:t xml:space="preserve"> were granted the same rights as doctors and allowed to prescribe any CD from schedules 2-5 in the BNF </w:t>
      </w:r>
      <w:r w:rsidR="003735F4" w:rsidRPr="004C3C9B">
        <w:rPr>
          <w:rFonts w:ascii="Times New Roman" w:eastAsia="SimSun" w:hAnsi="Times New Roman" w:cs="Times New Roman"/>
          <w:bCs/>
          <w:sz w:val="24"/>
          <w:szCs w:val="24"/>
        </w:rPr>
        <w:t>except for</w:t>
      </w:r>
      <w:r w:rsidR="003735F4" w:rsidRPr="004C3C9B">
        <w:rPr>
          <w:rFonts w:ascii="Times New Roman" w:hAnsi="Times New Roman" w:cs="Times New Roman"/>
          <w:sz w:val="24"/>
          <w:szCs w:val="24"/>
        </w:rPr>
        <w:t xml:space="preserve"> </w:t>
      </w:r>
      <w:r w:rsidR="003735F4" w:rsidRPr="004C3C9B">
        <w:rPr>
          <w:rFonts w:ascii="Times New Roman" w:eastAsia="SimSun" w:hAnsi="Times New Roman" w:cs="Times New Roman"/>
          <w:bCs/>
          <w:sz w:val="24"/>
          <w:szCs w:val="24"/>
        </w:rPr>
        <w:t xml:space="preserve">diamorphine, </w:t>
      </w:r>
      <w:r w:rsidR="00013F87" w:rsidRPr="004C3C9B">
        <w:rPr>
          <w:rFonts w:ascii="Times New Roman" w:eastAsia="SimSun" w:hAnsi="Times New Roman" w:cs="Times New Roman"/>
          <w:bCs/>
          <w:sz w:val="24"/>
          <w:szCs w:val="24"/>
        </w:rPr>
        <w:t>cocaine and dipipanone for</w:t>
      </w:r>
      <w:r w:rsidR="003735F4" w:rsidRPr="004C3C9B">
        <w:rPr>
          <w:rFonts w:ascii="Times New Roman" w:eastAsia="SimSun" w:hAnsi="Times New Roman" w:cs="Times New Roman"/>
          <w:bCs/>
          <w:sz w:val="24"/>
          <w:szCs w:val="24"/>
        </w:rPr>
        <w:t xml:space="preserve"> treatment of addiction </w:t>
      </w:r>
      <w:r w:rsidR="00E7510A" w:rsidRPr="004C3C9B">
        <w:rPr>
          <w:rFonts w:ascii="Times New Roman" w:eastAsia="SimSun" w:hAnsi="Times New Roman" w:cs="Times New Roman"/>
          <w:bCs/>
          <w:sz w:val="24"/>
          <w:szCs w:val="24"/>
        </w:rPr>
        <w:t>(</w:t>
      </w:r>
      <w:r w:rsidR="00013F87" w:rsidRPr="004C3C9B">
        <w:rPr>
          <w:rFonts w:ascii="Times New Roman" w:eastAsia="SimSun" w:hAnsi="Times New Roman" w:cs="Times New Roman"/>
          <w:bCs/>
          <w:sz w:val="24"/>
          <w:szCs w:val="24"/>
        </w:rPr>
        <w:t xml:space="preserve">Home Office 2012, </w:t>
      </w:r>
      <w:r w:rsidR="00804F04" w:rsidRPr="004C3C9B">
        <w:rPr>
          <w:rFonts w:ascii="Times New Roman" w:eastAsia="SimSun" w:hAnsi="Times New Roman" w:cs="Times New Roman"/>
          <w:bCs/>
          <w:sz w:val="24"/>
          <w:szCs w:val="24"/>
        </w:rPr>
        <w:t>Royal College of Nursing (</w:t>
      </w:r>
      <w:r w:rsidR="00E7510A" w:rsidRPr="004C3C9B">
        <w:rPr>
          <w:rFonts w:ascii="Times New Roman" w:eastAsia="SimSun" w:hAnsi="Times New Roman" w:cs="Times New Roman"/>
          <w:bCs/>
          <w:sz w:val="24"/>
          <w:szCs w:val="24"/>
        </w:rPr>
        <w:t>RCN</w:t>
      </w:r>
      <w:r w:rsidR="00804F04" w:rsidRPr="004C3C9B">
        <w:rPr>
          <w:rFonts w:ascii="Times New Roman" w:eastAsia="SimSun" w:hAnsi="Times New Roman" w:cs="Times New Roman"/>
          <w:bCs/>
          <w:sz w:val="24"/>
          <w:szCs w:val="24"/>
        </w:rPr>
        <w:t>)</w:t>
      </w:r>
      <w:r w:rsidR="00E7510A" w:rsidRPr="004C3C9B">
        <w:rPr>
          <w:rFonts w:ascii="Times New Roman" w:eastAsia="SimSun" w:hAnsi="Times New Roman" w:cs="Times New Roman"/>
          <w:bCs/>
          <w:sz w:val="24"/>
          <w:szCs w:val="24"/>
        </w:rPr>
        <w:t xml:space="preserve"> 2014). </w:t>
      </w:r>
    </w:p>
    <w:p w:rsidR="00EE3082" w:rsidRPr="004C3C9B" w:rsidRDefault="00EE3082" w:rsidP="004C3C9B">
      <w:pPr>
        <w:spacing w:after="0" w:line="480" w:lineRule="auto"/>
        <w:jc w:val="both"/>
        <w:rPr>
          <w:rFonts w:ascii="Times New Roman" w:eastAsia="SimSun" w:hAnsi="Times New Roman" w:cs="Times New Roman"/>
          <w:bCs/>
          <w:sz w:val="24"/>
          <w:szCs w:val="24"/>
        </w:rPr>
      </w:pPr>
    </w:p>
    <w:p w:rsidR="00D768F7" w:rsidRPr="004C3C9B" w:rsidRDefault="006B2F5A"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 xml:space="preserve">Overall, </w:t>
      </w:r>
      <w:r w:rsidR="005F5087" w:rsidRPr="004C3C9B">
        <w:rPr>
          <w:rFonts w:ascii="Times New Roman" w:eastAsia="SimSun" w:hAnsi="Times New Roman" w:cs="Times New Roman"/>
          <w:bCs/>
          <w:sz w:val="24"/>
          <w:szCs w:val="24"/>
        </w:rPr>
        <w:t>the introduction of independent and supplementary prescribing</w:t>
      </w:r>
      <w:r w:rsidR="00BE2EE0" w:rsidRPr="004C3C9B">
        <w:rPr>
          <w:rFonts w:ascii="Times New Roman" w:eastAsia="SimSun" w:hAnsi="Times New Roman" w:cs="Times New Roman"/>
          <w:bCs/>
          <w:sz w:val="24"/>
          <w:szCs w:val="24"/>
        </w:rPr>
        <w:t xml:space="preserve"> rights</w:t>
      </w:r>
      <w:r w:rsidR="005F5087" w:rsidRPr="004C3C9B">
        <w:rPr>
          <w:rFonts w:ascii="Times New Roman" w:eastAsia="SimSun" w:hAnsi="Times New Roman" w:cs="Times New Roman"/>
          <w:bCs/>
          <w:sz w:val="24"/>
          <w:szCs w:val="24"/>
        </w:rPr>
        <w:t xml:space="preserve"> for nurses was viewed </w:t>
      </w:r>
      <w:r w:rsidR="00803EB3" w:rsidRPr="004C3C9B">
        <w:rPr>
          <w:rFonts w:ascii="Times New Roman" w:eastAsia="SimSun" w:hAnsi="Times New Roman" w:cs="Times New Roman"/>
          <w:bCs/>
          <w:sz w:val="24"/>
          <w:szCs w:val="24"/>
        </w:rPr>
        <w:t>as</w:t>
      </w:r>
      <w:r w:rsidR="008F5DC7" w:rsidRPr="004C3C9B">
        <w:rPr>
          <w:rFonts w:ascii="Times New Roman" w:eastAsia="SimSun" w:hAnsi="Times New Roman" w:cs="Times New Roman"/>
          <w:bCs/>
          <w:sz w:val="24"/>
          <w:szCs w:val="24"/>
        </w:rPr>
        <w:t xml:space="preserve"> a positive step in improving patient care </w:t>
      </w:r>
      <w:r w:rsidR="00B261A2" w:rsidRPr="004C3C9B">
        <w:rPr>
          <w:rFonts w:ascii="Times New Roman" w:eastAsia="SimSun" w:hAnsi="Times New Roman" w:cs="Times New Roman"/>
          <w:bCs/>
          <w:sz w:val="24"/>
          <w:szCs w:val="24"/>
        </w:rPr>
        <w:t>and</w:t>
      </w:r>
      <w:r w:rsidR="005F5087" w:rsidRPr="004C3C9B">
        <w:rPr>
          <w:rFonts w:ascii="Times New Roman" w:eastAsia="SimSun" w:hAnsi="Times New Roman" w:cs="Times New Roman"/>
          <w:bCs/>
          <w:sz w:val="24"/>
          <w:szCs w:val="24"/>
        </w:rPr>
        <w:t xml:space="preserve"> </w:t>
      </w:r>
      <w:r w:rsidR="00E7510A" w:rsidRPr="004C3C9B">
        <w:rPr>
          <w:rFonts w:ascii="Times New Roman" w:eastAsia="SimSun" w:hAnsi="Times New Roman" w:cs="Times New Roman"/>
          <w:bCs/>
          <w:sz w:val="24"/>
          <w:szCs w:val="24"/>
        </w:rPr>
        <w:t xml:space="preserve">is now an integral part of the healthcare system in the UK (Gielen et al 2014). </w:t>
      </w:r>
      <w:r w:rsidR="0043615F" w:rsidRPr="004C3C9B">
        <w:rPr>
          <w:rFonts w:ascii="Times New Roman" w:eastAsia="SimSun" w:hAnsi="Times New Roman" w:cs="Times New Roman"/>
          <w:bCs/>
          <w:sz w:val="24"/>
          <w:szCs w:val="24"/>
        </w:rPr>
        <w:t xml:space="preserve">The nature of prescribing is complex and </w:t>
      </w:r>
      <w:r w:rsidR="00694F93" w:rsidRPr="004C3C9B">
        <w:rPr>
          <w:rFonts w:ascii="Times New Roman" w:eastAsia="SimSun" w:hAnsi="Times New Roman" w:cs="Times New Roman"/>
          <w:bCs/>
          <w:sz w:val="24"/>
          <w:szCs w:val="24"/>
        </w:rPr>
        <w:t>NIPs must demonstrate proficient knowledge and skills</w:t>
      </w:r>
      <w:r w:rsidR="00585616" w:rsidRPr="004C3C9B">
        <w:rPr>
          <w:rFonts w:ascii="Times New Roman" w:eastAsia="SimSun" w:hAnsi="Times New Roman" w:cs="Times New Roman"/>
          <w:bCs/>
          <w:sz w:val="24"/>
          <w:szCs w:val="24"/>
        </w:rPr>
        <w:t xml:space="preserve"> in relation to</w:t>
      </w:r>
      <w:r w:rsidR="00694F93" w:rsidRPr="004C3C9B">
        <w:rPr>
          <w:rFonts w:ascii="Times New Roman" w:eastAsia="SimSun" w:hAnsi="Times New Roman" w:cs="Times New Roman"/>
          <w:bCs/>
          <w:sz w:val="24"/>
          <w:szCs w:val="24"/>
        </w:rPr>
        <w:t xml:space="preserve"> principles of prescribing, prescribing in practice, accountability and responsibility </w:t>
      </w:r>
      <w:r w:rsidR="0043615F" w:rsidRPr="004C3C9B">
        <w:rPr>
          <w:rFonts w:ascii="Times New Roman" w:eastAsia="SimSun" w:hAnsi="Times New Roman" w:cs="Times New Roman"/>
          <w:bCs/>
          <w:sz w:val="24"/>
          <w:szCs w:val="24"/>
        </w:rPr>
        <w:t>(NMC 2006).</w:t>
      </w:r>
      <w:r w:rsidR="00B713F5" w:rsidRPr="004C3C9B">
        <w:rPr>
          <w:rFonts w:ascii="Times New Roman" w:eastAsia="SimSun" w:hAnsi="Times New Roman" w:cs="Times New Roman"/>
          <w:bCs/>
          <w:sz w:val="24"/>
          <w:szCs w:val="24"/>
        </w:rPr>
        <w:t xml:space="preserve"> For example, this includes but is not limited to </w:t>
      </w:r>
      <w:r w:rsidR="00AA45F3" w:rsidRPr="004C3C9B">
        <w:rPr>
          <w:rFonts w:ascii="Times New Roman" w:eastAsia="SimSun" w:hAnsi="Times New Roman" w:cs="Times New Roman"/>
          <w:bCs/>
          <w:sz w:val="24"/>
          <w:szCs w:val="24"/>
        </w:rPr>
        <w:t xml:space="preserve">understanding of </w:t>
      </w:r>
      <w:r w:rsidR="00B713F5" w:rsidRPr="004C3C9B">
        <w:rPr>
          <w:rFonts w:ascii="Times New Roman" w:eastAsia="SimSun" w:hAnsi="Times New Roman" w:cs="Times New Roman"/>
          <w:bCs/>
          <w:sz w:val="24"/>
          <w:szCs w:val="24"/>
        </w:rPr>
        <w:t xml:space="preserve">legislation, frameworks and </w:t>
      </w:r>
      <w:r w:rsidR="00B713F5" w:rsidRPr="004C3C9B">
        <w:rPr>
          <w:rFonts w:ascii="Times New Roman" w:eastAsia="SimSun" w:hAnsi="Times New Roman" w:cs="Times New Roman"/>
          <w:bCs/>
          <w:sz w:val="24"/>
          <w:szCs w:val="24"/>
        </w:rPr>
        <w:lastRenderedPageBreak/>
        <w:t>policies, pharmacology, assessment and diagnostic skills</w:t>
      </w:r>
      <w:r w:rsidR="005D46A7" w:rsidRPr="004C3C9B">
        <w:rPr>
          <w:rFonts w:ascii="Times New Roman" w:eastAsia="SimSun" w:hAnsi="Times New Roman" w:cs="Times New Roman"/>
          <w:bCs/>
          <w:sz w:val="24"/>
          <w:szCs w:val="24"/>
        </w:rPr>
        <w:t xml:space="preserve">, </w:t>
      </w:r>
      <w:r w:rsidR="00B713F5" w:rsidRPr="004C3C9B">
        <w:rPr>
          <w:rFonts w:ascii="Times New Roman" w:eastAsia="SimSun" w:hAnsi="Times New Roman" w:cs="Times New Roman"/>
          <w:bCs/>
          <w:sz w:val="24"/>
          <w:szCs w:val="24"/>
        </w:rPr>
        <w:t xml:space="preserve">communication and documentation skills (NMC 2006). </w:t>
      </w:r>
    </w:p>
    <w:p w:rsidR="00D768F7" w:rsidRPr="004C3C9B" w:rsidRDefault="00D768F7" w:rsidP="004C3C9B">
      <w:pPr>
        <w:spacing w:after="0" w:line="480" w:lineRule="auto"/>
        <w:jc w:val="both"/>
        <w:rPr>
          <w:rFonts w:ascii="Times New Roman" w:eastAsia="SimSun" w:hAnsi="Times New Roman" w:cs="Times New Roman"/>
          <w:bCs/>
          <w:sz w:val="24"/>
          <w:szCs w:val="24"/>
        </w:rPr>
      </w:pPr>
    </w:p>
    <w:p w:rsidR="00206F2F" w:rsidRPr="004C3C9B" w:rsidRDefault="00C7770E"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To</w:t>
      </w:r>
      <w:r w:rsidR="00E7510A" w:rsidRPr="004C3C9B">
        <w:rPr>
          <w:rFonts w:ascii="Times New Roman" w:eastAsia="SimSun" w:hAnsi="Times New Roman" w:cs="Times New Roman"/>
          <w:bCs/>
          <w:sz w:val="24"/>
          <w:szCs w:val="24"/>
        </w:rPr>
        <w:t xml:space="preserve"> support this process and assess the implications </w:t>
      </w:r>
      <w:r w:rsidR="00BF64A5" w:rsidRPr="004C3C9B">
        <w:rPr>
          <w:rFonts w:ascii="Times New Roman" w:eastAsia="SimSun" w:hAnsi="Times New Roman" w:cs="Times New Roman"/>
          <w:bCs/>
          <w:sz w:val="24"/>
          <w:szCs w:val="24"/>
        </w:rPr>
        <w:t>for</w:t>
      </w:r>
      <w:r w:rsidR="00E7510A" w:rsidRPr="004C3C9B">
        <w:rPr>
          <w:rFonts w:ascii="Times New Roman" w:eastAsia="SimSun" w:hAnsi="Times New Roman" w:cs="Times New Roman"/>
          <w:bCs/>
          <w:sz w:val="24"/>
          <w:szCs w:val="24"/>
        </w:rPr>
        <w:t xml:space="preserve"> practice and service development, an intricate knowledge of the decision-making process and the underpinning influences is crucial. </w:t>
      </w:r>
    </w:p>
    <w:p w:rsidR="00E7510A" w:rsidRPr="004C3C9B" w:rsidRDefault="00E7510A" w:rsidP="004C3C9B">
      <w:pPr>
        <w:spacing w:after="0" w:line="480" w:lineRule="auto"/>
        <w:jc w:val="both"/>
        <w:rPr>
          <w:rFonts w:ascii="Times New Roman" w:eastAsia="SimSun" w:hAnsi="Times New Roman" w:cs="Times New Roman"/>
          <w:bCs/>
          <w:sz w:val="24"/>
          <w:szCs w:val="24"/>
        </w:rPr>
      </w:pPr>
    </w:p>
    <w:p w:rsidR="00B8080C" w:rsidRPr="004C3C9B" w:rsidRDefault="00B8080C" w:rsidP="004C3C9B">
      <w:pPr>
        <w:spacing w:after="0" w:line="480" w:lineRule="auto"/>
        <w:jc w:val="both"/>
        <w:rPr>
          <w:rFonts w:ascii="Times New Roman" w:eastAsia="SimSun" w:hAnsi="Times New Roman" w:cs="Times New Roman"/>
          <w:b/>
          <w:bCs/>
          <w:sz w:val="24"/>
          <w:szCs w:val="24"/>
          <w:u w:val="single"/>
        </w:rPr>
      </w:pPr>
      <w:r w:rsidRPr="004C3C9B">
        <w:rPr>
          <w:rFonts w:ascii="Times New Roman" w:eastAsia="SimSun" w:hAnsi="Times New Roman" w:cs="Times New Roman"/>
          <w:b/>
          <w:bCs/>
          <w:sz w:val="24"/>
          <w:szCs w:val="24"/>
          <w:u w:val="single"/>
        </w:rPr>
        <w:t>Aim</w:t>
      </w:r>
    </w:p>
    <w:p w:rsidR="00B8080C" w:rsidRPr="004C3C9B" w:rsidRDefault="00B8080C" w:rsidP="004C3C9B">
      <w:pPr>
        <w:spacing w:after="0" w:line="480" w:lineRule="auto"/>
        <w:jc w:val="both"/>
        <w:rPr>
          <w:rFonts w:ascii="Times New Roman" w:eastAsia="SimSun" w:hAnsi="Times New Roman" w:cs="Times New Roman"/>
          <w:bCs/>
          <w:sz w:val="24"/>
          <w:szCs w:val="24"/>
        </w:rPr>
      </w:pPr>
    </w:p>
    <w:p w:rsidR="000A746E" w:rsidRPr="004C3C9B" w:rsidRDefault="000A746E"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 xml:space="preserve">The aim of this review </w:t>
      </w:r>
      <w:r w:rsidR="00204BBD" w:rsidRPr="004C3C9B">
        <w:rPr>
          <w:rFonts w:ascii="Times New Roman" w:eastAsia="SimSun" w:hAnsi="Times New Roman" w:cs="Times New Roman"/>
          <w:bCs/>
          <w:sz w:val="24"/>
          <w:szCs w:val="24"/>
        </w:rPr>
        <w:t>was</w:t>
      </w:r>
      <w:r w:rsidRPr="004C3C9B">
        <w:rPr>
          <w:rFonts w:ascii="Times New Roman" w:eastAsia="SimSun" w:hAnsi="Times New Roman" w:cs="Times New Roman"/>
          <w:bCs/>
          <w:sz w:val="24"/>
          <w:szCs w:val="24"/>
        </w:rPr>
        <w:t xml:space="preserve"> to discover and understand the factors which influence the prescribing decisions of </w:t>
      </w:r>
      <w:r w:rsidR="00204BBD" w:rsidRPr="004C3C9B">
        <w:rPr>
          <w:rFonts w:ascii="Times New Roman" w:eastAsia="SimSun" w:hAnsi="Times New Roman" w:cs="Times New Roman"/>
          <w:bCs/>
          <w:sz w:val="24"/>
          <w:szCs w:val="24"/>
        </w:rPr>
        <w:t xml:space="preserve">NIPs </w:t>
      </w:r>
      <w:r w:rsidRPr="004C3C9B">
        <w:rPr>
          <w:rFonts w:ascii="Times New Roman" w:eastAsia="SimSun" w:hAnsi="Times New Roman" w:cs="Times New Roman"/>
          <w:bCs/>
          <w:sz w:val="24"/>
          <w:szCs w:val="24"/>
        </w:rPr>
        <w:t xml:space="preserve">in primary care. Secondary to this, the impact upon current practice and </w:t>
      </w:r>
      <w:r w:rsidR="00204BBD" w:rsidRPr="004C3C9B">
        <w:rPr>
          <w:rFonts w:ascii="Times New Roman" w:eastAsia="SimSun" w:hAnsi="Times New Roman" w:cs="Times New Roman"/>
          <w:bCs/>
          <w:sz w:val="24"/>
          <w:szCs w:val="24"/>
        </w:rPr>
        <w:t>continuing professional development (</w:t>
      </w:r>
      <w:r w:rsidRPr="004C3C9B">
        <w:rPr>
          <w:rFonts w:ascii="Times New Roman" w:eastAsia="SimSun" w:hAnsi="Times New Roman" w:cs="Times New Roman"/>
          <w:bCs/>
          <w:sz w:val="24"/>
          <w:szCs w:val="24"/>
        </w:rPr>
        <w:t>CPD</w:t>
      </w:r>
      <w:r w:rsidR="00204BBD" w:rsidRPr="004C3C9B">
        <w:rPr>
          <w:rFonts w:ascii="Times New Roman" w:eastAsia="SimSun" w:hAnsi="Times New Roman" w:cs="Times New Roman"/>
          <w:bCs/>
          <w:sz w:val="24"/>
          <w:szCs w:val="24"/>
        </w:rPr>
        <w:t>)</w:t>
      </w:r>
      <w:r w:rsidRPr="004C3C9B">
        <w:rPr>
          <w:rFonts w:ascii="Times New Roman" w:eastAsia="SimSun" w:hAnsi="Times New Roman" w:cs="Times New Roman"/>
          <w:bCs/>
          <w:sz w:val="24"/>
          <w:szCs w:val="24"/>
        </w:rPr>
        <w:t xml:space="preserve"> </w:t>
      </w:r>
      <w:r w:rsidR="00204BBD" w:rsidRPr="004C3C9B">
        <w:rPr>
          <w:rFonts w:ascii="Times New Roman" w:eastAsia="SimSun" w:hAnsi="Times New Roman" w:cs="Times New Roman"/>
          <w:bCs/>
          <w:sz w:val="24"/>
          <w:szCs w:val="24"/>
        </w:rPr>
        <w:t xml:space="preserve">was </w:t>
      </w:r>
      <w:r w:rsidRPr="004C3C9B">
        <w:rPr>
          <w:rFonts w:ascii="Times New Roman" w:eastAsia="SimSun" w:hAnsi="Times New Roman" w:cs="Times New Roman"/>
          <w:bCs/>
          <w:sz w:val="24"/>
          <w:szCs w:val="24"/>
        </w:rPr>
        <w:t xml:space="preserve">assessed and areas for future research determined.  </w:t>
      </w:r>
    </w:p>
    <w:p w:rsidR="00AA210B" w:rsidRPr="004C3C9B" w:rsidRDefault="00AA210B" w:rsidP="004C3C9B">
      <w:pPr>
        <w:spacing w:after="0" w:line="480" w:lineRule="auto"/>
        <w:jc w:val="both"/>
        <w:rPr>
          <w:rFonts w:ascii="Times New Roman" w:eastAsia="SimSun" w:hAnsi="Times New Roman" w:cs="Times New Roman"/>
          <w:bCs/>
          <w:sz w:val="24"/>
          <w:szCs w:val="24"/>
        </w:rPr>
      </w:pPr>
    </w:p>
    <w:p w:rsidR="00AA210B" w:rsidRPr="004C3C9B" w:rsidRDefault="00AA210B"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This review was underpinned by the theoretical paradigm of interpretivism. This shapes the research process and is congruent to the overall aim of the study. Interpretivists strive to not only understand the ‘what’ but also the ‘why’. For example, this review seeks to determine what factors influence NIPs prescribing decisions, and more importantly, why do they? From the initial understanding of the experience, the researcher can delve further and develop a new interpretation of the true meani</w:t>
      </w:r>
      <w:r w:rsidR="00C243B5" w:rsidRPr="004C3C9B">
        <w:rPr>
          <w:rFonts w:ascii="Times New Roman" w:eastAsia="SimSun" w:hAnsi="Times New Roman" w:cs="Times New Roman"/>
          <w:bCs/>
          <w:sz w:val="24"/>
          <w:szCs w:val="24"/>
        </w:rPr>
        <w:t>ng of these experiences (Levers</w:t>
      </w:r>
      <w:r w:rsidRPr="004C3C9B">
        <w:rPr>
          <w:rFonts w:ascii="Times New Roman" w:eastAsia="SimSun" w:hAnsi="Times New Roman" w:cs="Times New Roman"/>
          <w:bCs/>
          <w:sz w:val="24"/>
          <w:szCs w:val="24"/>
        </w:rPr>
        <w:t xml:space="preserve"> 2013).</w:t>
      </w:r>
    </w:p>
    <w:p w:rsidR="00BF64A5" w:rsidRDefault="00BF64A5" w:rsidP="004C3C9B">
      <w:pPr>
        <w:spacing w:after="0" w:line="480" w:lineRule="auto"/>
        <w:jc w:val="both"/>
        <w:rPr>
          <w:rFonts w:ascii="Times New Roman" w:eastAsia="SimSun" w:hAnsi="Times New Roman" w:cs="Times New Roman"/>
          <w:b/>
          <w:bCs/>
          <w:sz w:val="24"/>
          <w:szCs w:val="24"/>
          <w:u w:val="single"/>
        </w:rPr>
      </w:pPr>
    </w:p>
    <w:p w:rsidR="005A2204" w:rsidRDefault="005A2204" w:rsidP="004C3C9B">
      <w:pPr>
        <w:spacing w:after="0" w:line="480" w:lineRule="auto"/>
        <w:jc w:val="both"/>
        <w:rPr>
          <w:rFonts w:ascii="Times New Roman" w:eastAsia="SimSun" w:hAnsi="Times New Roman" w:cs="Times New Roman"/>
          <w:b/>
          <w:bCs/>
          <w:sz w:val="24"/>
          <w:szCs w:val="24"/>
          <w:u w:val="single"/>
        </w:rPr>
      </w:pPr>
    </w:p>
    <w:p w:rsidR="005A2204" w:rsidRPr="004C3C9B" w:rsidRDefault="005A2204" w:rsidP="004C3C9B">
      <w:pPr>
        <w:spacing w:after="0" w:line="480" w:lineRule="auto"/>
        <w:jc w:val="both"/>
        <w:rPr>
          <w:rFonts w:ascii="Times New Roman" w:eastAsia="SimSun" w:hAnsi="Times New Roman" w:cs="Times New Roman"/>
          <w:b/>
          <w:bCs/>
          <w:sz w:val="24"/>
          <w:szCs w:val="24"/>
          <w:u w:val="single"/>
        </w:rPr>
      </w:pPr>
    </w:p>
    <w:p w:rsidR="00695548" w:rsidRPr="004C3C9B" w:rsidRDefault="008D241F"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
          <w:bCs/>
          <w:sz w:val="24"/>
          <w:szCs w:val="24"/>
          <w:u w:val="single"/>
        </w:rPr>
        <w:lastRenderedPageBreak/>
        <w:t>Method</w:t>
      </w:r>
    </w:p>
    <w:p w:rsidR="00FE7693" w:rsidRPr="004C3C9B" w:rsidRDefault="00FE7693"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A search of relevant databases and websites (Box 1), was undertaken between May and July 2016, in addition to hand searching of reference lists of the retrieved articles and content lists of key journals. Search terms (</w:t>
      </w:r>
      <w:r w:rsidR="006F225C" w:rsidRPr="004C3C9B">
        <w:rPr>
          <w:rFonts w:ascii="Times New Roman" w:eastAsia="SimSun" w:hAnsi="Times New Roman" w:cs="Times New Roman"/>
          <w:bCs/>
          <w:sz w:val="24"/>
          <w:szCs w:val="24"/>
        </w:rPr>
        <w:t>Table 1</w:t>
      </w:r>
      <w:r w:rsidRPr="004C3C9B">
        <w:rPr>
          <w:rFonts w:ascii="Times New Roman" w:eastAsia="SimSun" w:hAnsi="Times New Roman" w:cs="Times New Roman"/>
          <w:bCs/>
          <w:sz w:val="24"/>
          <w:szCs w:val="24"/>
        </w:rPr>
        <w:t>) were combined with Boolean operators, wildcards, truncation, and relevant database index terms to conduct the search and results were screened using inclusion/exclusion criteria (Table</w:t>
      </w:r>
      <w:r w:rsidR="006F225C" w:rsidRPr="004C3C9B">
        <w:rPr>
          <w:rFonts w:ascii="Times New Roman" w:eastAsia="SimSun" w:hAnsi="Times New Roman" w:cs="Times New Roman"/>
          <w:bCs/>
          <w:sz w:val="24"/>
          <w:szCs w:val="24"/>
        </w:rPr>
        <w:t xml:space="preserve"> 2</w:t>
      </w:r>
      <w:r w:rsidRPr="004C3C9B">
        <w:rPr>
          <w:rFonts w:ascii="Times New Roman" w:eastAsia="SimSun" w:hAnsi="Times New Roman" w:cs="Times New Roman"/>
          <w:bCs/>
          <w:sz w:val="24"/>
          <w:szCs w:val="24"/>
        </w:rPr>
        <w:t>).</w:t>
      </w:r>
    </w:p>
    <w:p w:rsidR="001A16F5" w:rsidRPr="004C3C9B" w:rsidRDefault="001A16F5" w:rsidP="004C3C9B">
      <w:pPr>
        <w:spacing w:after="0" w:line="480" w:lineRule="auto"/>
        <w:jc w:val="both"/>
        <w:rPr>
          <w:rFonts w:ascii="Times New Roman" w:eastAsia="SimSun" w:hAnsi="Times New Roman" w:cs="Times New Roman"/>
          <w:bCs/>
          <w:sz w:val="24"/>
          <w:szCs w:val="24"/>
        </w:rPr>
      </w:pPr>
    </w:p>
    <w:p w:rsidR="004027CA" w:rsidRPr="004C3C9B" w:rsidRDefault="001A16F5"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noProof/>
          <w:sz w:val="24"/>
          <w:szCs w:val="24"/>
        </w:rPr>
        <mc:AlternateContent>
          <mc:Choice Requires="wps">
            <w:drawing>
              <wp:inline distT="0" distB="0" distL="0" distR="0" wp14:anchorId="3B81238F" wp14:editId="643DF1E6">
                <wp:extent cx="4664710" cy="1404620"/>
                <wp:effectExtent l="0" t="0" r="2159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4620"/>
                        </a:xfrm>
                        <a:prstGeom prst="rect">
                          <a:avLst/>
                        </a:prstGeom>
                        <a:solidFill>
                          <a:srgbClr val="FFFFFF"/>
                        </a:solidFill>
                        <a:ln w="9525">
                          <a:solidFill>
                            <a:srgbClr val="000000"/>
                          </a:solidFill>
                          <a:miter lim="800000"/>
                          <a:headEnd/>
                          <a:tailEnd/>
                        </a:ln>
                      </wps:spPr>
                      <wps:txbx>
                        <w:txbxContent>
                          <w:p w:rsidR="00C243B5" w:rsidRDefault="00C243B5" w:rsidP="001A16F5">
                            <w:pPr>
                              <w:spacing w:line="360" w:lineRule="auto"/>
                              <w:rPr>
                                <w:rFonts w:ascii="Times New Roman" w:eastAsia="SimSun" w:hAnsi="Times New Roman" w:cs="Times New Roman"/>
                                <w:bCs/>
                                <w:sz w:val="24"/>
                                <w:szCs w:val="24"/>
                              </w:rPr>
                            </w:pPr>
                            <w:r w:rsidRPr="00DF4D04">
                              <w:rPr>
                                <w:rFonts w:ascii="Times New Roman" w:hAnsi="Times New Roman" w:cs="Times New Roman"/>
                                <w:sz w:val="24"/>
                                <w:szCs w:val="24"/>
                                <w:u w:val="single"/>
                              </w:rPr>
                              <w:t xml:space="preserve">Box 1 – </w:t>
                            </w:r>
                            <w:r>
                              <w:rPr>
                                <w:rFonts w:ascii="Times New Roman" w:hAnsi="Times New Roman" w:cs="Times New Roman"/>
                                <w:sz w:val="24"/>
                                <w:szCs w:val="24"/>
                                <w:u w:val="single"/>
                              </w:rPr>
                              <w:t>Database and websites searched</w:t>
                            </w:r>
                          </w:p>
                          <w:p w:rsidR="00C243B5" w:rsidRDefault="00C243B5" w:rsidP="001A16F5">
                            <w:r w:rsidRPr="003C6A2E">
                              <w:rPr>
                                <w:rFonts w:ascii="Times New Roman" w:eastAsia="SimSun" w:hAnsi="Times New Roman" w:cs="Times New Roman"/>
                                <w:bCs/>
                                <w:sz w:val="24"/>
                                <w:szCs w:val="24"/>
                              </w:rPr>
                              <w:t>AMED, HBE, BNI</w:t>
                            </w:r>
                            <w:r>
                              <w:rPr>
                                <w:rFonts w:ascii="Times New Roman" w:eastAsia="SimSun" w:hAnsi="Times New Roman" w:cs="Times New Roman"/>
                                <w:bCs/>
                                <w:sz w:val="24"/>
                                <w:szCs w:val="24"/>
                              </w:rPr>
                              <w:t>, CINAHL, EMBASE</w:t>
                            </w:r>
                            <w:r w:rsidRPr="003C6A2E">
                              <w:rPr>
                                <w:rFonts w:ascii="Times New Roman" w:eastAsia="SimSun" w:hAnsi="Times New Roman" w:cs="Times New Roman"/>
                                <w:bCs/>
                                <w:sz w:val="24"/>
                                <w:szCs w:val="24"/>
                              </w:rPr>
                              <w:t>, HMIC</w:t>
                            </w:r>
                            <w:r>
                              <w:rPr>
                                <w:rFonts w:ascii="Times New Roman" w:eastAsia="SimSun" w:hAnsi="Times New Roman" w:cs="Times New Roman"/>
                                <w:bCs/>
                                <w:sz w:val="24"/>
                                <w:szCs w:val="24"/>
                              </w:rPr>
                              <w:t>, Medline</w:t>
                            </w:r>
                            <w:r w:rsidRPr="003C6A2E">
                              <w:rPr>
                                <w:rFonts w:ascii="Times New Roman" w:eastAsia="SimSun" w:hAnsi="Times New Roman" w:cs="Times New Roman"/>
                                <w:bCs/>
                                <w:sz w:val="24"/>
                                <w:szCs w:val="24"/>
                              </w:rPr>
                              <w:t>, PsycINFO</w:t>
                            </w:r>
                            <w:r>
                              <w:rPr>
                                <w:rFonts w:ascii="Times New Roman" w:eastAsia="SimSun" w:hAnsi="Times New Roman" w:cs="Times New Roman"/>
                                <w:bCs/>
                                <w:sz w:val="24"/>
                                <w:szCs w:val="24"/>
                              </w:rPr>
                              <w:t xml:space="preserve">, </w:t>
                            </w:r>
                            <w:r w:rsidRPr="003C6A2E">
                              <w:rPr>
                                <w:rFonts w:ascii="Times New Roman" w:eastAsia="SimSun" w:hAnsi="Times New Roman" w:cs="Times New Roman"/>
                                <w:bCs/>
                                <w:sz w:val="24"/>
                                <w:szCs w:val="24"/>
                              </w:rPr>
                              <w:t>PubMed</w:t>
                            </w:r>
                            <w:r>
                              <w:rPr>
                                <w:rFonts w:ascii="Times New Roman" w:eastAsia="SimSun" w:hAnsi="Times New Roman" w:cs="Times New Roman"/>
                                <w:bCs/>
                                <w:sz w:val="24"/>
                                <w:szCs w:val="24"/>
                              </w:rPr>
                              <w:t xml:space="preserve">, </w:t>
                            </w:r>
                            <w:r w:rsidRPr="003C6A2E">
                              <w:rPr>
                                <w:rFonts w:ascii="Times New Roman" w:eastAsia="SimSun" w:hAnsi="Times New Roman" w:cs="Times New Roman"/>
                                <w:bCs/>
                                <w:sz w:val="24"/>
                                <w:szCs w:val="24"/>
                              </w:rPr>
                              <w:t>Ovid Nursing Database, Scopus</w:t>
                            </w:r>
                            <w:r>
                              <w:rPr>
                                <w:rFonts w:ascii="Times New Roman" w:eastAsia="SimSun" w:hAnsi="Times New Roman" w:cs="Times New Roman"/>
                                <w:bCs/>
                                <w:sz w:val="24"/>
                                <w:szCs w:val="24"/>
                              </w:rPr>
                              <w:t>, TRIP,</w:t>
                            </w:r>
                            <w:r w:rsidRPr="003C6A2E">
                              <w:rPr>
                                <w:rFonts w:ascii="Times New Roman" w:eastAsia="SimSun" w:hAnsi="Times New Roman" w:cs="Times New Roman"/>
                                <w:bCs/>
                                <w:sz w:val="24"/>
                                <w:szCs w:val="24"/>
                              </w:rPr>
                              <w:t xml:space="preserve"> EthOS, Web of Science, Open Grey, Grey Literature Report, Department of Health, Health and Social Care Information Centre and NICE Evidence</w:t>
                            </w:r>
                          </w:p>
                        </w:txbxContent>
                      </wps:txbx>
                      <wps:bodyPr rot="0" vert="horz" wrap="square" lIns="91440" tIns="45720" rIns="91440" bIns="45720" anchor="t" anchorCtr="0">
                        <a:spAutoFit/>
                      </wps:bodyPr>
                    </wps:wsp>
                  </a:graphicData>
                </a:graphic>
              </wp:inline>
            </w:drawing>
          </mc:Choice>
          <mc:Fallback>
            <w:pict>
              <v:shapetype w14:anchorId="3B81238F" id="_x0000_t202" coordsize="21600,21600" o:spt="202" path="m,l,21600r21600,l21600,xe">
                <v:stroke joinstyle="miter"/>
                <v:path gradientshapeok="t" o:connecttype="rect"/>
              </v:shapetype>
              <v:shape id="Text Box 2" o:spid="_x0000_s1026" type="#_x0000_t202" style="width:367.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qLIwIAAEUEAAAOAAAAZHJzL2Uyb0RvYy54bWysU9uO2yAQfa/Uf0C8N44tJ7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">
                <v:textbox style="mso-fit-shape-to-text:t">
                  <w:txbxContent>
                    <w:p w:rsidR="00C243B5" w:rsidRDefault="00C243B5" w:rsidP="001A16F5">
                      <w:pPr>
                        <w:spacing w:line="360" w:lineRule="auto"/>
                        <w:rPr>
                          <w:rFonts w:ascii="Times New Roman" w:eastAsia="SimSun" w:hAnsi="Times New Roman" w:cs="Times New Roman"/>
                          <w:bCs/>
                          <w:sz w:val="24"/>
                          <w:szCs w:val="24"/>
                        </w:rPr>
                      </w:pPr>
                      <w:r w:rsidRPr="00DF4D04">
                        <w:rPr>
                          <w:rFonts w:ascii="Times New Roman" w:hAnsi="Times New Roman" w:cs="Times New Roman"/>
                          <w:sz w:val="24"/>
                          <w:szCs w:val="24"/>
                          <w:u w:val="single"/>
                        </w:rPr>
                        <w:t xml:space="preserve">Box 1 – </w:t>
                      </w:r>
                      <w:r>
                        <w:rPr>
                          <w:rFonts w:ascii="Times New Roman" w:hAnsi="Times New Roman" w:cs="Times New Roman"/>
                          <w:sz w:val="24"/>
                          <w:szCs w:val="24"/>
                          <w:u w:val="single"/>
                        </w:rPr>
                        <w:t>Database and websites searched</w:t>
                      </w:r>
                    </w:p>
                    <w:p w:rsidR="00C243B5" w:rsidRDefault="00C243B5" w:rsidP="001A16F5">
                      <w:r w:rsidRPr="003C6A2E">
                        <w:rPr>
                          <w:rFonts w:ascii="Times New Roman" w:eastAsia="SimSun" w:hAnsi="Times New Roman" w:cs="Times New Roman"/>
                          <w:bCs/>
                          <w:sz w:val="24"/>
                          <w:szCs w:val="24"/>
                        </w:rPr>
                        <w:t>AMED, HBE, BNI</w:t>
                      </w:r>
                      <w:r>
                        <w:rPr>
                          <w:rFonts w:ascii="Times New Roman" w:eastAsia="SimSun" w:hAnsi="Times New Roman" w:cs="Times New Roman"/>
                          <w:bCs/>
                          <w:sz w:val="24"/>
                          <w:szCs w:val="24"/>
                        </w:rPr>
                        <w:t>, CINAHL, EMBASE</w:t>
                      </w:r>
                      <w:r w:rsidRPr="003C6A2E">
                        <w:rPr>
                          <w:rFonts w:ascii="Times New Roman" w:eastAsia="SimSun" w:hAnsi="Times New Roman" w:cs="Times New Roman"/>
                          <w:bCs/>
                          <w:sz w:val="24"/>
                          <w:szCs w:val="24"/>
                        </w:rPr>
                        <w:t>, HMIC</w:t>
                      </w:r>
                      <w:r>
                        <w:rPr>
                          <w:rFonts w:ascii="Times New Roman" w:eastAsia="SimSun" w:hAnsi="Times New Roman" w:cs="Times New Roman"/>
                          <w:bCs/>
                          <w:sz w:val="24"/>
                          <w:szCs w:val="24"/>
                        </w:rPr>
                        <w:t>, Medline</w:t>
                      </w:r>
                      <w:r w:rsidRPr="003C6A2E">
                        <w:rPr>
                          <w:rFonts w:ascii="Times New Roman" w:eastAsia="SimSun" w:hAnsi="Times New Roman" w:cs="Times New Roman"/>
                          <w:bCs/>
                          <w:sz w:val="24"/>
                          <w:szCs w:val="24"/>
                        </w:rPr>
                        <w:t>, PsycINFO</w:t>
                      </w:r>
                      <w:r>
                        <w:rPr>
                          <w:rFonts w:ascii="Times New Roman" w:eastAsia="SimSun" w:hAnsi="Times New Roman" w:cs="Times New Roman"/>
                          <w:bCs/>
                          <w:sz w:val="24"/>
                          <w:szCs w:val="24"/>
                        </w:rPr>
                        <w:t xml:space="preserve">, </w:t>
                      </w:r>
                      <w:r w:rsidRPr="003C6A2E">
                        <w:rPr>
                          <w:rFonts w:ascii="Times New Roman" w:eastAsia="SimSun" w:hAnsi="Times New Roman" w:cs="Times New Roman"/>
                          <w:bCs/>
                          <w:sz w:val="24"/>
                          <w:szCs w:val="24"/>
                        </w:rPr>
                        <w:t>PubMed</w:t>
                      </w:r>
                      <w:r>
                        <w:rPr>
                          <w:rFonts w:ascii="Times New Roman" w:eastAsia="SimSun" w:hAnsi="Times New Roman" w:cs="Times New Roman"/>
                          <w:bCs/>
                          <w:sz w:val="24"/>
                          <w:szCs w:val="24"/>
                        </w:rPr>
                        <w:t xml:space="preserve">, </w:t>
                      </w:r>
                      <w:r w:rsidRPr="003C6A2E">
                        <w:rPr>
                          <w:rFonts w:ascii="Times New Roman" w:eastAsia="SimSun" w:hAnsi="Times New Roman" w:cs="Times New Roman"/>
                          <w:bCs/>
                          <w:sz w:val="24"/>
                          <w:szCs w:val="24"/>
                        </w:rPr>
                        <w:t>Ovid Nursing Database, Scopus</w:t>
                      </w:r>
                      <w:r>
                        <w:rPr>
                          <w:rFonts w:ascii="Times New Roman" w:eastAsia="SimSun" w:hAnsi="Times New Roman" w:cs="Times New Roman"/>
                          <w:bCs/>
                          <w:sz w:val="24"/>
                          <w:szCs w:val="24"/>
                        </w:rPr>
                        <w:t>, TRIP,</w:t>
                      </w:r>
                      <w:r w:rsidRPr="003C6A2E">
                        <w:rPr>
                          <w:rFonts w:ascii="Times New Roman" w:eastAsia="SimSun" w:hAnsi="Times New Roman" w:cs="Times New Roman"/>
                          <w:bCs/>
                          <w:sz w:val="24"/>
                          <w:szCs w:val="24"/>
                        </w:rPr>
                        <w:t xml:space="preserve"> EthOS, Web of Science, Open Grey, Grey Literature Report, Department of Health, Health and Social Care Information Centre and NICE Evidence</w:t>
                      </w:r>
                    </w:p>
                  </w:txbxContent>
                </v:textbox>
                <w10:anchorlock/>
              </v:shape>
            </w:pict>
          </mc:Fallback>
        </mc:AlternateContent>
      </w:r>
    </w:p>
    <w:p w:rsidR="0041388F" w:rsidRPr="004C3C9B" w:rsidRDefault="0041388F"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Pr="004C3C9B" w:rsidRDefault="007C3968" w:rsidP="004C3C9B">
      <w:pPr>
        <w:spacing w:after="0" w:line="480" w:lineRule="auto"/>
        <w:jc w:val="both"/>
        <w:rPr>
          <w:rFonts w:ascii="Times New Roman" w:eastAsia="SimSun" w:hAnsi="Times New Roman" w:cs="Times New Roman"/>
          <w:bCs/>
          <w:sz w:val="24"/>
          <w:szCs w:val="24"/>
        </w:rPr>
      </w:pPr>
    </w:p>
    <w:p w:rsidR="007C3968" w:rsidRDefault="007C3968"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Pr="004C3C9B" w:rsidRDefault="005A2204" w:rsidP="004C3C9B">
      <w:pPr>
        <w:spacing w:after="0" w:line="480" w:lineRule="auto"/>
        <w:jc w:val="both"/>
        <w:rPr>
          <w:rFonts w:ascii="Times New Roman" w:eastAsia="SimSun" w:hAnsi="Times New Roman" w:cs="Times New Roman"/>
          <w:bCs/>
          <w:sz w:val="24"/>
          <w:szCs w:val="24"/>
        </w:rPr>
      </w:pPr>
    </w:p>
    <w:tbl>
      <w:tblPr>
        <w:tblStyle w:val="TableGrid"/>
        <w:tblW w:w="7360" w:type="dxa"/>
        <w:tblLook w:val="04A0" w:firstRow="1" w:lastRow="0" w:firstColumn="1" w:lastColumn="0" w:noHBand="0" w:noVBand="1"/>
      </w:tblPr>
      <w:tblGrid>
        <w:gridCol w:w="1408"/>
        <w:gridCol w:w="1984"/>
        <w:gridCol w:w="1984"/>
        <w:gridCol w:w="1984"/>
      </w:tblGrid>
      <w:tr w:rsidR="007029BB" w:rsidRPr="004C3C9B" w:rsidTr="00D768F7">
        <w:tc>
          <w:tcPr>
            <w:tcW w:w="7360" w:type="dxa"/>
            <w:gridSpan w:val="4"/>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lastRenderedPageBreak/>
              <w:t>Table 1: Search terms and synonyms</w:t>
            </w:r>
          </w:p>
        </w:tc>
      </w:tr>
      <w:tr w:rsidR="007029BB" w:rsidRPr="004C3C9B" w:rsidTr="00D768F7">
        <w:tc>
          <w:tcPr>
            <w:tcW w:w="1408" w:type="dxa"/>
          </w:tcPr>
          <w:p w:rsidR="007029BB" w:rsidRPr="004C3C9B" w:rsidRDefault="007029BB" w:rsidP="004C3C9B">
            <w:pPr>
              <w:spacing w:line="480" w:lineRule="auto"/>
              <w:jc w:val="both"/>
              <w:rPr>
                <w:rFonts w:ascii="Times New Roman" w:hAnsi="Times New Roman" w:cs="Times New Roman"/>
                <w:sz w:val="24"/>
                <w:szCs w:val="24"/>
              </w:rPr>
            </w:pPr>
            <w:r w:rsidRPr="004C3C9B">
              <w:rPr>
                <w:rFonts w:ascii="Times New Roman" w:eastAsia="SimSun" w:hAnsi="Times New Roman" w:cs="Times New Roman"/>
                <w:sz w:val="24"/>
                <w:szCs w:val="24"/>
                <w:lang w:eastAsia="zh-CN"/>
              </w:rPr>
              <w:t xml:space="preserve">Prescrib*, </w:t>
            </w:r>
          </w:p>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Decid*</w:t>
            </w:r>
          </w:p>
        </w:tc>
        <w:tc>
          <w:tcPr>
            <w:tcW w:w="1984" w:type="dxa"/>
          </w:tcPr>
          <w:p w:rsidR="007029BB" w:rsidRPr="004C3C9B" w:rsidRDefault="007029BB" w:rsidP="004C3C9B">
            <w:pPr>
              <w:spacing w:line="480" w:lineRule="auto"/>
              <w:jc w:val="both"/>
              <w:rPr>
                <w:rFonts w:ascii="Times New Roman" w:eastAsia="SimSun" w:hAnsi="Times New Roman" w:cs="Times New Roman"/>
                <w:sz w:val="24"/>
                <w:szCs w:val="24"/>
                <w:lang w:eastAsia="zh-CN"/>
              </w:rPr>
            </w:pPr>
            <w:r w:rsidRPr="004C3C9B">
              <w:rPr>
                <w:rFonts w:ascii="Times New Roman" w:eastAsia="SimSun" w:hAnsi="Times New Roman" w:cs="Times New Roman"/>
                <w:sz w:val="24"/>
                <w:szCs w:val="24"/>
                <w:lang w:eastAsia="zh-CN"/>
              </w:rPr>
              <w:t xml:space="preserve">"Advanced nurse practitioner" </w:t>
            </w:r>
          </w:p>
        </w:tc>
        <w:tc>
          <w:tcPr>
            <w:tcW w:w="1984" w:type="dxa"/>
          </w:tcPr>
          <w:p w:rsidR="007029BB" w:rsidRPr="004C3C9B" w:rsidRDefault="00E826ED" w:rsidP="004C3C9B">
            <w:pPr>
              <w:spacing w:line="480" w:lineRule="auto"/>
              <w:jc w:val="both"/>
              <w:rPr>
                <w:rFonts w:ascii="Times New Roman" w:eastAsia="SimSun" w:hAnsi="Times New Roman" w:cs="Times New Roman"/>
                <w:sz w:val="24"/>
                <w:szCs w:val="24"/>
                <w:lang w:eastAsia="zh-CN"/>
              </w:rPr>
            </w:pPr>
            <w:r w:rsidRPr="004C3C9B">
              <w:rPr>
                <w:rFonts w:ascii="Times New Roman" w:eastAsia="SimSun" w:hAnsi="Times New Roman" w:cs="Times New Roman"/>
                <w:sz w:val="24"/>
                <w:szCs w:val="24"/>
                <w:lang w:eastAsia="zh-CN"/>
              </w:rPr>
              <w:t>“</w:t>
            </w:r>
            <w:r w:rsidR="007029BB" w:rsidRPr="004C3C9B">
              <w:rPr>
                <w:rFonts w:ascii="Times New Roman" w:eastAsia="SimSun" w:hAnsi="Times New Roman" w:cs="Times New Roman"/>
                <w:sz w:val="24"/>
                <w:szCs w:val="24"/>
                <w:lang w:eastAsia="zh-CN"/>
              </w:rPr>
              <w:t>Primary care</w:t>
            </w:r>
            <w:r w:rsidRPr="004C3C9B">
              <w:rPr>
                <w:rFonts w:ascii="Times New Roman" w:eastAsia="SimSun" w:hAnsi="Times New Roman" w:cs="Times New Roman"/>
                <w:sz w:val="24"/>
                <w:szCs w:val="24"/>
                <w:lang w:eastAsia="zh-CN"/>
              </w:rPr>
              <w:t>”</w:t>
            </w:r>
          </w:p>
          <w:p w:rsidR="007029BB" w:rsidRPr="004C3C9B" w:rsidRDefault="007029BB" w:rsidP="004C3C9B">
            <w:pPr>
              <w:spacing w:line="480" w:lineRule="auto"/>
              <w:jc w:val="both"/>
              <w:rPr>
                <w:rFonts w:ascii="Times New Roman" w:eastAsia="SimSun" w:hAnsi="Times New Roman" w:cs="Times New Roman"/>
                <w:bCs/>
                <w:sz w:val="24"/>
                <w:szCs w:val="24"/>
              </w:rPr>
            </w:pP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"Prescribing Behaviour",</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Decision*,</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"Community Nurse"</w:t>
            </w:r>
          </w:p>
        </w:tc>
        <w:tc>
          <w:tcPr>
            <w:tcW w:w="1984" w:type="dxa"/>
          </w:tcPr>
          <w:p w:rsidR="007029BB" w:rsidRPr="004C3C9B" w:rsidRDefault="00E826ED"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w:t>
            </w:r>
            <w:r w:rsidR="007029BB" w:rsidRPr="004C3C9B">
              <w:rPr>
                <w:rFonts w:ascii="Times New Roman" w:eastAsia="SimSun" w:hAnsi="Times New Roman" w:cs="Times New Roman"/>
                <w:bCs/>
                <w:sz w:val="24"/>
                <w:szCs w:val="24"/>
              </w:rPr>
              <w:t>Community</w:t>
            </w:r>
            <w:r w:rsidRPr="004C3C9B">
              <w:rPr>
                <w:rFonts w:ascii="Times New Roman" w:eastAsia="SimSun" w:hAnsi="Times New Roman" w:cs="Times New Roman"/>
                <w:bCs/>
                <w:sz w:val="24"/>
                <w:szCs w:val="24"/>
              </w:rPr>
              <w:t>”</w:t>
            </w: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“Prescrib* decision*”,</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Factors</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'Non-medical'</w:t>
            </w:r>
          </w:p>
        </w:tc>
        <w:tc>
          <w:tcPr>
            <w:tcW w:w="1984" w:type="dxa"/>
          </w:tcPr>
          <w:p w:rsidR="007029BB" w:rsidRPr="004C3C9B" w:rsidRDefault="00E826ED"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w:t>
            </w:r>
            <w:r w:rsidR="007029BB" w:rsidRPr="004C3C9B">
              <w:rPr>
                <w:rFonts w:ascii="Times New Roman" w:eastAsia="SimSun" w:hAnsi="Times New Roman" w:cs="Times New Roman"/>
                <w:bCs/>
                <w:sz w:val="24"/>
                <w:szCs w:val="24"/>
              </w:rPr>
              <w:t>General Practice</w:t>
            </w:r>
            <w:r w:rsidRPr="004C3C9B">
              <w:rPr>
                <w:rFonts w:ascii="Times New Roman" w:eastAsia="SimSun" w:hAnsi="Times New Roman" w:cs="Times New Roman"/>
                <w:bCs/>
                <w:sz w:val="24"/>
                <w:szCs w:val="24"/>
              </w:rPr>
              <w:t>”</w:t>
            </w: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"Prescribing practice"</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Impact</w:t>
            </w:r>
          </w:p>
        </w:tc>
        <w:tc>
          <w:tcPr>
            <w:tcW w:w="1984" w:type="dxa"/>
          </w:tcPr>
          <w:p w:rsidR="007029BB" w:rsidRPr="004C3C9B" w:rsidRDefault="007029BB" w:rsidP="004C3C9B">
            <w:pPr>
              <w:spacing w:line="480" w:lineRule="auto"/>
              <w:jc w:val="both"/>
              <w:rPr>
                <w:rFonts w:ascii="Times New Roman" w:eastAsia="SimSun" w:hAnsi="Times New Roman" w:cs="Times New Roman"/>
                <w:sz w:val="24"/>
                <w:szCs w:val="24"/>
                <w:lang w:eastAsia="zh-CN"/>
              </w:rPr>
            </w:pPr>
            <w:r w:rsidRPr="004C3C9B">
              <w:rPr>
                <w:rFonts w:ascii="Times New Roman" w:eastAsia="SimSun" w:hAnsi="Times New Roman" w:cs="Times New Roman"/>
                <w:sz w:val="24"/>
                <w:szCs w:val="24"/>
                <w:lang w:eastAsia="zh-CN"/>
              </w:rPr>
              <w:t>Nurs*</w:t>
            </w:r>
          </w:p>
        </w:tc>
        <w:tc>
          <w:tcPr>
            <w:tcW w:w="1984" w:type="dxa"/>
          </w:tcPr>
          <w:p w:rsidR="007029BB" w:rsidRPr="004C3C9B" w:rsidRDefault="007029BB" w:rsidP="004C3C9B">
            <w:pPr>
              <w:spacing w:line="480" w:lineRule="auto"/>
              <w:jc w:val="both"/>
              <w:rPr>
                <w:rFonts w:ascii="Times New Roman" w:eastAsia="SimSun" w:hAnsi="Times New Roman" w:cs="Times New Roman"/>
                <w:sz w:val="24"/>
                <w:szCs w:val="24"/>
                <w:lang w:eastAsia="zh-CN"/>
              </w:rPr>
            </w:pP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sz w:val="24"/>
                <w:szCs w:val="24"/>
                <w:lang w:eastAsia="zh-CN"/>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Influenc*,</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"Nurse Independent"</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sz w:val="24"/>
                <w:szCs w:val="24"/>
                <w:lang w:eastAsia="zh-CN"/>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Information</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"Nurse Practitioner"</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Judge*,</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Pressure</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r>
      <w:tr w:rsidR="007029BB" w:rsidRPr="004C3C9B" w:rsidTr="00D768F7">
        <w:tc>
          <w:tcPr>
            <w:tcW w:w="1408" w:type="dxa"/>
          </w:tcPr>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sz w:val="24"/>
                <w:szCs w:val="24"/>
                <w:lang w:eastAsia="zh-CN"/>
              </w:rPr>
              <w:t>Sources</w:t>
            </w: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c>
          <w:tcPr>
            <w:tcW w:w="1984" w:type="dxa"/>
          </w:tcPr>
          <w:p w:rsidR="007029BB" w:rsidRPr="004C3C9B" w:rsidRDefault="007029BB" w:rsidP="004C3C9B">
            <w:pPr>
              <w:spacing w:line="480" w:lineRule="auto"/>
              <w:jc w:val="both"/>
              <w:rPr>
                <w:rFonts w:ascii="Times New Roman" w:eastAsia="SimSun" w:hAnsi="Times New Roman" w:cs="Times New Roman"/>
                <w:bCs/>
                <w:sz w:val="24"/>
                <w:szCs w:val="24"/>
              </w:rPr>
            </w:pPr>
          </w:p>
        </w:tc>
      </w:tr>
    </w:tbl>
    <w:p w:rsidR="00B75488" w:rsidRDefault="00B75488"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Default="005A2204" w:rsidP="004C3C9B">
      <w:pPr>
        <w:spacing w:after="0" w:line="480" w:lineRule="auto"/>
        <w:jc w:val="both"/>
        <w:rPr>
          <w:rFonts w:ascii="Times New Roman" w:eastAsia="SimSun" w:hAnsi="Times New Roman" w:cs="Times New Roman"/>
          <w:bCs/>
          <w:sz w:val="24"/>
          <w:szCs w:val="24"/>
        </w:rPr>
      </w:pPr>
    </w:p>
    <w:p w:rsidR="005A2204" w:rsidRPr="004C3C9B" w:rsidRDefault="005A2204" w:rsidP="004C3C9B">
      <w:pPr>
        <w:spacing w:after="0" w:line="480" w:lineRule="auto"/>
        <w:jc w:val="both"/>
        <w:rPr>
          <w:rFonts w:ascii="Times New Roman" w:eastAsia="SimSun" w:hAnsi="Times New Roman" w:cs="Times New Roman"/>
          <w:bCs/>
          <w:sz w:val="24"/>
          <w:szCs w:val="24"/>
        </w:rPr>
      </w:pPr>
    </w:p>
    <w:tbl>
      <w:tblPr>
        <w:tblStyle w:val="TableGrid"/>
        <w:tblW w:w="0" w:type="auto"/>
        <w:tblLook w:val="04A0" w:firstRow="1" w:lastRow="0" w:firstColumn="1" w:lastColumn="0" w:noHBand="0" w:noVBand="1"/>
      </w:tblPr>
      <w:tblGrid>
        <w:gridCol w:w="2405"/>
        <w:gridCol w:w="2907"/>
        <w:gridCol w:w="2048"/>
      </w:tblGrid>
      <w:tr w:rsidR="00D6034C" w:rsidRPr="004C3C9B" w:rsidTr="00A7276A">
        <w:tc>
          <w:tcPr>
            <w:tcW w:w="7360" w:type="dxa"/>
            <w:gridSpan w:val="3"/>
          </w:tcPr>
          <w:p w:rsidR="00D6034C" w:rsidRPr="004C3C9B" w:rsidRDefault="00D6034C"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lastRenderedPageBreak/>
              <w:t>Table 2: Inclusion and Exclusion criteria</w:t>
            </w:r>
          </w:p>
        </w:tc>
      </w:tr>
      <w:tr w:rsidR="00D6034C" w:rsidRPr="004C3C9B" w:rsidTr="007E2EEC">
        <w:tc>
          <w:tcPr>
            <w:tcW w:w="2405" w:type="dxa"/>
          </w:tcPr>
          <w:p w:rsidR="00D6034C" w:rsidRPr="004C3C9B" w:rsidRDefault="00D6034C"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Inclusion Criteria</w:t>
            </w:r>
          </w:p>
        </w:tc>
        <w:tc>
          <w:tcPr>
            <w:tcW w:w="2907" w:type="dxa"/>
          </w:tcPr>
          <w:p w:rsidR="00D6034C" w:rsidRPr="004C3C9B" w:rsidRDefault="00D6034C"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Exclusion Criteria</w:t>
            </w:r>
          </w:p>
        </w:tc>
        <w:tc>
          <w:tcPr>
            <w:tcW w:w="2048" w:type="dxa"/>
          </w:tcPr>
          <w:p w:rsidR="00D6034C" w:rsidRPr="004C3C9B" w:rsidRDefault="00D6034C"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Rational</w:t>
            </w:r>
          </w:p>
        </w:tc>
      </w:tr>
      <w:tr w:rsidR="00D6034C" w:rsidRPr="004C3C9B" w:rsidTr="007E2EEC">
        <w:tc>
          <w:tcPr>
            <w:tcW w:w="2405" w:type="dxa"/>
          </w:tcPr>
          <w:p w:rsidR="00D6034C" w:rsidRPr="004C3C9B" w:rsidRDefault="00227D59"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Nurse Independent Prescribers</w:t>
            </w:r>
          </w:p>
        </w:tc>
        <w:tc>
          <w:tcPr>
            <w:tcW w:w="2907" w:type="dxa"/>
          </w:tcPr>
          <w:p w:rsidR="00D6034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Non-medical prescribers from other professional backgrounds or where the profession cannot be defined, supplementary prescribers, use of patient group directions</w:t>
            </w:r>
          </w:p>
        </w:tc>
        <w:tc>
          <w:tcPr>
            <w:tcW w:w="2048" w:type="dxa"/>
          </w:tcPr>
          <w:p w:rsidR="00D6034C" w:rsidRPr="004C3C9B" w:rsidRDefault="007E2EEC"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NIPs are the authors area of interest and other prescribers and types of prescribing may follow differing processes i.e. prescribing options in supplementary prescribing are limited to the CMP</w:t>
            </w:r>
          </w:p>
        </w:tc>
      </w:tr>
      <w:tr w:rsidR="00D6034C" w:rsidRPr="004C3C9B" w:rsidTr="007E2EEC">
        <w:tc>
          <w:tcPr>
            <w:tcW w:w="2405" w:type="dxa"/>
          </w:tcPr>
          <w:p w:rsidR="00D6034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Prescribing decision-making</w:t>
            </w:r>
          </w:p>
        </w:tc>
        <w:tc>
          <w:tcPr>
            <w:tcW w:w="2907" w:type="dxa"/>
          </w:tcPr>
          <w:p w:rsidR="00D6034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Other aspects of prescribing not including the decision-making process</w:t>
            </w:r>
          </w:p>
        </w:tc>
        <w:tc>
          <w:tcPr>
            <w:tcW w:w="2048" w:type="dxa"/>
          </w:tcPr>
          <w:p w:rsidR="00D6034C" w:rsidRPr="004C3C9B" w:rsidRDefault="00930C6B"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Relevance to research question</w:t>
            </w:r>
          </w:p>
        </w:tc>
      </w:tr>
      <w:tr w:rsidR="007E2EEC" w:rsidRPr="004C3C9B" w:rsidTr="007E2EEC">
        <w:tc>
          <w:tcPr>
            <w:tcW w:w="2405" w:type="dxa"/>
          </w:tcPr>
          <w:p w:rsidR="007E2EEC" w:rsidRPr="004C3C9B" w:rsidRDefault="007E2EEC"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Primary care</w:t>
            </w:r>
            <w:r w:rsidR="00930C6B" w:rsidRPr="004C3C9B">
              <w:rPr>
                <w:rFonts w:ascii="Times New Roman" w:hAnsi="Times New Roman" w:cs="Times New Roman"/>
                <w:sz w:val="24"/>
                <w:szCs w:val="24"/>
              </w:rPr>
              <w:t xml:space="preserve"> (or studies that include data from primary care that can be </w:t>
            </w:r>
            <w:r w:rsidR="00930C6B" w:rsidRPr="004C3C9B">
              <w:rPr>
                <w:rFonts w:ascii="Times New Roman" w:hAnsi="Times New Roman" w:cs="Times New Roman"/>
                <w:sz w:val="24"/>
                <w:szCs w:val="24"/>
              </w:rPr>
              <w:lastRenderedPageBreak/>
              <w:t>clearly defined and analysed)</w:t>
            </w:r>
          </w:p>
        </w:tc>
        <w:tc>
          <w:tcPr>
            <w:tcW w:w="2907" w:type="dxa"/>
          </w:tcPr>
          <w:p w:rsidR="007E2EEC" w:rsidRPr="004C3C9B" w:rsidRDefault="007E2EEC"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lastRenderedPageBreak/>
              <w:t>Acute setting</w:t>
            </w:r>
          </w:p>
        </w:tc>
        <w:tc>
          <w:tcPr>
            <w:tcW w:w="2048" w:type="dxa"/>
          </w:tcPr>
          <w:p w:rsidR="007E2EEC" w:rsidRPr="004C3C9B" w:rsidRDefault="00930C6B"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Relevance to research question and authors area of interest</w:t>
            </w:r>
          </w:p>
        </w:tc>
      </w:tr>
      <w:tr w:rsidR="007E2EEC" w:rsidRPr="004C3C9B" w:rsidTr="007E2EEC">
        <w:tc>
          <w:tcPr>
            <w:tcW w:w="2405" w:type="dxa"/>
          </w:tcPr>
          <w:p w:rsidR="007E2EEC" w:rsidRPr="004C3C9B" w:rsidRDefault="007E2EEC"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Qualitative or mixed methods where qualitative data can be clearly separated and analysed</w:t>
            </w:r>
          </w:p>
        </w:tc>
        <w:tc>
          <w:tcPr>
            <w:tcW w:w="2907" w:type="dxa"/>
          </w:tcPr>
          <w:p w:rsidR="007E2EEC" w:rsidRPr="004C3C9B" w:rsidRDefault="007E2EEC"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Purely quantitative research</w:t>
            </w:r>
          </w:p>
        </w:tc>
        <w:tc>
          <w:tcPr>
            <w:tcW w:w="2048" w:type="dxa"/>
          </w:tcPr>
          <w:p w:rsidR="007E2EEC" w:rsidRPr="004C3C9B" w:rsidRDefault="00930C6B"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Relevance to research question – the review seeks to understand the lived experience which is congruent to a qualitative approach</w:t>
            </w:r>
          </w:p>
        </w:tc>
      </w:tr>
      <w:tr w:rsidR="007E2EEC" w:rsidRPr="004C3C9B" w:rsidTr="007E2EEC">
        <w:tc>
          <w:tcPr>
            <w:tcW w:w="2405" w:type="dxa"/>
          </w:tcPr>
          <w:p w:rsidR="007E2EEC" w:rsidRPr="004C3C9B" w:rsidRDefault="007E2EEC"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Studies undertaken from 1994 onwards</w:t>
            </w:r>
          </w:p>
        </w:tc>
        <w:tc>
          <w:tcPr>
            <w:tcW w:w="2907"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Studies undertaken prior to 1994</w:t>
            </w:r>
          </w:p>
        </w:tc>
        <w:tc>
          <w:tcPr>
            <w:tcW w:w="2048" w:type="dxa"/>
          </w:tcPr>
          <w:p w:rsidR="007E2EEC" w:rsidRPr="004C3C9B" w:rsidRDefault="00930C6B"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The earliest date of conception of nurse prescribing in the UK. This will also highlight the potential change in trends as prescribing became more established</w:t>
            </w:r>
          </w:p>
        </w:tc>
      </w:tr>
      <w:tr w:rsidR="007E2EEC" w:rsidRPr="004C3C9B" w:rsidTr="007E2EEC">
        <w:tc>
          <w:tcPr>
            <w:tcW w:w="2405"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 xml:space="preserve">Peer-reviewed primary research including published and unpublished studies </w:t>
            </w:r>
          </w:p>
        </w:tc>
        <w:tc>
          <w:tcPr>
            <w:tcW w:w="2907"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Secondary research, opinions, letters and editorials</w:t>
            </w:r>
          </w:p>
        </w:tc>
        <w:tc>
          <w:tcPr>
            <w:tcW w:w="2048" w:type="dxa"/>
          </w:tcPr>
          <w:p w:rsidR="007E2EEC" w:rsidRPr="004C3C9B" w:rsidRDefault="00930C6B"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Relevance to research question which is to review primary research rather than collate</w:t>
            </w:r>
          </w:p>
        </w:tc>
      </w:tr>
      <w:tr w:rsidR="007E2EEC" w:rsidRPr="004C3C9B" w:rsidTr="007E2EEC">
        <w:tc>
          <w:tcPr>
            <w:tcW w:w="2405"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lastRenderedPageBreak/>
              <w:t xml:space="preserve">Papers in the English Language </w:t>
            </w:r>
          </w:p>
        </w:tc>
        <w:tc>
          <w:tcPr>
            <w:tcW w:w="2907"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hAnsi="Times New Roman" w:cs="Times New Roman"/>
                <w:sz w:val="24"/>
                <w:szCs w:val="24"/>
              </w:rPr>
              <w:t>Non-English language studies</w:t>
            </w:r>
          </w:p>
        </w:tc>
        <w:tc>
          <w:tcPr>
            <w:tcW w:w="2048" w:type="dxa"/>
          </w:tcPr>
          <w:p w:rsidR="007E2EEC" w:rsidRPr="004C3C9B" w:rsidRDefault="009D21AD"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 xml:space="preserve">Relevance to research question – this review focusses on UK research so unlikely to introduce a language bias. Also, consideration of cost if translation of papers is required </w:t>
            </w:r>
          </w:p>
        </w:tc>
      </w:tr>
      <w:tr w:rsidR="007E2EEC" w:rsidRPr="004C3C9B" w:rsidTr="007E2EEC">
        <w:tc>
          <w:tcPr>
            <w:tcW w:w="2405"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UK studies</w:t>
            </w:r>
          </w:p>
        </w:tc>
        <w:tc>
          <w:tcPr>
            <w:tcW w:w="2907" w:type="dxa"/>
          </w:tcPr>
          <w:p w:rsidR="007E2EEC" w:rsidRPr="004C3C9B" w:rsidRDefault="007E2EEC"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Non-UK studies</w:t>
            </w:r>
          </w:p>
        </w:tc>
        <w:tc>
          <w:tcPr>
            <w:tcW w:w="2048" w:type="dxa"/>
          </w:tcPr>
          <w:p w:rsidR="007E2EEC" w:rsidRPr="004C3C9B" w:rsidRDefault="009D21AD" w:rsidP="005A2204">
            <w:pPr>
              <w:spacing w:line="480" w:lineRule="auto"/>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Implementation of NIP differs between countries and may skew results</w:t>
            </w:r>
          </w:p>
        </w:tc>
      </w:tr>
    </w:tbl>
    <w:p w:rsidR="00CE49EB" w:rsidRPr="004C3C9B" w:rsidRDefault="00CE49EB" w:rsidP="004C3C9B">
      <w:pPr>
        <w:spacing w:after="0" w:line="480" w:lineRule="auto"/>
        <w:jc w:val="both"/>
        <w:rPr>
          <w:rFonts w:ascii="Times New Roman" w:eastAsia="SimSun" w:hAnsi="Times New Roman" w:cs="Times New Roman"/>
          <w:bCs/>
          <w:sz w:val="24"/>
          <w:szCs w:val="24"/>
        </w:rPr>
      </w:pPr>
    </w:p>
    <w:p w:rsidR="001A16F5" w:rsidRPr="004C3C9B" w:rsidRDefault="001A16F5"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 xml:space="preserve">The included studies were critically appraised using the Qualitative Assessment and Review Instrument (QARI) (Joanna Briggs Institute (JBI) 2014). </w:t>
      </w:r>
      <w:r w:rsidR="00D6034C" w:rsidRPr="004C3C9B">
        <w:rPr>
          <w:rFonts w:ascii="Times New Roman" w:eastAsia="SimSun" w:hAnsi="Times New Roman" w:cs="Times New Roman"/>
          <w:bCs/>
          <w:sz w:val="24"/>
          <w:szCs w:val="24"/>
        </w:rPr>
        <w:t>This</w:t>
      </w:r>
      <w:r w:rsidRPr="004C3C9B">
        <w:rPr>
          <w:rFonts w:ascii="Times New Roman" w:eastAsia="SimSun" w:hAnsi="Times New Roman" w:cs="Times New Roman"/>
          <w:bCs/>
          <w:sz w:val="24"/>
          <w:szCs w:val="24"/>
        </w:rPr>
        <w:t xml:space="preserve"> tool is recommended by the Cochrane Qualitative and Implementation Methods Group</w:t>
      </w:r>
      <w:r w:rsidR="00D6034C" w:rsidRPr="004C3C9B">
        <w:rPr>
          <w:rFonts w:ascii="Times New Roman" w:eastAsia="SimSun" w:hAnsi="Times New Roman" w:cs="Times New Roman"/>
          <w:bCs/>
          <w:sz w:val="24"/>
          <w:szCs w:val="24"/>
        </w:rPr>
        <w:t xml:space="preserve"> </w:t>
      </w:r>
      <w:r w:rsidRPr="004C3C9B">
        <w:rPr>
          <w:rFonts w:ascii="Times New Roman" w:eastAsia="SimSun" w:hAnsi="Times New Roman" w:cs="Times New Roman"/>
          <w:bCs/>
          <w:sz w:val="24"/>
          <w:szCs w:val="24"/>
        </w:rPr>
        <w:t>(Noyes et al 2011)</w:t>
      </w:r>
      <w:r w:rsidR="00D6034C" w:rsidRPr="004C3C9B">
        <w:rPr>
          <w:rFonts w:ascii="Times New Roman" w:eastAsia="SimSun" w:hAnsi="Times New Roman" w:cs="Times New Roman"/>
          <w:bCs/>
          <w:sz w:val="24"/>
          <w:szCs w:val="24"/>
        </w:rPr>
        <w:t xml:space="preserve"> and </w:t>
      </w:r>
      <w:r w:rsidRPr="004C3C9B">
        <w:rPr>
          <w:rFonts w:ascii="Times New Roman" w:eastAsia="SimSun" w:hAnsi="Times New Roman" w:cs="Times New Roman"/>
          <w:bCs/>
          <w:sz w:val="24"/>
          <w:szCs w:val="24"/>
        </w:rPr>
        <w:t xml:space="preserve">a study by Hannes et al (2010) that found that </w:t>
      </w:r>
      <w:r w:rsidR="00D6034C" w:rsidRPr="004C3C9B">
        <w:rPr>
          <w:rFonts w:ascii="Times New Roman" w:eastAsia="SimSun" w:hAnsi="Times New Roman" w:cs="Times New Roman"/>
          <w:bCs/>
          <w:sz w:val="24"/>
          <w:szCs w:val="24"/>
        </w:rPr>
        <w:t>it</w:t>
      </w:r>
      <w:r w:rsidRPr="004C3C9B">
        <w:rPr>
          <w:rFonts w:ascii="Times New Roman" w:eastAsia="SimSun" w:hAnsi="Times New Roman" w:cs="Times New Roman"/>
          <w:bCs/>
          <w:sz w:val="24"/>
          <w:szCs w:val="24"/>
        </w:rPr>
        <w:t xml:space="preserve"> was more comprehensible when assessing the </w:t>
      </w:r>
      <w:r w:rsidRPr="004C3C9B">
        <w:rPr>
          <w:rFonts w:ascii="Times New Roman" w:eastAsia="SimSun" w:hAnsi="Times New Roman" w:cs="Times New Roman"/>
          <w:bCs/>
          <w:sz w:val="24"/>
          <w:szCs w:val="24"/>
        </w:rPr>
        <w:lastRenderedPageBreak/>
        <w:t xml:space="preserve">validity of a study compared to the Critical Appraisal Skills Programme (CASP) or the Evaluation Tool for Qualitative Studies (ETQS). </w:t>
      </w:r>
    </w:p>
    <w:p w:rsidR="001A16F5" w:rsidRPr="004C3C9B" w:rsidRDefault="001A16F5" w:rsidP="004C3C9B">
      <w:pPr>
        <w:spacing w:after="0" w:line="480" w:lineRule="auto"/>
        <w:jc w:val="both"/>
        <w:rPr>
          <w:rFonts w:ascii="Times New Roman" w:eastAsia="SimSun" w:hAnsi="Times New Roman" w:cs="Times New Roman"/>
          <w:bCs/>
          <w:sz w:val="24"/>
          <w:szCs w:val="24"/>
        </w:rPr>
      </w:pPr>
    </w:p>
    <w:p w:rsidR="001A16F5" w:rsidRPr="004C3C9B" w:rsidRDefault="001A16F5"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The interpretative methodology of meta-ethnography</w:t>
      </w:r>
      <w:r w:rsidR="00994407" w:rsidRPr="004C3C9B">
        <w:rPr>
          <w:rFonts w:ascii="Times New Roman" w:eastAsia="SimSun" w:hAnsi="Times New Roman" w:cs="Times New Roman"/>
          <w:bCs/>
          <w:sz w:val="24"/>
          <w:szCs w:val="24"/>
        </w:rPr>
        <w:t xml:space="preserve"> (Box 2)</w:t>
      </w:r>
      <w:r w:rsidRPr="004C3C9B">
        <w:rPr>
          <w:rFonts w:ascii="Times New Roman" w:eastAsia="SimSun" w:hAnsi="Times New Roman" w:cs="Times New Roman"/>
          <w:bCs/>
          <w:sz w:val="24"/>
          <w:szCs w:val="24"/>
        </w:rPr>
        <w:t xml:space="preserve"> was used to underpin the process of data synthesis along with the comparative method of thematic analysis to evaluate the data </w:t>
      </w:r>
      <w:r w:rsidR="001A50A4" w:rsidRPr="004C3C9B">
        <w:rPr>
          <w:rFonts w:ascii="Times New Roman" w:eastAsia="SimSun" w:hAnsi="Times New Roman" w:cs="Times New Roman"/>
          <w:bCs/>
          <w:sz w:val="24"/>
          <w:szCs w:val="24"/>
        </w:rPr>
        <w:t xml:space="preserve">and </w:t>
      </w:r>
      <w:r w:rsidR="001A50A4" w:rsidRPr="004C3C9B">
        <w:rPr>
          <w:rFonts w:ascii="Times New Roman" w:hAnsi="Times New Roman" w:cs="Times New Roman"/>
          <w:sz w:val="24"/>
          <w:szCs w:val="24"/>
        </w:rPr>
        <w:t xml:space="preserve">develop a new insight into the theoretical understanding of the phenomena under review, and its relation to clinical practice (Cherry et al 2014, </w:t>
      </w:r>
      <w:r w:rsidRPr="004C3C9B">
        <w:rPr>
          <w:rFonts w:ascii="Times New Roman" w:eastAsia="SimSun" w:hAnsi="Times New Roman" w:cs="Times New Roman"/>
          <w:bCs/>
          <w:sz w:val="24"/>
          <w:szCs w:val="24"/>
        </w:rPr>
        <w:t xml:space="preserve">Booth 2016).  </w:t>
      </w:r>
      <w:r w:rsidR="00CF35C3" w:rsidRPr="004C3C9B">
        <w:rPr>
          <w:rFonts w:ascii="Times New Roman" w:eastAsia="SimSun" w:hAnsi="Times New Roman" w:cs="Times New Roman"/>
          <w:bCs/>
          <w:sz w:val="24"/>
          <w:szCs w:val="24"/>
        </w:rPr>
        <w:t>The Confidence in the Qualitative synthesised finding tool (ConQual) was then applied to the findings to assess the overall quality of evidence and determine the level of reliability placed upon the findings (The Joanna Briggs Institute Levels of Evidence and Grades of Recommendation Working Party 2016).</w:t>
      </w:r>
    </w:p>
    <w:p w:rsidR="000F2F45" w:rsidRPr="004C3C9B" w:rsidRDefault="000F2F45" w:rsidP="004C3C9B">
      <w:pPr>
        <w:spacing w:after="0" w:line="480" w:lineRule="auto"/>
        <w:jc w:val="both"/>
        <w:rPr>
          <w:rFonts w:ascii="Times New Roman" w:eastAsia="SimSun" w:hAnsi="Times New Roman" w:cs="Times New Roman"/>
          <w:bCs/>
          <w:sz w:val="24"/>
          <w:szCs w:val="24"/>
        </w:rPr>
      </w:pPr>
    </w:p>
    <w:p w:rsidR="00994407" w:rsidRPr="004C3C9B" w:rsidRDefault="00994407" w:rsidP="004C3C9B">
      <w:pPr>
        <w:spacing w:after="0" w:line="480" w:lineRule="auto"/>
        <w:jc w:val="both"/>
        <w:rPr>
          <w:rFonts w:ascii="Times New Roman" w:eastAsia="SimSun" w:hAnsi="Times New Roman" w:cs="Times New Roman"/>
          <w:bCs/>
          <w:sz w:val="24"/>
          <w:szCs w:val="24"/>
        </w:rPr>
      </w:pPr>
      <w:r w:rsidRPr="004C3C9B">
        <w:rPr>
          <w:rFonts w:ascii="Times New Roman" w:hAnsi="Times New Roman" w:cs="Times New Roman"/>
          <w:noProof/>
          <w:sz w:val="24"/>
          <w:szCs w:val="24"/>
          <w:lang w:eastAsia="en-GB"/>
        </w:rPr>
        <mc:AlternateContent>
          <mc:Choice Requires="wps">
            <w:drawing>
              <wp:inline distT="0" distB="0" distL="0" distR="0" wp14:anchorId="5AB6AEE8" wp14:editId="2D60EF52">
                <wp:extent cx="4679950" cy="3208020"/>
                <wp:effectExtent l="0" t="0" r="25400" b="11430"/>
                <wp:docPr id="4" name="Text Box 4"/>
                <wp:cNvGraphicFramePr/>
                <a:graphic xmlns:a="http://schemas.openxmlformats.org/drawingml/2006/main">
                  <a:graphicData uri="http://schemas.microsoft.com/office/word/2010/wordprocessingShape">
                    <wps:wsp>
                      <wps:cNvSpPr txBox="1"/>
                      <wps:spPr>
                        <a:xfrm>
                          <a:off x="0" y="0"/>
                          <a:ext cx="4679950" cy="3208020"/>
                        </a:xfrm>
                        <a:prstGeom prst="rect">
                          <a:avLst/>
                        </a:prstGeom>
                        <a:solidFill>
                          <a:sysClr val="window" lastClr="FFFFFF"/>
                        </a:solidFill>
                        <a:ln w="25400" cap="flat" cmpd="sng" algn="ctr">
                          <a:solidFill>
                            <a:sysClr val="windowText" lastClr="000000"/>
                          </a:solidFill>
                          <a:prstDash val="solid"/>
                        </a:ln>
                        <a:effectLst/>
                      </wps:spPr>
                      <wps:txbx>
                        <w:txbxContent>
                          <w:p w:rsidR="00C243B5" w:rsidRPr="00994407" w:rsidRDefault="00C243B5" w:rsidP="00994407">
                            <w:pPr>
                              <w:rPr>
                                <w:rFonts w:ascii="Times New Roman" w:hAnsi="Times New Roman" w:cs="Times New Roman"/>
                                <w:sz w:val="24"/>
                                <w:szCs w:val="24"/>
                                <w:u w:val="single"/>
                              </w:rPr>
                            </w:pPr>
                            <w:r w:rsidRPr="00994407">
                              <w:rPr>
                                <w:rFonts w:ascii="Times New Roman" w:hAnsi="Times New Roman" w:cs="Times New Roman"/>
                                <w:sz w:val="24"/>
                                <w:szCs w:val="24"/>
                                <w:u w:val="single"/>
                              </w:rPr>
                              <w:t>Box 2: The seven steps of meta-ethnography (from Noblit &amp; Hare 1988)</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1. Getting started (the search)</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2. Confirming initial interest (literature screening)</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3. Reading studies and extracting data</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4. Determining how studies are related (identifying common themes and concepts)</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5. Translating studies (checking first and/or s</w:t>
                            </w:r>
                            <w:r>
                              <w:rPr>
                                <w:rFonts w:ascii="Times New Roman" w:hAnsi="Times New Roman" w:cs="Times New Roman"/>
                                <w:sz w:val="24"/>
                                <w:szCs w:val="24"/>
                              </w:rPr>
                              <w:t xml:space="preserve">econd order concepts and themes </w:t>
                            </w:r>
                            <w:r w:rsidRPr="008C4841">
                              <w:rPr>
                                <w:rFonts w:ascii="Times New Roman" w:hAnsi="Times New Roman" w:cs="Times New Roman"/>
                                <w:sz w:val="24"/>
                                <w:szCs w:val="24"/>
                              </w:rPr>
                              <w:t>against each other)</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6. Synthesising translations (attempting to create new third order constructs</w:t>
                            </w:r>
                            <w:r>
                              <w:rPr>
                                <w:rFonts w:ascii="Times New Roman" w:hAnsi="Times New Roman" w:cs="Times New Roman"/>
                                <w:sz w:val="24"/>
                                <w:szCs w:val="24"/>
                              </w:rPr>
                              <w:t xml:space="preserve"> – thematic analysis)</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7. Expressing the 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B6AEE8" id="Text Box 4" o:spid="_x0000_s1027" type="#_x0000_t202" style="width:368.5pt;height:2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" fillcolor="window" strokecolor="windowText" strokeweight="2pt">
                <v:textbox>
                  <w:txbxContent>
                    <w:p w:rsidR="00C243B5" w:rsidRPr="00994407" w:rsidRDefault="00C243B5" w:rsidP="00994407">
                      <w:pPr>
                        <w:rPr>
                          <w:rFonts w:ascii="Times New Roman" w:hAnsi="Times New Roman" w:cs="Times New Roman"/>
                          <w:sz w:val="24"/>
                          <w:szCs w:val="24"/>
                          <w:u w:val="single"/>
                        </w:rPr>
                      </w:pPr>
                      <w:r w:rsidRPr="00994407">
                        <w:rPr>
                          <w:rFonts w:ascii="Times New Roman" w:hAnsi="Times New Roman" w:cs="Times New Roman"/>
                          <w:sz w:val="24"/>
                          <w:szCs w:val="24"/>
                          <w:u w:val="single"/>
                        </w:rPr>
                        <w:t xml:space="preserve">Box 2: The seven steps of meta-ethnography (from </w:t>
                      </w:r>
                      <w:proofErr w:type="spellStart"/>
                      <w:r w:rsidRPr="00994407">
                        <w:rPr>
                          <w:rFonts w:ascii="Times New Roman" w:hAnsi="Times New Roman" w:cs="Times New Roman"/>
                          <w:sz w:val="24"/>
                          <w:szCs w:val="24"/>
                          <w:u w:val="single"/>
                        </w:rPr>
                        <w:t>Noblit</w:t>
                      </w:r>
                      <w:proofErr w:type="spellEnd"/>
                      <w:r w:rsidRPr="00994407">
                        <w:rPr>
                          <w:rFonts w:ascii="Times New Roman" w:hAnsi="Times New Roman" w:cs="Times New Roman"/>
                          <w:sz w:val="24"/>
                          <w:szCs w:val="24"/>
                          <w:u w:val="single"/>
                        </w:rPr>
                        <w:t xml:space="preserve"> &amp; Hare 1988)</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1. Getting started (the search)</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2. Confirming initial interest (literature screening)</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3. Reading studies and extracting data</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4. Determining how studies are related (identifying common themes and concepts)</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5. Translating studies (checking first and/or s</w:t>
                      </w:r>
                      <w:r>
                        <w:rPr>
                          <w:rFonts w:ascii="Times New Roman" w:hAnsi="Times New Roman" w:cs="Times New Roman"/>
                          <w:sz w:val="24"/>
                          <w:szCs w:val="24"/>
                        </w:rPr>
                        <w:t xml:space="preserve">econd order concepts and themes </w:t>
                      </w:r>
                      <w:r w:rsidRPr="008C4841">
                        <w:rPr>
                          <w:rFonts w:ascii="Times New Roman" w:hAnsi="Times New Roman" w:cs="Times New Roman"/>
                          <w:sz w:val="24"/>
                          <w:szCs w:val="24"/>
                        </w:rPr>
                        <w:t>against each other)</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6. Synthesising translations (attempting to create new third order constructs</w:t>
                      </w:r>
                      <w:r>
                        <w:rPr>
                          <w:rFonts w:ascii="Times New Roman" w:hAnsi="Times New Roman" w:cs="Times New Roman"/>
                          <w:sz w:val="24"/>
                          <w:szCs w:val="24"/>
                        </w:rPr>
                        <w:t xml:space="preserve"> – thematic analysis)</w:t>
                      </w:r>
                    </w:p>
                    <w:p w:rsidR="00C243B5" w:rsidRPr="008C4841" w:rsidRDefault="00C243B5" w:rsidP="00994407">
                      <w:pPr>
                        <w:rPr>
                          <w:rFonts w:ascii="Times New Roman" w:hAnsi="Times New Roman" w:cs="Times New Roman"/>
                          <w:sz w:val="24"/>
                          <w:szCs w:val="24"/>
                        </w:rPr>
                      </w:pPr>
                      <w:r w:rsidRPr="008C4841">
                        <w:rPr>
                          <w:rFonts w:ascii="Times New Roman" w:hAnsi="Times New Roman" w:cs="Times New Roman"/>
                          <w:sz w:val="24"/>
                          <w:szCs w:val="24"/>
                        </w:rPr>
                        <w:t>7. Expressing the synthesis.</w:t>
                      </w:r>
                    </w:p>
                  </w:txbxContent>
                </v:textbox>
                <w10:anchorlock/>
              </v:shape>
            </w:pict>
          </mc:Fallback>
        </mc:AlternateContent>
      </w:r>
    </w:p>
    <w:p w:rsidR="00CC4F3F" w:rsidRPr="004C3C9B" w:rsidRDefault="00CC4F3F" w:rsidP="004C3C9B">
      <w:pPr>
        <w:spacing w:after="0" w:line="480" w:lineRule="auto"/>
        <w:jc w:val="both"/>
        <w:rPr>
          <w:rFonts w:ascii="Times New Roman" w:eastAsia="SimSun" w:hAnsi="Times New Roman" w:cs="Times New Roman"/>
          <w:bCs/>
          <w:sz w:val="24"/>
          <w:szCs w:val="24"/>
        </w:rPr>
      </w:pPr>
    </w:p>
    <w:p w:rsidR="006F636A" w:rsidRPr="004C3C9B" w:rsidRDefault="00774A95"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Ethical approval was not required for this review</w:t>
      </w:r>
      <w:r w:rsidR="00A7276A" w:rsidRPr="004C3C9B">
        <w:rPr>
          <w:rFonts w:ascii="Times New Roman" w:eastAsia="SimSun" w:hAnsi="Times New Roman" w:cs="Times New Roman"/>
          <w:bCs/>
          <w:sz w:val="24"/>
          <w:szCs w:val="24"/>
        </w:rPr>
        <w:t xml:space="preserve"> as it critically appraises previously conducted empirical research that has already been subject to a </w:t>
      </w:r>
      <w:r w:rsidR="00A7276A" w:rsidRPr="004C3C9B">
        <w:rPr>
          <w:rFonts w:ascii="Times New Roman" w:eastAsia="SimSun" w:hAnsi="Times New Roman" w:cs="Times New Roman"/>
          <w:bCs/>
          <w:sz w:val="24"/>
          <w:szCs w:val="24"/>
        </w:rPr>
        <w:lastRenderedPageBreak/>
        <w:t xml:space="preserve">rigorous ethical review process. However appropriate ethical and professional standards were considered and maintained during the review process (NMC 2015). </w:t>
      </w:r>
    </w:p>
    <w:p w:rsidR="00A7276A" w:rsidRPr="004C3C9B" w:rsidRDefault="00A7276A" w:rsidP="004C3C9B">
      <w:pPr>
        <w:spacing w:after="0" w:line="480" w:lineRule="auto"/>
        <w:jc w:val="both"/>
        <w:rPr>
          <w:rFonts w:ascii="Times New Roman" w:eastAsia="SimSun" w:hAnsi="Times New Roman" w:cs="Times New Roman"/>
          <w:bCs/>
          <w:sz w:val="24"/>
          <w:szCs w:val="24"/>
        </w:rPr>
      </w:pPr>
    </w:p>
    <w:p w:rsidR="00DC6F11" w:rsidRPr="004C3C9B" w:rsidRDefault="00DC6F11"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
          <w:bCs/>
          <w:sz w:val="24"/>
          <w:szCs w:val="24"/>
          <w:u w:val="single"/>
        </w:rPr>
        <w:t>Findings</w:t>
      </w:r>
    </w:p>
    <w:p w:rsidR="00DC6F11" w:rsidRPr="004C3C9B" w:rsidRDefault="00DC6F11" w:rsidP="004C3C9B">
      <w:pPr>
        <w:spacing w:after="0" w:line="480" w:lineRule="auto"/>
        <w:jc w:val="both"/>
        <w:rPr>
          <w:rFonts w:ascii="Times New Roman" w:eastAsia="SimSun" w:hAnsi="Times New Roman" w:cs="Times New Roman"/>
          <w:bCs/>
          <w:sz w:val="24"/>
          <w:szCs w:val="24"/>
        </w:rPr>
      </w:pPr>
    </w:p>
    <w:p w:rsidR="00DC6F11" w:rsidRPr="004C3C9B" w:rsidRDefault="004261D3"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The search yielded a total o</w:t>
      </w:r>
      <w:r w:rsidR="00295470" w:rsidRPr="004C3C9B">
        <w:rPr>
          <w:rFonts w:ascii="Times New Roman" w:eastAsia="SimSun" w:hAnsi="Times New Roman" w:cs="Times New Roman"/>
          <w:bCs/>
          <w:sz w:val="24"/>
          <w:szCs w:val="24"/>
        </w:rPr>
        <w:t>f 10 articles</w:t>
      </w:r>
      <w:r w:rsidR="000B4CF6" w:rsidRPr="004C3C9B">
        <w:rPr>
          <w:rFonts w:ascii="Times New Roman" w:eastAsia="SimSun" w:hAnsi="Times New Roman" w:cs="Times New Roman"/>
          <w:bCs/>
          <w:sz w:val="24"/>
          <w:szCs w:val="24"/>
        </w:rPr>
        <w:t xml:space="preserve"> (Table 3)</w:t>
      </w:r>
      <w:r w:rsidR="00295470" w:rsidRPr="004C3C9B">
        <w:rPr>
          <w:rFonts w:ascii="Times New Roman" w:eastAsia="SimSun" w:hAnsi="Times New Roman" w:cs="Times New Roman"/>
          <w:bCs/>
          <w:sz w:val="24"/>
          <w:szCs w:val="24"/>
        </w:rPr>
        <w:t xml:space="preserve"> which</w:t>
      </w:r>
      <w:r w:rsidRPr="004C3C9B">
        <w:rPr>
          <w:rFonts w:ascii="Times New Roman" w:eastAsia="SimSun" w:hAnsi="Times New Roman" w:cs="Times New Roman"/>
          <w:bCs/>
          <w:sz w:val="24"/>
          <w:szCs w:val="24"/>
        </w:rPr>
        <w:t xml:space="preserve"> met the inclusion criteria (</w:t>
      </w:r>
      <w:r w:rsidR="00272124" w:rsidRPr="004C3C9B">
        <w:rPr>
          <w:rFonts w:ascii="Times New Roman" w:eastAsia="SimSun" w:hAnsi="Times New Roman" w:cs="Times New Roman"/>
          <w:bCs/>
          <w:sz w:val="24"/>
          <w:szCs w:val="24"/>
        </w:rPr>
        <w:t>Luker et al</w:t>
      </w:r>
      <w:r w:rsidR="00230172" w:rsidRPr="004C3C9B">
        <w:rPr>
          <w:rFonts w:ascii="Times New Roman" w:eastAsia="SimSun" w:hAnsi="Times New Roman" w:cs="Times New Roman"/>
          <w:bCs/>
          <w:sz w:val="24"/>
          <w:szCs w:val="24"/>
        </w:rPr>
        <w:t xml:space="preserve"> 1998, Lewis-Evans and Jester 2004, Hall 2006, Offredy</w:t>
      </w:r>
      <w:r w:rsidR="00272124" w:rsidRPr="004C3C9B">
        <w:rPr>
          <w:rFonts w:ascii="Times New Roman" w:eastAsia="SimSun" w:hAnsi="Times New Roman" w:cs="Times New Roman"/>
          <w:bCs/>
          <w:sz w:val="24"/>
          <w:szCs w:val="24"/>
        </w:rPr>
        <w:t xml:space="preserve"> et al </w:t>
      </w:r>
      <w:r w:rsidR="00230172" w:rsidRPr="004C3C9B">
        <w:rPr>
          <w:rFonts w:ascii="Times New Roman" w:eastAsia="SimSun" w:hAnsi="Times New Roman" w:cs="Times New Roman"/>
          <w:bCs/>
          <w:sz w:val="24"/>
          <w:szCs w:val="24"/>
        </w:rPr>
        <w:t>2008, Daughtry and Hayter 2010, Downer and Shepherd 2010, Philp and Winfield 2010, Maddox 2011, Rowbotham et al 2012, Herklots</w:t>
      </w:r>
      <w:r w:rsidR="00272124" w:rsidRPr="004C3C9B">
        <w:rPr>
          <w:rFonts w:ascii="Times New Roman" w:eastAsia="SimSun" w:hAnsi="Times New Roman" w:cs="Times New Roman"/>
          <w:bCs/>
          <w:sz w:val="24"/>
          <w:szCs w:val="24"/>
        </w:rPr>
        <w:t xml:space="preserve"> et al </w:t>
      </w:r>
      <w:r w:rsidR="00230172" w:rsidRPr="004C3C9B">
        <w:rPr>
          <w:rFonts w:ascii="Times New Roman" w:eastAsia="SimSun" w:hAnsi="Times New Roman" w:cs="Times New Roman"/>
          <w:bCs/>
          <w:sz w:val="24"/>
          <w:szCs w:val="24"/>
        </w:rPr>
        <w:t>2015)</w:t>
      </w:r>
      <w:r w:rsidR="00580B04" w:rsidRPr="004C3C9B">
        <w:rPr>
          <w:rFonts w:ascii="Times New Roman" w:eastAsia="SimSun" w:hAnsi="Times New Roman" w:cs="Times New Roman"/>
          <w:bCs/>
          <w:sz w:val="24"/>
          <w:szCs w:val="24"/>
        </w:rPr>
        <w:t>. A summary of the study selection process can be seen in Figure 1.</w:t>
      </w:r>
      <w:r w:rsidR="00F3208E" w:rsidRPr="004C3C9B">
        <w:rPr>
          <w:rFonts w:ascii="Times New Roman" w:eastAsia="SimSun" w:hAnsi="Times New Roman" w:cs="Times New Roman"/>
          <w:bCs/>
          <w:sz w:val="24"/>
          <w:szCs w:val="24"/>
        </w:rPr>
        <w:t xml:space="preserve"> </w:t>
      </w:r>
      <w:r w:rsidR="00D65975" w:rsidRPr="004C3C9B">
        <w:rPr>
          <w:rFonts w:ascii="Times New Roman" w:eastAsia="SimSun" w:hAnsi="Times New Roman" w:cs="Times New Roman"/>
          <w:bCs/>
          <w:sz w:val="24"/>
          <w:szCs w:val="24"/>
        </w:rPr>
        <w:t xml:space="preserve">It is worth noting that </w:t>
      </w:r>
      <w:r w:rsidR="00FE3A1F" w:rsidRPr="004C3C9B">
        <w:rPr>
          <w:rFonts w:ascii="Times New Roman" w:eastAsia="SimSun" w:hAnsi="Times New Roman" w:cs="Times New Roman"/>
          <w:bCs/>
          <w:sz w:val="24"/>
          <w:szCs w:val="24"/>
        </w:rPr>
        <w:t xml:space="preserve">although </w:t>
      </w:r>
      <w:r w:rsidR="00D65975" w:rsidRPr="004C3C9B">
        <w:rPr>
          <w:rFonts w:ascii="Times New Roman" w:eastAsia="SimSun" w:hAnsi="Times New Roman" w:cs="Times New Roman"/>
          <w:bCs/>
          <w:sz w:val="24"/>
          <w:szCs w:val="24"/>
        </w:rPr>
        <w:t xml:space="preserve">the </w:t>
      </w:r>
      <w:r w:rsidR="00F3208E" w:rsidRPr="004C3C9B">
        <w:rPr>
          <w:rFonts w:ascii="Times New Roman" w:eastAsia="SimSun" w:hAnsi="Times New Roman" w:cs="Times New Roman"/>
          <w:bCs/>
          <w:sz w:val="24"/>
          <w:szCs w:val="24"/>
        </w:rPr>
        <w:t xml:space="preserve">study by Luker et al (1998) used both qualitative and quantitative methods </w:t>
      </w:r>
      <w:r w:rsidR="009D2CC7" w:rsidRPr="004C3C9B">
        <w:rPr>
          <w:rFonts w:ascii="Times New Roman" w:eastAsia="SimSun" w:hAnsi="Times New Roman" w:cs="Times New Roman"/>
          <w:bCs/>
          <w:sz w:val="24"/>
          <w:szCs w:val="24"/>
        </w:rPr>
        <w:t>for data evaluation,</w:t>
      </w:r>
      <w:r w:rsidR="00F3208E" w:rsidRPr="004C3C9B">
        <w:rPr>
          <w:rFonts w:ascii="Times New Roman" w:eastAsia="SimSun" w:hAnsi="Times New Roman" w:cs="Times New Roman"/>
          <w:bCs/>
          <w:sz w:val="24"/>
          <w:szCs w:val="24"/>
        </w:rPr>
        <w:t xml:space="preserve"> the </w:t>
      </w:r>
      <w:r w:rsidR="005D631D" w:rsidRPr="004C3C9B">
        <w:rPr>
          <w:rFonts w:ascii="Times New Roman" w:eastAsia="SimSun" w:hAnsi="Times New Roman" w:cs="Times New Roman"/>
          <w:bCs/>
          <w:sz w:val="24"/>
          <w:szCs w:val="24"/>
        </w:rPr>
        <w:t>data</w:t>
      </w:r>
      <w:r w:rsidR="00F3208E" w:rsidRPr="004C3C9B">
        <w:rPr>
          <w:rFonts w:ascii="Times New Roman" w:eastAsia="SimSun" w:hAnsi="Times New Roman" w:cs="Times New Roman"/>
          <w:bCs/>
          <w:sz w:val="24"/>
          <w:szCs w:val="24"/>
        </w:rPr>
        <w:t xml:space="preserve"> regarding prescribing decision-making w</w:t>
      </w:r>
      <w:r w:rsidR="005D631D" w:rsidRPr="004C3C9B">
        <w:rPr>
          <w:rFonts w:ascii="Times New Roman" w:eastAsia="SimSun" w:hAnsi="Times New Roman" w:cs="Times New Roman"/>
          <w:bCs/>
          <w:sz w:val="24"/>
          <w:szCs w:val="24"/>
        </w:rPr>
        <w:t>as</w:t>
      </w:r>
      <w:r w:rsidR="00F3208E" w:rsidRPr="004C3C9B">
        <w:rPr>
          <w:rFonts w:ascii="Times New Roman" w:eastAsia="SimSun" w:hAnsi="Times New Roman" w:cs="Times New Roman"/>
          <w:bCs/>
          <w:sz w:val="24"/>
          <w:szCs w:val="24"/>
        </w:rPr>
        <w:t xml:space="preserve"> purely qualitative and therefore relevant to this review</w:t>
      </w:r>
      <w:r w:rsidR="00F16C86" w:rsidRPr="004C3C9B">
        <w:rPr>
          <w:rFonts w:ascii="Times New Roman" w:eastAsia="SimSun" w:hAnsi="Times New Roman" w:cs="Times New Roman"/>
          <w:bCs/>
          <w:sz w:val="24"/>
          <w:szCs w:val="24"/>
        </w:rPr>
        <w:t xml:space="preserve"> and </w:t>
      </w:r>
      <w:r w:rsidR="00FE3A1F" w:rsidRPr="004C3C9B">
        <w:rPr>
          <w:rFonts w:ascii="Times New Roman" w:eastAsia="SimSun" w:hAnsi="Times New Roman" w:cs="Times New Roman"/>
          <w:bCs/>
          <w:sz w:val="24"/>
          <w:szCs w:val="24"/>
        </w:rPr>
        <w:t>O</w:t>
      </w:r>
      <w:r w:rsidR="00D65975" w:rsidRPr="004C3C9B">
        <w:rPr>
          <w:rFonts w:ascii="Times New Roman" w:eastAsia="SimSun" w:hAnsi="Times New Roman" w:cs="Times New Roman"/>
          <w:bCs/>
          <w:sz w:val="24"/>
          <w:szCs w:val="24"/>
        </w:rPr>
        <w:t>ffredy et al (2008) also included some NIPs from the acute setting,</w:t>
      </w:r>
      <w:r w:rsidR="00F16C86" w:rsidRPr="004C3C9B">
        <w:rPr>
          <w:rFonts w:ascii="Times New Roman" w:eastAsia="SimSun" w:hAnsi="Times New Roman" w:cs="Times New Roman"/>
          <w:bCs/>
          <w:sz w:val="24"/>
          <w:szCs w:val="24"/>
        </w:rPr>
        <w:t xml:space="preserve"> however,</w:t>
      </w:r>
      <w:r w:rsidR="00D65975" w:rsidRPr="004C3C9B">
        <w:rPr>
          <w:rFonts w:ascii="Times New Roman" w:eastAsia="SimSun" w:hAnsi="Times New Roman" w:cs="Times New Roman"/>
          <w:bCs/>
          <w:sz w:val="24"/>
          <w:szCs w:val="24"/>
        </w:rPr>
        <w:t xml:space="preserve"> the data was separated sufficiently to allow analysis of the findings from primary care NIPs only</w:t>
      </w:r>
      <w:r w:rsidR="005D631D" w:rsidRPr="004C3C9B">
        <w:rPr>
          <w:rFonts w:ascii="Times New Roman" w:eastAsia="SimSun" w:hAnsi="Times New Roman" w:cs="Times New Roman"/>
          <w:bCs/>
          <w:sz w:val="24"/>
          <w:szCs w:val="24"/>
        </w:rPr>
        <w:t>.</w:t>
      </w:r>
    </w:p>
    <w:p w:rsidR="00B54AA1" w:rsidRPr="004C3C9B" w:rsidRDefault="00B54AA1" w:rsidP="004C3C9B">
      <w:pPr>
        <w:spacing w:after="0" w:line="480" w:lineRule="auto"/>
        <w:jc w:val="both"/>
        <w:rPr>
          <w:rFonts w:ascii="Times New Roman" w:hAnsi="Times New Roman" w:cs="Times New Roman"/>
          <w:sz w:val="24"/>
          <w:szCs w:val="24"/>
        </w:rPr>
      </w:pPr>
    </w:p>
    <w:p w:rsidR="00FD4244" w:rsidRDefault="00B54AA1"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Findings and their supportive illustrations were extracted from the results section of the studies. The illustrations consisted of verbatim quotes from the study participants and are known as first order constructs. Second order constructs (findings) are the </w:t>
      </w:r>
      <w:r w:rsidR="00AE2DD3" w:rsidRPr="004C3C9B">
        <w:rPr>
          <w:rFonts w:ascii="Times New Roman" w:hAnsi="Times New Roman" w:cs="Times New Roman"/>
          <w:sz w:val="24"/>
          <w:szCs w:val="24"/>
        </w:rPr>
        <w:t xml:space="preserve">original </w:t>
      </w:r>
      <w:r w:rsidRPr="004C3C9B">
        <w:rPr>
          <w:rFonts w:ascii="Times New Roman" w:hAnsi="Times New Roman" w:cs="Times New Roman"/>
          <w:sz w:val="24"/>
          <w:szCs w:val="24"/>
        </w:rPr>
        <w:t>researchers’ interpretations of the data</w:t>
      </w:r>
      <w:r w:rsidR="000F2F45" w:rsidRPr="004C3C9B">
        <w:rPr>
          <w:rFonts w:ascii="Times New Roman" w:hAnsi="Times New Roman" w:cs="Times New Roman"/>
          <w:sz w:val="24"/>
          <w:szCs w:val="24"/>
        </w:rPr>
        <w:t xml:space="preserve">. The findings of the studies were then analysed multiple times and cross-compared to determine common themes or categories (third order constructs) </w:t>
      </w:r>
      <w:r w:rsidRPr="004C3C9B">
        <w:rPr>
          <w:rFonts w:ascii="Times New Roman" w:hAnsi="Times New Roman" w:cs="Times New Roman"/>
          <w:sz w:val="24"/>
          <w:szCs w:val="24"/>
        </w:rPr>
        <w:t xml:space="preserve">(Noblit and Hare 1988). </w:t>
      </w:r>
      <w:r w:rsidR="000F2F45" w:rsidRPr="004C3C9B">
        <w:rPr>
          <w:rFonts w:ascii="Times New Roman" w:hAnsi="Times New Roman" w:cs="Times New Roman"/>
          <w:sz w:val="24"/>
          <w:szCs w:val="24"/>
        </w:rPr>
        <w:t>A</w:t>
      </w:r>
      <w:r w:rsidR="00AE2DD3" w:rsidRPr="004C3C9B">
        <w:rPr>
          <w:rFonts w:ascii="Times New Roman" w:hAnsi="Times New Roman" w:cs="Times New Roman"/>
          <w:sz w:val="24"/>
          <w:szCs w:val="24"/>
        </w:rPr>
        <w:t xml:space="preserve"> total of 14 common </w:t>
      </w:r>
      <w:r w:rsidR="009D4258" w:rsidRPr="004C3C9B">
        <w:rPr>
          <w:rFonts w:ascii="Times New Roman" w:hAnsi="Times New Roman" w:cs="Times New Roman"/>
          <w:sz w:val="24"/>
          <w:szCs w:val="24"/>
        </w:rPr>
        <w:t xml:space="preserve">descriptive </w:t>
      </w:r>
      <w:r w:rsidR="00AE2DD3" w:rsidRPr="004C3C9B">
        <w:rPr>
          <w:rFonts w:ascii="Times New Roman" w:hAnsi="Times New Roman" w:cs="Times New Roman"/>
          <w:sz w:val="24"/>
          <w:szCs w:val="24"/>
        </w:rPr>
        <w:t xml:space="preserve">themes were </w:t>
      </w:r>
      <w:r w:rsidR="00AE2DD3" w:rsidRPr="004C3C9B">
        <w:rPr>
          <w:rFonts w:ascii="Times New Roman" w:hAnsi="Times New Roman" w:cs="Times New Roman"/>
          <w:sz w:val="24"/>
          <w:szCs w:val="24"/>
        </w:rPr>
        <w:lastRenderedPageBreak/>
        <w:t xml:space="preserve">identified across the articles included in the review. These </w:t>
      </w:r>
      <w:r w:rsidRPr="004C3C9B">
        <w:rPr>
          <w:rFonts w:ascii="Times New Roman" w:hAnsi="Times New Roman" w:cs="Times New Roman"/>
          <w:sz w:val="24"/>
          <w:szCs w:val="24"/>
        </w:rPr>
        <w:t>key themes</w:t>
      </w:r>
      <w:r w:rsidR="00AE2DD3" w:rsidRPr="004C3C9B">
        <w:rPr>
          <w:rFonts w:ascii="Times New Roman" w:hAnsi="Times New Roman" w:cs="Times New Roman"/>
          <w:sz w:val="24"/>
          <w:szCs w:val="24"/>
        </w:rPr>
        <w:t xml:space="preserve"> </w:t>
      </w:r>
      <w:r w:rsidR="009D4258" w:rsidRPr="004C3C9B">
        <w:rPr>
          <w:rFonts w:ascii="Times New Roman" w:hAnsi="Times New Roman" w:cs="Times New Roman"/>
          <w:sz w:val="24"/>
          <w:szCs w:val="24"/>
        </w:rPr>
        <w:t>were</w:t>
      </w:r>
      <w:r w:rsidR="00AE2DD3" w:rsidRPr="004C3C9B">
        <w:rPr>
          <w:rFonts w:ascii="Times New Roman" w:hAnsi="Times New Roman" w:cs="Times New Roman"/>
          <w:sz w:val="24"/>
          <w:szCs w:val="24"/>
        </w:rPr>
        <w:t xml:space="preserve"> further analysed</w:t>
      </w:r>
      <w:r w:rsidRPr="004C3C9B">
        <w:rPr>
          <w:rFonts w:ascii="Times New Roman" w:hAnsi="Times New Roman" w:cs="Times New Roman"/>
          <w:sz w:val="24"/>
          <w:szCs w:val="24"/>
        </w:rPr>
        <w:t xml:space="preserve"> to decipher the underpinning connotations </w:t>
      </w:r>
      <w:r w:rsidR="009D4258" w:rsidRPr="004C3C9B">
        <w:rPr>
          <w:rFonts w:ascii="Times New Roman" w:hAnsi="Times New Roman" w:cs="Times New Roman"/>
          <w:sz w:val="24"/>
          <w:szCs w:val="24"/>
        </w:rPr>
        <w:t>and similarities giving rise to t</w:t>
      </w:r>
      <w:r w:rsidR="00EF3605" w:rsidRPr="004C3C9B">
        <w:rPr>
          <w:rFonts w:ascii="Times New Roman" w:hAnsi="Times New Roman" w:cs="Times New Roman"/>
          <w:sz w:val="24"/>
          <w:szCs w:val="24"/>
        </w:rPr>
        <w:t xml:space="preserve">hree </w:t>
      </w:r>
      <w:r w:rsidR="00EF1817" w:rsidRPr="004C3C9B">
        <w:rPr>
          <w:rFonts w:ascii="Times New Roman" w:hAnsi="Times New Roman" w:cs="Times New Roman"/>
          <w:sz w:val="24"/>
          <w:szCs w:val="24"/>
        </w:rPr>
        <w:t>interpretive themes</w:t>
      </w:r>
      <w:r w:rsidR="009D4258" w:rsidRPr="004C3C9B">
        <w:rPr>
          <w:rFonts w:ascii="Times New Roman" w:hAnsi="Times New Roman" w:cs="Times New Roman"/>
          <w:sz w:val="24"/>
          <w:szCs w:val="24"/>
        </w:rPr>
        <w:t>:</w:t>
      </w:r>
      <w:r w:rsidR="00EF1817" w:rsidRPr="004C3C9B">
        <w:rPr>
          <w:rFonts w:ascii="Times New Roman" w:hAnsi="Times New Roman" w:cs="Times New Roman"/>
          <w:sz w:val="24"/>
          <w:szCs w:val="24"/>
        </w:rPr>
        <w:t xml:space="preserve"> perception of competence, perception of risk and impact upon the patient</w:t>
      </w:r>
      <w:r w:rsidR="009D4258" w:rsidRPr="004C3C9B">
        <w:rPr>
          <w:rFonts w:ascii="Times New Roman" w:hAnsi="Times New Roman" w:cs="Times New Roman"/>
          <w:sz w:val="24"/>
          <w:szCs w:val="24"/>
        </w:rPr>
        <w:t xml:space="preserve"> (Table 4)</w:t>
      </w:r>
      <w:r w:rsidR="00EF1817" w:rsidRPr="004C3C9B">
        <w:rPr>
          <w:rFonts w:ascii="Times New Roman" w:hAnsi="Times New Roman" w:cs="Times New Roman"/>
          <w:sz w:val="24"/>
          <w:szCs w:val="24"/>
        </w:rPr>
        <w:t xml:space="preserve">.  </w:t>
      </w:r>
    </w:p>
    <w:p w:rsidR="005A2204" w:rsidRPr="004C3C9B" w:rsidRDefault="005A2204" w:rsidP="004C3C9B">
      <w:pPr>
        <w:spacing w:after="0" w:line="480" w:lineRule="auto"/>
        <w:jc w:val="both"/>
        <w:rPr>
          <w:rFonts w:ascii="Times New Roman" w:hAnsi="Times New Roman" w:cs="Times New Roman"/>
          <w:sz w:val="24"/>
          <w:szCs w:val="24"/>
        </w:rPr>
      </w:pPr>
    </w:p>
    <w:tbl>
      <w:tblPr>
        <w:tblStyle w:val="PlainTable3"/>
        <w:tblW w:w="0" w:type="auto"/>
        <w:tblLook w:val="04A0" w:firstRow="1" w:lastRow="0" w:firstColumn="1" w:lastColumn="0" w:noHBand="0" w:noVBand="1"/>
      </w:tblPr>
      <w:tblGrid>
        <w:gridCol w:w="1830"/>
        <w:gridCol w:w="1957"/>
        <w:gridCol w:w="2123"/>
        <w:gridCol w:w="1460"/>
      </w:tblGrid>
      <w:tr w:rsidR="00420133" w:rsidRPr="004C3C9B" w:rsidTr="00513E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70" w:type="dxa"/>
            <w:gridSpan w:val="4"/>
          </w:tcPr>
          <w:p w:rsidR="00420133" w:rsidRPr="004C3C9B" w:rsidRDefault="00E304A4" w:rsidP="005A2204">
            <w:pPr>
              <w:spacing w:line="480" w:lineRule="auto"/>
              <w:rPr>
                <w:rFonts w:ascii="Times New Roman" w:hAnsi="Times New Roman" w:cs="Times New Roman"/>
                <w:b w:val="0"/>
                <w:sz w:val="24"/>
                <w:szCs w:val="24"/>
              </w:rPr>
            </w:pPr>
            <w:r w:rsidRPr="004C3C9B">
              <w:rPr>
                <w:rFonts w:ascii="Times New Roman" w:hAnsi="Times New Roman" w:cs="Times New Roman"/>
                <w:b w:val="0"/>
                <w:caps w:val="0"/>
                <w:sz w:val="24"/>
                <w:szCs w:val="24"/>
              </w:rPr>
              <w:t xml:space="preserve">Table </w:t>
            </w:r>
            <w:r w:rsidR="00051797" w:rsidRPr="004C3C9B">
              <w:rPr>
                <w:rFonts w:ascii="Times New Roman" w:hAnsi="Times New Roman" w:cs="Times New Roman"/>
                <w:b w:val="0"/>
                <w:caps w:val="0"/>
                <w:sz w:val="24"/>
                <w:szCs w:val="24"/>
              </w:rPr>
              <w:t>4</w:t>
            </w:r>
            <w:r w:rsidR="00420133" w:rsidRPr="004C3C9B">
              <w:rPr>
                <w:rFonts w:ascii="Times New Roman" w:hAnsi="Times New Roman" w:cs="Times New Roman"/>
                <w:b w:val="0"/>
                <w:sz w:val="24"/>
                <w:szCs w:val="24"/>
              </w:rPr>
              <w:t xml:space="preserve">: </w:t>
            </w:r>
            <w:r w:rsidRPr="004C3C9B">
              <w:rPr>
                <w:rFonts w:ascii="Times New Roman" w:hAnsi="Times New Roman" w:cs="Times New Roman"/>
                <w:b w:val="0"/>
                <w:caps w:val="0"/>
                <w:sz w:val="24"/>
                <w:szCs w:val="24"/>
              </w:rPr>
              <w:t>Development of Themes</w:t>
            </w:r>
          </w:p>
        </w:tc>
      </w:tr>
      <w:tr w:rsidR="00420133" w:rsidRPr="004C3C9B" w:rsidTr="0092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420133" w:rsidRPr="004C3C9B" w:rsidRDefault="009D4258" w:rsidP="005A2204">
            <w:pPr>
              <w:spacing w:line="480" w:lineRule="auto"/>
              <w:rPr>
                <w:rFonts w:ascii="Times New Roman" w:hAnsi="Times New Roman" w:cs="Times New Roman"/>
                <w:sz w:val="24"/>
                <w:szCs w:val="24"/>
              </w:rPr>
            </w:pPr>
            <w:r w:rsidRPr="004C3C9B">
              <w:rPr>
                <w:rFonts w:ascii="Times New Roman" w:hAnsi="Times New Roman" w:cs="Times New Roman"/>
                <w:sz w:val="24"/>
                <w:szCs w:val="24"/>
              </w:rPr>
              <w:t xml:space="preserve">ANALYTICAL </w:t>
            </w:r>
            <w:r w:rsidR="00420133" w:rsidRPr="004C3C9B">
              <w:rPr>
                <w:rFonts w:ascii="Times New Roman" w:hAnsi="Times New Roman" w:cs="Times New Roman"/>
                <w:sz w:val="24"/>
                <w:szCs w:val="24"/>
              </w:rPr>
              <w:t>Theme</w:t>
            </w:r>
          </w:p>
        </w:tc>
        <w:tc>
          <w:tcPr>
            <w:tcW w:w="1957"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C3C9B">
              <w:rPr>
                <w:rFonts w:ascii="Times New Roman" w:hAnsi="Times New Roman" w:cs="Times New Roman"/>
                <w:i/>
                <w:sz w:val="24"/>
                <w:szCs w:val="24"/>
              </w:rPr>
              <w:t xml:space="preserve">Perception </w:t>
            </w:r>
            <w:r w:rsidR="00E304A4" w:rsidRPr="004C3C9B">
              <w:rPr>
                <w:rFonts w:ascii="Times New Roman" w:hAnsi="Times New Roman" w:cs="Times New Roman"/>
                <w:i/>
                <w:sz w:val="24"/>
                <w:szCs w:val="24"/>
              </w:rPr>
              <w:t>of</w:t>
            </w:r>
            <w:r w:rsidRPr="004C3C9B">
              <w:rPr>
                <w:rFonts w:ascii="Times New Roman" w:hAnsi="Times New Roman" w:cs="Times New Roman"/>
                <w:i/>
                <w:sz w:val="24"/>
                <w:szCs w:val="24"/>
              </w:rPr>
              <w:t xml:space="preserve"> Competence</w:t>
            </w:r>
          </w:p>
        </w:tc>
        <w:tc>
          <w:tcPr>
            <w:tcW w:w="2123"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C3C9B">
              <w:rPr>
                <w:rFonts w:ascii="Times New Roman" w:hAnsi="Times New Roman" w:cs="Times New Roman"/>
                <w:i/>
                <w:sz w:val="24"/>
                <w:szCs w:val="24"/>
              </w:rPr>
              <w:t>Perception of Risk</w:t>
            </w:r>
          </w:p>
        </w:tc>
        <w:tc>
          <w:tcPr>
            <w:tcW w:w="1460"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C3C9B">
              <w:rPr>
                <w:rFonts w:ascii="Times New Roman" w:hAnsi="Times New Roman" w:cs="Times New Roman"/>
                <w:i/>
                <w:sz w:val="24"/>
                <w:szCs w:val="24"/>
              </w:rPr>
              <w:t>Impact on the Patient</w:t>
            </w:r>
          </w:p>
        </w:tc>
      </w:tr>
      <w:tr w:rsidR="00420133" w:rsidRPr="004C3C9B" w:rsidTr="00921635">
        <w:tc>
          <w:tcPr>
            <w:cnfStyle w:val="001000000000" w:firstRow="0" w:lastRow="0" w:firstColumn="1" w:lastColumn="0" w:oddVBand="0" w:evenVBand="0" w:oddHBand="0" w:evenHBand="0" w:firstRowFirstColumn="0" w:firstRowLastColumn="0" w:lastRowFirstColumn="0" w:lastRowLastColumn="0"/>
            <w:tcW w:w="1830" w:type="dxa"/>
            <w:vMerge w:val="restart"/>
            <w:textDirection w:val="btLr"/>
          </w:tcPr>
          <w:p w:rsidR="00420133" w:rsidRPr="004C3C9B" w:rsidRDefault="009D4258" w:rsidP="005A2204">
            <w:pPr>
              <w:spacing w:line="480" w:lineRule="auto"/>
              <w:jc w:val="center"/>
              <w:rPr>
                <w:rFonts w:ascii="Times New Roman" w:hAnsi="Times New Roman" w:cs="Times New Roman"/>
                <w:sz w:val="24"/>
                <w:szCs w:val="24"/>
              </w:rPr>
            </w:pPr>
            <w:r w:rsidRPr="004C3C9B">
              <w:rPr>
                <w:rFonts w:ascii="Times New Roman" w:hAnsi="Times New Roman" w:cs="Times New Roman"/>
                <w:sz w:val="24"/>
                <w:szCs w:val="24"/>
              </w:rPr>
              <w:t>dESCRPTIVE THEME</w:t>
            </w:r>
          </w:p>
        </w:tc>
        <w:tc>
          <w:tcPr>
            <w:tcW w:w="1957" w:type="dxa"/>
          </w:tcPr>
          <w:p w:rsidR="00420133" w:rsidRPr="004C3C9B" w:rsidRDefault="00420133" w:rsidP="005A220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Knowledge and skills</w:t>
            </w:r>
          </w:p>
        </w:tc>
        <w:tc>
          <w:tcPr>
            <w:tcW w:w="2123" w:type="dxa"/>
          </w:tcPr>
          <w:p w:rsidR="00420133" w:rsidRPr="004C3C9B" w:rsidRDefault="00E304A4"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Responsibility and accountability</w:t>
            </w:r>
          </w:p>
        </w:tc>
        <w:tc>
          <w:tcPr>
            <w:tcW w:w="1460" w:type="dxa"/>
          </w:tcPr>
          <w:p w:rsidR="00420133" w:rsidRPr="004C3C9B" w:rsidRDefault="00E304A4"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Clinical need</w:t>
            </w:r>
          </w:p>
        </w:tc>
      </w:tr>
      <w:tr w:rsidR="00420133" w:rsidRPr="004C3C9B" w:rsidTr="0092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Merge/>
          </w:tcPr>
          <w:p w:rsidR="00420133" w:rsidRPr="004C3C9B" w:rsidRDefault="00420133" w:rsidP="005A2204">
            <w:pPr>
              <w:spacing w:line="480" w:lineRule="auto"/>
              <w:rPr>
                <w:rFonts w:ascii="Times New Roman" w:hAnsi="Times New Roman" w:cs="Times New Roman"/>
                <w:sz w:val="24"/>
                <w:szCs w:val="24"/>
              </w:rPr>
            </w:pPr>
          </w:p>
        </w:tc>
        <w:tc>
          <w:tcPr>
            <w:tcW w:w="1957"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Prescribing experience</w:t>
            </w:r>
          </w:p>
        </w:tc>
        <w:tc>
          <w:tcPr>
            <w:tcW w:w="2123" w:type="dxa"/>
          </w:tcPr>
          <w:p w:rsidR="00420133" w:rsidRPr="004C3C9B" w:rsidRDefault="00E304A4"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Role</w:t>
            </w:r>
          </w:p>
        </w:tc>
        <w:tc>
          <w:tcPr>
            <w:tcW w:w="1460" w:type="dxa"/>
          </w:tcPr>
          <w:p w:rsidR="00420133" w:rsidRPr="004C3C9B" w:rsidRDefault="00E304A4"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Patient adherence</w:t>
            </w:r>
          </w:p>
        </w:tc>
      </w:tr>
      <w:tr w:rsidR="00420133" w:rsidRPr="004C3C9B" w:rsidTr="00921635">
        <w:tc>
          <w:tcPr>
            <w:cnfStyle w:val="001000000000" w:firstRow="0" w:lastRow="0" w:firstColumn="1" w:lastColumn="0" w:oddVBand="0" w:evenVBand="0" w:oddHBand="0" w:evenHBand="0" w:firstRowFirstColumn="0" w:firstRowLastColumn="0" w:lastRowFirstColumn="0" w:lastRowLastColumn="0"/>
            <w:tcW w:w="1830" w:type="dxa"/>
            <w:vMerge/>
          </w:tcPr>
          <w:p w:rsidR="00420133" w:rsidRPr="004C3C9B" w:rsidRDefault="00420133" w:rsidP="005A2204">
            <w:pPr>
              <w:spacing w:line="480" w:lineRule="auto"/>
              <w:rPr>
                <w:rFonts w:ascii="Times New Roman" w:hAnsi="Times New Roman" w:cs="Times New Roman"/>
                <w:sz w:val="24"/>
                <w:szCs w:val="24"/>
              </w:rPr>
            </w:pPr>
          </w:p>
        </w:tc>
        <w:tc>
          <w:tcPr>
            <w:tcW w:w="1957" w:type="dxa"/>
          </w:tcPr>
          <w:p w:rsidR="00420133" w:rsidRPr="004C3C9B" w:rsidRDefault="00420133"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Education, training and support</w:t>
            </w:r>
          </w:p>
        </w:tc>
        <w:tc>
          <w:tcPr>
            <w:tcW w:w="2123" w:type="dxa"/>
          </w:tcPr>
          <w:p w:rsidR="00420133" w:rsidRPr="004C3C9B" w:rsidRDefault="00E304A4"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Pressure from colleagues</w:t>
            </w:r>
          </w:p>
        </w:tc>
        <w:tc>
          <w:tcPr>
            <w:tcW w:w="1460" w:type="dxa"/>
          </w:tcPr>
          <w:p w:rsidR="00420133" w:rsidRPr="004C3C9B" w:rsidRDefault="00E304A4"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Financial implications</w:t>
            </w:r>
          </w:p>
        </w:tc>
      </w:tr>
      <w:tr w:rsidR="00420133" w:rsidRPr="004C3C9B" w:rsidTr="0092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Merge/>
          </w:tcPr>
          <w:p w:rsidR="00420133" w:rsidRPr="004C3C9B" w:rsidRDefault="00420133" w:rsidP="005A2204">
            <w:pPr>
              <w:spacing w:line="480" w:lineRule="auto"/>
              <w:rPr>
                <w:rFonts w:ascii="Times New Roman" w:hAnsi="Times New Roman" w:cs="Times New Roman"/>
                <w:sz w:val="24"/>
                <w:szCs w:val="24"/>
              </w:rPr>
            </w:pPr>
          </w:p>
        </w:tc>
        <w:tc>
          <w:tcPr>
            <w:tcW w:w="1957" w:type="dxa"/>
          </w:tcPr>
          <w:p w:rsidR="00420133" w:rsidRPr="004C3C9B" w:rsidRDefault="00E304A4"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Advice from colleagues</w:t>
            </w:r>
          </w:p>
        </w:tc>
        <w:tc>
          <w:tcPr>
            <w:tcW w:w="2123" w:type="dxa"/>
          </w:tcPr>
          <w:p w:rsidR="00420133" w:rsidRPr="004C3C9B" w:rsidRDefault="00E304A4"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Pressure from patients</w:t>
            </w:r>
          </w:p>
        </w:tc>
        <w:tc>
          <w:tcPr>
            <w:tcW w:w="1460"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0133" w:rsidRPr="004C3C9B" w:rsidTr="00921635">
        <w:tc>
          <w:tcPr>
            <w:cnfStyle w:val="001000000000" w:firstRow="0" w:lastRow="0" w:firstColumn="1" w:lastColumn="0" w:oddVBand="0" w:evenVBand="0" w:oddHBand="0" w:evenHBand="0" w:firstRowFirstColumn="0" w:firstRowLastColumn="0" w:lastRowFirstColumn="0" w:lastRowLastColumn="0"/>
            <w:tcW w:w="1830" w:type="dxa"/>
            <w:vMerge/>
          </w:tcPr>
          <w:p w:rsidR="00420133" w:rsidRPr="004C3C9B" w:rsidRDefault="00420133" w:rsidP="005A2204">
            <w:pPr>
              <w:spacing w:line="480" w:lineRule="auto"/>
              <w:rPr>
                <w:rFonts w:ascii="Times New Roman" w:hAnsi="Times New Roman" w:cs="Times New Roman"/>
                <w:sz w:val="24"/>
                <w:szCs w:val="24"/>
              </w:rPr>
            </w:pPr>
          </w:p>
        </w:tc>
        <w:tc>
          <w:tcPr>
            <w:tcW w:w="1957" w:type="dxa"/>
          </w:tcPr>
          <w:p w:rsidR="00420133" w:rsidRPr="004C3C9B" w:rsidRDefault="00E304A4"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Guidelines, protocols, policies and evidence based-practice</w:t>
            </w:r>
          </w:p>
        </w:tc>
        <w:tc>
          <w:tcPr>
            <w:tcW w:w="2123" w:type="dxa"/>
          </w:tcPr>
          <w:p w:rsidR="00420133" w:rsidRPr="004C3C9B" w:rsidRDefault="00E304A4"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Demographics of patient</w:t>
            </w:r>
          </w:p>
        </w:tc>
        <w:tc>
          <w:tcPr>
            <w:tcW w:w="1460" w:type="dxa"/>
          </w:tcPr>
          <w:p w:rsidR="00420133" w:rsidRPr="004C3C9B" w:rsidRDefault="00420133" w:rsidP="005A220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0133" w:rsidRPr="004C3C9B" w:rsidTr="00921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vMerge/>
          </w:tcPr>
          <w:p w:rsidR="00420133" w:rsidRPr="004C3C9B" w:rsidRDefault="00420133" w:rsidP="005A2204">
            <w:pPr>
              <w:spacing w:line="480" w:lineRule="auto"/>
              <w:rPr>
                <w:rFonts w:ascii="Times New Roman" w:hAnsi="Times New Roman" w:cs="Times New Roman"/>
                <w:sz w:val="24"/>
                <w:szCs w:val="24"/>
              </w:rPr>
            </w:pPr>
          </w:p>
        </w:tc>
        <w:tc>
          <w:tcPr>
            <w:tcW w:w="1957"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3" w:type="dxa"/>
          </w:tcPr>
          <w:p w:rsidR="00420133" w:rsidRPr="004C3C9B" w:rsidRDefault="00E304A4"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3C9B">
              <w:rPr>
                <w:rFonts w:ascii="Times New Roman" w:hAnsi="Times New Roman" w:cs="Times New Roman"/>
                <w:sz w:val="24"/>
                <w:szCs w:val="24"/>
              </w:rPr>
              <w:t>Access to medical records is vital</w:t>
            </w:r>
          </w:p>
        </w:tc>
        <w:tc>
          <w:tcPr>
            <w:tcW w:w="1460" w:type="dxa"/>
          </w:tcPr>
          <w:p w:rsidR="00420133" w:rsidRPr="004C3C9B" w:rsidRDefault="00420133" w:rsidP="005A220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C4A50" w:rsidRPr="008109B2" w:rsidRDefault="007C4A50" w:rsidP="004C3C9B">
      <w:pPr>
        <w:spacing w:after="0" w:line="480" w:lineRule="auto"/>
        <w:jc w:val="both"/>
        <w:rPr>
          <w:rFonts w:ascii="Times New Roman" w:hAnsi="Times New Roman" w:cs="Times New Roman"/>
          <w:sz w:val="24"/>
          <w:szCs w:val="24"/>
        </w:rPr>
      </w:pPr>
    </w:p>
    <w:p w:rsidR="00F257D1" w:rsidRPr="004C3C9B" w:rsidRDefault="00D7075B" w:rsidP="004C3C9B">
      <w:pPr>
        <w:spacing w:after="0" w:line="480" w:lineRule="auto"/>
        <w:jc w:val="both"/>
        <w:rPr>
          <w:rFonts w:ascii="Times New Roman" w:hAnsi="Times New Roman" w:cs="Times New Roman"/>
          <w:b/>
          <w:sz w:val="24"/>
          <w:szCs w:val="24"/>
          <w:u w:val="single"/>
        </w:rPr>
      </w:pPr>
      <w:r w:rsidRPr="004C3C9B">
        <w:rPr>
          <w:rFonts w:ascii="Times New Roman" w:hAnsi="Times New Roman" w:cs="Times New Roman"/>
          <w:b/>
          <w:sz w:val="24"/>
          <w:szCs w:val="24"/>
          <w:u w:val="single"/>
        </w:rPr>
        <w:lastRenderedPageBreak/>
        <w:t>Discuss</w:t>
      </w:r>
      <w:r w:rsidR="00B84E81" w:rsidRPr="004C3C9B">
        <w:rPr>
          <w:rFonts w:ascii="Times New Roman" w:hAnsi="Times New Roman" w:cs="Times New Roman"/>
          <w:b/>
          <w:sz w:val="24"/>
          <w:szCs w:val="24"/>
          <w:u w:val="single"/>
        </w:rPr>
        <w:t>i</w:t>
      </w:r>
      <w:r w:rsidRPr="004C3C9B">
        <w:rPr>
          <w:rFonts w:ascii="Times New Roman" w:hAnsi="Times New Roman" w:cs="Times New Roman"/>
          <w:b/>
          <w:sz w:val="24"/>
          <w:szCs w:val="24"/>
          <w:u w:val="single"/>
        </w:rPr>
        <w:t>on</w:t>
      </w:r>
    </w:p>
    <w:p w:rsidR="00F257D1" w:rsidRPr="004C3C9B" w:rsidRDefault="00F257D1" w:rsidP="004C3C9B">
      <w:pPr>
        <w:spacing w:after="0" w:line="480" w:lineRule="auto"/>
        <w:jc w:val="both"/>
        <w:rPr>
          <w:rFonts w:ascii="Times New Roman" w:hAnsi="Times New Roman" w:cs="Times New Roman"/>
          <w:b/>
          <w:sz w:val="24"/>
          <w:szCs w:val="24"/>
          <w:u w:val="single"/>
        </w:rPr>
      </w:pPr>
    </w:p>
    <w:p w:rsidR="003F730C" w:rsidRPr="004C3C9B" w:rsidRDefault="00A83DAF" w:rsidP="004C3C9B">
      <w:pPr>
        <w:spacing w:after="0" w:line="480" w:lineRule="auto"/>
        <w:jc w:val="both"/>
        <w:rPr>
          <w:rFonts w:ascii="Times New Roman" w:hAnsi="Times New Roman" w:cs="Times New Roman"/>
          <w:b/>
          <w:sz w:val="24"/>
          <w:szCs w:val="24"/>
          <w:u w:val="single"/>
        </w:rPr>
      </w:pPr>
      <w:r w:rsidRPr="004C3C9B">
        <w:rPr>
          <w:rFonts w:ascii="Times New Roman" w:hAnsi="Times New Roman" w:cs="Times New Roman"/>
          <w:sz w:val="24"/>
          <w:szCs w:val="24"/>
        </w:rPr>
        <w:t>T</w:t>
      </w:r>
      <w:r w:rsidR="003F730C" w:rsidRPr="004C3C9B">
        <w:rPr>
          <w:rFonts w:ascii="Times New Roman" w:hAnsi="Times New Roman" w:cs="Times New Roman"/>
          <w:sz w:val="24"/>
          <w:szCs w:val="24"/>
        </w:rPr>
        <w:t xml:space="preserve">here is a distinct paucity of research investigating the decision-making process of </w:t>
      </w:r>
      <w:r w:rsidR="00915139" w:rsidRPr="004C3C9B">
        <w:rPr>
          <w:rFonts w:ascii="Times New Roman" w:hAnsi="Times New Roman" w:cs="Times New Roman"/>
          <w:sz w:val="24"/>
          <w:szCs w:val="24"/>
        </w:rPr>
        <w:t>NIPs</w:t>
      </w:r>
      <w:r w:rsidR="003F730C" w:rsidRPr="004C3C9B">
        <w:rPr>
          <w:rFonts w:ascii="Times New Roman" w:hAnsi="Times New Roman" w:cs="Times New Roman"/>
          <w:sz w:val="24"/>
          <w:szCs w:val="24"/>
        </w:rPr>
        <w:t xml:space="preserve"> in primary care in the UK. Much of the research available investigates GP prescribing practices or focuses on </w:t>
      </w:r>
      <w:r w:rsidR="00FC0F43" w:rsidRPr="004C3C9B">
        <w:rPr>
          <w:rFonts w:ascii="Times New Roman" w:hAnsi="Times New Roman" w:cs="Times New Roman"/>
          <w:sz w:val="24"/>
          <w:szCs w:val="24"/>
        </w:rPr>
        <w:t xml:space="preserve">the overall </w:t>
      </w:r>
      <w:r w:rsidR="008B4CDF" w:rsidRPr="004C3C9B">
        <w:rPr>
          <w:rFonts w:ascii="Times New Roman" w:hAnsi="Times New Roman" w:cs="Times New Roman"/>
          <w:sz w:val="24"/>
          <w:szCs w:val="24"/>
        </w:rPr>
        <w:t xml:space="preserve">prescribing experience </w:t>
      </w:r>
      <w:r w:rsidR="003F730C" w:rsidRPr="004C3C9B">
        <w:rPr>
          <w:rFonts w:ascii="Times New Roman" w:hAnsi="Times New Roman" w:cs="Times New Roman"/>
          <w:sz w:val="24"/>
          <w:szCs w:val="24"/>
        </w:rPr>
        <w:t xml:space="preserve">(Maddox 2011). This is corroborated by McIntosh et al (2014) who conducted a systematic review investigating the social and cognitive factors affecting the prescribing decisions of </w:t>
      </w:r>
      <w:r w:rsidR="00915139" w:rsidRPr="004C3C9B">
        <w:rPr>
          <w:rFonts w:ascii="Times New Roman" w:hAnsi="Times New Roman" w:cs="Times New Roman"/>
          <w:sz w:val="24"/>
          <w:szCs w:val="24"/>
        </w:rPr>
        <w:t>non-medical</w:t>
      </w:r>
      <w:r w:rsidR="003F730C" w:rsidRPr="004C3C9B">
        <w:rPr>
          <w:rFonts w:ascii="Times New Roman" w:hAnsi="Times New Roman" w:cs="Times New Roman"/>
          <w:sz w:val="24"/>
          <w:szCs w:val="24"/>
        </w:rPr>
        <w:t xml:space="preserve"> and supplementary prescribers in the UK. </w:t>
      </w:r>
      <w:r w:rsidR="00133634" w:rsidRPr="004C3C9B">
        <w:rPr>
          <w:rFonts w:ascii="Times New Roman" w:hAnsi="Times New Roman" w:cs="Times New Roman"/>
          <w:sz w:val="24"/>
          <w:szCs w:val="24"/>
        </w:rPr>
        <w:t>T</w:t>
      </w:r>
      <w:r w:rsidR="003F730C" w:rsidRPr="004C3C9B">
        <w:rPr>
          <w:rFonts w:ascii="Times New Roman" w:hAnsi="Times New Roman" w:cs="Times New Roman"/>
          <w:sz w:val="24"/>
          <w:szCs w:val="24"/>
        </w:rPr>
        <w:t xml:space="preserve">hey only retrieved 3 primary studies, which is far less than this review, but demonstrates the noticeable lack of primary research available in this area. </w:t>
      </w:r>
    </w:p>
    <w:p w:rsidR="003F730C" w:rsidRPr="004C3C9B" w:rsidRDefault="003F730C" w:rsidP="004C3C9B">
      <w:pPr>
        <w:spacing w:after="0" w:line="480" w:lineRule="auto"/>
        <w:jc w:val="both"/>
        <w:rPr>
          <w:rFonts w:ascii="Times New Roman" w:hAnsi="Times New Roman" w:cs="Times New Roman"/>
          <w:sz w:val="24"/>
          <w:szCs w:val="24"/>
        </w:rPr>
      </w:pPr>
    </w:p>
    <w:p w:rsidR="003F730C" w:rsidRPr="004C3C9B" w:rsidRDefault="003F730C"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Despite </w:t>
      </w:r>
      <w:r w:rsidR="006235D4" w:rsidRPr="004C3C9B">
        <w:rPr>
          <w:rFonts w:ascii="Times New Roman" w:hAnsi="Times New Roman" w:cs="Times New Roman"/>
          <w:sz w:val="24"/>
          <w:szCs w:val="24"/>
        </w:rPr>
        <w:t>the limited number</w:t>
      </w:r>
      <w:r w:rsidRPr="004C3C9B">
        <w:rPr>
          <w:rFonts w:ascii="Times New Roman" w:hAnsi="Times New Roman" w:cs="Times New Roman"/>
          <w:sz w:val="24"/>
          <w:szCs w:val="24"/>
        </w:rPr>
        <w:t xml:space="preserve">, the studies retrieved for this review were found to be conceptually rich and provided a valuable insight into the phenomena of interest. </w:t>
      </w:r>
      <w:r w:rsidR="00AA7626" w:rsidRPr="004C3C9B">
        <w:rPr>
          <w:rFonts w:ascii="Times New Roman" w:hAnsi="Times New Roman" w:cs="Times New Roman"/>
          <w:sz w:val="24"/>
          <w:szCs w:val="24"/>
        </w:rPr>
        <w:t>Consequently</w:t>
      </w:r>
      <w:r w:rsidR="00CE68B1" w:rsidRPr="004C3C9B">
        <w:rPr>
          <w:rFonts w:ascii="Times New Roman" w:hAnsi="Times New Roman" w:cs="Times New Roman"/>
          <w:sz w:val="24"/>
          <w:szCs w:val="24"/>
        </w:rPr>
        <w:t>, one would assume that as the role of NIPs has evolved over the years, the studies undertaken when nurse prescribing was in its infancy would demonstrate a differing view of decision-making comp</w:t>
      </w:r>
      <w:r w:rsidR="00516080" w:rsidRPr="004C3C9B">
        <w:rPr>
          <w:rFonts w:ascii="Times New Roman" w:hAnsi="Times New Roman" w:cs="Times New Roman"/>
          <w:sz w:val="24"/>
          <w:szCs w:val="24"/>
        </w:rPr>
        <w:t>ared to the more recent studies. H</w:t>
      </w:r>
      <w:r w:rsidR="00CE68B1" w:rsidRPr="004C3C9B">
        <w:rPr>
          <w:rFonts w:ascii="Times New Roman" w:hAnsi="Times New Roman" w:cs="Times New Roman"/>
          <w:sz w:val="24"/>
          <w:szCs w:val="24"/>
        </w:rPr>
        <w:t>owever</w:t>
      </w:r>
      <w:r w:rsidR="00516080" w:rsidRPr="004C3C9B">
        <w:rPr>
          <w:rFonts w:ascii="Times New Roman" w:hAnsi="Times New Roman" w:cs="Times New Roman"/>
          <w:sz w:val="24"/>
          <w:szCs w:val="24"/>
        </w:rPr>
        <w:t>,</w:t>
      </w:r>
      <w:r w:rsidR="00CE68B1" w:rsidRPr="004C3C9B">
        <w:rPr>
          <w:rFonts w:ascii="Times New Roman" w:hAnsi="Times New Roman" w:cs="Times New Roman"/>
          <w:sz w:val="24"/>
          <w:szCs w:val="24"/>
        </w:rPr>
        <w:t xml:space="preserve"> on analysis of the findings, it became evident that there</w:t>
      </w:r>
      <w:r w:rsidRPr="004C3C9B">
        <w:rPr>
          <w:rFonts w:ascii="Times New Roman" w:hAnsi="Times New Roman" w:cs="Times New Roman"/>
          <w:sz w:val="24"/>
          <w:szCs w:val="24"/>
        </w:rPr>
        <w:t xml:space="preserve"> were many common themes across all studies</w:t>
      </w:r>
      <w:r w:rsidR="00CE68B1" w:rsidRPr="004C3C9B">
        <w:rPr>
          <w:rFonts w:ascii="Times New Roman" w:hAnsi="Times New Roman" w:cs="Times New Roman"/>
          <w:sz w:val="24"/>
          <w:szCs w:val="24"/>
        </w:rPr>
        <w:t xml:space="preserve">. </w:t>
      </w:r>
      <w:r w:rsidR="00516080" w:rsidRPr="004C3C9B">
        <w:rPr>
          <w:rFonts w:ascii="Times New Roman" w:hAnsi="Times New Roman" w:cs="Times New Roman"/>
          <w:sz w:val="24"/>
          <w:szCs w:val="24"/>
        </w:rPr>
        <w:t>For example, NIPs in the studies by b</w:t>
      </w:r>
      <w:r w:rsidR="00CE68B1" w:rsidRPr="004C3C9B">
        <w:rPr>
          <w:rFonts w:ascii="Times New Roman" w:hAnsi="Times New Roman" w:cs="Times New Roman"/>
          <w:sz w:val="24"/>
          <w:szCs w:val="24"/>
        </w:rPr>
        <w:t xml:space="preserve">oth Luker et al (1998) and Herklots et al (2015) cited advice from GP colleagues </w:t>
      </w:r>
      <w:r w:rsidR="00516080" w:rsidRPr="004C3C9B">
        <w:rPr>
          <w:rFonts w:ascii="Times New Roman" w:hAnsi="Times New Roman" w:cs="Times New Roman"/>
          <w:sz w:val="24"/>
          <w:szCs w:val="24"/>
        </w:rPr>
        <w:t>as having a significant impact upon their decision</w:t>
      </w:r>
      <w:r w:rsidR="00CE68B1" w:rsidRPr="004C3C9B">
        <w:rPr>
          <w:rFonts w:ascii="Times New Roman" w:hAnsi="Times New Roman" w:cs="Times New Roman"/>
          <w:sz w:val="24"/>
          <w:szCs w:val="24"/>
        </w:rPr>
        <w:t xml:space="preserve"> </w:t>
      </w:r>
      <w:r w:rsidR="00516080" w:rsidRPr="004C3C9B">
        <w:rPr>
          <w:rFonts w:ascii="Times New Roman" w:hAnsi="Times New Roman" w:cs="Times New Roman"/>
          <w:sz w:val="24"/>
          <w:szCs w:val="24"/>
        </w:rPr>
        <w:t xml:space="preserve">to prescribe a specific medication when faced with several options. </w:t>
      </w:r>
      <w:r w:rsidR="00AA7626" w:rsidRPr="004C3C9B">
        <w:rPr>
          <w:rFonts w:ascii="Times New Roman" w:hAnsi="Times New Roman" w:cs="Times New Roman"/>
          <w:sz w:val="24"/>
          <w:szCs w:val="24"/>
        </w:rPr>
        <w:t xml:space="preserve">The insight offered by reviewing studies that cover the progression of NIP </w:t>
      </w:r>
      <w:r w:rsidRPr="004C3C9B">
        <w:rPr>
          <w:rFonts w:ascii="Times New Roman" w:hAnsi="Times New Roman" w:cs="Times New Roman"/>
          <w:sz w:val="24"/>
          <w:szCs w:val="24"/>
        </w:rPr>
        <w:t>is pivotal in t</w:t>
      </w:r>
      <w:r w:rsidR="002055AF" w:rsidRPr="004C3C9B">
        <w:rPr>
          <w:rFonts w:ascii="Times New Roman" w:hAnsi="Times New Roman" w:cs="Times New Roman"/>
          <w:sz w:val="24"/>
          <w:szCs w:val="24"/>
        </w:rPr>
        <w:t>horoughly</w:t>
      </w:r>
      <w:r w:rsidRPr="004C3C9B">
        <w:rPr>
          <w:rFonts w:ascii="Times New Roman" w:hAnsi="Times New Roman" w:cs="Times New Roman"/>
          <w:sz w:val="24"/>
          <w:szCs w:val="24"/>
        </w:rPr>
        <w:t xml:space="preserve"> understanding what impacts upon </w:t>
      </w:r>
      <w:r w:rsidR="008E2585" w:rsidRPr="004C3C9B">
        <w:rPr>
          <w:rFonts w:ascii="Times New Roman" w:hAnsi="Times New Roman" w:cs="Times New Roman"/>
          <w:sz w:val="24"/>
          <w:szCs w:val="24"/>
        </w:rPr>
        <w:t>NIPs</w:t>
      </w:r>
      <w:r w:rsidRPr="004C3C9B">
        <w:rPr>
          <w:rFonts w:ascii="Times New Roman" w:hAnsi="Times New Roman" w:cs="Times New Roman"/>
          <w:sz w:val="24"/>
          <w:szCs w:val="24"/>
        </w:rPr>
        <w:t xml:space="preserve"> prescribing decisions.</w:t>
      </w:r>
    </w:p>
    <w:p w:rsidR="00A83DAF" w:rsidRPr="004C3C9B" w:rsidRDefault="002A4595"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i/>
          <w:sz w:val="24"/>
          <w:szCs w:val="24"/>
          <w:u w:val="single"/>
        </w:rPr>
        <w:lastRenderedPageBreak/>
        <w:t>Perception of Competence</w:t>
      </w:r>
    </w:p>
    <w:p w:rsidR="002A4595" w:rsidRPr="004C3C9B" w:rsidRDefault="002A4595" w:rsidP="004C3C9B">
      <w:pPr>
        <w:spacing w:after="0" w:line="480" w:lineRule="auto"/>
        <w:jc w:val="both"/>
        <w:rPr>
          <w:rFonts w:ascii="Times New Roman" w:hAnsi="Times New Roman" w:cs="Times New Roman"/>
          <w:sz w:val="24"/>
          <w:szCs w:val="24"/>
        </w:rPr>
      </w:pPr>
    </w:p>
    <w:p w:rsidR="00A83DAF"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The concept of competence is integral not only to the role of prescribing, but in nursing and healthcare practice in general (Banning 2012). Competence is defined as a person’s capacity to undertake a specific role or task successfully </w:t>
      </w:r>
      <w:r w:rsidR="002055AF" w:rsidRPr="004C3C9B">
        <w:rPr>
          <w:rFonts w:ascii="Times New Roman" w:hAnsi="Times New Roman" w:cs="Times New Roman"/>
          <w:sz w:val="24"/>
          <w:szCs w:val="24"/>
        </w:rPr>
        <w:t>because of</w:t>
      </w:r>
      <w:r w:rsidRPr="004C3C9B">
        <w:rPr>
          <w:rFonts w:ascii="Times New Roman" w:hAnsi="Times New Roman" w:cs="Times New Roman"/>
          <w:sz w:val="24"/>
          <w:szCs w:val="24"/>
        </w:rPr>
        <w:t xml:space="preserve"> possessing the required knowledge, skills or experience (Pijl-Zieber et al 2014).  Each specific trait is a single competency, and by improving these qualities a practitioner becomes more </w:t>
      </w:r>
      <w:r w:rsidR="00BF3200" w:rsidRPr="004C3C9B">
        <w:rPr>
          <w:rFonts w:ascii="Times New Roman" w:hAnsi="Times New Roman" w:cs="Times New Roman"/>
          <w:sz w:val="24"/>
          <w:szCs w:val="24"/>
        </w:rPr>
        <w:t>competent</w:t>
      </w:r>
      <w:r w:rsidRPr="004C3C9B">
        <w:rPr>
          <w:rFonts w:ascii="Times New Roman" w:hAnsi="Times New Roman" w:cs="Times New Roman"/>
          <w:sz w:val="24"/>
          <w:szCs w:val="24"/>
        </w:rPr>
        <w:t>, confident and ultimately, safer (</w:t>
      </w:r>
      <w:r w:rsidR="00E14DA6" w:rsidRPr="004C3C9B">
        <w:rPr>
          <w:rFonts w:ascii="Times New Roman" w:hAnsi="Times New Roman" w:cs="Times New Roman"/>
          <w:sz w:val="24"/>
          <w:szCs w:val="24"/>
        </w:rPr>
        <w:t>Royal Pharmaceutical Society (</w:t>
      </w:r>
      <w:r w:rsidRPr="004C3C9B">
        <w:rPr>
          <w:rFonts w:ascii="Times New Roman" w:hAnsi="Times New Roman" w:cs="Times New Roman"/>
          <w:sz w:val="24"/>
          <w:szCs w:val="24"/>
        </w:rPr>
        <w:t>RPS</w:t>
      </w:r>
      <w:r w:rsidR="00E14DA6" w:rsidRPr="004C3C9B">
        <w:rPr>
          <w:rFonts w:ascii="Times New Roman" w:hAnsi="Times New Roman" w:cs="Times New Roman"/>
          <w:sz w:val="24"/>
          <w:szCs w:val="24"/>
        </w:rPr>
        <w:t>)</w:t>
      </w:r>
      <w:r w:rsidRPr="004C3C9B">
        <w:rPr>
          <w:rFonts w:ascii="Times New Roman" w:hAnsi="Times New Roman" w:cs="Times New Roman"/>
          <w:sz w:val="24"/>
          <w:szCs w:val="24"/>
        </w:rPr>
        <w:t xml:space="preserve"> 2016)</w:t>
      </w:r>
    </w:p>
    <w:p w:rsidR="00A83DAF" w:rsidRPr="004C3C9B" w:rsidRDefault="00A83DAF" w:rsidP="004C3C9B">
      <w:pPr>
        <w:spacing w:after="0" w:line="480" w:lineRule="auto"/>
        <w:jc w:val="both"/>
        <w:rPr>
          <w:rFonts w:ascii="Times New Roman" w:hAnsi="Times New Roman" w:cs="Times New Roman"/>
          <w:sz w:val="24"/>
          <w:szCs w:val="24"/>
        </w:rPr>
      </w:pPr>
    </w:p>
    <w:p w:rsidR="00A83DAF" w:rsidRPr="004C3C9B" w:rsidRDefault="0005180E"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To</w:t>
      </w:r>
      <w:r w:rsidR="00A83DAF" w:rsidRPr="004C3C9B">
        <w:rPr>
          <w:rFonts w:ascii="Times New Roman" w:hAnsi="Times New Roman" w:cs="Times New Roman"/>
          <w:sz w:val="24"/>
          <w:szCs w:val="24"/>
        </w:rPr>
        <w:t xml:space="preserve"> make an appropriate prescribing decision, </w:t>
      </w:r>
      <w:r w:rsidR="008D196F" w:rsidRPr="004C3C9B">
        <w:rPr>
          <w:rFonts w:ascii="Times New Roman" w:hAnsi="Times New Roman" w:cs="Times New Roman"/>
          <w:sz w:val="24"/>
          <w:szCs w:val="24"/>
        </w:rPr>
        <w:t>NIP</w:t>
      </w:r>
      <w:r w:rsidR="00A83DAF" w:rsidRPr="004C3C9B">
        <w:rPr>
          <w:rFonts w:ascii="Times New Roman" w:hAnsi="Times New Roman" w:cs="Times New Roman"/>
          <w:sz w:val="24"/>
          <w:szCs w:val="24"/>
        </w:rPr>
        <w:t xml:space="preserve">s must be </w:t>
      </w:r>
      <w:r w:rsidR="00BF3200" w:rsidRPr="004C3C9B">
        <w:rPr>
          <w:rFonts w:ascii="Times New Roman" w:hAnsi="Times New Roman" w:cs="Times New Roman"/>
          <w:sz w:val="24"/>
          <w:szCs w:val="24"/>
        </w:rPr>
        <w:t xml:space="preserve">proficient </w:t>
      </w:r>
      <w:r w:rsidR="00A83DAF" w:rsidRPr="004C3C9B">
        <w:rPr>
          <w:rFonts w:ascii="Times New Roman" w:hAnsi="Times New Roman" w:cs="Times New Roman"/>
          <w:sz w:val="24"/>
          <w:szCs w:val="24"/>
        </w:rPr>
        <w:t>to perform this task (Herklots</w:t>
      </w:r>
      <w:r w:rsidR="00921635" w:rsidRPr="004C3C9B">
        <w:rPr>
          <w:rFonts w:ascii="Times New Roman" w:hAnsi="Times New Roman" w:cs="Times New Roman"/>
          <w:sz w:val="24"/>
          <w:szCs w:val="24"/>
        </w:rPr>
        <w:t xml:space="preserve"> et al </w:t>
      </w:r>
      <w:r w:rsidR="00A83DAF" w:rsidRPr="004C3C9B">
        <w:rPr>
          <w:rFonts w:ascii="Times New Roman" w:hAnsi="Times New Roman" w:cs="Times New Roman"/>
          <w:sz w:val="24"/>
          <w:szCs w:val="24"/>
        </w:rPr>
        <w:t>2015).</w:t>
      </w:r>
      <w:r w:rsidR="005052EF" w:rsidRPr="004C3C9B">
        <w:rPr>
          <w:rFonts w:ascii="Times New Roman" w:hAnsi="Times New Roman" w:cs="Times New Roman"/>
          <w:sz w:val="24"/>
          <w:szCs w:val="24"/>
        </w:rPr>
        <w:t xml:space="preserve"> </w:t>
      </w:r>
      <w:r w:rsidR="00AA0A70" w:rsidRPr="004C3C9B">
        <w:rPr>
          <w:rFonts w:ascii="Times New Roman" w:hAnsi="Times New Roman" w:cs="Times New Roman"/>
          <w:sz w:val="24"/>
          <w:szCs w:val="24"/>
        </w:rPr>
        <w:t xml:space="preserve">Although the NMC (2006, 2015) stipulate that NIPs must demonstrate a range of knowledge and skills which underpin the 4 key principles of prescribing practice, Lewis-Evans and Jester (2004), Hall (2006), Offredy et al (2008), Maddox (2011) and Herklots et al (2015) found that the concept of clinical and pharmaceutical knowledge and physical assessment skills are pivotal to NIPs own perception of competence. </w:t>
      </w:r>
      <w:r w:rsidR="00A83DAF" w:rsidRPr="004C3C9B">
        <w:rPr>
          <w:rFonts w:ascii="Times New Roman" w:hAnsi="Times New Roman" w:cs="Times New Roman"/>
          <w:sz w:val="24"/>
          <w:szCs w:val="24"/>
        </w:rPr>
        <w:t>This is supporte</w:t>
      </w:r>
      <w:r w:rsidR="00F257E0" w:rsidRPr="004C3C9B">
        <w:rPr>
          <w:rFonts w:ascii="Times New Roman" w:hAnsi="Times New Roman" w:cs="Times New Roman"/>
          <w:sz w:val="24"/>
          <w:szCs w:val="24"/>
        </w:rPr>
        <w:t>d by Courtenay and Gordon (2009</w:t>
      </w:r>
      <w:r w:rsidR="00A83DAF" w:rsidRPr="004C3C9B">
        <w:rPr>
          <w:rFonts w:ascii="Times New Roman" w:hAnsi="Times New Roman" w:cs="Times New Roman"/>
          <w:sz w:val="24"/>
          <w:szCs w:val="24"/>
        </w:rPr>
        <w:t xml:space="preserve">) who surveyed nurse prescribers in the UK and found that 75.2% of respondents felt they required more pharmacology training and 52.8% required more training on assessment and diagnostic skills </w:t>
      </w:r>
      <w:r w:rsidR="001A17D4" w:rsidRPr="004C3C9B">
        <w:rPr>
          <w:rFonts w:ascii="Times New Roman" w:hAnsi="Times New Roman" w:cs="Times New Roman"/>
          <w:sz w:val="24"/>
          <w:szCs w:val="24"/>
        </w:rPr>
        <w:t>to</w:t>
      </w:r>
      <w:r w:rsidR="00A83DAF" w:rsidRPr="004C3C9B">
        <w:rPr>
          <w:rFonts w:ascii="Times New Roman" w:hAnsi="Times New Roman" w:cs="Times New Roman"/>
          <w:sz w:val="24"/>
          <w:szCs w:val="24"/>
        </w:rPr>
        <w:t xml:space="preserve"> improve their prescribing competence. A lack of knowledge and skills promotes feelings of trepidation and makes prescribers less likely to take responsibility for issuing a prescription (Offredy</w:t>
      </w:r>
      <w:r w:rsidR="00C517AF" w:rsidRPr="004C3C9B">
        <w:rPr>
          <w:rFonts w:ascii="Times New Roman" w:hAnsi="Times New Roman" w:cs="Times New Roman"/>
          <w:sz w:val="24"/>
          <w:szCs w:val="24"/>
        </w:rPr>
        <w:t xml:space="preserve"> et al </w:t>
      </w:r>
      <w:r w:rsidR="00A83DAF" w:rsidRPr="004C3C9B">
        <w:rPr>
          <w:rFonts w:ascii="Times New Roman" w:hAnsi="Times New Roman" w:cs="Times New Roman"/>
          <w:sz w:val="24"/>
          <w:szCs w:val="24"/>
        </w:rPr>
        <w:t xml:space="preserve">2008). This can be overcome by ensuring that </w:t>
      </w:r>
      <w:r w:rsidR="008D196F" w:rsidRPr="004C3C9B">
        <w:rPr>
          <w:rFonts w:ascii="Times New Roman" w:hAnsi="Times New Roman" w:cs="Times New Roman"/>
          <w:sz w:val="24"/>
          <w:szCs w:val="24"/>
        </w:rPr>
        <w:t>NIP</w:t>
      </w:r>
      <w:r w:rsidR="00A83DAF" w:rsidRPr="004C3C9B">
        <w:rPr>
          <w:rFonts w:ascii="Times New Roman" w:hAnsi="Times New Roman" w:cs="Times New Roman"/>
          <w:sz w:val="24"/>
          <w:szCs w:val="24"/>
        </w:rPr>
        <w:t xml:space="preserve">s have access to relevant education, training and support (Downer and Shepherd 2010). </w:t>
      </w:r>
    </w:p>
    <w:p w:rsidR="00586286"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lastRenderedPageBreak/>
        <w:t>Peer support and advice from colleagues appear</w:t>
      </w:r>
      <w:r w:rsidR="00C517AF" w:rsidRPr="004C3C9B">
        <w:rPr>
          <w:rFonts w:ascii="Times New Roman" w:hAnsi="Times New Roman" w:cs="Times New Roman"/>
          <w:sz w:val="24"/>
          <w:szCs w:val="24"/>
        </w:rPr>
        <w:t>s</w:t>
      </w:r>
      <w:r w:rsidRPr="004C3C9B">
        <w:rPr>
          <w:rFonts w:ascii="Times New Roman" w:hAnsi="Times New Roman" w:cs="Times New Roman"/>
          <w:sz w:val="24"/>
          <w:szCs w:val="24"/>
        </w:rPr>
        <w:t xml:space="preserve"> to be the most common form of </w:t>
      </w:r>
      <w:r w:rsidR="007F76B5" w:rsidRPr="004C3C9B">
        <w:rPr>
          <w:rFonts w:ascii="Times New Roman" w:hAnsi="Times New Roman" w:cs="Times New Roman"/>
          <w:sz w:val="24"/>
          <w:szCs w:val="24"/>
        </w:rPr>
        <w:t xml:space="preserve">CPD </w:t>
      </w:r>
      <w:r w:rsidR="00297FD1" w:rsidRPr="004C3C9B">
        <w:rPr>
          <w:rFonts w:ascii="Times New Roman" w:hAnsi="Times New Roman" w:cs="Times New Roman"/>
          <w:sz w:val="24"/>
          <w:szCs w:val="24"/>
        </w:rPr>
        <w:t xml:space="preserve">discussed in the studies, and is particularly important when faced with difficult prescribing decisions </w:t>
      </w:r>
      <w:r w:rsidRPr="004C3C9B">
        <w:rPr>
          <w:rFonts w:ascii="Times New Roman" w:hAnsi="Times New Roman" w:cs="Times New Roman"/>
          <w:sz w:val="24"/>
          <w:szCs w:val="24"/>
        </w:rPr>
        <w:t>(</w:t>
      </w:r>
      <w:r w:rsidR="005142C6" w:rsidRPr="004C3C9B">
        <w:rPr>
          <w:rFonts w:ascii="Times New Roman" w:hAnsi="Times New Roman" w:cs="Times New Roman"/>
          <w:sz w:val="24"/>
          <w:szCs w:val="24"/>
        </w:rPr>
        <w:t xml:space="preserve">Luker et al 1998, </w:t>
      </w:r>
      <w:r w:rsidRPr="004C3C9B">
        <w:rPr>
          <w:rFonts w:ascii="Times New Roman" w:hAnsi="Times New Roman" w:cs="Times New Roman"/>
          <w:sz w:val="24"/>
          <w:szCs w:val="24"/>
        </w:rPr>
        <w:t>Lewis-Evans and Jester 2004</w:t>
      </w:r>
      <w:r w:rsidR="002318E8" w:rsidRPr="004C3C9B">
        <w:rPr>
          <w:rFonts w:ascii="Times New Roman" w:hAnsi="Times New Roman" w:cs="Times New Roman"/>
          <w:sz w:val="24"/>
          <w:szCs w:val="24"/>
        </w:rPr>
        <w:t xml:space="preserve">, </w:t>
      </w:r>
      <w:r w:rsidR="00297FD1" w:rsidRPr="004C3C9B">
        <w:rPr>
          <w:rFonts w:ascii="Times New Roman" w:hAnsi="Times New Roman" w:cs="Times New Roman"/>
          <w:sz w:val="24"/>
          <w:szCs w:val="24"/>
        </w:rPr>
        <w:t xml:space="preserve">Hall 2006, </w:t>
      </w:r>
      <w:r w:rsidR="002318E8" w:rsidRPr="004C3C9B">
        <w:rPr>
          <w:rFonts w:ascii="Times New Roman" w:hAnsi="Times New Roman" w:cs="Times New Roman"/>
          <w:sz w:val="24"/>
          <w:szCs w:val="24"/>
        </w:rPr>
        <w:t>Offredy et al 2008, Downer and Shepherd 2010</w:t>
      </w:r>
      <w:r w:rsidR="00297FD1" w:rsidRPr="004C3C9B">
        <w:rPr>
          <w:rFonts w:ascii="Times New Roman" w:hAnsi="Times New Roman" w:cs="Times New Roman"/>
          <w:sz w:val="24"/>
          <w:szCs w:val="24"/>
        </w:rPr>
        <w:t>, Maddox 2011</w:t>
      </w:r>
      <w:r w:rsidRPr="004C3C9B">
        <w:rPr>
          <w:rFonts w:ascii="Times New Roman" w:hAnsi="Times New Roman" w:cs="Times New Roman"/>
          <w:sz w:val="24"/>
          <w:szCs w:val="24"/>
        </w:rPr>
        <w:t>). This is also supported by evidence from the literature, as studies by Latter et al (2007) and Weglicki</w:t>
      </w:r>
      <w:r w:rsidR="00297FD1" w:rsidRPr="004C3C9B">
        <w:rPr>
          <w:rFonts w:ascii="Times New Roman" w:hAnsi="Times New Roman" w:cs="Times New Roman"/>
          <w:sz w:val="24"/>
          <w:szCs w:val="24"/>
        </w:rPr>
        <w:t xml:space="preserve"> et al </w:t>
      </w:r>
      <w:r w:rsidRPr="004C3C9B">
        <w:rPr>
          <w:rFonts w:ascii="Times New Roman" w:hAnsi="Times New Roman" w:cs="Times New Roman"/>
          <w:sz w:val="24"/>
          <w:szCs w:val="24"/>
        </w:rPr>
        <w:t xml:space="preserve">(2015) found that the majority of </w:t>
      </w:r>
      <w:r w:rsidR="00297FD1"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w:t>
      </w:r>
      <w:r w:rsidR="00297FD1" w:rsidRPr="004C3C9B">
        <w:rPr>
          <w:rFonts w:ascii="Times New Roman" w:hAnsi="Times New Roman" w:cs="Times New Roman"/>
          <w:sz w:val="24"/>
          <w:szCs w:val="24"/>
        </w:rPr>
        <w:t xml:space="preserve">they interviewed </w:t>
      </w:r>
      <w:r w:rsidRPr="004C3C9B">
        <w:rPr>
          <w:rFonts w:ascii="Times New Roman" w:hAnsi="Times New Roman" w:cs="Times New Roman"/>
          <w:sz w:val="24"/>
          <w:szCs w:val="24"/>
        </w:rPr>
        <w:t>felt that advice from colleagues and peer support had a positive impact on their prescribing practice.</w:t>
      </w:r>
      <w:r w:rsidR="00297FD1" w:rsidRPr="004C3C9B">
        <w:rPr>
          <w:rFonts w:ascii="Times New Roman" w:hAnsi="Times New Roman" w:cs="Times New Roman"/>
          <w:sz w:val="24"/>
          <w:szCs w:val="24"/>
        </w:rPr>
        <w:t xml:space="preserve"> </w:t>
      </w:r>
      <w:r w:rsidR="004921C9" w:rsidRPr="004C3C9B">
        <w:rPr>
          <w:rFonts w:ascii="Times New Roman" w:hAnsi="Times New Roman" w:cs="Times New Roman"/>
          <w:sz w:val="24"/>
          <w:szCs w:val="24"/>
        </w:rPr>
        <w:t>A</w:t>
      </w:r>
      <w:r w:rsidRPr="004C3C9B">
        <w:rPr>
          <w:rFonts w:ascii="Times New Roman" w:hAnsi="Times New Roman" w:cs="Times New Roman"/>
          <w:sz w:val="24"/>
          <w:szCs w:val="24"/>
        </w:rPr>
        <w:t xml:space="preserve">lthough some employers do provide formal CPD, many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have difficulty accessing it (Herklots </w:t>
      </w:r>
      <w:r w:rsidR="004921C9" w:rsidRPr="004C3C9B">
        <w:rPr>
          <w:rFonts w:ascii="Times New Roman" w:hAnsi="Times New Roman" w:cs="Times New Roman"/>
          <w:sz w:val="24"/>
          <w:szCs w:val="24"/>
        </w:rPr>
        <w:t xml:space="preserve">et al </w:t>
      </w:r>
      <w:r w:rsidRPr="004C3C9B">
        <w:rPr>
          <w:rFonts w:ascii="Times New Roman" w:hAnsi="Times New Roman" w:cs="Times New Roman"/>
          <w:sz w:val="24"/>
          <w:szCs w:val="24"/>
        </w:rPr>
        <w:t xml:space="preserve">2015). </w:t>
      </w:r>
      <w:r w:rsidR="004921C9" w:rsidRPr="004C3C9B">
        <w:rPr>
          <w:rFonts w:ascii="Times New Roman" w:hAnsi="Times New Roman" w:cs="Times New Roman"/>
          <w:sz w:val="24"/>
          <w:szCs w:val="24"/>
        </w:rPr>
        <w:t xml:space="preserve">A response </w:t>
      </w:r>
      <w:r w:rsidRPr="004C3C9B">
        <w:rPr>
          <w:rFonts w:ascii="Times New Roman" w:hAnsi="Times New Roman" w:cs="Times New Roman"/>
          <w:sz w:val="24"/>
          <w:szCs w:val="24"/>
        </w:rPr>
        <w:t xml:space="preserve">echoed by </w:t>
      </w:r>
      <w:r w:rsidR="0053232B" w:rsidRPr="004C3C9B">
        <w:rPr>
          <w:rFonts w:ascii="Times New Roman" w:hAnsi="Times New Roman" w:cs="Times New Roman"/>
          <w:sz w:val="24"/>
          <w:szCs w:val="24"/>
        </w:rPr>
        <w:t xml:space="preserve">Latter et al (2007) and </w:t>
      </w:r>
      <w:r w:rsidRPr="004C3C9B">
        <w:rPr>
          <w:rFonts w:ascii="Times New Roman" w:hAnsi="Times New Roman" w:cs="Times New Roman"/>
          <w:sz w:val="24"/>
          <w:szCs w:val="24"/>
        </w:rPr>
        <w:t>Cubby and Bowler (2010)</w:t>
      </w:r>
      <w:r w:rsidR="0053232B"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Controversially, a study undertaken on behalf of the DH between May 2008 and May 2010 found that the </w:t>
      </w:r>
      <w:r w:rsidR="0053232B"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they surveyed had no issues accessing appropriate CPD and that this had helped to improve their competence and confidence when making prescribing decisions. Although, they did report that only half of the Trusts surveyed had a specific plan for the development of non-medical prescribing and that training needed to focus more on improving assessment and diagnostic skills (Latter et al 2011). </w:t>
      </w:r>
      <w:r w:rsidR="00586286" w:rsidRPr="004C3C9B">
        <w:rPr>
          <w:rFonts w:ascii="Times New Roman" w:hAnsi="Times New Roman" w:cs="Times New Roman"/>
          <w:sz w:val="24"/>
          <w:szCs w:val="24"/>
        </w:rPr>
        <w:t>This is supported by Weglicki et al (2015) who found that there appeared to be a lack of structure in the approach to CPD across the country.</w:t>
      </w:r>
      <w:r w:rsidR="002D2B26" w:rsidRPr="004C3C9B">
        <w:rPr>
          <w:rFonts w:ascii="Times New Roman" w:hAnsi="Times New Roman" w:cs="Times New Roman"/>
          <w:sz w:val="24"/>
          <w:szCs w:val="24"/>
        </w:rPr>
        <w:t xml:space="preserve"> </w:t>
      </w:r>
    </w:p>
    <w:p w:rsidR="00586286" w:rsidRPr="004C3C9B" w:rsidRDefault="00586286" w:rsidP="004C3C9B">
      <w:pPr>
        <w:spacing w:after="0" w:line="480" w:lineRule="auto"/>
        <w:jc w:val="both"/>
        <w:rPr>
          <w:rFonts w:ascii="Times New Roman" w:hAnsi="Times New Roman" w:cs="Times New Roman"/>
          <w:sz w:val="24"/>
          <w:szCs w:val="24"/>
        </w:rPr>
      </w:pPr>
    </w:p>
    <w:p w:rsidR="00A83DAF"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The use of guidelines and formularies help to structure the decision-making process and provide an evidence-based rationale for prescribing choices (Maddox 2011). Fundamentally, this is not unique to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as studies have found that GPs also rely upon these same guidelines to inform their prescribing practice, especially when considering the use of antibiotics</w:t>
      </w:r>
      <w:r w:rsidR="00A21633" w:rsidRPr="004C3C9B">
        <w:rPr>
          <w:rFonts w:ascii="Times New Roman" w:hAnsi="Times New Roman" w:cs="Times New Roman"/>
          <w:sz w:val="24"/>
          <w:szCs w:val="24"/>
        </w:rPr>
        <w:t xml:space="preserve"> </w:t>
      </w:r>
      <w:r w:rsidR="00A21633" w:rsidRPr="004C3C9B">
        <w:rPr>
          <w:rFonts w:ascii="Times New Roman" w:hAnsi="Times New Roman" w:cs="Times New Roman"/>
          <w:sz w:val="24"/>
          <w:szCs w:val="24"/>
        </w:rPr>
        <w:lastRenderedPageBreak/>
        <w:t>(Prosser and Walley 2007, Wood et al 2007)</w:t>
      </w:r>
      <w:r w:rsidRPr="004C3C9B">
        <w:rPr>
          <w:rFonts w:ascii="Times New Roman" w:hAnsi="Times New Roman" w:cs="Times New Roman"/>
          <w:sz w:val="24"/>
          <w:szCs w:val="24"/>
        </w:rPr>
        <w:t>.</w:t>
      </w:r>
      <w:r w:rsidR="008D275F" w:rsidRPr="004C3C9B">
        <w:rPr>
          <w:rFonts w:ascii="Times New Roman" w:hAnsi="Times New Roman" w:cs="Times New Roman"/>
          <w:sz w:val="24"/>
          <w:szCs w:val="24"/>
        </w:rPr>
        <w:t xml:space="preserve"> It is thought that in view of the increasing resistance to antibiotics, guidelines provide the most up-to-date evidence-based information </w:t>
      </w:r>
      <w:r w:rsidR="00A21633" w:rsidRPr="004C3C9B">
        <w:rPr>
          <w:rFonts w:ascii="Times New Roman" w:hAnsi="Times New Roman" w:cs="Times New Roman"/>
          <w:sz w:val="24"/>
          <w:szCs w:val="24"/>
        </w:rPr>
        <w:t xml:space="preserve">on the most appropriate treatment options (Wood et al 2007). </w:t>
      </w:r>
      <w:r w:rsidRPr="004C3C9B">
        <w:rPr>
          <w:rFonts w:ascii="Times New Roman" w:hAnsi="Times New Roman" w:cs="Times New Roman"/>
          <w:sz w:val="24"/>
          <w:szCs w:val="24"/>
        </w:rPr>
        <w:t xml:space="preserve">Consequently, </w:t>
      </w:r>
      <w:r w:rsidR="00A21633" w:rsidRPr="004C3C9B">
        <w:rPr>
          <w:rFonts w:ascii="Times New Roman" w:hAnsi="Times New Roman" w:cs="Times New Roman"/>
          <w:sz w:val="24"/>
          <w:szCs w:val="24"/>
        </w:rPr>
        <w:t xml:space="preserve">Wood et al (2007) found that </w:t>
      </w:r>
      <w:r w:rsidRPr="004C3C9B">
        <w:rPr>
          <w:rFonts w:ascii="Times New Roman" w:hAnsi="Times New Roman" w:cs="Times New Roman"/>
          <w:sz w:val="24"/>
          <w:szCs w:val="24"/>
        </w:rPr>
        <w:t xml:space="preserve">GPs would occasionally deviate from these guidelines if they felt that </w:t>
      </w:r>
      <w:r w:rsidR="00A21633" w:rsidRPr="004C3C9B">
        <w:rPr>
          <w:rFonts w:ascii="Times New Roman" w:hAnsi="Times New Roman" w:cs="Times New Roman"/>
          <w:sz w:val="24"/>
          <w:szCs w:val="24"/>
        </w:rPr>
        <w:t xml:space="preserve">issues </w:t>
      </w:r>
      <w:r w:rsidRPr="004C3C9B">
        <w:rPr>
          <w:rFonts w:ascii="Times New Roman" w:hAnsi="Times New Roman" w:cs="Times New Roman"/>
          <w:sz w:val="24"/>
          <w:szCs w:val="24"/>
        </w:rPr>
        <w:t>such as adherence or other clinical factors</w:t>
      </w:r>
      <w:r w:rsidR="00A21633" w:rsidRPr="004C3C9B">
        <w:rPr>
          <w:rFonts w:ascii="Times New Roman" w:hAnsi="Times New Roman" w:cs="Times New Roman"/>
          <w:sz w:val="24"/>
          <w:szCs w:val="24"/>
        </w:rPr>
        <w:t xml:space="preserve"> contraindicated them</w:t>
      </w:r>
      <w:r w:rsidRPr="004C3C9B">
        <w:rPr>
          <w:rFonts w:ascii="Times New Roman" w:hAnsi="Times New Roman" w:cs="Times New Roman"/>
          <w:sz w:val="24"/>
          <w:szCs w:val="24"/>
        </w:rPr>
        <w:t xml:space="preserve">. This echoes the findings of </w:t>
      </w:r>
      <w:r w:rsidR="00A21633" w:rsidRPr="004C3C9B">
        <w:rPr>
          <w:rFonts w:ascii="Times New Roman" w:hAnsi="Times New Roman" w:cs="Times New Roman"/>
          <w:sz w:val="24"/>
          <w:szCs w:val="24"/>
        </w:rPr>
        <w:t xml:space="preserve">Philp and Winfield (2010) </w:t>
      </w:r>
      <w:r w:rsidR="001A581B" w:rsidRPr="004C3C9B">
        <w:rPr>
          <w:rFonts w:ascii="Times New Roman" w:hAnsi="Times New Roman" w:cs="Times New Roman"/>
          <w:sz w:val="24"/>
          <w:szCs w:val="24"/>
        </w:rPr>
        <w:t>who determined that</w:t>
      </w:r>
      <w:r w:rsidRPr="004C3C9B">
        <w:rPr>
          <w:rFonts w:ascii="Times New Roman" w:hAnsi="Times New Roman" w:cs="Times New Roman"/>
          <w:sz w:val="24"/>
          <w:szCs w:val="24"/>
        </w:rPr>
        <w:t xml:space="preserve"> on occasion </w:t>
      </w:r>
      <w:r w:rsidR="000A463C"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would digress from </w:t>
      </w:r>
      <w:r w:rsidR="001A581B" w:rsidRPr="004C3C9B">
        <w:rPr>
          <w:rFonts w:ascii="Times New Roman" w:hAnsi="Times New Roman" w:cs="Times New Roman"/>
          <w:sz w:val="24"/>
          <w:szCs w:val="24"/>
        </w:rPr>
        <w:t>guidelines for similar reason</w:t>
      </w:r>
      <w:r w:rsidRPr="004C3C9B">
        <w:rPr>
          <w:rFonts w:ascii="Times New Roman" w:hAnsi="Times New Roman" w:cs="Times New Roman"/>
          <w:sz w:val="24"/>
          <w:szCs w:val="24"/>
        </w:rPr>
        <w:t xml:space="preserve">. Hall (2006) inferred that the </w:t>
      </w:r>
      <w:r w:rsidR="001A581B"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who deviated from the guidelines were likely more experienced and therefore more competent and confident in their prescribing decisions. This links in with the seminal work by Benner </w:t>
      </w:r>
      <w:r w:rsidR="00E80F4C" w:rsidRPr="004C3C9B">
        <w:rPr>
          <w:rFonts w:ascii="Times New Roman" w:hAnsi="Times New Roman" w:cs="Times New Roman"/>
          <w:sz w:val="24"/>
          <w:szCs w:val="24"/>
        </w:rPr>
        <w:t xml:space="preserve">(1984) </w:t>
      </w:r>
      <w:r w:rsidRPr="004C3C9B">
        <w:rPr>
          <w:rFonts w:ascii="Times New Roman" w:hAnsi="Times New Roman" w:cs="Times New Roman"/>
          <w:sz w:val="24"/>
          <w:szCs w:val="24"/>
        </w:rPr>
        <w:t>who ascribed to the fact that those nurses who had more experience in their field of practice became ‘experts’ as they developed their knowledge and skills, thus increasing their competence</w:t>
      </w:r>
      <w:r w:rsidR="00E80F4C" w:rsidRPr="004C3C9B">
        <w:rPr>
          <w:rFonts w:ascii="Times New Roman" w:hAnsi="Times New Roman" w:cs="Times New Roman"/>
          <w:sz w:val="24"/>
          <w:szCs w:val="24"/>
        </w:rPr>
        <w:t xml:space="preserve">. </w:t>
      </w:r>
      <w:r w:rsidRPr="004C3C9B">
        <w:rPr>
          <w:rFonts w:ascii="Times New Roman" w:hAnsi="Times New Roman" w:cs="Times New Roman"/>
          <w:sz w:val="24"/>
          <w:szCs w:val="24"/>
        </w:rPr>
        <w:t>Previous prescribing experience can also influence current prescribing decisions (Downer and Shepherd 2010</w:t>
      </w:r>
      <w:r w:rsidR="00EB5E8A" w:rsidRPr="004C3C9B">
        <w:rPr>
          <w:rFonts w:ascii="Times New Roman" w:hAnsi="Times New Roman" w:cs="Times New Roman"/>
          <w:sz w:val="24"/>
          <w:szCs w:val="24"/>
        </w:rPr>
        <w:t>, Maddox 2011</w:t>
      </w:r>
      <w:r w:rsidRPr="004C3C9B">
        <w:rPr>
          <w:rFonts w:ascii="Times New Roman" w:hAnsi="Times New Roman" w:cs="Times New Roman"/>
          <w:sz w:val="24"/>
          <w:szCs w:val="24"/>
        </w:rPr>
        <w:t xml:space="preserve">). </w:t>
      </w:r>
      <w:r w:rsidR="00EB5E8A" w:rsidRPr="004C3C9B">
        <w:rPr>
          <w:rFonts w:ascii="Times New Roman" w:hAnsi="Times New Roman" w:cs="Times New Roman"/>
          <w:sz w:val="24"/>
          <w:szCs w:val="24"/>
        </w:rPr>
        <w:t>It is t</w:t>
      </w:r>
      <w:r w:rsidRPr="004C3C9B">
        <w:rPr>
          <w:rFonts w:ascii="Times New Roman" w:hAnsi="Times New Roman" w:cs="Times New Roman"/>
          <w:sz w:val="24"/>
          <w:szCs w:val="24"/>
        </w:rPr>
        <w:t xml:space="preserve">hought </w:t>
      </w:r>
      <w:r w:rsidR="00EB5E8A" w:rsidRPr="004C3C9B">
        <w:rPr>
          <w:rFonts w:ascii="Times New Roman" w:hAnsi="Times New Roman" w:cs="Times New Roman"/>
          <w:sz w:val="24"/>
          <w:szCs w:val="24"/>
        </w:rPr>
        <w:t>that</w:t>
      </w:r>
      <w:r w:rsidRPr="004C3C9B">
        <w:rPr>
          <w:rFonts w:ascii="Times New Roman" w:hAnsi="Times New Roman" w:cs="Times New Roman"/>
          <w:sz w:val="24"/>
          <w:szCs w:val="24"/>
        </w:rPr>
        <w:t xml:space="preserve"> a previous positive experience with a medication garners familiarity and trust in its ability so a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 is more likely to prescribe it again. Whereas a perceived negative experience will deter the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 from prescribing that </w:t>
      </w:r>
      <w:r w:rsidR="002F74D2" w:rsidRPr="004C3C9B">
        <w:rPr>
          <w:rFonts w:ascii="Times New Roman" w:hAnsi="Times New Roman" w:cs="Times New Roman"/>
          <w:sz w:val="24"/>
          <w:szCs w:val="24"/>
        </w:rPr>
        <w:t>specific</w:t>
      </w:r>
      <w:r w:rsidRPr="004C3C9B">
        <w:rPr>
          <w:rFonts w:ascii="Times New Roman" w:hAnsi="Times New Roman" w:cs="Times New Roman"/>
          <w:sz w:val="24"/>
          <w:szCs w:val="24"/>
        </w:rPr>
        <w:t xml:space="preserve"> drug (Ness et al 2016).</w:t>
      </w:r>
    </w:p>
    <w:p w:rsidR="00A83DAF" w:rsidRDefault="00A83DAF" w:rsidP="004C3C9B">
      <w:pPr>
        <w:spacing w:after="0" w:line="480" w:lineRule="auto"/>
        <w:jc w:val="both"/>
        <w:rPr>
          <w:rFonts w:ascii="Times New Roman" w:hAnsi="Times New Roman" w:cs="Times New Roman"/>
          <w:sz w:val="24"/>
          <w:szCs w:val="24"/>
        </w:rPr>
      </w:pPr>
    </w:p>
    <w:p w:rsidR="008109B2" w:rsidRDefault="008109B2" w:rsidP="004C3C9B">
      <w:pPr>
        <w:spacing w:after="0" w:line="480" w:lineRule="auto"/>
        <w:jc w:val="both"/>
        <w:rPr>
          <w:rFonts w:ascii="Times New Roman" w:hAnsi="Times New Roman" w:cs="Times New Roman"/>
          <w:sz w:val="24"/>
          <w:szCs w:val="24"/>
        </w:rPr>
      </w:pPr>
    </w:p>
    <w:p w:rsidR="008109B2" w:rsidRDefault="008109B2" w:rsidP="004C3C9B">
      <w:pPr>
        <w:spacing w:after="0" w:line="480" w:lineRule="auto"/>
        <w:jc w:val="both"/>
        <w:rPr>
          <w:rFonts w:ascii="Times New Roman" w:hAnsi="Times New Roman" w:cs="Times New Roman"/>
          <w:sz w:val="24"/>
          <w:szCs w:val="24"/>
        </w:rPr>
      </w:pPr>
    </w:p>
    <w:p w:rsidR="008109B2" w:rsidRDefault="008109B2" w:rsidP="004C3C9B">
      <w:pPr>
        <w:spacing w:after="0" w:line="480" w:lineRule="auto"/>
        <w:jc w:val="both"/>
        <w:rPr>
          <w:rFonts w:ascii="Times New Roman" w:hAnsi="Times New Roman" w:cs="Times New Roman"/>
          <w:sz w:val="24"/>
          <w:szCs w:val="24"/>
        </w:rPr>
      </w:pPr>
    </w:p>
    <w:p w:rsidR="008109B2" w:rsidRDefault="008109B2" w:rsidP="004C3C9B">
      <w:pPr>
        <w:spacing w:after="0" w:line="480" w:lineRule="auto"/>
        <w:jc w:val="both"/>
        <w:rPr>
          <w:rFonts w:ascii="Times New Roman" w:hAnsi="Times New Roman" w:cs="Times New Roman"/>
          <w:sz w:val="24"/>
          <w:szCs w:val="24"/>
        </w:rPr>
      </w:pPr>
    </w:p>
    <w:p w:rsidR="008109B2" w:rsidRPr="004C3C9B" w:rsidRDefault="008109B2" w:rsidP="004C3C9B">
      <w:pPr>
        <w:spacing w:after="0" w:line="480" w:lineRule="auto"/>
        <w:jc w:val="both"/>
        <w:rPr>
          <w:rFonts w:ascii="Times New Roman" w:hAnsi="Times New Roman" w:cs="Times New Roman"/>
          <w:sz w:val="24"/>
          <w:szCs w:val="24"/>
        </w:rPr>
      </w:pPr>
    </w:p>
    <w:p w:rsidR="009E2446" w:rsidRPr="004C3C9B" w:rsidRDefault="009E2446" w:rsidP="004C3C9B">
      <w:pPr>
        <w:spacing w:after="0" w:line="480" w:lineRule="auto"/>
        <w:jc w:val="both"/>
        <w:rPr>
          <w:rFonts w:ascii="Times New Roman" w:hAnsi="Times New Roman" w:cs="Times New Roman"/>
          <w:i/>
          <w:sz w:val="24"/>
          <w:szCs w:val="24"/>
          <w:u w:val="single"/>
        </w:rPr>
      </w:pPr>
      <w:r w:rsidRPr="004C3C9B">
        <w:rPr>
          <w:rFonts w:ascii="Times New Roman" w:hAnsi="Times New Roman" w:cs="Times New Roman"/>
          <w:i/>
          <w:sz w:val="24"/>
          <w:szCs w:val="24"/>
          <w:u w:val="single"/>
        </w:rPr>
        <w:lastRenderedPageBreak/>
        <w:t>Perception of Risk</w:t>
      </w:r>
    </w:p>
    <w:p w:rsidR="003944F2" w:rsidRPr="004C3C9B" w:rsidRDefault="003944F2" w:rsidP="004C3C9B">
      <w:pPr>
        <w:spacing w:after="0" w:line="480" w:lineRule="auto"/>
        <w:jc w:val="both"/>
        <w:rPr>
          <w:rFonts w:ascii="Times New Roman" w:hAnsi="Times New Roman" w:cs="Times New Roman"/>
          <w:i/>
          <w:sz w:val="24"/>
          <w:szCs w:val="24"/>
          <w:u w:val="single"/>
        </w:rPr>
      </w:pPr>
    </w:p>
    <w:p w:rsidR="00A83DAF"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The overarching perception of risk promotes anxiety and cautiousness in the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 when considering a prescribing decision. This is not only related to the choice of medication, but also to </w:t>
      </w:r>
      <w:r w:rsidR="00B754C2" w:rsidRPr="004C3C9B">
        <w:rPr>
          <w:rFonts w:ascii="Times New Roman" w:hAnsi="Times New Roman" w:cs="Times New Roman"/>
          <w:sz w:val="24"/>
          <w:szCs w:val="24"/>
        </w:rPr>
        <w:t>whether th</w:t>
      </w:r>
      <w:r w:rsidRPr="004C3C9B">
        <w:rPr>
          <w:rFonts w:ascii="Times New Roman" w:hAnsi="Times New Roman" w:cs="Times New Roman"/>
          <w:sz w:val="24"/>
          <w:szCs w:val="24"/>
        </w:rPr>
        <w:t xml:space="preserve">e prescriber will take responsibility for that prescribing decision (Maddox 2011). The NMC </w:t>
      </w:r>
      <w:r w:rsidR="00DC0D36" w:rsidRPr="004C3C9B">
        <w:rPr>
          <w:rFonts w:ascii="Times New Roman" w:hAnsi="Times New Roman" w:cs="Times New Roman"/>
          <w:sz w:val="24"/>
          <w:szCs w:val="24"/>
        </w:rPr>
        <w:t xml:space="preserve">(2015) </w:t>
      </w:r>
      <w:r w:rsidRPr="004C3C9B">
        <w:rPr>
          <w:rFonts w:ascii="Times New Roman" w:hAnsi="Times New Roman" w:cs="Times New Roman"/>
          <w:sz w:val="24"/>
          <w:szCs w:val="24"/>
        </w:rPr>
        <w:t>recognise</w:t>
      </w:r>
      <w:r w:rsidR="00DC0D36" w:rsidRPr="004C3C9B">
        <w:rPr>
          <w:rFonts w:ascii="Times New Roman" w:hAnsi="Times New Roman" w:cs="Times New Roman"/>
          <w:sz w:val="24"/>
          <w:szCs w:val="24"/>
        </w:rPr>
        <w:t>s</w:t>
      </w:r>
      <w:r w:rsidRPr="004C3C9B">
        <w:rPr>
          <w:rFonts w:ascii="Times New Roman" w:hAnsi="Times New Roman" w:cs="Times New Roman"/>
          <w:sz w:val="24"/>
          <w:szCs w:val="24"/>
        </w:rPr>
        <w:t xml:space="preserve"> the risks involved with prescribing and stipulate</w:t>
      </w:r>
      <w:r w:rsidR="00720BF8" w:rsidRPr="004C3C9B">
        <w:rPr>
          <w:rFonts w:ascii="Times New Roman" w:hAnsi="Times New Roman" w:cs="Times New Roman"/>
          <w:sz w:val="24"/>
          <w:szCs w:val="24"/>
        </w:rPr>
        <w:t>s</w:t>
      </w:r>
      <w:r w:rsidRPr="004C3C9B">
        <w:rPr>
          <w:rFonts w:ascii="Times New Roman" w:hAnsi="Times New Roman" w:cs="Times New Roman"/>
          <w:sz w:val="24"/>
          <w:szCs w:val="24"/>
        </w:rPr>
        <w:t xml:space="preserve"> standards that must be </w:t>
      </w:r>
      <w:r w:rsidR="00131465" w:rsidRPr="004C3C9B">
        <w:rPr>
          <w:rFonts w:ascii="Times New Roman" w:hAnsi="Times New Roman" w:cs="Times New Roman"/>
          <w:sz w:val="24"/>
          <w:szCs w:val="24"/>
        </w:rPr>
        <w:t>obeyed to</w:t>
      </w:r>
      <w:r w:rsidRPr="004C3C9B">
        <w:rPr>
          <w:rFonts w:ascii="Times New Roman" w:hAnsi="Times New Roman" w:cs="Times New Roman"/>
          <w:sz w:val="24"/>
          <w:szCs w:val="24"/>
        </w:rPr>
        <w:t xml:space="preserve"> preserve safety. It is essential that </w:t>
      </w:r>
      <w:r w:rsidR="00131465" w:rsidRPr="004C3C9B">
        <w:rPr>
          <w:rFonts w:ascii="Times New Roman" w:hAnsi="Times New Roman" w:cs="Times New Roman"/>
          <w:sz w:val="24"/>
          <w:szCs w:val="24"/>
        </w:rPr>
        <w:t>NIP</w:t>
      </w:r>
      <w:r w:rsidRPr="004C3C9B">
        <w:rPr>
          <w:rFonts w:ascii="Times New Roman" w:hAnsi="Times New Roman" w:cs="Times New Roman"/>
          <w:sz w:val="24"/>
          <w:szCs w:val="24"/>
        </w:rPr>
        <w:t>s practice within their scope of competence and must take full responsibility and accountability for any prescribing decisions they make (NMC 2015). Independent prescribing has expanded the nursing role significantly, and with it comes increased feelings of responsibility and accountability (Herklots</w:t>
      </w:r>
      <w:r w:rsidR="0049395A" w:rsidRPr="004C3C9B">
        <w:rPr>
          <w:rFonts w:ascii="Times New Roman" w:hAnsi="Times New Roman" w:cs="Times New Roman"/>
          <w:sz w:val="24"/>
          <w:szCs w:val="24"/>
        </w:rPr>
        <w:t xml:space="preserve"> et al </w:t>
      </w:r>
      <w:r w:rsidRPr="004C3C9B">
        <w:rPr>
          <w:rFonts w:ascii="Times New Roman" w:hAnsi="Times New Roman" w:cs="Times New Roman"/>
          <w:sz w:val="24"/>
          <w:szCs w:val="24"/>
        </w:rPr>
        <w:t>2015).</w:t>
      </w:r>
      <w:r w:rsidR="00131465" w:rsidRPr="004C3C9B">
        <w:rPr>
          <w:rFonts w:ascii="Times New Roman" w:hAnsi="Times New Roman" w:cs="Times New Roman"/>
          <w:sz w:val="24"/>
          <w:szCs w:val="24"/>
        </w:rPr>
        <w:t xml:space="preserve"> Offredy et al (2008), Downer and Shepherd (2010) and Herklots et al (2015) found that a significant proportion of the NIPs in their studies perceived t</w:t>
      </w:r>
      <w:r w:rsidR="000B3601" w:rsidRPr="004C3C9B">
        <w:rPr>
          <w:rFonts w:ascii="Times New Roman" w:hAnsi="Times New Roman" w:cs="Times New Roman"/>
          <w:sz w:val="24"/>
          <w:szCs w:val="24"/>
        </w:rPr>
        <w:t xml:space="preserve">he connotations associated with </w:t>
      </w:r>
      <w:r w:rsidRPr="004C3C9B">
        <w:rPr>
          <w:rFonts w:ascii="Times New Roman" w:hAnsi="Times New Roman" w:cs="Times New Roman"/>
          <w:sz w:val="24"/>
          <w:szCs w:val="24"/>
        </w:rPr>
        <w:t>re</w:t>
      </w:r>
      <w:r w:rsidR="00131465" w:rsidRPr="004C3C9B">
        <w:rPr>
          <w:rFonts w:ascii="Times New Roman" w:hAnsi="Times New Roman" w:cs="Times New Roman"/>
          <w:sz w:val="24"/>
          <w:szCs w:val="24"/>
        </w:rPr>
        <w:t xml:space="preserve">sponsibility and accountability </w:t>
      </w:r>
      <w:r w:rsidRPr="004C3C9B">
        <w:rPr>
          <w:rFonts w:ascii="Times New Roman" w:hAnsi="Times New Roman" w:cs="Times New Roman"/>
          <w:sz w:val="24"/>
          <w:szCs w:val="24"/>
        </w:rPr>
        <w:t>in a negative light</w:t>
      </w:r>
      <w:r w:rsidR="00131465" w:rsidRPr="004C3C9B">
        <w:rPr>
          <w:rFonts w:ascii="Times New Roman" w:hAnsi="Times New Roman" w:cs="Times New Roman"/>
          <w:sz w:val="24"/>
          <w:szCs w:val="24"/>
        </w:rPr>
        <w:t xml:space="preserve"> as it i</w:t>
      </w:r>
      <w:r w:rsidRPr="004C3C9B">
        <w:rPr>
          <w:rFonts w:ascii="Times New Roman" w:hAnsi="Times New Roman" w:cs="Times New Roman"/>
          <w:sz w:val="24"/>
          <w:szCs w:val="24"/>
        </w:rPr>
        <w:t>nstil</w:t>
      </w:r>
      <w:r w:rsidR="00131465" w:rsidRPr="004C3C9B">
        <w:rPr>
          <w:rFonts w:ascii="Times New Roman" w:hAnsi="Times New Roman" w:cs="Times New Roman"/>
          <w:sz w:val="24"/>
          <w:szCs w:val="24"/>
        </w:rPr>
        <w:t>led</w:t>
      </w:r>
      <w:r w:rsidRPr="004C3C9B">
        <w:rPr>
          <w:rFonts w:ascii="Times New Roman" w:hAnsi="Times New Roman" w:cs="Times New Roman"/>
          <w:sz w:val="24"/>
          <w:szCs w:val="24"/>
        </w:rPr>
        <w:t xml:space="preserve"> in them an innate fear of making a mistake. There was an overall perception that if this happened,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would not receive the same support as GPs (Rowbotham et al 2012).  Latter et al (2011) inferred that this was likely related to the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perception of their own level of competence</w:t>
      </w:r>
      <w:r w:rsidR="00846952" w:rsidRPr="004C3C9B">
        <w:rPr>
          <w:rFonts w:ascii="Times New Roman" w:hAnsi="Times New Roman" w:cs="Times New Roman"/>
          <w:sz w:val="24"/>
          <w:szCs w:val="24"/>
        </w:rPr>
        <w:t>, especially when new to prescribing</w:t>
      </w:r>
      <w:r w:rsidRPr="004C3C9B">
        <w:rPr>
          <w:rFonts w:ascii="Times New Roman" w:hAnsi="Times New Roman" w:cs="Times New Roman"/>
          <w:sz w:val="24"/>
          <w:szCs w:val="24"/>
        </w:rPr>
        <w:t xml:space="preserve">. In contrast to this, research by Watterson et al (2009) found that some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felt that </w:t>
      </w:r>
      <w:r w:rsidR="00983F94" w:rsidRPr="004C3C9B">
        <w:rPr>
          <w:rFonts w:ascii="Times New Roman" w:hAnsi="Times New Roman" w:cs="Times New Roman"/>
          <w:sz w:val="24"/>
          <w:szCs w:val="24"/>
        </w:rPr>
        <w:t>the increased sense of responsibility and accountability</w:t>
      </w:r>
      <w:r w:rsidRPr="004C3C9B">
        <w:rPr>
          <w:rFonts w:ascii="Times New Roman" w:hAnsi="Times New Roman" w:cs="Times New Roman"/>
          <w:sz w:val="24"/>
          <w:szCs w:val="24"/>
        </w:rPr>
        <w:t xml:space="preserve"> garnered an increased sense of respect for the profession and validated a role that they had already been undertaking albeit informally. This is consistent with the findings of this review and was highlighted in the study by Lewis-Evans and Jester (2004). </w:t>
      </w:r>
    </w:p>
    <w:p w:rsidR="00A83DAF" w:rsidRPr="004C3C9B" w:rsidRDefault="00A83DAF" w:rsidP="004C3C9B">
      <w:pPr>
        <w:spacing w:after="0" w:line="480" w:lineRule="auto"/>
        <w:jc w:val="both"/>
        <w:rPr>
          <w:rFonts w:ascii="Times New Roman" w:hAnsi="Times New Roman" w:cs="Times New Roman"/>
          <w:sz w:val="24"/>
          <w:szCs w:val="24"/>
        </w:rPr>
      </w:pPr>
    </w:p>
    <w:p w:rsidR="00A83DAF" w:rsidRPr="004C3C9B" w:rsidRDefault="003A7CC6"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NIP</w:t>
      </w:r>
      <w:r w:rsidR="00A83DAF" w:rsidRPr="004C3C9B">
        <w:rPr>
          <w:rFonts w:ascii="Times New Roman" w:hAnsi="Times New Roman" w:cs="Times New Roman"/>
          <w:sz w:val="24"/>
          <w:szCs w:val="24"/>
        </w:rPr>
        <w:t xml:space="preserve">s are reluctant to prescribe if it is deemed to be outside of their role (Daughtry and Hayter 2010). The role is defined by the employer and the </w:t>
      </w:r>
      <w:r w:rsidR="008D196F" w:rsidRPr="004C3C9B">
        <w:rPr>
          <w:rFonts w:ascii="Times New Roman" w:hAnsi="Times New Roman" w:cs="Times New Roman"/>
          <w:sz w:val="24"/>
          <w:szCs w:val="24"/>
        </w:rPr>
        <w:t>NIP</w:t>
      </w:r>
      <w:r w:rsidR="00A83DAF" w:rsidRPr="004C3C9B">
        <w:rPr>
          <w:rFonts w:ascii="Times New Roman" w:hAnsi="Times New Roman" w:cs="Times New Roman"/>
          <w:sz w:val="24"/>
          <w:szCs w:val="24"/>
        </w:rPr>
        <w:t xml:space="preserve">s personal perceptions of their scope of practice (Hall 2006). When there is uncertainty surrounding the congruency of these two definitions, </w:t>
      </w:r>
      <w:r w:rsidR="008D196F" w:rsidRPr="004C3C9B">
        <w:rPr>
          <w:rFonts w:ascii="Times New Roman" w:hAnsi="Times New Roman" w:cs="Times New Roman"/>
          <w:sz w:val="24"/>
          <w:szCs w:val="24"/>
        </w:rPr>
        <w:t>NIP</w:t>
      </w:r>
      <w:r w:rsidR="00A83DAF" w:rsidRPr="004C3C9B">
        <w:rPr>
          <w:rFonts w:ascii="Times New Roman" w:hAnsi="Times New Roman" w:cs="Times New Roman"/>
          <w:sz w:val="24"/>
          <w:szCs w:val="24"/>
        </w:rPr>
        <w:t>s are less likely to take responsibility for prescribing decisions as the</w:t>
      </w:r>
      <w:r w:rsidR="00D94F28" w:rsidRPr="004C3C9B">
        <w:rPr>
          <w:rFonts w:ascii="Times New Roman" w:hAnsi="Times New Roman" w:cs="Times New Roman"/>
          <w:sz w:val="24"/>
          <w:szCs w:val="24"/>
        </w:rPr>
        <w:t xml:space="preserve"> potential ramifications of prescribing in uncertain circumstances </w:t>
      </w:r>
      <w:r w:rsidR="00A83DAF" w:rsidRPr="004C3C9B">
        <w:rPr>
          <w:rFonts w:ascii="Times New Roman" w:hAnsi="Times New Roman" w:cs="Times New Roman"/>
          <w:sz w:val="24"/>
          <w:szCs w:val="24"/>
        </w:rPr>
        <w:t>outweighs the potential benefits to the patient (Bowskill</w:t>
      </w:r>
      <w:r w:rsidRPr="004C3C9B">
        <w:rPr>
          <w:rFonts w:ascii="Times New Roman" w:hAnsi="Times New Roman" w:cs="Times New Roman"/>
          <w:sz w:val="24"/>
          <w:szCs w:val="24"/>
        </w:rPr>
        <w:t xml:space="preserve"> et al </w:t>
      </w:r>
      <w:r w:rsidR="00A83DAF" w:rsidRPr="004C3C9B">
        <w:rPr>
          <w:rFonts w:ascii="Times New Roman" w:hAnsi="Times New Roman" w:cs="Times New Roman"/>
          <w:sz w:val="24"/>
          <w:szCs w:val="24"/>
        </w:rPr>
        <w:t>2013).</w:t>
      </w:r>
      <w:r w:rsidRPr="004C3C9B">
        <w:rPr>
          <w:rFonts w:ascii="Times New Roman" w:hAnsi="Times New Roman" w:cs="Times New Roman"/>
          <w:sz w:val="24"/>
          <w:szCs w:val="24"/>
        </w:rPr>
        <w:t xml:space="preserve"> </w:t>
      </w:r>
      <w:r w:rsidR="00A83DAF" w:rsidRPr="004C3C9B">
        <w:rPr>
          <w:rFonts w:ascii="Times New Roman" w:hAnsi="Times New Roman" w:cs="Times New Roman"/>
          <w:sz w:val="24"/>
          <w:szCs w:val="24"/>
        </w:rPr>
        <w:t xml:space="preserve"> </w:t>
      </w:r>
      <w:r w:rsidR="00344EA5" w:rsidRPr="004C3C9B">
        <w:rPr>
          <w:rFonts w:ascii="Times New Roman" w:hAnsi="Times New Roman" w:cs="Times New Roman"/>
          <w:sz w:val="24"/>
          <w:szCs w:val="24"/>
        </w:rPr>
        <w:t>T</w:t>
      </w:r>
      <w:r w:rsidR="00E84401" w:rsidRPr="004C3C9B">
        <w:rPr>
          <w:rFonts w:ascii="Times New Roman" w:hAnsi="Times New Roman" w:cs="Times New Roman"/>
          <w:sz w:val="24"/>
          <w:szCs w:val="24"/>
        </w:rPr>
        <w:t>here is a fear that</w:t>
      </w:r>
      <w:r w:rsidR="00D94F28" w:rsidRPr="004C3C9B">
        <w:rPr>
          <w:rFonts w:ascii="Times New Roman" w:hAnsi="Times New Roman" w:cs="Times New Roman"/>
          <w:sz w:val="24"/>
          <w:szCs w:val="24"/>
        </w:rPr>
        <w:t xml:space="preserve"> the</w:t>
      </w:r>
      <w:r w:rsidR="00906883" w:rsidRPr="004C3C9B">
        <w:rPr>
          <w:rFonts w:ascii="Times New Roman" w:hAnsi="Times New Roman" w:cs="Times New Roman"/>
          <w:sz w:val="24"/>
          <w:szCs w:val="24"/>
        </w:rPr>
        <w:t xml:space="preserve">y may not be covered by their employer or a mistake could lead to legal ramifications for the NIP </w:t>
      </w:r>
      <w:r w:rsidR="00E84401" w:rsidRPr="004C3C9B">
        <w:rPr>
          <w:rFonts w:ascii="Times New Roman" w:hAnsi="Times New Roman" w:cs="Times New Roman"/>
          <w:sz w:val="24"/>
          <w:szCs w:val="24"/>
        </w:rPr>
        <w:t>(Hall 2006, M</w:t>
      </w:r>
      <w:r w:rsidR="00344EA5" w:rsidRPr="004C3C9B">
        <w:rPr>
          <w:rFonts w:ascii="Times New Roman" w:hAnsi="Times New Roman" w:cs="Times New Roman"/>
          <w:sz w:val="24"/>
          <w:szCs w:val="24"/>
        </w:rPr>
        <w:t xml:space="preserve">addox 2011, Rowbotham et al 2012). </w:t>
      </w:r>
    </w:p>
    <w:p w:rsidR="00A83DAF" w:rsidRPr="004C3C9B" w:rsidRDefault="00A83DAF" w:rsidP="004C3C9B">
      <w:pPr>
        <w:spacing w:after="0" w:line="480" w:lineRule="auto"/>
        <w:jc w:val="both"/>
        <w:rPr>
          <w:rFonts w:ascii="Times New Roman" w:hAnsi="Times New Roman" w:cs="Times New Roman"/>
          <w:sz w:val="24"/>
          <w:szCs w:val="24"/>
        </w:rPr>
      </w:pPr>
    </w:p>
    <w:p w:rsidR="00A83DAF"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Linked to this concept of role, is the perception of risk stemming from specific patient demographics (Offredy</w:t>
      </w:r>
      <w:r w:rsidR="00313F25" w:rsidRPr="004C3C9B">
        <w:rPr>
          <w:rFonts w:ascii="Times New Roman" w:hAnsi="Times New Roman" w:cs="Times New Roman"/>
          <w:sz w:val="24"/>
          <w:szCs w:val="24"/>
        </w:rPr>
        <w:t xml:space="preserve"> et al </w:t>
      </w:r>
      <w:r w:rsidRPr="004C3C9B">
        <w:rPr>
          <w:rFonts w:ascii="Times New Roman" w:hAnsi="Times New Roman" w:cs="Times New Roman"/>
          <w:sz w:val="24"/>
          <w:szCs w:val="24"/>
        </w:rPr>
        <w:t xml:space="preserve">2008). This review found that </w:t>
      </w:r>
      <w:r w:rsidR="00313F25"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were reluctant to prescribe for patients with complex medical problems or polypharmacy issues as they were deemed to </w:t>
      </w:r>
      <w:r w:rsidR="00313F25" w:rsidRPr="004C3C9B">
        <w:rPr>
          <w:rFonts w:ascii="Times New Roman" w:hAnsi="Times New Roman" w:cs="Times New Roman"/>
          <w:sz w:val="24"/>
          <w:szCs w:val="24"/>
        </w:rPr>
        <w:t xml:space="preserve">be high risk patients (Offredy et al </w:t>
      </w:r>
      <w:r w:rsidRPr="004C3C9B">
        <w:rPr>
          <w:rFonts w:ascii="Times New Roman" w:hAnsi="Times New Roman" w:cs="Times New Roman"/>
          <w:sz w:val="24"/>
          <w:szCs w:val="24"/>
        </w:rPr>
        <w:t>2008</w:t>
      </w:r>
      <w:r w:rsidR="00313F25" w:rsidRPr="004C3C9B">
        <w:rPr>
          <w:rFonts w:ascii="Times New Roman" w:hAnsi="Times New Roman" w:cs="Times New Roman"/>
          <w:sz w:val="24"/>
          <w:szCs w:val="24"/>
        </w:rPr>
        <w:t>, Rowbotham et al 2012</w:t>
      </w:r>
      <w:r w:rsidRPr="004C3C9B">
        <w:rPr>
          <w:rFonts w:ascii="Times New Roman" w:hAnsi="Times New Roman" w:cs="Times New Roman"/>
          <w:sz w:val="24"/>
          <w:szCs w:val="24"/>
        </w:rPr>
        <w:t xml:space="preserve">). For some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patients at either end of the age spectrum were also considered high risk (Hall 2006). Courtenay</w:t>
      </w:r>
      <w:r w:rsidR="00313F25" w:rsidRPr="004C3C9B">
        <w:rPr>
          <w:rFonts w:ascii="Times New Roman" w:hAnsi="Times New Roman" w:cs="Times New Roman"/>
          <w:sz w:val="24"/>
          <w:szCs w:val="24"/>
        </w:rPr>
        <w:t xml:space="preserve"> et al </w:t>
      </w:r>
      <w:r w:rsidRPr="004C3C9B">
        <w:rPr>
          <w:rFonts w:ascii="Times New Roman" w:hAnsi="Times New Roman" w:cs="Times New Roman"/>
          <w:sz w:val="24"/>
          <w:szCs w:val="24"/>
        </w:rPr>
        <w:t xml:space="preserve">(2007) found that this perception of risk links to the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perceived level of competence when dealing with these patients. If they do not have sufficient knowledge and skills to underpin their prescribing decisions for </w:t>
      </w:r>
      <w:r w:rsidR="0047296D" w:rsidRPr="004C3C9B">
        <w:rPr>
          <w:rFonts w:ascii="Times New Roman" w:hAnsi="Times New Roman" w:cs="Times New Roman"/>
          <w:sz w:val="24"/>
          <w:szCs w:val="24"/>
        </w:rPr>
        <w:t xml:space="preserve">these </w:t>
      </w:r>
      <w:r w:rsidRPr="004C3C9B">
        <w:rPr>
          <w:rFonts w:ascii="Times New Roman" w:hAnsi="Times New Roman" w:cs="Times New Roman"/>
          <w:sz w:val="24"/>
          <w:szCs w:val="24"/>
        </w:rPr>
        <w:t xml:space="preserve">patients, then they are more likely to refer to the GP or seek advice and guidance. They also stipulated that in cases such as these, it may be more prudent to adopt the approach of supplementary prescribing instead. </w:t>
      </w:r>
      <w:r w:rsidR="004D7A08" w:rsidRPr="004C3C9B">
        <w:rPr>
          <w:rFonts w:ascii="Times New Roman" w:hAnsi="Times New Roman" w:cs="Times New Roman"/>
          <w:sz w:val="24"/>
          <w:szCs w:val="24"/>
        </w:rPr>
        <w:t>The</w:t>
      </w:r>
      <w:r w:rsidR="0047296D" w:rsidRPr="004C3C9B">
        <w:rPr>
          <w:rFonts w:ascii="Times New Roman" w:hAnsi="Times New Roman" w:cs="Times New Roman"/>
          <w:sz w:val="24"/>
          <w:szCs w:val="24"/>
        </w:rPr>
        <w:t xml:space="preserve">se so called ‘high risk’ patients also affect the </w:t>
      </w:r>
      <w:r w:rsidR="004D7A08" w:rsidRPr="004C3C9B">
        <w:rPr>
          <w:rFonts w:ascii="Times New Roman" w:hAnsi="Times New Roman" w:cs="Times New Roman"/>
          <w:sz w:val="24"/>
          <w:szCs w:val="24"/>
        </w:rPr>
        <w:t xml:space="preserve">prescribing decisions of </w:t>
      </w:r>
      <w:r w:rsidRPr="004C3C9B">
        <w:rPr>
          <w:rFonts w:ascii="Times New Roman" w:hAnsi="Times New Roman" w:cs="Times New Roman"/>
          <w:sz w:val="24"/>
          <w:szCs w:val="24"/>
        </w:rPr>
        <w:t>GP</w:t>
      </w:r>
      <w:r w:rsidR="004D7A08" w:rsidRPr="004C3C9B">
        <w:rPr>
          <w:rFonts w:ascii="Times New Roman" w:hAnsi="Times New Roman" w:cs="Times New Roman"/>
          <w:sz w:val="24"/>
          <w:szCs w:val="24"/>
        </w:rPr>
        <w:t>s</w:t>
      </w:r>
      <w:r w:rsidRPr="004C3C9B">
        <w:rPr>
          <w:rFonts w:ascii="Times New Roman" w:hAnsi="Times New Roman" w:cs="Times New Roman"/>
          <w:sz w:val="24"/>
          <w:szCs w:val="24"/>
        </w:rPr>
        <w:t xml:space="preserve">, and they will often turn to peers or formal guidance for support in these matters </w:t>
      </w:r>
      <w:r w:rsidRPr="004C3C9B">
        <w:rPr>
          <w:rFonts w:ascii="Times New Roman" w:hAnsi="Times New Roman" w:cs="Times New Roman"/>
          <w:sz w:val="24"/>
          <w:szCs w:val="24"/>
        </w:rPr>
        <w:lastRenderedPageBreak/>
        <w:t>(Tobin et al 2008). Consequently, several studies in this review have demonstrated the importance of access to patient’s medical records prior to making a prescribing decision (</w:t>
      </w:r>
      <w:r w:rsidR="006F303C" w:rsidRPr="004C3C9B">
        <w:rPr>
          <w:rFonts w:ascii="Times New Roman" w:hAnsi="Times New Roman" w:cs="Times New Roman"/>
          <w:sz w:val="24"/>
          <w:szCs w:val="24"/>
        </w:rPr>
        <w:t xml:space="preserve">Luker et al 1998, </w:t>
      </w:r>
      <w:r w:rsidRPr="004C3C9B">
        <w:rPr>
          <w:rFonts w:ascii="Times New Roman" w:hAnsi="Times New Roman" w:cs="Times New Roman"/>
          <w:sz w:val="24"/>
          <w:szCs w:val="24"/>
        </w:rPr>
        <w:t>Hall 2006,</w:t>
      </w:r>
      <w:r w:rsidR="006F303C" w:rsidRPr="004C3C9B">
        <w:rPr>
          <w:rFonts w:ascii="Times New Roman" w:hAnsi="Times New Roman" w:cs="Times New Roman"/>
          <w:sz w:val="24"/>
          <w:szCs w:val="24"/>
        </w:rPr>
        <w:t xml:space="preserve"> </w:t>
      </w:r>
      <w:r w:rsidRPr="004C3C9B">
        <w:rPr>
          <w:rFonts w:ascii="Times New Roman" w:hAnsi="Times New Roman" w:cs="Times New Roman"/>
          <w:sz w:val="24"/>
          <w:szCs w:val="24"/>
        </w:rPr>
        <w:t>Maddox 2011). This enables the prescriber to weigh up the balance of risk against the perceived benefits for issuing a prescription (Watterson et al 2009).</w:t>
      </w:r>
    </w:p>
    <w:p w:rsidR="00A83DAF" w:rsidRPr="004C3C9B" w:rsidRDefault="00A83DAF" w:rsidP="004C3C9B">
      <w:pPr>
        <w:spacing w:after="0" w:line="480" w:lineRule="auto"/>
        <w:jc w:val="both"/>
        <w:rPr>
          <w:rFonts w:ascii="Times New Roman" w:hAnsi="Times New Roman" w:cs="Times New Roman"/>
          <w:sz w:val="24"/>
          <w:szCs w:val="24"/>
        </w:rPr>
      </w:pPr>
    </w:p>
    <w:p w:rsidR="00A83DAF"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Pressure to prescribe was deemed to be a negative influence on </w:t>
      </w:r>
      <w:r w:rsidR="00760A12" w:rsidRPr="004C3C9B">
        <w:rPr>
          <w:rFonts w:ascii="Times New Roman" w:hAnsi="Times New Roman" w:cs="Times New Roman"/>
          <w:sz w:val="24"/>
          <w:szCs w:val="24"/>
        </w:rPr>
        <w:t>NIP</w:t>
      </w:r>
      <w:r w:rsidRPr="004C3C9B">
        <w:rPr>
          <w:rFonts w:ascii="Times New Roman" w:hAnsi="Times New Roman" w:cs="Times New Roman"/>
          <w:sz w:val="24"/>
          <w:szCs w:val="24"/>
        </w:rPr>
        <w:t>s decis</w:t>
      </w:r>
      <w:r w:rsidR="00C83ED1" w:rsidRPr="004C3C9B">
        <w:rPr>
          <w:rFonts w:ascii="Times New Roman" w:hAnsi="Times New Roman" w:cs="Times New Roman"/>
          <w:sz w:val="24"/>
          <w:szCs w:val="24"/>
        </w:rPr>
        <w:t>ion-making process (Luker et al</w:t>
      </w:r>
      <w:r w:rsidRPr="004C3C9B">
        <w:rPr>
          <w:rFonts w:ascii="Times New Roman" w:hAnsi="Times New Roman" w:cs="Times New Roman"/>
          <w:sz w:val="24"/>
          <w:szCs w:val="24"/>
        </w:rPr>
        <w:t xml:space="preserve"> 1998</w:t>
      </w:r>
      <w:r w:rsidR="00C83ED1" w:rsidRPr="004C3C9B">
        <w:rPr>
          <w:rFonts w:ascii="Times New Roman" w:hAnsi="Times New Roman" w:cs="Times New Roman"/>
          <w:sz w:val="24"/>
          <w:szCs w:val="24"/>
        </w:rPr>
        <w:t>, Daughtry and Hayter 2010</w:t>
      </w:r>
      <w:r w:rsidRPr="004C3C9B">
        <w:rPr>
          <w:rFonts w:ascii="Times New Roman" w:hAnsi="Times New Roman" w:cs="Times New Roman"/>
          <w:sz w:val="24"/>
          <w:szCs w:val="24"/>
        </w:rPr>
        <w:t xml:space="preserve">). Several studies in this review determined that this pressure is exerted by both patients and colleagues and makes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uncomfortable (Philp and Winfield 2010, Rowbotham et al 2012</w:t>
      </w:r>
      <w:r w:rsidR="00C83ED1" w:rsidRPr="004C3C9B">
        <w:rPr>
          <w:rFonts w:ascii="Times New Roman" w:hAnsi="Times New Roman" w:cs="Times New Roman"/>
          <w:sz w:val="24"/>
          <w:szCs w:val="24"/>
        </w:rPr>
        <w:t>, Herklots et al 2015</w:t>
      </w:r>
      <w:r w:rsidRPr="004C3C9B">
        <w:rPr>
          <w:rFonts w:ascii="Times New Roman" w:hAnsi="Times New Roman" w:cs="Times New Roman"/>
          <w:sz w:val="24"/>
          <w:szCs w:val="24"/>
        </w:rPr>
        <w:t>). It is thought that they are put at risk as they feel forced to issue a prescription which they perceive to be inappropriate or outside of their competence (Lewis-Evans and Jester 2004</w:t>
      </w:r>
      <w:r w:rsidR="00265AF9" w:rsidRPr="004C3C9B">
        <w:rPr>
          <w:rFonts w:ascii="Times New Roman" w:hAnsi="Times New Roman" w:cs="Times New Roman"/>
          <w:sz w:val="24"/>
          <w:szCs w:val="24"/>
        </w:rPr>
        <w:t>, Maddox 2011</w:t>
      </w:r>
      <w:r w:rsidRPr="004C3C9B">
        <w:rPr>
          <w:rFonts w:ascii="Times New Roman" w:hAnsi="Times New Roman" w:cs="Times New Roman"/>
          <w:sz w:val="24"/>
          <w:szCs w:val="24"/>
        </w:rPr>
        <w:t>).</w:t>
      </w:r>
      <w:r w:rsidR="006651A1" w:rsidRPr="004C3C9B">
        <w:rPr>
          <w:rFonts w:ascii="Times New Roman" w:hAnsi="Times New Roman" w:cs="Times New Roman"/>
          <w:sz w:val="24"/>
          <w:szCs w:val="24"/>
        </w:rPr>
        <w:t xml:space="preserve"> Some NIPs admitted to having issued prescriptions even if they felt they were not necessary or for products that they did not feel were the most appropriate due to the pressure and expectations from patients (Luker et al 1998,</w:t>
      </w:r>
      <w:r w:rsidR="008C6CFF" w:rsidRPr="004C3C9B">
        <w:rPr>
          <w:rFonts w:ascii="Times New Roman" w:hAnsi="Times New Roman" w:cs="Times New Roman"/>
          <w:sz w:val="24"/>
          <w:szCs w:val="24"/>
        </w:rPr>
        <w:t xml:space="preserve"> Hall 2006, Maddox 2011, Herklots et al 2015). </w:t>
      </w:r>
      <w:r w:rsidRPr="004C3C9B">
        <w:rPr>
          <w:rFonts w:ascii="Times New Roman" w:hAnsi="Times New Roman" w:cs="Times New Roman"/>
          <w:sz w:val="24"/>
          <w:szCs w:val="24"/>
        </w:rPr>
        <w:t>This issue is reflected in a study by Pan et al (2016) who focussed on the prescribing practice of GPs in relation to patient pressures. They did find that as a compensatory measure where the GP succumbed to the prescribing pressure, they often recommended a delayed prescription.</w:t>
      </w:r>
      <w:r w:rsidR="00265AF9" w:rsidRPr="004C3C9B">
        <w:rPr>
          <w:rFonts w:ascii="Times New Roman" w:hAnsi="Times New Roman" w:cs="Times New Roman"/>
          <w:sz w:val="24"/>
          <w:szCs w:val="24"/>
        </w:rPr>
        <w:t xml:space="preserve"> A sentiment echoed by some of the NIPs in the study by </w:t>
      </w:r>
      <w:r w:rsidRPr="004C3C9B">
        <w:rPr>
          <w:rFonts w:ascii="Times New Roman" w:hAnsi="Times New Roman" w:cs="Times New Roman"/>
          <w:sz w:val="24"/>
          <w:szCs w:val="24"/>
        </w:rPr>
        <w:t xml:space="preserve">Philp and Winfield </w:t>
      </w:r>
      <w:r w:rsidR="00265AF9" w:rsidRPr="004C3C9B">
        <w:rPr>
          <w:rFonts w:ascii="Times New Roman" w:hAnsi="Times New Roman" w:cs="Times New Roman"/>
          <w:sz w:val="24"/>
          <w:szCs w:val="24"/>
        </w:rPr>
        <w:t>(</w:t>
      </w:r>
      <w:r w:rsidRPr="004C3C9B">
        <w:rPr>
          <w:rFonts w:ascii="Times New Roman" w:hAnsi="Times New Roman" w:cs="Times New Roman"/>
          <w:sz w:val="24"/>
          <w:szCs w:val="24"/>
        </w:rPr>
        <w:t>2010).</w:t>
      </w:r>
    </w:p>
    <w:p w:rsidR="00A83DAF" w:rsidRPr="004C3C9B" w:rsidRDefault="00A83DAF" w:rsidP="004C3C9B">
      <w:pPr>
        <w:spacing w:after="0" w:line="480" w:lineRule="auto"/>
        <w:jc w:val="both"/>
        <w:rPr>
          <w:rFonts w:ascii="Times New Roman" w:hAnsi="Times New Roman" w:cs="Times New Roman"/>
          <w:sz w:val="24"/>
          <w:szCs w:val="24"/>
        </w:rPr>
      </w:pPr>
    </w:p>
    <w:p w:rsidR="008109B2" w:rsidRDefault="008109B2" w:rsidP="004C3C9B">
      <w:pPr>
        <w:spacing w:after="0" w:line="480" w:lineRule="auto"/>
        <w:jc w:val="both"/>
        <w:rPr>
          <w:rFonts w:ascii="Times New Roman" w:hAnsi="Times New Roman" w:cs="Times New Roman"/>
          <w:i/>
          <w:sz w:val="24"/>
          <w:szCs w:val="24"/>
          <w:u w:val="single"/>
        </w:rPr>
      </w:pPr>
    </w:p>
    <w:p w:rsidR="008109B2" w:rsidRDefault="008109B2" w:rsidP="004C3C9B">
      <w:pPr>
        <w:spacing w:after="0" w:line="480" w:lineRule="auto"/>
        <w:jc w:val="both"/>
        <w:rPr>
          <w:rFonts w:ascii="Times New Roman" w:hAnsi="Times New Roman" w:cs="Times New Roman"/>
          <w:i/>
          <w:sz w:val="24"/>
          <w:szCs w:val="24"/>
          <w:u w:val="single"/>
        </w:rPr>
      </w:pPr>
    </w:p>
    <w:p w:rsidR="003944F2" w:rsidRPr="004C3C9B" w:rsidRDefault="003944F2" w:rsidP="004C3C9B">
      <w:pPr>
        <w:spacing w:after="0" w:line="480" w:lineRule="auto"/>
        <w:jc w:val="both"/>
        <w:rPr>
          <w:rFonts w:ascii="Times New Roman" w:hAnsi="Times New Roman" w:cs="Times New Roman"/>
          <w:i/>
          <w:sz w:val="24"/>
          <w:szCs w:val="24"/>
          <w:u w:val="single"/>
        </w:rPr>
      </w:pPr>
      <w:r w:rsidRPr="004C3C9B">
        <w:rPr>
          <w:rFonts w:ascii="Times New Roman" w:hAnsi="Times New Roman" w:cs="Times New Roman"/>
          <w:i/>
          <w:sz w:val="24"/>
          <w:szCs w:val="24"/>
          <w:u w:val="single"/>
        </w:rPr>
        <w:lastRenderedPageBreak/>
        <w:t>Impact on the Patient</w:t>
      </w:r>
    </w:p>
    <w:p w:rsidR="003944F2" w:rsidRPr="004C3C9B" w:rsidRDefault="003944F2" w:rsidP="004C3C9B">
      <w:pPr>
        <w:spacing w:after="0" w:line="480" w:lineRule="auto"/>
        <w:jc w:val="both"/>
        <w:rPr>
          <w:rFonts w:ascii="Times New Roman" w:hAnsi="Times New Roman" w:cs="Times New Roman"/>
          <w:i/>
          <w:sz w:val="24"/>
          <w:szCs w:val="24"/>
          <w:u w:val="single"/>
        </w:rPr>
      </w:pPr>
    </w:p>
    <w:p w:rsidR="001C0FE2" w:rsidRPr="004C3C9B" w:rsidRDefault="00490FF8"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The patient is the most pertinent factor to consider during the prescribing process; since their safety and well-being is paramount</w:t>
      </w:r>
      <w:r w:rsidR="006651A1" w:rsidRPr="004C3C9B">
        <w:rPr>
          <w:rFonts w:ascii="Times New Roman" w:hAnsi="Times New Roman" w:cs="Times New Roman"/>
          <w:sz w:val="24"/>
          <w:szCs w:val="24"/>
        </w:rPr>
        <w:t>.</w:t>
      </w:r>
      <w:r w:rsidRPr="004C3C9B">
        <w:rPr>
          <w:rFonts w:ascii="Times New Roman" w:hAnsi="Times New Roman" w:cs="Times New Roman"/>
          <w:sz w:val="24"/>
          <w:szCs w:val="24"/>
        </w:rPr>
        <w:t xml:space="preserve"> </w:t>
      </w:r>
      <w:r w:rsidR="00A83DAF" w:rsidRPr="004C3C9B">
        <w:rPr>
          <w:rFonts w:ascii="Times New Roman" w:hAnsi="Times New Roman" w:cs="Times New Roman"/>
          <w:sz w:val="24"/>
          <w:szCs w:val="24"/>
        </w:rPr>
        <w:t xml:space="preserve">An accurate diagnosis </w:t>
      </w:r>
      <w:r w:rsidR="006651A1" w:rsidRPr="004C3C9B">
        <w:rPr>
          <w:rFonts w:ascii="Times New Roman" w:hAnsi="Times New Roman" w:cs="Times New Roman"/>
          <w:sz w:val="24"/>
          <w:szCs w:val="24"/>
        </w:rPr>
        <w:t xml:space="preserve">is </w:t>
      </w:r>
      <w:r w:rsidR="00A83DAF" w:rsidRPr="004C3C9B">
        <w:rPr>
          <w:rFonts w:ascii="Times New Roman" w:hAnsi="Times New Roman" w:cs="Times New Roman"/>
          <w:sz w:val="24"/>
          <w:szCs w:val="24"/>
        </w:rPr>
        <w:t xml:space="preserve">required to determine the actual clinical need for the prescription, and as discussed previously, </w:t>
      </w:r>
      <w:r w:rsidR="008D196F" w:rsidRPr="004C3C9B">
        <w:rPr>
          <w:rFonts w:ascii="Times New Roman" w:hAnsi="Times New Roman" w:cs="Times New Roman"/>
          <w:sz w:val="24"/>
          <w:szCs w:val="24"/>
        </w:rPr>
        <w:t>NIP</w:t>
      </w:r>
      <w:r w:rsidR="00A83DAF" w:rsidRPr="004C3C9B">
        <w:rPr>
          <w:rFonts w:ascii="Times New Roman" w:hAnsi="Times New Roman" w:cs="Times New Roman"/>
          <w:sz w:val="24"/>
          <w:szCs w:val="24"/>
        </w:rPr>
        <w:t>s must therefore be proficient in physical assessment and diagnostic skills (Courtenay and Gordon 2009, Daughtry and Hayter 2010). Some participants in the reviewed studies indicated that they would not prescribe if it was not warranted</w:t>
      </w:r>
      <w:r w:rsidR="001B5986" w:rsidRPr="004C3C9B">
        <w:rPr>
          <w:rFonts w:ascii="Times New Roman" w:hAnsi="Times New Roman" w:cs="Times New Roman"/>
          <w:sz w:val="24"/>
          <w:szCs w:val="24"/>
        </w:rPr>
        <w:t xml:space="preserve"> (Rowbotham et al 2012)</w:t>
      </w:r>
      <w:r w:rsidR="00A83DAF" w:rsidRPr="004C3C9B">
        <w:rPr>
          <w:rFonts w:ascii="Times New Roman" w:hAnsi="Times New Roman" w:cs="Times New Roman"/>
          <w:sz w:val="24"/>
          <w:szCs w:val="24"/>
        </w:rPr>
        <w:t xml:space="preserve">, however, this is at odds with the findings of </w:t>
      </w:r>
      <w:r w:rsidR="001B5986" w:rsidRPr="004C3C9B">
        <w:rPr>
          <w:rFonts w:ascii="Times New Roman" w:hAnsi="Times New Roman" w:cs="Times New Roman"/>
          <w:sz w:val="24"/>
          <w:szCs w:val="24"/>
        </w:rPr>
        <w:t>Luker et al (1998), Herklots et al (2015) and Pan et al (2016) who discovered</w:t>
      </w:r>
      <w:r w:rsidR="00A83DAF" w:rsidRPr="004C3C9B">
        <w:rPr>
          <w:rFonts w:ascii="Times New Roman" w:hAnsi="Times New Roman" w:cs="Times New Roman"/>
          <w:sz w:val="24"/>
          <w:szCs w:val="24"/>
        </w:rPr>
        <w:t xml:space="preserve"> that both </w:t>
      </w:r>
      <w:r w:rsidR="008D196F" w:rsidRPr="004C3C9B">
        <w:rPr>
          <w:rFonts w:ascii="Times New Roman" w:hAnsi="Times New Roman" w:cs="Times New Roman"/>
          <w:sz w:val="24"/>
          <w:szCs w:val="24"/>
        </w:rPr>
        <w:t>NIP</w:t>
      </w:r>
      <w:r w:rsidR="00A83DAF" w:rsidRPr="004C3C9B">
        <w:rPr>
          <w:rFonts w:ascii="Times New Roman" w:hAnsi="Times New Roman" w:cs="Times New Roman"/>
          <w:sz w:val="24"/>
          <w:szCs w:val="24"/>
        </w:rPr>
        <w:t xml:space="preserve">s and GPs have succumbed to patient pressure and prescribed inappropriately. </w:t>
      </w:r>
    </w:p>
    <w:p w:rsidR="001C0FE2" w:rsidRPr="004C3C9B" w:rsidRDefault="001C0FE2" w:rsidP="004C3C9B">
      <w:pPr>
        <w:spacing w:after="0" w:line="480" w:lineRule="auto"/>
        <w:jc w:val="both"/>
        <w:rPr>
          <w:rFonts w:ascii="Times New Roman" w:hAnsi="Times New Roman" w:cs="Times New Roman"/>
          <w:sz w:val="24"/>
          <w:szCs w:val="24"/>
        </w:rPr>
      </w:pPr>
    </w:p>
    <w:p w:rsidR="00A83DAF"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The cost to the patient is</w:t>
      </w:r>
      <w:r w:rsidR="001C0FE2" w:rsidRPr="004C3C9B">
        <w:rPr>
          <w:rFonts w:ascii="Times New Roman" w:hAnsi="Times New Roman" w:cs="Times New Roman"/>
          <w:sz w:val="24"/>
          <w:szCs w:val="24"/>
        </w:rPr>
        <w:t xml:space="preserve"> also</w:t>
      </w:r>
      <w:r w:rsidRPr="004C3C9B">
        <w:rPr>
          <w:rFonts w:ascii="Times New Roman" w:hAnsi="Times New Roman" w:cs="Times New Roman"/>
          <w:sz w:val="24"/>
          <w:szCs w:val="24"/>
        </w:rPr>
        <w:t xml:space="preserve"> a major consideration</w:t>
      </w:r>
      <w:r w:rsidR="001C0FE2" w:rsidRPr="004C3C9B">
        <w:rPr>
          <w:rFonts w:ascii="Times New Roman" w:hAnsi="Times New Roman" w:cs="Times New Roman"/>
          <w:sz w:val="24"/>
          <w:szCs w:val="24"/>
        </w:rPr>
        <w:t>. The decision to issue a prescription or advise patients to purchase a suitable alternative over-the-counter</w:t>
      </w:r>
      <w:r w:rsidR="00C36101" w:rsidRPr="004C3C9B">
        <w:rPr>
          <w:rFonts w:ascii="Times New Roman" w:hAnsi="Times New Roman" w:cs="Times New Roman"/>
          <w:sz w:val="24"/>
          <w:szCs w:val="24"/>
        </w:rPr>
        <w:t xml:space="preserve"> (OTC)</w:t>
      </w:r>
      <w:r w:rsidR="001C0FE2" w:rsidRPr="004C3C9B">
        <w:rPr>
          <w:rFonts w:ascii="Times New Roman" w:hAnsi="Times New Roman" w:cs="Times New Roman"/>
          <w:sz w:val="24"/>
          <w:szCs w:val="24"/>
        </w:rPr>
        <w:t xml:space="preserve"> is based upon which option is likely to incur the lowest charge. For example</w:t>
      </w:r>
      <w:r w:rsidR="00C36101" w:rsidRPr="004C3C9B">
        <w:rPr>
          <w:rFonts w:ascii="Times New Roman" w:hAnsi="Times New Roman" w:cs="Times New Roman"/>
          <w:sz w:val="24"/>
          <w:szCs w:val="24"/>
        </w:rPr>
        <w:t>,</w:t>
      </w:r>
      <w:r w:rsidR="001C0FE2" w:rsidRPr="004C3C9B">
        <w:rPr>
          <w:rFonts w:ascii="Times New Roman" w:hAnsi="Times New Roman" w:cs="Times New Roman"/>
          <w:sz w:val="24"/>
          <w:szCs w:val="24"/>
        </w:rPr>
        <w:t xml:space="preserve"> if a patient is eligible for free prescriptions then the NIP is more likely to issue a prescription even if that item can be purchased OTC </w:t>
      </w:r>
      <w:r w:rsidRPr="004C3C9B">
        <w:rPr>
          <w:rFonts w:ascii="Times New Roman" w:hAnsi="Times New Roman" w:cs="Times New Roman"/>
          <w:sz w:val="24"/>
          <w:szCs w:val="24"/>
        </w:rPr>
        <w:t>(</w:t>
      </w:r>
      <w:r w:rsidR="00C36101" w:rsidRPr="004C3C9B">
        <w:rPr>
          <w:rFonts w:ascii="Times New Roman" w:hAnsi="Times New Roman" w:cs="Times New Roman"/>
          <w:sz w:val="24"/>
          <w:szCs w:val="24"/>
        </w:rPr>
        <w:t xml:space="preserve">Luker et al 1998, </w:t>
      </w:r>
      <w:r w:rsidRPr="004C3C9B">
        <w:rPr>
          <w:rFonts w:ascii="Times New Roman" w:hAnsi="Times New Roman" w:cs="Times New Roman"/>
          <w:sz w:val="24"/>
          <w:szCs w:val="24"/>
        </w:rPr>
        <w:t xml:space="preserve">Maddox 2011). A study by Tobin et al (2008) determined that GPs also face similar issues when considering prescribing decisions, however, issues of clinical need and patient expectations took precedence. </w:t>
      </w:r>
    </w:p>
    <w:p w:rsidR="00A83DAF" w:rsidRPr="004C3C9B" w:rsidRDefault="00A83DAF" w:rsidP="004C3C9B">
      <w:pPr>
        <w:spacing w:after="0" w:line="480" w:lineRule="auto"/>
        <w:jc w:val="both"/>
        <w:rPr>
          <w:rFonts w:ascii="Times New Roman" w:hAnsi="Times New Roman" w:cs="Times New Roman"/>
          <w:sz w:val="24"/>
          <w:szCs w:val="24"/>
        </w:rPr>
      </w:pPr>
    </w:p>
    <w:p w:rsidR="001268FA" w:rsidRPr="004C3C9B" w:rsidRDefault="00A83DAF"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 xml:space="preserve">Patients display a variety of health beliefs, and these beliefs impact upon their willingness to take medication. Subsequently, it is important for </w:t>
      </w:r>
      <w:r w:rsidR="00285A17"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to consider patient adherence when making prescribing decisions (Maddox </w:t>
      </w:r>
      <w:r w:rsidRPr="004C3C9B">
        <w:rPr>
          <w:rFonts w:ascii="Times New Roman" w:hAnsi="Times New Roman" w:cs="Times New Roman"/>
          <w:sz w:val="24"/>
          <w:szCs w:val="24"/>
        </w:rPr>
        <w:lastRenderedPageBreak/>
        <w:t xml:space="preserve">2011). This review found that the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surveyed recognised the implications of this and perception of adherence was quoted as being the most common reason for deviating from the prescribing guidelines (Hall 2006). The literature demonstrates that patient adherence also influences GP prescribing decisions, although it was found that when this issue was raised, GPs provided an alternate prescription but did not fully explore or discuss the reasons for non-adherence (Stevenson et al 2004). A study by Latter et al (2007) determined that communication with the patient is integral to establishing adherence, and it is vital that the prescriber adequately addresses the patient’s health beliefs and provides them with all necessary information about their prescription.</w:t>
      </w:r>
    </w:p>
    <w:p w:rsidR="00A83DAF" w:rsidRPr="004C3C9B" w:rsidRDefault="00A83DAF" w:rsidP="004C3C9B">
      <w:pPr>
        <w:spacing w:after="0" w:line="480" w:lineRule="auto"/>
        <w:jc w:val="both"/>
        <w:rPr>
          <w:rFonts w:ascii="Times New Roman" w:hAnsi="Times New Roman" w:cs="Times New Roman"/>
          <w:sz w:val="24"/>
          <w:szCs w:val="24"/>
        </w:rPr>
      </w:pPr>
    </w:p>
    <w:p w:rsidR="008D0743" w:rsidRPr="004C3C9B" w:rsidRDefault="008D0743"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b/>
          <w:sz w:val="24"/>
          <w:szCs w:val="24"/>
          <w:u w:val="single"/>
        </w:rPr>
        <w:t>Limitations</w:t>
      </w:r>
    </w:p>
    <w:p w:rsidR="008D0743" w:rsidRPr="004C3C9B" w:rsidRDefault="008D0743" w:rsidP="004C3C9B">
      <w:pPr>
        <w:spacing w:after="0" w:line="480" w:lineRule="auto"/>
        <w:jc w:val="both"/>
        <w:rPr>
          <w:rFonts w:ascii="Times New Roman" w:hAnsi="Times New Roman" w:cs="Times New Roman"/>
          <w:sz w:val="24"/>
          <w:szCs w:val="24"/>
        </w:rPr>
      </w:pPr>
    </w:p>
    <w:p w:rsidR="008D0743" w:rsidRPr="004C3C9B" w:rsidRDefault="008D0743"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The author conducted this review singlehandedly and ideally a minimum of 2 reviewers should undertake a systematic review to reduce the risk of bias and improve transparency (</w:t>
      </w:r>
      <w:r w:rsidR="00AA210B" w:rsidRPr="004C3C9B">
        <w:rPr>
          <w:rFonts w:ascii="Times New Roman" w:hAnsi="Times New Roman" w:cs="Times New Roman"/>
          <w:sz w:val="24"/>
          <w:szCs w:val="24"/>
        </w:rPr>
        <w:t>Centre for Reviews and Dissemination (</w:t>
      </w:r>
      <w:r w:rsidRPr="004C3C9B">
        <w:rPr>
          <w:rFonts w:ascii="Times New Roman" w:hAnsi="Times New Roman" w:cs="Times New Roman"/>
          <w:sz w:val="24"/>
          <w:szCs w:val="24"/>
        </w:rPr>
        <w:t>CRD</w:t>
      </w:r>
      <w:r w:rsidR="00AA210B" w:rsidRPr="004C3C9B">
        <w:rPr>
          <w:rFonts w:ascii="Times New Roman" w:hAnsi="Times New Roman" w:cs="Times New Roman"/>
          <w:sz w:val="24"/>
          <w:szCs w:val="24"/>
        </w:rPr>
        <w:t>)</w:t>
      </w:r>
      <w:r w:rsidR="00DD07A4" w:rsidRPr="004C3C9B">
        <w:rPr>
          <w:rFonts w:ascii="Times New Roman" w:hAnsi="Times New Roman" w:cs="Times New Roman"/>
          <w:sz w:val="24"/>
          <w:szCs w:val="24"/>
        </w:rPr>
        <w:t xml:space="preserve"> </w:t>
      </w:r>
      <w:r w:rsidRPr="004C3C9B">
        <w:rPr>
          <w:rFonts w:ascii="Times New Roman" w:hAnsi="Times New Roman" w:cs="Times New Roman"/>
          <w:sz w:val="24"/>
          <w:szCs w:val="24"/>
        </w:rPr>
        <w:t>2009).</w:t>
      </w:r>
      <w:r w:rsidR="002B7EDD" w:rsidRPr="004C3C9B">
        <w:rPr>
          <w:rFonts w:ascii="Times New Roman" w:hAnsi="Times New Roman" w:cs="Times New Roman"/>
          <w:sz w:val="24"/>
          <w:szCs w:val="24"/>
        </w:rPr>
        <w:t xml:space="preserve"> </w:t>
      </w:r>
      <w:r w:rsidR="007C3968" w:rsidRPr="004C3C9B">
        <w:rPr>
          <w:rFonts w:ascii="Times New Roman" w:hAnsi="Times New Roman" w:cs="Times New Roman"/>
          <w:sz w:val="24"/>
          <w:szCs w:val="24"/>
        </w:rPr>
        <w:t>To</w:t>
      </w:r>
      <w:r w:rsidRPr="004C3C9B">
        <w:rPr>
          <w:rFonts w:ascii="Times New Roman" w:hAnsi="Times New Roman" w:cs="Times New Roman"/>
          <w:sz w:val="24"/>
          <w:szCs w:val="24"/>
        </w:rPr>
        <w:t xml:space="preserve"> provide quality control measures</w:t>
      </w:r>
      <w:r w:rsidR="007C3968" w:rsidRPr="004C3C9B">
        <w:rPr>
          <w:rFonts w:ascii="Times New Roman" w:hAnsi="Times New Roman" w:cs="Times New Roman"/>
          <w:sz w:val="24"/>
          <w:szCs w:val="24"/>
        </w:rPr>
        <w:t xml:space="preserve"> and maintain transparency</w:t>
      </w:r>
      <w:r w:rsidR="002B7EDD" w:rsidRPr="004C3C9B">
        <w:rPr>
          <w:rFonts w:ascii="Times New Roman" w:hAnsi="Times New Roman" w:cs="Times New Roman"/>
          <w:sz w:val="24"/>
          <w:szCs w:val="24"/>
        </w:rPr>
        <w:t>, an independent reviewer aided in</w:t>
      </w:r>
      <w:r w:rsidR="007C3968" w:rsidRPr="004C3C9B">
        <w:rPr>
          <w:rFonts w:ascii="Times New Roman" w:hAnsi="Times New Roman" w:cs="Times New Roman"/>
          <w:sz w:val="24"/>
          <w:szCs w:val="24"/>
        </w:rPr>
        <w:t xml:space="preserve"> evaluating the study selection and critical appraisal process. A similar procedure was used in the study by Anderson et al (2014). </w:t>
      </w:r>
      <w:r w:rsidR="002B7EDD" w:rsidRPr="004C3C9B">
        <w:rPr>
          <w:rFonts w:ascii="Times New Roman" w:hAnsi="Times New Roman" w:cs="Times New Roman"/>
          <w:sz w:val="24"/>
          <w:szCs w:val="24"/>
        </w:rPr>
        <w:t>Robust i</w:t>
      </w:r>
      <w:r w:rsidRPr="004C3C9B">
        <w:rPr>
          <w:rFonts w:ascii="Times New Roman" w:hAnsi="Times New Roman" w:cs="Times New Roman"/>
          <w:sz w:val="24"/>
          <w:szCs w:val="24"/>
        </w:rPr>
        <w:t xml:space="preserve">nclusion/exclusion criteria </w:t>
      </w:r>
      <w:r w:rsidR="002B7EDD" w:rsidRPr="004C3C9B">
        <w:rPr>
          <w:rFonts w:ascii="Times New Roman" w:hAnsi="Times New Roman" w:cs="Times New Roman"/>
          <w:sz w:val="24"/>
          <w:szCs w:val="24"/>
        </w:rPr>
        <w:t>were developed</w:t>
      </w:r>
      <w:r w:rsidR="006965B1" w:rsidRPr="004C3C9B">
        <w:rPr>
          <w:rFonts w:ascii="Times New Roman" w:hAnsi="Times New Roman" w:cs="Times New Roman"/>
          <w:sz w:val="24"/>
          <w:szCs w:val="24"/>
        </w:rPr>
        <w:t xml:space="preserve"> and piloted</w:t>
      </w:r>
      <w:r w:rsidR="002B7EDD" w:rsidRPr="004C3C9B">
        <w:rPr>
          <w:rFonts w:ascii="Times New Roman" w:hAnsi="Times New Roman" w:cs="Times New Roman"/>
          <w:sz w:val="24"/>
          <w:szCs w:val="24"/>
        </w:rPr>
        <w:t xml:space="preserve"> to aid in study selection</w:t>
      </w:r>
      <w:r w:rsidR="006965B1" w:rsidRPr="004C3C9B">
        <w:rPr>
          <w:rFonts w:ascii="Times New Roman" w:hAnsi="Times New Roman" w:cs="Times New Roman"/>
          <w:sz w:val="24"/>
          <w:szCs w:val="24"/>
        </w:rPr>
        <w:t xml:space="preserve">. Search results were then imported into EPPI-Reviewer 4 software and codes representing the selection criteria were manually applied to the articles. The software then analysed the manual codes, automatically applying them to the articles giving a rating of likely or least likely to include </w:t>
      </w:r>
      <w:r w:rsidR="006965B1" w:rsidRPr="004C3C9B">
        <w:rPr>
          <w:rFonts w:ascii="Times New Roman" w:hAnsi="Times New Roman" w:cs="Times New Roman"/>
          <w:sz w:val="24"/>
          <w:szCs w:val="24"/>
        </w:rPr>
        <w:lastRenderedPageBreak/>
        <w:t>(EPPI-Centre 2016).</w:t>
      </w:r>
      <w:r w:rsidR="00A55B1A" w:rsidRPr="004C3C9B">
        <w:rPr>
          <w:rFonts w:ascii="Times New Roman" w:hAnsi="Times New Roman" w:cs="Times New Roman"/>
          <w:sz w:val="24"/>
          <w:szCs w:val="24"/>
        </w:rPr>
        <w:t xml:space="preserve"> </w:t>
      </w:r>
      <w:r w:rsidRPr="004C3C9B">
        <w:rPr>
          <w:rFonts w:ascii="Times New Roman" w:hAnsi="Times New Roman" w:cs="Times New Roman"/>
          <w:sz w:val="24"/>
          <w:szCs w:val="24"/>
        </w:rPr>
        <w:t>The use of ConQual criteria</w:t>
      </w:r>
      <w:r w:rsidR="008629B2" w:rsidRPr="004C3C9B">
        <w:rPr>
          <w:rFonts w:ascii="Times New Roman" w:hAnsi="Times New Roman" w:cs="Times New Roman"/>
          <w:sz w:val="24"/>
          <w:szCs w:val="24"/>
        </w:rPr>
        <w:t xml:space="preserve"> also</w:t>
      </w:r>
      <w:r w:rsidRPr="004C3C9B">
        <w:rPr>
          <w:rFonts w:ascii="Times New Roman" w:hAnsi="Times New Roman" w:cs="Times New Roman"/>
          <w:sz w:val="24"/>
          <w:szCs w:val="24"/>
        </w:rPr>
        <w:t xml:space="preserve"> aided in substantiating the review process. The data extraction process was performed twice, with the extractions being undertaken one week apart to allow for cross-checking of errors and inconsistencies (Fleeman and Dundar 2014). The studies included in this review were read multiple times so the reviewer became immersed in the data, as per the meta-ethnographic process adopted. This allowed for cross-checking of the analysed data, so it is unlikely that key themes were missed.</w:t>
      </w:r>
    </w:p>
    <w:p w:rsidR="00865809" w:rsidRPr="004C3C9B" w:rsidRDefault="00865809" w:rsidP="004C3C9B">
      <w:pPr>
        <w:spacing w:after="0" w:line="480" w:lineRule="auto"/>
        <w:jc w:val="both"/>
        <w:rPr>
          <w:rFonts w:ascii="Times New Roman" w:hAnsi="Times New Roman" w:cs="Times New Roman"/>
          <w:b/>
          <w:sz w:val="24"/>
          <w:szCs w:val="24"/>
          <w:u w:val="single"/>
        </w:rPr>
      </w:pPr>
    </w:p>
    <w:p w:rsidR="00760912" w:rsidRPr="004C3C9B" w:rsidRDefault="00760912"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b/>
          <w:sz w:val="24"/>
          <w:szCs w:val="24"/>
          <w:u w:val="single"/>
        </w:rPr>
        <w:t>Conclusion</w:t>
      </w:r>
    </w:p>
    <w:p w:rsidR="00760912" w:rsidRPr="004C3C9B" w:rsidRDefault="00760912" w:rsidP="004C3C9B">
      <w:pPr>
        <w:spacing w:after="0" w:line="480" w:lineRule="auto"/>
        <w:jc w:val="both"/>
        <w:rPr>
          <w:rFonts w:ascii="Times New Roman" w:hAnsi="Times New Roman" w:cs="Times New Roman"/>
          <w:sz w:val="24"/>
          <w:szCs w:val="24"/>
        </w:rPr>
      </w:pPr>
    </w:p>
    <w:p w:rsidR="008A77B1" w:rsidRPr="004C3C9B" w:rsidRDefault="00760912" w:rsidP="004C3C9B">
      <w:pPr>
        <w:spacing w:after="0" w:line="480" w:lineRule="auto"/>
        <w:jc w:val="both"/>
        <w:rPr>
          <w:rFonts w:ascii="Times New Roman" w:hAnsi="Times New Roman" w:cs="Times New Roman"/>
          <w:b/>
          <w:sz w:val="24"/>
          <w:szCs w:val="24"/>
          <w:u w:val="single"/>
        </w:rPr>
      </w:pPr>
      <w:r w:rsidRPr="004C3C9B">
        <w:rPr>
          <w:rFonts w:ascii="Times New Roman" w:hAnsi="Times New Roman" w:cs="Times New Roman"/>
          <w:sz w:val="24"/>
          <w:szCs w:val="24"/>
        </w:rPr>
        <w:t>The aim of this review was to ascertain the factors influe</w:t>
      </w:r>
      <w:r w:rsidR="00DD07A4" w:rsidRPr="004C3C9B">
        <w:rPr>
          <w:rFonts w:ascii="Times New Roman" w:hAnsi="Times New Roman" w:cs="Times New Roman"/>
          <w:sz w:val="24"/>
          <w:szCs w:val="24"/>
        </w:rPr>
        <w:t>ncing prescribing decisions of NIP</w:t>
      </w:r>
      <w:r w:rsidRPr="004C3C9B">
        <w:rPr>
          <w:rFonts w:ascii="Times New Roman" w:hAnsi="Times New Roman" w:cs="Times New Roman"/>
          <w:sz w:val="24"/>
          <w:szCs w:val="24"/>
        </w:rPr>
        <w:t>s in primary care. It is evident from this review that a wide range of influencing factors have been identified. However, it is the underlying el</w:t>
      </w:r>
      <w:r w:rsidR="00DD07A4" w:rsidRPr="004C3C9B">
        <w:rPr>
          <w:rFonts w:ascii="Times New Roman" w:hAnsi="Times New Roman" w:cs="Times New Roman"/>
          <w:sz w:val="24"/>
          <w:szCs w:val="24"/>
        </w:rPr>
        <w:t>ements of competence, risk and impact upon the</w:t>
      </w:r>
      <w:r w:rsidRPr="004C3C9B">
        <w:rPr>
          <w:rFonts w:ascii="Times New Roman" w:hAnsi="Times New Roman" w:cs="Times New Roman"/>
          <w:sz w:val="24"/>
          <w:szCs w:val="24"/>
        </w:rPr>
        <w:t xml:space="preserve"> patient, that ultimately guide the prescribing decision-making process. The wider evidence has demonstrated that these factors are by no means limited to </w:t>
      </w:r>
      <w:r w:rsidR="000C7431"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with GPs frequently citing similar viewpoints. It is essential that </w:t>
      </w:r>
      <w:r w:rsidR="000C7431" w:rsidRPr="004C3C9B">
        <w:rPr>
          <w:rFonts w:ascii="Times New Roman" w:hAnsi="Times New Roman" w:cs="Times New Roman"/>
          <w:sz w:val="24"/>
          <w:szCs w:val="24"/>
        </w:rPr>
        <w:t>NIP</w:t>
      </w:r>
      <w:r w:rsidRPr="004C3C9B">
        <w:rPr>
          <w:rFonts w:ascii="Times New Roman" w:hAnsi="Times New Roman" w:cs="Times New Roman"/>
          <w:sz w:val="24"/>
          <w:szCs w:val="24"/>
        </w:rPr>
        <w:t xml:space="preserve">s are adequately supported and the implementation of </w:t>
      </w:r>
      <w:r w:rsidR="000C7431" w:rsidRPr="004C3C9B">
        <w:rPr>
          <w:rFonts w:ascii="Times New Roman" w:hAnsi="Times New Roman" w:cs="Times New Roman"/>
          <w:sz w:val="24"/>
          <w:szCs w:val="24"/>
        </w:rPr>
        <w:t>NIP</w:t>
      </w:r>
      <w:r w:rsidRPr="004C3C9B">
        <w:rPr>
          <w:rFonts w:ascii="Times New Roman" w:hAnsi="Times New Roman" w:cs="Times New Roman"/>
          <w:sz w:val="24"/>
          <w:szCs w:val="24"/>
        </w:rPr>
        <w:t xml:space="preserve"> within the healthcare setting is reviewed frequently. By building on and improving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levels of competence we can negate some of the risks of prescribing. Ultimately</w:t>
      </w:r>
      <w:r w:rsidR="008E4016" w:rsidRPr="004C3C9B">
        <w:rPr>
          <w:rFonts w:ascii="Times New Roman" w:hAnsi="Times New Roman" w:cs="Times New Roman"/>
          <w:sz w:val="24"/>
          <w:szCs w:val="24"/>
        </w:rPr>
        <w:t>,</w:t>
      </w:r>
      <w:r w:rsidRPr="004C3C9B">
        <w:rPr>
          <w:rFonts w:ascii="Times New Roman" w:hAnsi="Times New Roman" w:cs="Times New Roman"/>
          <w:sz w:val="24"/>
          <w:szCs w:val="24"/>
        </w:rPr>
        <w:t xml:space="preserve"> this will safeguard against potential negative impacts on the patient, whether that be them receiving inappropriate treatment or being denied treatment because the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 xml:space="preserve"> is not able or not willing to take responsibility for the prescribing decision.</w:t>
      </w:r>
      <w:r w:rsidR="008A77B1" w:rsidRPr="004C3C9B">
        <w:rPr>
          <w:rFonts w:ascii="Times New Roman" w:hAnsi="Times New Roman" w:cs="Times New Roman"/>
          <w:b/>
          <w:sz w:val="24"/>
          <w:szCs w:val="24"/>
          <w:u w:val="single"/>
        </w:rPr>
        <w:t xml:space="preserve"> </w:t>
      </w:r>
    </w:p>
    <w:p w:rsidR="008A77B1" w:rsidRPr="004C3C9B" w:rsidRDefault="008A77B1" w:rsidP="004C3C9B">
      <w:pPr>
        <w:spacing w:after="0" w:line="480" w:lineRule="auto"/>
        <w:jc w:val="both"/>
        <w:rPr>
          <w:rFonts w:ascii="Times New Roman" w:hAnsi="Times New Roman" w:cs="Times New Roman"/>
          <w:b/>
          <w:sz w:val="24"/>
          <w:szCs w:val="24"/>
          <w:u w:val="single"/>
        </w:rPr>
      </w:pPr>
      <w:r w:rsidRPr="004C3C9B">
        <w:rPr>
          <w:rFonts w:ascii="Times New Roman" w:hAnsi="Times New Roman" w:cs="Times New Roman"/>
          <w:b/>
          <w:sz w:val="24"/>
          <w:szCs w:val="24"/>
          <w:u w:val="single"/>
        </w:rPr>
        <w:lastRenderedPageBreak/>
        <w:t>Recommendations for Future Research</w:t>
      </w:r>
    </w:p>
    <w:p w:rsidR="008A77B1" w:rsidRPr="004C3C9B" w:rsidRDefault="008A77B1" w:rsidP="004C3C9B">
      <w:pPr>
        <w:spacing w:after="0" w:line="480" w:lineRule="auto"/>
        <w:jc w:val="both"/>
        <w:rPr>
          <w:rFonts w:ascii="Times New Roman" w:hAnsi="Times New Roman" w:cs="Times New Roman"/>
          <w:sz w:val="24"/>
          <w:szCs w:val="24"/>
        </w:rPr>
      </w:pPr>
    </w:p>
    <w:p w:rsidR="008A77B1" w:rsidRPr="004C3C9B" w:rsidRDefault="008A77B1" w:rsidP="004C3C9B">
      <w:pPr>
        <w:pStyle w:val="ListParagraph"/>
        <w:numPr>
          <w:ilvl w:val="0"/>
          <w:numId w:val="2"/>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Investigation of the prescribing practice and CPD needs of </w:t>
      </w:r>
      <w:r w:rsidR="006233AF" w:rsidRPr="004C3C9B">
        <w:rPr>
          <w:rFonts w:ascii="Times New Roman" w:hAnsi="Times New Roman" w:cs="Times New Roman"/>
          <w:sz w:val="24"/>
          <w:szCs w:val="24"/>
        </w:rPr>
        <w:t xml:space="preserve">Advanced Nurse Practitioner </w:t>
      </w:r>
      <w:r w:rsidR="000C7431" w:rsidRPr="004C3C9B">
        <w:rPr>
          <w:rFonts w:ascii="Times New Roman" w:hAnsi="Times New Roman" w:cs="Times New Roman"/>
          <w:sz w:val="24"/>
          <w:szCs w:val="24"/>
        </w:rPr>
        <w:t>independent prescribers</w:t>
      </w:r>
      <w:r w:rsidRPr="004C3C9B">
        <w:rPr>
          <w:rFonts w:ascii="Times New Roman" w:hAnsi="Times New Roman" w:cs="Times New Roman"/>
          <w:sz w:val="24"/>
          <w:szCs w:val="24"/>
        </w:rPr>
        <w:t xml:space="preserve"> within unscheduled primary care areas such as walk-in centres and out of hours services would provide a much-needed insight into this phenomenon and the subsequent impact upon provision of health care services within this setting. Much of the current research focusses on the prescribing practice of district and practice nurses, with no studies focussing specifically on the unscheduled primary care setting which can differ greatly and can potentially be a minefield when it comes to issues of prescribing.</w:t>
      </w:r>
    </w:p>
    <w:p w:rsidR="008A77B1" w:rsidRPr="004C3C9B" w:rsidRDefault="008A77B1" w:rsidP="004C3C9B">
      <w:pPr>
        <w:spacing w:after="0" w:line="480" w:lineRule="auto"/>
        <w:jc w:val="both"/>
        <w:rPr>
          <w:rFonts w:ascii="Times New Roman" w:hAnsi="Times New Roman" w:cs="Times New Roman"/>
          <w:sz w:val="24"/>
          <w:szCs w:val="24"/>
        </w:rPr>
      </w:pPr>
    </w:p>
    <w:p w:rsidR="008A77B1" w:rsidRPr="004C3C9B" w:rsidRDefault="008A77B1" w:rsidP="004C3C9B">
      <w:pPr>
        <w:pStyle w:val="ListParagraph"/>
        <w:numPr>
          <w:ilvl w:val="0"/>
          <w:numId w:val="2"/>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A study comparing the prescribing practices and views of GPs, AHPs and </w:t>
      </w:r>
      <w:r w:rsidR="008D196F" w:rsidRPr="004C3C9B">
        <w:rPr>
          <w:rFonts w:ascii="Times New Roman" w:hAnsi="Times New Roman" w:cs="Times New Roman"/>
          <w:sz w:val="24"/>
          <w:szCs w:val="24"/>
        </w:rPr>
        <w:t>NIP</w:t>
      </w:r>
      <w:r w:rsidRPr="004C3C9B">
        <w:rPr>
          <w:rFonts w:ascii="Times New Roman" w:hAnsi="Times New Roman" w:cs="Times New Roman"/>
          <w:sz w:val="24"/>
          <w:szCs w:val="24"/>
        </w:rPr>
        <w:t>s in the unscheduled care setting is also recommended as this will build upon the previous study and will improve education, patient care and service provision.</w:t>
      </w:r>
    </w:p>
    <w:p w:rsidR="00F42DA7" w:rsidRPr="004C3C9B" w:rsidRDefault="008A77B1"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0</wp:posOffset>
                </wp:positionV>
                <wp:extent cx="4655820" cy="357187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3571875"/>
                        </a:xfrm>
                        <a:prstGeom prst="rect">
                          <a:avLst/>
                        </a:prstGeom>
                        <a:solidFill>
                          <a:srgbClr val="FFFFFF"/>
                        </a:solidFill>
                        <a:ln w="9525">
                          <a:solidFill>
                            <a:srgbClr val="000000"/>
                          </a:solidFill>
                          <a:miter lim="800000"/>
                          <a:headEnd/>
                          <a:tailEnd/>
                        </a:ln>
                      </wps:spPr>
                      <wps:txbx>
                        <w:txbxContent>
                          <w:p w:rsidR="00C243B5" w:rsidRDefault="00C243B5" w:rsidP="00F42DA7">
                            <w:pPr>
                              <w:rPr>
                                <w:rFonts w:ascii="Times New Roman" w:hAnsi="Times New Roman" w:cs="Times New Roman"/>
                                <w:b/>
                                <w:sz w:val="24"/>
                                <w:szCs w:val="24"/>
                                <w:u w:val="single"/>
                              </w:rPr>
                            </w:pPr>
                            <w:r w:rsidRPr="00F42DA7">
                              <w:rPr>
                                <w:rFonts w:ascii="Times New Roman" w:hAnsi="Times New Roman" w:cs="Times New Roman"/>
                                <w:b/>
                                <w:sz w:val="24"/>
                                <w:szCs w:val="24"/>
                                <w:u w:val="single"/>
                              </w:rPr>
                              <w:t>Implications for Practice</w:t>
                            </w:r>
                          </w:p>
                          <w:p w:rsidR="00C243B5" w:rsidRDefault="00C243B5" w:rsidP="00F42D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A77DFD">
                              <w:rPr>
                                <w:rFonts w:ascii="Times New Roman" w:hAnsi="Times New Roman" w:cs="Times New Roman"/>
                                <w:sz w:val="24"/>
                                <w:szCs w:val="24"/>
                              </w:rPr>
                              <w:t xml:space="preserve">here is an overwhelming need for a comprehensive, structured and ultimately, accessible programme of CPD for </w:t>
                            </w:r>
                            <w:r>
                              <w:rPr>
                                <w:rFonts w:ascii="Times New Roman" w:hAnsi="Times New Roman" w:cs="Times New Roman"/>
                                <w:sz w:val="24"/>
                                <w:szCs w:val="24"/>
                              </w:rPr>
                              <w:t>NIPs</w:t>
                            </w:r>
                            <w:r w:rsidRPr="00A77DFD">
                              <w:rPr>
                                <w:rFonts w:ascii="Times New Roman" w:hAnsi="Times New Roman" w:cs="Times New Roman"/>
                                <w:sz w:val="24"/>
                                <w:szCs w:val="24"/>
                              </w:rPr>
                              <w:t xml:space="preserve"> in primary care. </w:t>
                            </w:r>
                            <w:r>
                              <w:rPr>
                                <w:rFonts w:ascii="Times New Roman" w:hAnsi="Times New Roman" w:cs="Times New Roman"/>
                                <w:sz w:val="24"/>
                                <w:szCs w:val="24"/>
                              </w:rPr>
                              <w:t xml:space="preserve">This should </w:t>
                            </w:r>
                            <w:r w:rsidRPr="00A77DFD">
                              <w:rPr>
                                <w:rFonts w:ascii="Times New Roman" w:hAnsi="Times New Roman" w:cs="Times New Roman"/>
                                <w:sz w:val="24"/>
                                <w:szCs w:val="24"/>
                              </w:rPr>
                              <w:t>be provided by individual employers or departments to ensure that the programme is tailored to meet the needs of the individuals. Appropriate education and training is pivotal in improving prescriber competence and thus reducing possibility of risk and preventing harm to the patient.</w:t>
                            </w:r>
                          </w:p>
                          <w:p w:rsidR="00C243B5" w:rsidRDefault="00C243B5" w:rsidP="00A77DFD">
                            <w:pPr>
                              <w:pStyle w:val="ListParagraph"/>
                              <w:rPr>
                                <w:rFonts w:ascii="Times New Roman" w:hAnsi="Times New Roman" w:cs="Times New Roman"/>
                                <w:sz w:val="24"/>
                                <w:szCs w:val="24"/>
                              </w:rPr>
                            </w:pPr>
                          </w:p>
                          <w:p w:rsidR="00C243B5" w:rsidRPr="007A204C" w:rsidRDefault="00C243B5" w:rsidP="007A204C">
                            <w:pPr>
                              <w:pStyle w:val="ListParagraph"/>
                              <w:numPr>
                                <w:ilvl w:val="0"/>
                                <w:numId w:val="3"/>
                              </w:numPr>
                              <w:rPr>
                                <w:rFonts w:ascii="Times New Roman" w:hAnsi="Times New Roman" w:cs="Times New Roman"/>
                                <w:sz w:val="24"/>
                                <w:szCs w:val="24"/>
                              </w:rPr>
                            </w:pPr>
                            <w:r w:rsidRPr="007A204C">
                              <w:rPr>
                                <w:rFonts w:ascii="Times New Roman" w:hAnsi="Times New Roman" w:cs="Times New Roman"/>
                                <w:sz w:val="24"/>
                                <w:szCs w:val="24"/>
                              </w:rPr>
                              <w:t>Employers have a duty of care to safeguard the N</w:t>
                            </w:r>
                            <w:r>
                              <w:rPr>
                                <w:rFonts w:ascii="Times New Roman" w:hAnsi="Times New Roman" w:cs="Times New Roman"/>
                                <w:sz w:val="24"/>
                                <w:szCs w:val="24"/>
                              </w:rPr>
                              <w:t>I</w:t>
                            </w:r>
                            <w:r w:rsidRPr="007A204C">
                              <w:rPr>
                                <w:rFonts w:ascii="Times New Roman" w:hAnsi="Times New Roman" w:cs="Times New Roman"/>
                                <w:sz w:val="24"/>
                                <w:szCs w:val="24"/>
                              </w:rPr>
                              <w:t>Ps working for them against potential risks</w:t>
                            </w:r>
                            <w:r>
                              <w:rPr>
                                <w:rFonts w:ascii="Times New Roman" w:hAnsi="Times New Roman" w:cs="Times New Roman"/>
                                <w:sz w:val="24"/>
                                <w:szCs w:val="24"/>
                              </w:rPr>
                              <w:t xml:space="preserve">. They can provide </w:t>
                            </w:r>
                            <w:r w:rsidRPr="007A204C">
                              <w:rPr>
                                <w:rFonts w:ascii="Times New Roman" w:hAnsi="Times New Roman" w:cs="Times New Roman"/>
                                <w:sz w:val="24"/>
                                <w:szCs w:val="24"/>
                              </w:rPr>
                              <w:t>clarification to their colleagues about their role and the expectations placed upon them to adhere to prescribing regulations. Patient information leaflets can be displayed to provide patients with a better understanding of the role of the NMP within the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66.6pt;height:28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">
                <v:textbox>
                  <w:txbxContent>
                    <w:p w:rsidR="00C243B5" w:rsidRDefault="00C243B5" w:rsidP="00F42DA7">
                      <w:pPr>
                        <w:rPr>
                          <w:rFonts w:ascii="Times New Roman" w:hAnsi="Times New Roman" w:cs="Times New Roman"/>
                          <w:b/>
                          <w:sz w:val="24"/>
                          <w:szCs w:val="24"/>
                          <w:u w:val="single"/>
                        </w:rPr>
                      </w:pPr>
                      <w:r w:rsidRPr="00F42DA7">
                        <w:rPr>
                          <w:rFonts w:ascii="Times New Roman" w:hAnsi="Times New Roman" w:cs="Times New Roman"/>
                          <w:b/>
                          <w:sz w:val="24"/>
                          <w:szCs w:val="24"/>
                          <w:u w:val="single"/>
                        </w:rPr>
                        <w:t>Implications for Practice</w:t>
                      </w:r>
                    </w:p>
                    <w:p w:rsidR="00C243B5" w:rsidRDefault="00C243B5" w:rsidP="00F42D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A77DFD">
                        <w:rPr>
                          <w:rFonts w:ascii="Times New Roman" w:hAnsi="Times New Roman" w:cs="Times New Roman"/>
                          <w:sz w:val="24"/>
                          <w:szCs w:val="24"/>
                        </w:rPr>
                        <w:t xml:space="preserve">here is an overwhelming need for a comprehensive, </w:t>
                      </w:r>
                      <w:proofErr w:type="gramStart"/>
                      <w:r w:rsidRPr="00A77DFD">
                        <w:rPr>
                          <w:rFonts w:ascii="Times New Roman" w:hAnsi="Times New Roman" w:cs="Times New Roman"/>
                          <w:sz w:val="24"/>
                          <w:szCs w:val="24"/>
                        </w:rPr>
                        <w:t>structured</w:t>
                      </w:r>
                      <w:proofErr w:type="gramEnd"/>
                      <w:r w:rsidRPr="00A77DFD">
                        <w:rPr>
                          <w:rFonts w:ascii="Times New Roman" w:hAnsi="Times New Roman" w:cs="Times New Roman"/>
                          <w:sz w:val="24"/>
                          <w:szCs w:val="24"/>
                        </w:rPr>
                        <w:t xml:space="preserve"> and ultimately, accessible programme of CPD for </w:t>
                      </w:r>
                      <w:r>
                        <w:rPr>
                          <w:rFonts w:ascii="Times New Roman" w:hAnsi="Times New Roman" w:cs="Times New Roman"/>
                          <w:sz w:val="24"/>
                          <w:szCs w:val="24"/>
                        </w:rPr>
                        <w:t>NIPs</w:t>
                      </w:r>
                      <w:r w:rsidRPr="00A77DFD">
                        <w:rPr>
                          <w:rFonts w:ascii="Times New Roman" w:hAnsi="Times New Roman" w:cs="Times New Roman"/>
                          <w:sz w:val="24"/>
                          <w:szCs w:val="24"/>
                        </w:rPr>
                        <w:t xml:space="preserve"> in primary care. </w:t>
                      </w:r>
                      <w:r>
                        <w:rPr>
                          <w:rFonts w:ascii="Times New Roman" w:hAnsi="Times New Roman" w:cs="Times New Roman"/>
                          <w:sz w:val="24"/>
                          <w:szCs w:val="24"/>
                        </w:rPr>
                        <w:t xml:space="preserve">This should </w:t>
                      </w:r>
                      <w:r w:rsidRPr="00A77DFD">
                        <w:rPr>
                          <w:rFonts w:ascii="Times New Roman" w:hAnsi="Times New Roman" w:cs="Times New Roman"/>
                          <w:sz w:val="24"/>
                          <w:szCs w:val="24"/>
                        </w:rPr>
                        <w:t>be provided by individual employers or departments to ensure that the programme is tailored to meet the needs of the individuals. Appropriate education and training is pivotal in improving prescriber competence and thus reducing possibility of risk and preventing harm to the patient.</w:t>
                      </w:r>
                    </w:p>
                    <w:p w:rsidR="00C243B5" w:rsidRDefault="00C243B5" w:rsidP="00A77DFD">
                      <w:pPr>
                        <w:pStyle w:val="ListParagraph"/>
                        <w:rPr>
                          <w:rFonts w:ascii="Times New Roman" w:hAnsi="Times New Roman" w:cs="Times New Roman"/>
                          <w:sz w:val="24"/>
                          <w:szCs w:val="24"/>
                        </w:rPr>
                      </w:pPr>
                    </w:p>
                    <w:p w:rsidR="00C243B5" w:rsidRPr="007A204C" w:rsidRDefault="00C243B5" w:rsidP="007A204C">
                      <w:pPr>
                        <w:pStyle w:val="ListParagraph"/>
                        <w:numPr>
                          <w:ilvl w:val="0"/>
                          <w:numId w:val="3"/>
                        </w:numPr>
                        <w:rPr>
                          <w:rFonts w:ascii="Times New Roman" w:hAnsi="Times New Roman" w:cs="Times New Roman"/>
                          <w:sz w:val="24"/>
                          <w:szCs w:val="24"/>
                        </w:rPr>
                      </w:pPr>
                      <w:r w:rsidRPr="007A204C">
                        <w:rPr>
                          <w:rFonts w:ascii="Times New Roman" w:hAnsi="Times New Roman" w:cs="Times New Roman"/>
                          <w:sz w:val="24"/>
                          <w:szCs w:val="24"/>
                        </w:rPr>
                        <w:t>Employers have a duty of care to safeguard the N</w:t>
                      </w:r>
                      <w:r>
                        <w:rPr>
                          <w:rFonts w:ascii="Times New Roman" w:hAnsi="Times New Roman" w:cs="Times New Roman"/>
                          <w:sz w:val="24"/>
                          <w:szCs w:val="24"/>
                        </w:rPr>
                        <w:t>I</w:t>
                      </w:r>
                      <w:r w:rsidRPr="007A204C">
                        <w:rPr>
                          <w:rFonts w:ascii="Times New Roman" w:hAnsi="Times New Roman" w:cs="Times New Roman"/>
                          <w:sz w:val="24"/>
                          <w:szCs w:val="24"/>
                        </w:rPr>
                        <w:t>Ps working for them against potential risks</w:t>
                      </w:r>
                      <w:r>
                        <w:rPr>
                          <w:rFonts w:ascii="Times New Roman" w:hAnsi="Times New Roman" w:cs="Times New Roman"/>
                          <w:sz w:val="24"/>
                          <w:szCs w:val="24"/>
                        </w:rPr>
                        <w:t xml:space="preserve">. They can provide </w:t>
                      </w:r>
                      <w:r w:rsidRPr="007A204C">
                        <w:rPr>
                          <w:rFonts w:ascii="Times New Roman" w:hAnsi="Times New Roman" w:cs="Times New Roman"/>
                          <w:sz w:val="24"/>
                          <w:szCs w:val="24"/>
                        </w:rPr>
                        <w:t>clarification to their colleagues about their role and the expectations placed upon them to adhere to prescribing regulations. Patient information leaflets can be displayed to provide patients with a better understanding of the role of the NMP within the service.</w:t>
                      </w:r>
                    </w:p>
                  </w:txbxContent>
                </v:textbox>
                <w10:wrap type="square" anchorx="margin"/>
              </v:shape>
            </w:pict>
          </mc:Fallback>
        </mc:AlternateContent>
      </w:r>
    </w:p>
    <w:p w:rsidR="00087A36" w:rsidRPr="004C3C9B" w:rsidRDefault="00480934" w:rsidP="004C3C9B">
      <w:pPr>
        <w:spacing w:after="0" w:line="480" w:lineRule="auto"/>
        <w:jc w:val="both"/>
        <w:rPr>
          <w:rFonts w:ascii="Times New Roman" w:eastAsia="SimSun" w:hAnsi="Times New Roman" w:cs="Times New Roman"/>
          <w:bCs/>
          <w:sz w:val="24"/>
          <w:szCs w:val="24"/>
        </w:rPr>
      </w:pPr>
      <w:r w:rsidRPr="004C3C9B">
        <w:rPr>
          <w:rFonts w:ascii="Times New Roman" w:eastAsia="SimSun" w:hAnsi="Times New Roman" w:cs="Times New Roman"/>
          <w:bCs/>
          <w:sz w:val="24"/>
          <w:szCs w:val="24"/>
        </w:rPr>
        <w:t>No conflict of interest to declare</w:t>
      </w:r>
    </w:p>
    <w:p w:rsidR="00F257D1" w:rsidRPr="004C3C9B" w:rsidRDefault="00F257D1"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8109B2" w:rsidRDefault="008109B2" w:rsidP="004C3C9B">
      <w:pPr>
        <w:spacing w:after="0" w:line="480" w:lineRule="auto"/>
        <w:jc w:val="both"/>
        <w:rPr>
          <w:rFonts w:ascii="Times New Roman" w:hAnsi="Times New Roman" w:cs="Times New Roman"/>
          <w:b/>
          <w:sz w:val="24"/>
          <w:szCs w:val="24"/>
          <w:u w:val="single"/>
        </w:rPr>
      </w:pPr>
    </w:p>
    <w:p w:rsidR="002934DF" w:rsidRPr="004C3C9B" w:rsidRDefault="00BC579C"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b/>
          <w:sz w:val="24"/>
          <w:szCs w:val="24"/>
          <w:u w:val="single"/>
        </w:rPr>
        <w:lastRenderedPageBreak/>
        <w:t>References</w:t>
      </w:r>
    </w:p>
    <w:p w:rsidR="000510E6" w:rsidRPr="004C3C9B" w:rsidRDefault="000510E6" w:rsidP="004C3C9B">
      <w:pPr>
        <w:pStyle w:val="ListParagraph"/>
        <w:numPr>
          <w:ilvl w:val="0"/>
          <w:numId w:val="6"/>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Anderson K, S</w:t>
      </w:r>
      <w:r w:rsidR="00ED5BE8" w:rsidRPr="004C3C9B">
        <w:rPr>
          <w:rFonts w:ascii="Times New Roman" w:hAnsi="Times New Roman" w:cs="Times New Roman"/>
          <w:sz w:val="24"/>
          <w:szCs w:val="24"/>
        </w:rPr>
        <w:t>towasser D, Freeman C et al</w:t>
      </w:r>
      <w:r w:rsidRPr="004C3C9B">
        <w:rPr>
          <w:rFonts w:ascii="Times New Roman" w:hAnsi="Times New Roman" w:cs="Times New Roman"/>
          <w:sz w:val="24"/>
          <w:szCs w:val="24"/>
        </w:rPr>
        <w:t xml:space="preserve"> (2014) Prescriber barriers and enablers to minimising potentially inappropriate medications in adults: a systematic review and thematic synthesis. BMJ Open</w:t>
      </w:r>
      <w:r w:rsidR="005C3259" w:rsidRPr="004C3C9B">
        <w:rPr>
          <w:rFonts w:ascii="Times New Roman" w:hAnsi="Times New Roman" w:cs="Times New Roman"/>
          <w:sz w:val="24"/>
          <w:szCs w:val="24"/>
        </w:rPr>
        <w:t>.</w:t>
      </w:r>
      <w:r w:rsidRPr="004C3C9B">
        <w:rPr>
          <w:rFonts w:ascii="Times New Roman" w:hAnsi="Times New Roman" w:cs="Times New Roman"/>
          <w:sz w:val="24"/>
          <w:szCs w:val="24"/>
        </w:rPr>
        <w:t xml:space="preserve"> 4, </w:t>
      </w:r>
      <w:r w:rsidR="00DF7C1F" w:rsidRPr="004C3C9B">
        <w:rPr>
          <w:rFonts w:ascii="Times New Roman" w:hAnsi="Times New Roman" w:cs="Times New Roman"/>
          <w:sz w:val="24"/>
          <w:szCs w:val="24"/>
        </w:rPr>
        <w:t>1</w:t>
      </w:r>
      <w:r w:rsidRPr="004C3C9B">
        <w:rPr>
          <w:rFonts w:ascii="Times New Roman" w:hAnsi="Times New Roman" w:cs="Times New Roman"/>
          <w:sz w:val="24"/>
          <w:szCs w:val="24"/>
        </w:rPr>
        <w:t xml:space="preserve">2, e006544. </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B</w:t>
      </w:r>
      <w:r w:rsidR="002472F0" w:rsidRPr="004C3C9B">
        <w:rPr>
          <w:rFonts w:ascii="Times New Roman" w:hAnsi="Times New Roman" w:cs="Times New Roman"/>
          <w:sz w:val="24"/>
          <w:szCs w:val="24"/>
        </w:rPr>
        <w:t xml:space="preserve">anning </w:t>
      </w:r>
      <w:r w:rsidRPr="004C3C9B">
        <w:rPr>
          <w:rFonts w:ascii="Times New Roman" w:hAnsi="Times New Roman" w:cs="Times New Roman"/>
          <w:sz w:val="24"/>
          <w:szCs w:val="24"/>
        </w:rPr>
        <w:t xml:space="preserve">M (2012) Educating for capability in NMP education and training. Nurse </w:t>
      </w:r>
      <w:r w:rsidR="002472F0" w:rsidRPr="004C3C9B">
        <w:rPr>
          <w:rFonts w:ascii="Times New Roman" w:hAnsi="Times New Roman" w:cs="Times New Roman"/>
          <w:sz w:val="24"/>
          <w:szCs w:val="24"/>
        </w:rPr>
        <w:t>P</w:t>
      </w:r>
      <w:r w:rsidRPr="004C3C9B">
        <w:rPr>
          <w:rFonts w:ascii="Times New Roman" w:hAnsi="Times New Roman" w:cs="Times New Roman"/>
          <w:sz w:val="24"/>
          <w:szCs w:val="24"/>
        </w:rPr>
        <w:t>rescribing</w:t>
      </w:r>
      <w:r w:rsidR="002472F0" w:rsidRPr="004C3C9B">
        <w:rPr>
          <w:rFonts w:ascii="Times New Roman" w:hAnsi="Times New Roman" w:cs="Times New Roman"/>
          <w:sz w:val="24"/>
          <w:szCs w:val="24"/>
        </w:rPr>
        <w:t xml:space="preserve">. </w:t>
      </w:r>
      <w:r w:rsidRPr="004C3C9B">
        <w:rPr>
          <w:rFonts w:ascii="Times New Roman" w:hAnsi="Times New Roman" w:cs="Times New Roman"/>
          <w:sz w:val="24"/>
          <w:szCs w:val="24"/>
        </w:rPr>
        <w:t>10</w:t>
      </w:r>
      <w:r w:rsidR="002472F0" w:rsidRPr="004C3C9B">
        <w:rPr>
          <w:rFonts w:ascii="Times New Roman" w:hAnsi="Times New Roman" w:cs="Times New Roman"/>
          <w:sz w:val="24"/>
          <w:szCs w:val="24"/>
        </w:rPr>
        <w:t xml:space="preserve">, </w:t>
      </w:r>
      <w:r w:rsidRPr="004C3C9B">
        <w:rPr>
          <w:rFonts w:ascii="Times New Roman" w:hAnsi="Times New Roman" w:cs="Times New Roman"/>
          <w:sz w:val="24"/>
          <w:szCs w:val="24"/>
        </w:rPr>
        <w:t>3, 148-153.</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B</w:t>
      </w:r>
      <w:r w:rsidR="00C96377" w:rsidRPr="004C3C9B">
        <w:rPr>
          <w:rFonts w:ascii="Times New Roman" w:hAnsi="Times New Roman" w:cs="Times New Roman"/>
          <w:sz w:val="24"/>
          <w:szCs w:val="24"/>
        </w:rPr>
        <w:t>enner</w:t>
      </w:r>
      <w:r w:rsidRPr="004C3C9B">
        <w:rPr>
          <w:rFonts w:ascii="Times New Roman" w:hAnsi="Times New Roman" w:cs="Times New Roman"/>
          <w:sz w:val="24"/>
          <w:szCs w:val="24"/>
        </w:rPr>
        <w:t xml:space="preserve"> P (1984). From novice to expert: Excellence and power in clinical nursing practice. Addison-Wesley Publishing Company</w:t>
      </w:r>
      <w:r w:rsidR="00C96377" w:rsidRPr="004C3C9B">
        <w:rPr>
          <w:rFonts w:ascii="Times New Roman" w:hAnsi="Times New Roman" w:cs="Times New Roman"/>
          <w:sz w:val="24"/>
          <w:szCs w:val="24"/>
        </w:rPr>
        <w:t>, Menlo Park</w:t>
      </w:r>
      <w:r w:rsidR="00107D5A" w:rsidRPr="004C3C9B">
        <w:rPr>
          <w:rFonts w:ascii="Times New Roman" w:hAnsi="Times New Roman" w:cs="Times New Roman"/>
          <w:sz w:val="24"/>
          <w:szCs w:val="24"/>
        </w:rPr>
        <w:t xml:space="preserve"> (</w:t>
      </w:r>
      <w:r w:rsidR="00C96377" w:rsidRPr="004C3C9B">
        <w:rPr>
          <w:rFonts w:ascii="Times New Roman" w:hAnsi="Times New Roman" w:cs="Times New Roman"/>
          <w:sz w:val="24"/>
          <w:szCs w:val="24"/>
        </w:rPr>
        <w:t>California</w:t>
      </w:r>
      <w:r w:rsidR="00107D5A" w:rsidRPr="004C3C9B">
        <w:rPr>
          <w:rFonts w:ascii="Times New Roman" w:hAnsi="Times New Roman" w:cs="Times New Roman"/>
          <w:sz w:val="24"/>
          <w:szCs w:val="24"/>
        </w:rPr>
        <w:t>)</w:t>
      </w:r>
      <w:r w:rsidRPr="004C3C9B">
        <w:rPr>
          <w:rFonts w:ascii="Times New Roman" w:hAnsi="Times New Roman" w:cs="Times New Roman"/>
          <w:sz w:val="24"/>
          <w:szCs w:val="24"/>
        </w:rPr>
        <w:t>.</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B</w:t>
      </w:r>
      <w:r w:rsidR="006C2D8C" w:rsidRPr="004C3C9B">
        <w:rPr>
          <w:rFonts w:ascii="Times New Roman" w:hAnsi="Times New Roman" w:cs="Times New Roman"/>
          <w:sz w:val="24"/>
          <w:szCs w:val="24"/>
        </w:rPr>
        <w:t>ooth</w:t>
      </w:r>
      <w:r w:rsidR="007248E8" w:rsidRPr="004C3C9B">
        <w:rPr>
          <w:rFonts w:ascii="Times New Roman" w:hAnsi="Times New Roman" w:cs="Times New Roman"/>
          <w:sz w:val="24"/>
          <w:szCs w:val="24"/>
        </w:rPr>
        <w:t xml:space="preserve"> A</w:t>
      </w:r>
      <w:r w:rsidRPr="004C3C9B">
        <w:rPr>
          <w:rFonts w:ascii="Times New Roman" w:hAnsi="Times New Roman" w:cs="Times New Roman"/>
          <w:sz w:val="24"/>
          <w:szCs w:val="24"/>
        </w:rPr>
        <w:t>,</w:t>
      </w:r>
      <w:r w:rsidR="007248E8" w:rsidRPr="004C3C9B">
        <w:rPr>
          <w:rFonts w:ascii="Times New Roman" w:hAnsi="Times New Roman" w:cs="Times New Roman"/>
          <w:sz w:val="24"/>
          <w:szCs w:val="24"/>
        </w:rPr>
        <w:t xml:space="preserve"> Noyes J, Flemming K </w:t>
      </w:r>
      <w:r w:rsidRPr="004C3C9B">
        <w:rPr>
          <w:rFonts w:ascii="Times New Roman" w:hAnsi="Times New Roman" w:cs="Times New Roman"/>
          <w:sz w:val="24"/>
          <w:szCs w:val="24"/>
        </w:rPr>
        <w:t xml:space="preserve">(2016) Guidance on choosing qualitative evidence synthesis methods for use in health technology assessments of complex interventions. Integrate HTA. </w:t>
      </w:r>
      <w:r w:rsidR="007248E8" w:rsidRPr="004C3C9B">
        <w:rPr>
          <w:rFonts w:ascii="Times New Roman" w:hAnsi="Times New Roman" w:cs="Times New Roman"/>
          <w:sz w:val="24"/>
          <w:szCs w:val="24"/>
        </w:rPr>
        <w:t>http://www.integrate-hta.eu/downloads/</w:t>
      </w:r>
    </w:p>
    <w:p w:rsidR="00D13AE2" w:rsidRPr="004C3C9B" w:rsidRDefault="00D13AE2"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w:t>
      </w:r>
      <w:r w:rsidR="005E23E5" w:rsidRPr="004C3C9B">
        <w:rPr>
          <w:rFonts w:ascii="Times New Roman" w:hAnsi="Times New Roman" w:cs="Times New Roman"/>
          <w:sz w:val="24"/>
          <w:szCs w:val="24"/>
        </w:rPr>
        <w:t>L</w:t>
      </w:r>
      <w:r w:rsidRPr="004C3C9B">
        <w:rPr>
          <w:rFonts w:ascii="Times New Roman" w:hAnsi="Times New Roman" w:cs="Times New Roman"/>
          <w:sz w:val="24"/>
          <w:szCs w:val="24"/>
        </w:rPr>
        <w:t>ast accessed</w:t>
      </w:r>
      <w:r w:rsidR="005E23E5" w:rsidRPr="004C3C9B">
        <w:rPr>
          <w:rFonts w:ascii="Times New Roman" w:hAnsi="Times New Roman" w:cs="Times New Roman"/>
          <w:sz w:val="24"/>
          <w:szCs w:val="24"/>
        </w:rPr>
        <w:t>:</w:t>
      </w:r>
      <w:r w:rsidRPr="004C3C9B">
        <w:rPr>
          <w:rFonts w:ascii="Times New Roman" w:hAnsi="Times New Roman" w:cs="Times New Roman"/>
          <w:sz w:val="24"/>
          <w:szCs w:val="24"/>
        </w:rPr>
        <w:t xml:space="preserve"> 31 August 2017)</w:t>
      </w:r>
    </w:p>
    <w:p w:rsidR="006874F1" w:rsidRPr="004C3C9B" w:rsidRDefault="006874F1" w:rsidP="004C3C9B">
      <w:pPr>
        <w:pStyle w:val="ListParagraph"/>
        <w:numPr>
          <w:ilvl w:val="0"/>
          <w:numId w:val="7"/>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B</w:t>
      </w:r>
      <w:r w:rsidR="00534B03" w:rsidRPr="004C3C9B">
        <w:rPr>
          <w:rFonts w:ascii="Times New Roman" w:hAnsi="Times New Roman" w:cs="Times New Roman"/>
          <w:sz w:val="24"/>
          <w:szCs w:val="24"/>
        </w:rPr>
        <w:t>ourne RS</w:t>
      </w:r>
      <w:r w:rsidRPr="004C3C9B">
        <w:rPr>
          <w:rFonts w:ascii="Times New Roman" w:hAnsi="Times New Roman" w:cs="Times New Roman"/>
          <w:sz w:val="24"/>
          <w:szCs w:val="24"/>
        </w:rPr>
        <w:t>, B</w:t>
      </w:r>
      <w:r w:rsidR="00534B03" w:rsidRPr="004C3C9B">
        <w:rPr>
          <w:rFonts w:ascii="Times New Roman" w:hAnsi="Times New Roman" w:cs="Times New Roman"/>
          <w:sz w:val="24"/>
          <w:szCs w:val="24"/>
        </w:rPr>
        <w:t xml:space="preserve">aqir W, </w:t>
      </w:r>
      <w:r w:rsidRPr="004C3C9B">
        <w:rPr>
          <w:rFonts w:ascii="Times New Roman" w:hAnsi="Times New Roman" w:cs="Times New Roman"/>
          <w:sz w:val="24"/>
          <w:szCs w:val="24"/>
        </w:rPr>
        <w:t>O</w:t>
      </w:r>
      <w:r w:rsidR="00534B03" w:rsidRPr="004C3C9B">
        <w:rPr>
          <w:rFonts w:ascii="Times New Roman" w:hAnsi="Times New Roman" w:cs="Times New Roman"/>
          <w:sz w:val="24"/>
          <w:szCs w:val="24"/>
        </w:rPr>
        <w:t xml:space="preserve">natade R </w:t>
      </w:r>
      <w:r w:rsidRPr="004C3C9B">
        <w:rPr>
          <w:rFonts w:ascii="Times New Roman" w:hAnsi="Times New Roman" w:cs="Times New Roman"/>
          <w:sz w:val="24"/>
          <w:szCs w:val="24"/>
        </w:rPr>
        <w:t xml:space="preserve">(2016) Pharmacist independent prescribing in secondary care: opportunities and challenges. International </w:t>
      </w:r>
      <w:r w:rsidR="00534B03" w:rsidRPr="004C3C9B">
        <w:rPr>
          <w:rFonts w:ascii="Times New Roman" w:hAnsi="Times New Roman" w:cs="Times New Roman"/>
          <w:sz w:val="24"/>
          <w:szCs w:val="24"/>
        </w:rPr>
        <w:t>J</w:t>
      </w:r>
      <w:r w:rsidRPr="004C3C9B">
        <w:rPr>
          <w:rFonts w:ascii="Times New Roman" w:hAnsi="Times New Roman" w:cs="Times New Roman"/>
          <w:sz w:val="24"/>
          <w:szCs w:val="24"/>
        </w:rPr>
        <w:t xml:space="preserve">ournal of </w:t>
      </w:r>
      <w:r w:rsidR="00534B03" w:rsidRPr="004C3C9B">
        <w:rPr>
          <w:rFonts w:ascii="Times New Roman" w:hAnsi="Times New Roman" w:cs="Times New Roman"/>
          <w:sz w:val="24"/>
          <w:szCs w:val="24"/>
        </w:rPr>
        <w:t>C</w:t>
      </w:r>
      <w:r w:rsidRPr="004C3C9B">
        <w:rPr>
          <w:rFonts w:ascii="Times New Roman" w:hAnsi="Times New Roman" w:cs="Times New Roman"/>
          <w:sz w:val="24"/>
          <w:szCs w:val="24"/>
        </w:rPr>
        <w:t xml:space="preserve">linical </w:t>
      </w:r>
      <w:r w:rsidR="00534B03" w:rsidRPr="004C3C9B">
        <w:rPr>
          <w:rFonts w:ascii="Times New Roman" w:hAnsi="Times New Roman" w:cs="Times New Roman"/>
          <w:sz w:val="24"/>
          <w:szCs w:val="24"/>
        </w:rPr>
        <w:t>P</w:t>
      </w:r>
      <w:r w:rsidRPr="004C3C9B">
        <w:rPr>
          <w:rFonts w:ascii="Times New Roman" w:hAnsi="Times New Roman" w:cs="Times New Roman"/>
          <w:sz w:val="24"/>
          <w:szCs w:val="24"/>
        </w:rPr>
        <w:t>harmacy</w:t>
      </w:r>
      <w:r w:rsidR="00534B03" w:rsidRPr="004C3C9B">
        <w:rPr>
          <w:rFonts w:ascii="Times New Roman" w:hAnsi="Times New Roman" w:cs="Times New Roman"/>
          <w:sz w:val="24"/>
          <w:szCs w:val="24"/>
        </w:rPr>
        <w:t>.</w:t>
      </w:r>
      <w:r w:rsidRPr="004C3C9B">
        <w:rPr>
          <w:rFonts w:ascii="Times New Roman" w:hAnsi="Times New Roman" w:cs="Times New Roman"/>
          <w:sz w:val="24"/>
          <w:szCs w:val="24"/>
        </w:rPr>
        <w:t xml:space="preserve"> 38</w:t>
      </w:r>
      <w:r w:rsidR="00534B03"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1, 1-6. </w:t>
      </w:r>
    </w:p>
    <w:p w:rsidR="006874F1" w:rsidRPr="004C3C9B" w:rsidRDefault="006874F1" w:rsidP="004C3C9B">
      <w:pPr>
        <w:pStyle w:val="ListParagraph"/>
        <w:numPr>
          <w:ilvl w:val="0"/>
          <w:numId w:val="7"/>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B</w:t>
      </w:r>
      <w:r w:rsidR="00ED1477" w:rsidRPr="004C3C9B">
        <w:rPr>
          <w:rFonts w:ascii="Times New Roman" w:hAnsi="Times New Roman" w:cs="Times New Roman"/>
          <w:sz w:val="24"/>
          <w:szCs w:val="24"/>
        </w:rPr>
        <w:t xml:space="preserve">owskill D, </w:t>
      </w:r>
      <w:r w:rsidRPr="004C3C9B">
        <w:rPr>
          <w:rFonts w:ascii="Times New Roman" w:hAnsi="Times New Roman" w:cs="Times New Roman"/>
          <w:sz w:val="24"/>
          <w:szCs w:val="24"/>
        </w:rPr>
        <w:t>T</w:t>
      </w:r>
      <w:r w:rsidR="00ED1477" w:rsidRPr="004C3C9B">
        <w:rPr>
          <w:rFonts w:ascii="Times New Roman" w:hAnsi="Times New Roman" w:cs="Times New Roman"/>
          <w:sz w:val="24"/>
          <w:szCs w:val="24"/>
        </w:rPr>
        <w:t xml:space="preserve">immons S, </w:t>
      </w:r>
      <w:r w:rsidRPr="004C3C9B">
        <w:rPr>
          <w:rFonts w:ascii="Times New Roman" w:hAnsi="Times New Roman" w:cs="Times New Roman"/>
          <w:sz w:val="24"/>
          <w:szCs w:val="24"/>
        </w:rPr>
        <w:t>J</w:t>
      </w:r>
      <w:r w:rsidR="00ED1477" w:rsidRPr="004C3C9B">
        <w:rPr>
          <w:rFonts w:ascii="Times New Roman" w:hAnsi="Times New Roman" w:cs="Times New Roman"/>
          <w:sz w:val="24"/>
          <w:szCs w:val="24"/>
        </w:rPr>
        <w:t xml:space="preserve">ames V </w:t>
      </w:r>
      <w:r w:rsidRPr="004C3C9B">
        <w:rPr>
          <w:rFonts w:ascii="Times New Roman" w:hAnsi="Times New Roman" w:cs="Times New Roman"/>
          <w:sz w:val="24"/>
          <w:szCs w:val="24"/>
        </w:rPr>
        <w:t xml:space="preserve">(2013) How do nurse prescribers integrate prescribing in practice: case studies in primary and secondary care. </w:t>
      </w:r>
      <w:r w:rsidR="00ED1477" w:rsidRPr="004C3C9B">
        <w:rPr>
          <w:rFonts w:ascii="Times New Roman" w:hAnsi="Times New Roman" w:cs="Times New Roman"/>
          <w:sz w:val="24"/>
          <w:szCs w:val="24"/>
        </w:rPr>
        <w:t>Journal of C</w:t>
      </w:r>
      <w:r w:rsidRPr="004C3C9B">
        <w:rPr>
          <w:rFonts w:ascii="Times New Roman" w:hAnsi="Times New Roman" w:cs="Times New Roman"/>
          <w:sz w:val="24"/>
          <w:szCs w:val="24"/>
        </w:rPr>
        <w:t xml:space="preserve">linical </w:t>
      </w:r>
      <w:r w:rsidR="00ED1477" w:rsidRPr="004C3C9B">
        <w:rPr>
          <w:rFonts w:ascii="Times New Roman" w:hAnsi="Times New Roman" w:cs="Times New Roman"/>
          <w:sz w:val="24"/>
          <w:szCs w:val="24"/>
        </w:rPr>
        <w:t>N</w:t>
      </w:r>
      <w:r w:rsidRPr="004C3C9B">
        <w:rPr>
          <w:rFonts w:ascii="Times New Roman" w:hAnsi="Times New Roman" w:cs="Times New Roman"/>
          <w:sz w:val="24"/>
          <w:szCs w:val="24"/>
        </w:rPr>
        <w:t>ursing</w:t>
      </w:r>
      <w:r w:rsidR="00ED1477" w:rsidRPr="004C3C9B">
        <w:rPr>
          <w:rFonts w:ascii="Times New Roman" w:hAnsi="Times New Roman" w:cs="Times New Roman"/>
          <w:sz w:val="24"/>
          <w:szCs w:val="24"/>
        </w:rPr>
        <w:t>.</w:t>
      </w:r>
      <w:r w:rsidRPr="004C3C9B">
        <w:rPr>
          <w:rFonts w:ascii="Times New Roman" w:hAnsi="Times New Roman" w:cs="Times New Roman"/>
          <w:sz w:val="24"/>
          <w:szCs w:val="24"/>
        </w:rPr>
        <w:t xml:space="preserve"> 22</w:t>
      </w:r>
      <w:r w:rsidR="00ED1477" w:rsidRPr="004C3C9B">
        <w:rPr>
          <w:rFonts w:ascii="Times New Roman" w:hAnsi="Times New Roman" w:cs="Times New Roman"/>
          <w:sz w:val="24"/>
          <w:szCs w:val="24"/>
        </w:rPr>
        <w:t>, 13/</w:t>
      </w:r>
      <w:r w:rsidRPr="004C3C9B">
        <w:rPr>
          <w:rFonts w:ascii="Times New Roman" w:hAnsi="Times New Roman" w:cs="Times New Roman"/>
          <w:sz w:val="24"/>
          <w:szCs w:val="24"/>
        </w:rPr>
        <w:t xml:space="preserve">14, 2077-2086. </w:t>
      </w:r>
    </w:p>
    <w:p w:rsidR="006874F1" w:rsidRPr="004C3C9B" w:rsidRDefault="001F4E9C" w:rsidP="004C3C9B">
      <w:pPr>
        <w:pStyle w:val="ListParagraph"/>
        <w:numPr>
          <w:ilvl w:val="0"/>
          <w:numId w:val="7"/>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Centre for Reviews and Dissemination (2009)</w:t>
      </w:r>
      <w:r w:rsidR="006874F1" w:rsidRPr="004C3C9B">
        <w:rPr>
          <w:rFonts w:ascii="Times New Roman" w:hAnsi="Times New Roman" w:cs="Times New Roman"/>
          <w:sz w:val="24"/>
          <w:szCs w:val="24"/>
        </w:rPr>
        <w:t xml:space="preserve"> Systematic Reviews: CRD’s guidance for undertaking reviews in health care.</w:t>
      </w:r>
      <w:r w:rsidRPr="004C3C9B">
        <w:rPr>
          <w:rFonts w:ascii="Times New Roman" w:hAnsi="Times New Roman" w:cs="Times New Roman"/>
          <w:sz w:val="24"/>
          <w:szCs w:val="24"/>
        </w:rPr>
        <w:t xml:space="preserve"> Third </w:t>
      </w:r>
      <w:r w:rsidR="00ED0274" w:rsidRPr="004C3C9B">
        <w:rPr>
          <w:rFonts w:ascii="Times New Roman" w:hAnsi="Times New Roman" w:cs="Times New Roman"/>
          <w:sz w:val="24"/>
          <w:szCs w:val="24"/>
        </w:rPr>
        <w:t>e</w:t>
      </w:r>
      <w:r w:rsidRPr="004C3C9B">
        <w:rPr>
          <w:rFonts w:ascii="Times New Roman" w:hAnsi="Times New Roman" w:cs="Times New Roman"/>
          <w:sz w:val="24"/>
          <w:szCs w:val="24"/>
        </w:rPr>
        <w:t>dition. CRD</w:t>
      </w:r>
      <w:r w:rsidR="001640E3" w:rsidRPr="004C3C9B">
        <w:rPr>
          <w:rFonts w:ascii="Times New Roman" w:hAnsi="Times New Roman" w:cs="Times New Roman"/>
          <w:sz w:val="24"/>
          <w:szCs w:val="24"/>
        </w:rPr>
        <w:t>:</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University of York</w:t>
      </w:r>
      <w:r w:rsidRPr="004C3C9B">
        <w:rPr>
          <w:rFonts w:ascii="Times New Roman" w:hAnsi="Times New Roman" w:cs="Times New Roman"/>
          <w:sz w:val="24"/>
          <w:szCs w:val="24"/>
        </w:rPr>
        <w:t>, York</w:t>
      </w:r>
      <w:r w:rsidR="006874F1" w:rsidRPr="004C3C9B">
        <w:rPr>
          <w:rFonts w:ascii="Times New Roman" w:hAnsi="Times New Roman" w:cs="Times New Roman"/>
          <w:sz w:val="24"/>
          <w:szCs w:val="24"/>
        </w:rPr>
        <w:t xml:space="preserve">. </w:t>
      </w:r>
    </w:p>
    <w:p w:rsidR="00802668" w:rsidRPr="004C3C9B" w:rsidRDefault="00802668" w:rsidP="004C3C9B">
      <w:pPr>
        <w:pStyle w:val="ListParagraph"/>
        <w:numPr>
          <w:ilvl w:val="0"/>
          <w:numId w:val="7"/>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C</w:t>
      </w:r>
      <w:r w:rsidR="00C5354F" w:rsidRPr="004C3C9B">
        <w:rPr>
          <w:rFonts w:ascii="Times New Roman" w:hAnsi="Times New Roman" w:cs="Times New Roman"/>
          <w:sz w:val="24"/>
          <w:szCs w:val="24"/>
        </w:rPr>
        <w:t xml:space="preserve">herry MG, Perkins E, Dickson R et al </w:t>
      </w:r>
      <w:r w:rsidRPr="004C3C9B">
        <w:rPr>
          <w:rFonts w:ascii="Times New Roman" w:hAnsi="Times New Roman" w:cs="Times New Roman"/>
          <w:sz w:val="24"/>
          <w:szCs w:val="24"/>
        </w:rPr>
        <w:t>(2014). 8: Reviewing Qualitative Evidence. In: B</w:t>
      </w:r>
      <w:r w:rsidR="00C5354F" w:rsidRPr="004C3C9B">
        <w:rPr>
          <w:rFonts w:ascii="Times New Roman" w:hAnsi="Times New Roman" w:cs="Times New Roman"/>
          <w:sz w:val="24"/>
          <w:szCs w:val="24"/>
        </w:rPr>
        <w:t xml:space="preserve">oland A, </w:t>
      </w:r>
      <w:r w:rsidRPr="004C3C9B">
        <w:rPr>
          <w:rFonts w:ascii="Times New Roman" w:hAnsi="Times New Roman" w:cs="Times New Roman"/>
          <w:sz w:val="24"/>
          <w:szCs w:val="24"/>
        </w:rPr>
        <w:t>C</w:t>
      </w:r>
      <w:r w:rsidR="00C5354F" w:rsidRPr="004C3C9B">
        <w:rPr>
          <w:rFonts w:ascii="Times New Roman" w:hAnsi="Times New Roman" w:cs="Times New Roman"/>
          <w:sz w:val="24"/>
          <w:szCs w:val="24"/>
        </w:rPr>
        <w:t xml:space="preserve">herry MG, </w:t>
      </w:r>
      <w:r w:rsidRPr="004C3C9B">
        <w:rPr>
          <w:rFonts w:ascii="Times New Roman" w:hAnsi="Times New Roman" w:cs="Times New Roman"/>
          <w:sz w:val="24"/>
          <w:szCs w:val="24"/>
        </w:rPr>
        <w:t>D</w:t>
      </w:r>
      <w:r w:rsidR="00C5354F" w:rsidRPr="004C3C9B">
        <w:rPr>
          <w:rFonts w:ascii="Times New Roman" w:hAnsi="Times New Roman" w:cs="Times New Roman"/>
          <w:sz w:val="24"/>
          <w:szCs w:val="24"/>
        </w:rPr>
        <w:t xml:space="preserve">ickson </w:t>
      </w:r>
      <w:r w:rsidRPr="004C3C9B">
        <w:rPr>
          <w:rFonts w:ascii="Times New Roman" w:hAnsi="Times New Roman" w:cs="Times New Roman"/>
          <w:sz w:val="24"/>
          <w:szCs w:val="24"/>
        </w:rPr>
        <w:t>R</w:t>
      </w:r>
      <w:r w:rsidR="00C5354F" w:rsidRPr="004C3C9B">
        <w:rPr>
          <w:rFonts w:ascii="Times New Roman" w:hAnsi="Times New Roman" w:cs="Times New Roman"/>
          <w:sz w:val="24"/>
          <w:szCs w:val="24"/>
        </w:rPr>
        <w:t xml:space="preserve"> </w:t>
      </w:r>
      <w:r w:rsidRPr="004C3C9B">
        <w:rPr>
          <w:rFonts w:ascii="Times New Roman" w:hAnsi="Times New Roman" w:cs="Times New Roman"/>
          <w:sz w:val="24"/>
          <w:szCs w:val="24"/>
        </w:rPr>
        <w:t>(</w:t>
      </w:r>
      <w:r w:rsidR="00C5354F" w:rsidRPr="004C3C9B">
        <w:rPr>
          <w:rFonts w:ascii="Times New Roman" w:hAnsi="Times New Roman" w:cs="Times New Roman"/>
          <w:sz w:val="24"/>
          <w:szCs w:val="24"/>
        </w:rPr>
        <w:t>E</w:t>
      </w:r>
      <w:r w:rsidRPr="004C3C9B">
        <w:rPr>
          <w:rFonts w:ascii="Times New Roman" w:hAnsi="Times New Roman" w:cs="Times New Roman"/>
          <w:sz w:val="24"/>
          <w:szCs w:val="24"/>
        </w:rPr>
        <w:t xml:space="preserve">ds.) Doing a </w:t>
      </w:r>
      <w:r w:rsidRPr="004C3C9B">
        <w:rPr>
          <w:rFonts w:ascii="Times New Roman" w:hAnsi="Times New Roman" w:cs="Times New Roman"/>
          <w:sz w:val="24"/>
          <w:szCs w:val="24"/>
        </w:rPr>
        <w:lastRenderedPageBreak/>
        <w:t>Systematic Review: A Student's Guide. S</w:t>
      </w:r>
      <w:r w:rsidR="00C5354F" w:rsidRPr="004C3C9B">
        <w:rPr>
          <w:rFonts w:ascii="Times New Roman" w:hAnsi="Times New Roman" w:cs="Times New Roman"/>
          <w:sz w:val="24"/>
          <w:szCs w:val="24"/>
        </w:rPr>
        <w:t>AGE</w:t>
      </w:r>
      <w:r w:rsidRPr="004C3C9B">
        <w:rPr>
          <w:rFonts w:ascii="Times New Roman" w:hAnsi="Times New Roman" w:cs="Times New Roman"/>
          <w:sz w:val="24"/>
          <w:szCs w:val="24"/>
        </w:rPr>
        <w:t xml:space="preserve"> Publications Ltd,</w:t>
      </w:r>
      <w:r w:rsidR="00C5354F" w:rsidRPr="004C3C9B">
        <w:rPr>
          <w:rFonts w:ascii="Times New Roman" w:hAnsi="Times New Roman" w:cs="Times New Roman"/>
          <w:sz w:val="24"/>
          <w:szCs w:val="24"/>
        </w:rPr>
        <w:t xml:space="preserve"> London.</w:t>
      </w:r>
      <w:r w:rsidRPr="004C3C9B">
        <w:rPr>
          <w:rFonts w:ascii="Times New Roman" w:hAnsi="Times New Roman" w:cs="Times New Roman"/>
          <w:sz w:val="24"/>
          <w:szCs w:val="24"/>
        </w:rPr>
        <w:t xml:space="preserve"> 17-33.</w:t>
      </w:r>
    </w:p>
    <w:p w:rsidR="00AE02D5" w:rsidRPr="004C3C9B" w:rsidRDefault="00813EAD" w:rsidP="004C3C9B">
      <w:pPr>
        <w:pStyle w:val="ListParagraph"/>
        <w:numPr>
          <w:ilvl w:val="0"/>
          <w:numId w:val="7"/>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Courtenay M, Carey, N, Burke</w:t>
      </w:r>
      <w:r w:rsidR="006874F1" w:rsidRPr="004C3C9B">
        <w:rPr>
          <w:rFonts w:ascii="Times New Roman" w:hAnsi="Times New Roman" w:cs="Times New Roman"/>
          <w:sz w:val="24"/>
          <w:szCs w:val="24"/>
        </w:rPr>
        <w:t xml:space="preserve"> J</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 xml:space="preserve">(2007) Independent extended and supplementary nurse prescribing practice in the UK: A </w:t>
      </w:r>
      <w:r w:rsidRPr="004C3C9B">
        <w:rPr>
          <w:rFonts w:ascii="Times New Roman" w:hAnsi="Times New Roman" w:cs="Times New Roman"/>
          <w:sz w:val="24"/>
          <w:szCs w:val="24"/>
        </w:rPr>
        <w:t xml:space="preserve">national questionnaire survey. </w:t>
      </w:r>
      <w:r w:rsidR="006874F1" w:rsidRPr="004C3C9B">
        <w:rPr>
          <w:rFonts w:ascii="Times New Roman" w:hAnsi="Times New Roman" w:cs="Times New Roman"/>
          <w:sz w:val="24"/>
          <w:szCs w:val="24"/>
        </w:rPr>
        <w:t>International Journal of Nursing Studies</w:t>
      </w:r>
      <w:r w:rsidRPr="004C3C9B">
        <w:rPr>
          <w:rFonts w:ascii="Times New Roman" w:hAnsi="Times New Roman" w:cs="Times New Roman"/>
          <w:sz w:val="24"/>
          <w:szCs w:val="24"/>
        </w:rPr>
        <w:t>. 44,</w:t>
      </w:r>
      <w:r w:rsidR="006874F1" w:rsidRPr="004C3C9B">
        <w:rPr>
          <w:rFonts w:ascii="Times New Roman" w:hAnsi="Times New Roman" w:cs="Times New Roman"/>
          <w:sz w:val="24"/>
          <w:szCs w:val="24"/>
        </w:rPr>
        <w:t>7, 1093-1101</w:t>
      </w:r>
      <w:r w:rsidRPr="004C3C9B">
        <w:rPr>
          <w:rFonts w:ascii="Times New Roman" w:hAnsi="Times New Roman" w:cs="Times New Roman"/>
          <w:sz w:val="24"/>
          <w:szCs w:val="24"/>
        </w:rPr>
        <w:t>.</w:t>
      </w:r>
      <w:r w:rsidR="00AE02D5" w:rsidRPr="004C3C9B">
        <w:rPr>
          <w:rFonts w:ascii="Times New Roman" w:hAnsi="Times New Roman" w:cs="Times New Roman"/>
          <w:sz w:val="24"/>
          <w:szCs w:val="24"/>
        </w:rPr>
        <w:t xml:space="preserve"> </w:t>
      </w:r>
    </w:p>
    <w:p w:rsidR="00676B7F" w:rsidRPr="004C3C9B" w:rsidRDefault="00AE02D5"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Courtenay M, Gordon J (2009) A survey of therapy areas in which nurses prescribe and CPD needs. Nurse Prescribing. 7, 6, 255-262.</w:t>
      </w:r>
    </w:p>
    <w:p w:rsidR="006874F1" w:rsidRPr="004C3C9B" w:rsidRDefault="00676B7F"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Creedon R, O'Connell E, McCarthy et al (2009) An evaluation of nurse prescribing. Part 1: a literature review. British Journal of Nursing. 18, 21, 1322-1327.</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C</w:t>
      </w:r>
      <w:r w:rsidR="002D310A" w:rsidRPr="004C3C9B">
        <w:rPr>
          <w:rFonts w:ascii="Times New Roman" w:hAnsi="Times New Roman" w:cs="Times New Roman"/>
          <w:sz w:val="24"/>
          <w:szCs w:val="24"/>
        </w:rPr>
        <w:t xml:space="preserve">ubby A, </w:t>
      </w:r>
      <w:r w:rsidRPr="004C3C9B">
        <w:rPr>
          <w:rFonts w:ascii="Times New Roman" w:hAnsi="Times New Roman" w:cs="Times New Roman"/>
          <w:sz w:val="24"/>
          <w:szCs w:val="24"/>
        </w:rPr>
        <w:t>B</w:t>
      </w:r>
      <w:r w:rsidR="002D310A" w:rsidRPr="004C3C9B">
        <w:rPr>
          <w:rFonts w:ascii="Times New Roman" w:hAnsi="Times New Roman" w:cs="Times New Roman"/>
          <w:sz w:val="24"/>
          <w:szCs w:val="24"/>
        </w:rPr>
        <w:t>owler</w:t>
      </w:r>
      <w:r w:rsidRPr="004C3C9B">
        <w:rPr>
          <w:rFonts w:ascii="Times New Roman" w:hAnsi="Times New Roman" w:cs="Times New Roman"/>
          <w:sz w:val="24"/>
          <w:szCs w:val="24"/>
        </w:rPr>
        <w:t xml:space="preserve"> M</w:t>
      </w:r>
      <w:r w:rsidR="002D310A" w:rsidRPr="004C3C9B">
        <w:rPr>
          <w:rFonts w:ascii="Times New Roman" w:hAnsi="Times New Roman" w:cs="Times New Roman"/>
          <w:sz w:val="24"/>
          <w:szCs w:val="24"/>
        </w:rPr>
        <w:t xml:space="preserve"> </w:t>
      </w:r>
      <w:r w:rsidR="00ED0274" w:rsidRPr="004C3C9B">
        <w:rPr>
          <w:rFonts w:ascii="Times New Roman" w:hAnsi="Times New Roman" w:cs="Times New Roman"/>
          <w:sz w:val="24"/>
          <w:szCs w:val="24"/>
        </w:rPr>
        <w:t>(2010) Community matrons and long-</w:t>
      </w:r>
      <w:r w:rsidRPr="004C3C9B">
        <w:rPr>
          <w:rFonts w:ascii="Times New Roman" w:hAnsi="Times New Roman" w:cs="Times New Roman"/>
          <w:sz w:val="24"/>
          <w:szCs w:val="24"/>
        </w:rPr>
        <w:t xml:space="preserve">term conditions: an inside view. </w:t>
      </w:r>
      <w:r w:rsidR="002D310A" w:rsidRPr="004C3C9B">
        <w:rPr>
          <w:rFonts w:ascii="Times New Roman" w:hAnsi="Times New Roman" w:cs="Times New Roman"/>
          <w:sz w:val="24"/>
          <w:szCs w:val="24"/>
        </w:rPr>
        <w:t>British Journal of Community N</w:t>
      </w:r>
      <w:r w:rsidRPr="004C3C9B">
        <w:rPr>
          <w:rFonts w:ascii="Times New Roman" w:hAnsi="Times New Roman" w:cs="Times New Roman"/>
          <w:sz w:val="24"/>
          <w:szCs w:val="24"/>
        </w:rPr>
        <w:t>ursing</w:t>
      </w:r>
      <w:r w:rsidR="002D310A" w:rsidRPr="004C3C9B">
        <w:rPr>
          <w:rFonts w:ascii="Times New Roman" w:hAnsi="Times New Roman" w:cs="Times New Roman"/>
          <w:sz w:val="24"/>
          <w:szCs w:val="24"/>
        </w:rPr>
        <w:t>.</w:t>
      </w:r>
      <w:r w:rsidRPr="004C3C9B">
        <w:rPr>
          <w:rFonts w:ascii="Times New Roman" w:hAnsi="Times New Roman" w:cs="Times New Roman"/>
          <w:sz w:val="24"/>
          <w:szCs w:val="24"/>
        </w:rPr>
        <w:t xml:space="preserve"> 15</w:t>
      </w:r>
      <w:r w:rsidR="002D310A" w:rsidRPr="004C3C9B">
        <w:rPr>
          <w:rFonts w:ascii="Times New Roman" w:hAnsi="Times New Roman" w:cs="Times New Roman"/>
          <w:sz w:val="24"/>
          <w:szCs w:val="24"/>
        </w:rPr>
        <w:t xml:space="preserve">, </w:t>
      </w:r>
      <w:r w:rsidRPr="004C3C9B">
        <w:rPr>
          <w:rFonts w:ascii="Times New Roman" w:hAnsi="Times New Roman" w:cs="Times New Roman"/>
          <w:sz w:val="24"/>
          <w:szCs w:val="24"/>
        </w:rPr>
        <w:t>2, 71-76.</w:t>
      </w:r>
    </w:p>
    <w:p w:rsidR="006874F1" w:rsidRPr="004C3C9B" w:rsidRDefault="00D8717E"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Daughtry J, Hayter </w:t>
      </w:r>
      <w:r w:rsidR="006874F1" w:rsidRPr="004C3C9B">
        <w:rPr>
          <w:rFonts w:ascii="Times New Roman" w:hAnsi="Times New Roman" w:cs="Times New Roman"/>
          <w:sz w:val="24"/>
          <w:szCs w:val="24"/>
        </w:rPr>
        <w:t>M (2010) A qualitative study of practice nurses' prescribing experience. Pra</w:t>
      </w:r>
      <w:r w:rsidRPr="004C3C9B">
        <w:rPr>
          <w:rFonts w:ascii="Times New Roman" w:hAnsi="Times New Roman" w:cs="Times New Roman"/>
          <w:sz w:val="24"/>
          <w:szCs w:val="24"/>
        </w:rPr>
        <w:t>ctice Nursing. 21, 6, 310-314.</w:t>
      </w:r>
      <w:r w:rsidR="006874F1" w:rsidRPr="004C3C9B">
        <w:rPr>
          <w:rFonts w:ascii="Times New Roman" w:hAnsi="Times New Roman" w:cs="Times New Roman"/>
          <w:sz w:val="24"/>
          <w:szCs w:val="24"/>
        </w:rPr>
        <w:t xml:space="preserve"> </w:t>
      </w:r>
    </w:p>
    <w:p w:rsidR="006874F1" w:rsidRPr="004C3C9B" w:rsidRDefault="00110C34"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Day</w:t>
      </w:r>
      <w:r w:rsidR="006874F1" w:rsidRPr="004C3C9B">
        <w:rPr>
          <w:rFonts w:ascii="Times New Roman" w:hAnsi="Times New Roman" w:cs="Times New Roman"/>
          <w:sz w:val="24"/>
          <w:szCs w:val="24"/>
        </w:rPr>
        <w:t xml:space="preserve">, M (2005) UK doctors protest at extension </w:t>
      </w:r>
      <w:r w:rsidRPr="004C3C9B">
        <w:rPr>
          <w:rFonts w:ascii="Times New Roman" w:hAnsi="Times New Roman" w:cs="Times New Roman"/>
          <w:sz w:val="24"/>
          <w:szCs w:val="24"/>
        </w:rPr>
        <w:t xml:space="preserve">to nurses' prescribing powers. </w:t>
      </w:r>
      <w:r w:rsidR="00781A68" w:rsidRPr="004C3C9B">
        <w:rPr>
          <w:rFonts w:ascii="Times New Roman" w:hAnsi="Times New Roman" w:cs="Times New Roman"/>
          <w:sz w:val="24"/>
          <w:szCs w:val="24"/>
        </w:rPr>
        <w:t>British M</w:t>
      </w:r>
      <w:r w:rsidR="006874F1" w:rsidRPr="004C3C9B">
        <w:rPr>
          <w:rFonts w:ascii="Times New Roman" w:hAnsi="Times New Roman" w:cs="Times New Roman"/>
          <w:sz w:val="24"/>
          <w:szCs w:val="24"/>
        </w:rPr>
        <w:t>edi</w:t>
      </w:r>
      <w:r w:rsidR="00781A68" w:rsidRPr="004C3C9B">
        <w:rPr>
          <w:rFonts w:ascii="Times New Roman" w:hAnsi="Times New Roman" w:cs="Times New Roman"/>
          <w:sz w:val="24"/>
          <w:szCs w:val="24"/>
        </w:rPr>
        <w:t>cal J</w:t>
      </w:r>
      <w:r w:rsidRPr="004C3C9B">
        <w:rPr>
          <w:rFonts w:ascii="Times New Roman" w:hAnsi="Times New Roman" w:cs="Times New Roman"/>
          <w:sz w:val="24"/>
          <w:szCs w:val="24"/>
        </w:rPr>
        <w:t>ournal</w:t>
      </w:r>
      <w:r w:rsidR="00781A68" w:rsidRPr="004C3C9B">
        <w:rPr>
          <w:rFonts w:ascii="Times New Roman" w:hAnsi="Times New Roman" w:cs="Times New Roman"/>
          <w:sz w:val="24"/>
          <w:szCs w:val="24"/>
        </w:rPr>
        <w:t>.</w:t>
      </w:r>
      <w:r w:rsidRPr="004C3C9B">
        <w:rPr>
          <w:rFonts w:ascii="Times New Roman" w:hAnsi="Times New Roman" w:cs="Times New Roman"/>
          <w:sz w:val="24"/>
          <w:szCs w:val="24"/>
        </w:rPr>
        <w:t xml:space="preserve"> 331</w:t>
      </w:r>
      <w:r w:rsidR="00781A68"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7526, 1159. </w:t>
      </w:r>
    </w:p>
    <w:p w:rsidR="006874F1" w:rsidRPr="004C3C9B" w:rsidRDefault="00B542CB"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bookmarkStart w:id="1" w:name="_Hlk491872430"/>
      <w:r w:rsidRPr="004C3C9B">
        <w:rPr>
          <w:rFonts w:ascii="Times New Roman" w:hAnsi="Times New Roman" w:cs="Times New Roman"/>
          <w:sz w:val="24"/>
          <w:szCs w:val="24"/>
        </w:rPr>
        <w:t xml:space="preserve">Department of Health </w:t>
      </w:r>
      <w:bookmarkEnd w:id="1"/>
      <w:r w:rsidRPr="004C3C9B">
        <w:rPr>
          <w:rFonts w:ascii="Times New Roman" w:hAnsi="Times New Roman" w:cs="Times New Roman"/>
          <w:sz w:val="24"/>
          <w:szCs w:val="24"/>
        </w:rPr>
        <w:t>(1989)</w:t>
      </w:r>
      <w:r w:rsidR="006874F1" w:rsidRPr="004C3C9B">
        <w:rPr>
          <w:rFonts w:ascii="Times New Roman" w:hAnsi="Times New Roman" w:cs="Times New Roman"/>
          <w:sz w:val="24"/>
          <w:szCs w:val="24"/>
        </w:rPr>
        <w:t xml:space="preserve"> Report of the Advisory Group on Nurse Prescribing (Crown Report). </w:t>
      </w:r>
      <w:r w:rsidR="00C10DD6" w:rsidRPr="004C3C9B">
        <w:rPr>
          <w:rFonts w:ascii="Times New Roman" w:hAnsi="Times New Roman" w:cs="Times New Roman"/>
          <w:sz w:val="24"/>
          <w:szCs w:val="24"/>
        </w:rPr>
        <w:t>HMSO</w:t>
      </w:r>
      <w:r w:rsidRPr="004C3C9B">
        <w:rPr>
          <w:rFonts w:ascii="Times New Roman" w:hAnsi="Times New Roman" w:cs="Times New Roman"/>
          <w:sz w:val="24"/>
          <w:szCs w:val="24"/>
        </w:rPr>
        <w:t>, L</w:t>
      </w:r>
      <w:r w:rsidR="006874F1" w:rsidRPr="004C3C9B">
        <w:rPr>
          <w:rFonts w:ascii="Times New Roman" w:hAnsi="Times New Roman" w:cs="Times New Roman"/>
          <w:sz w:val="24"/>
          <w:szCs w:val="24"/>
        </w:rPr>
        <w:t>ondon.</w:t>
      </w:r>
    </w:p>
    <w:p w:rsidR="00C10DD6" w:rsidRPr="004C3C9B" w:rsidRDefault="00C10DD6"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Department of Health (1992) Medicinal Products. Prescription by nurses etc act. HMSO, London.</w:t>
      </w:r>
    </w:p>
    <w:p w:rsidR="006874F1" w:rsidRPr="004C3C9B" w:rsidRDefault="00857B0F"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Department of Health (1999)</w:t>
      </w:r>
      <w:r w:rsidR="006874F1" w:rsidRPr="004C3C9B">
        <w:rPr>
          <w:rFonts w:ascii="Times New Roman" w:hAnsi="Times New Roman" w:cs="Times New Roman"/>
          <w:sz w:val="24"/>
          <w:szCs w:val="24"/>
        </w:rPr>
        <w:t xml:space="preserve"> Review of Prescribing, Supply and Administration of Medicines: Final report (Crown II). </w:t>
      </w:r>
      <w:r w:rsidR="00C10DD6" w:rsidRPr="004C3C9B">
        <w:rPr>
          <w:rFonts w:ascii="Times New Roman" w:hAnsi="Times New Roman" w:cs="Times New Roman"/>
          <w:sz w:val="24"/>
          <w:szCs w:val="24"/>
        </w:rPr>
        <w:t>HMSO</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London.</w:t>
      </w:r>
    </w:p>
    <w:p w:rsidR="001D0DD6" w:rsidRPr="004C3C9B" w:rsidRDefault="001D0DD6"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lastRenderedPageBreak/>
        <w:t>Department of Health (2003) Supplementary Prescribing by Nurses and Pharmacists within the NHS in England. A Guide for Implementation. The Stationery Office, London.</w:t>
      </w:r>
    </w:p>
    <w:p w:rsidR="006874F1" w:rsidRPr="004C3C9B" w:rsidRDefault="00857B0F"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Department of Health </w:t>
      </w:r>
      <w:r w:rsidR="006874F1" w:rsidRPr="004C3C9B">
        <w:rPr>
          <w:rFonts w:ascii="Times New Roman" w:hAnsi="Times New Roman" w:cs="Times New Roman"/>
          <w:sz w:val="24"/>
          <w:szCs w:val="24"/>
        </w:rPr>
        <w:t>(2006)</w:t>
      </w:r>
      <w:r w:rsidR="00633247"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 xml:space="preserve">Improving Patients' Access to Medicines: A Guide to Implementing Nurse and Pharmacist Independent Prescribing within the NHS in England. </w:t>
      </w:r>
      <w:r w:rsidR="006166BD" w:rsidRPr="004C3C9B">
        <w:rPr>
          <w:rFonts w:ascii="Times New Roman" w:hAnsi="Times New Roman" w:cs="Times New Roman"/>
          <w:sz w:val="24"/>
          <w:szCs w:val="24"/>
        </w:rPr>
        <w:t>DH</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London</w:t>
      </w:r>
      <w:r w:rsidRPr="004C3C9B">
        <w:rPr>
          <w:rFonts w:ascii="Times New Roman" w:hAnsi="Times New Roman" w:cs="Times New Roman"/>
          <w:sz w:val="24"/>
          <w:szCs w:val="24"/>
        </w:rPr>
        <w:t>.</w:t>
      </w:r>
    </w:p>
    <w:p w:rsidR="006874F1" w:rsidRPr="004C3C9B" w:rsidRDefault="00857B0F"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Department of Health and Social Security </w:t>
      </w:r>
      <w:r w:rsidR="006874F1" w:rsidRPr="004C3C9B">
        <w:rPr>
          <w:rFonts w:ascii="Times New Roman" w:hAnsi="Times New Roman" w:cs="Times New Roman"/>
          <w:sz w:val="24"/>
          <w:szCs w:val="24"/>
        </w:rPr>
        <w:t xml:space="preserve">(1986) Neighbourhood Nursing: A Focus for Care (Cumberlege Report). </w:t>
      </w:r>
      <w:r w:rsidRPr="004C3C9B">
        <w:rPr>
          <w:rFonts w:ascii="Times New Roman" w:hAnsi="Times New Roman" w:cs="Times New Roman"/>
          <w:sz w:val="24"/>
          <w:szCs w:val="24"/>
        </w:rPr>
        <w:t>HMSO, London.</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D</w:t>
      </w:r>
      <w:r w:rsidR="005E23E5" w:rsidRPr="004C3C9B">
        <w:rPr>
          <w:rFonts w:ascii="Times New Roman" w:hAnsi="Times New Roman" w:cs="Times New Roman"/>
          <w:sz w:val="24"/>
          <w:szCs w:val="24"/>
        </w:rPr>
        <w:t>owner F, Shepherd CK</w:t>
      </w:r>
      <w:r w:rsidRPr="004C3C9B">
        <w:rPr>
          <w:rFonts w:ascii="Times New Roman" w:hAnsi="Times New Roman" w:cs="Times New Roman"/>
          <w:sz w:val="24"/>
          <w:szCs w:val="24"/>
        </w:rPr>
        <w:t xml:space="preserve"> (2010) District nurses prescribing as nurse independent prescribers. British Journal of Community Nursing</w:t>
      </w:r>
      <w:r w:rsidR="005E23E5" w:rsidRPr="004C3C9B">
        <w:rPr>
          <w:rFonts w:ascii="Times New Roman" w:hAnsi="Times New Roman" w:cs="Times New Roman"/>
          <w:sz w:val="24"/>
          <w:szCs w:val="24"/>
        </w:rPr>
        <w:t>.</w:t>
      </w:r>
      <w:r w:rsidRPr="004C3C9B">
        <w:rPr>
          <w:rFonts w:ascii="Times New Roman" w:hAnsi="Times New Roman" w:cs="Times New Roman"/>
          <w:sz w:val="24"/>
          <w:szCs w:val="24"/>
        </w:rPr>
        <w:t xml:space="preserve"> 15</w:t>
      </w:r>
      <w:r w:rsidR="005E23E5" w:rsidRPr="004C3C9B">
        <w:rPr>
          <w:rFonts w:ascii="Times New Roman" w:hAnsi="Times New Roman" w:cs="Times New Roman"/>
          <w:sz w:val="24"/>
          <w:szCs w:val="24"/>
        </w:rPr>
        <w:t xml:space="preserve">, </w:t>
      </w:r>
      <w:r w:rsidRPr="004C3C9B">
        <w:rPr>
          <w:rFonts w:ascii="Times New Roman" w:hAnsi="Times New Roman" w:cs="Times New Roman"/>
          <w:sz w:val="24"/>
          <w:szCs w:val="24"/>
        </w:rPr>
        <w:t>7, 348-352.</w:t>
      </w:r>
    </w:p>
    <w:p w:rsidR="00721C22" w:rsidRPr="004C3C9B" w:rsidRDefault="00721C22" w:rsidP="004C3C9B">
      <w:pPr>
        <w:pStyle w:val="ListParagraph"/>
        <w:numPr>
          <w:ilvl w:val="0"/>
          <w:numId w:val="4"/>
        </w:numPr>
        <w:spacing w:after="0" w:line="480" w:lineRule="auto"/>
        <w:ind w:left="0" w:firstLine="0"/>
        <w:jc w:val="both"/>
        <w:rPr>
          <w:rFonts w:ascii="Times New Roman" w:hAnsi="Times New Roman" w:cs="Times New Roman"/>
          <w:sz w:val="24"/>
          <w:szCs w:val="24"/>
        </w:rPr>
      </w:pPr>
      <w:r w:rsidRPr="004C3C9B">
        <w:rPr>
          <w:rFonts w:ascii="Times New Roman" w:hAnsi="Times New Roman" w:cs="Times New Roman"/>
          <w:sz w:val="24"/>
          <w:szCs w:val="24"/>
        </w:rPr>
        <w:t>EPPI-Centre (2016). EPPI-Reviewer 4.5 Software for research synthesis: User Manual. EPPI-Centre. https://eppi.ioe.ac.uk/cms/Portals/35/Manuals/ER4.5.0%20user%20manuala.pdf?ver=2015-10-12-122019-620</w:t>
      </w:r>
    </w:p>
    <w:p w:rsidR="00721C22" w:rsidRPr="004C3C9B" w:rsidRDefault="00721C22" w:rsidP="004C3C9B">
      <w:pPr>
        <w:pStyle w:val="ListParagraph"/>
        <w:spacing w:after="0" w:line="480" w:lineRule="auto"/>
        <w:ind w:left="0"/>
        <w:jc w:val="both"/>
        <w:rPr>
          <w:rFonts w:ascii="Times New Roman" w:hAnsi="Times New Roman" w:cs="Times New Roman"/>
          <w:sz w:val="24"/>
          <w:szCs w:val="24"/>
        </w:rPr>
      </w:pPr>
      <w:r w:rsidRPr="004C3C9B">
        <w:rPr>
          <w:rFonts w:ascii="Times New Roman" w:hAnsi="Times New Roman" w:cs="Times New Roman"/>
          <w:sz w:val="24"/>
          <w:szCs w:val="24"/>
        </w:rPr>
        <w:t>(Last Accessed: 09 October 2017)</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bookmarkStart w:id="2" w:name="_Hlk495063432"/>
      <w:r w:rsidRPr="004C3C9B">
        <w:rPr>
          <w:rFonts w:ascii="Times New Roman" w:hAnsi="Times New Roman" w:cs="Times New Roman"/>
          <w:sz w:val="24"/>
          <w:szCs w:val="24"/>
        </w:rPr>
        <w:t>F</w:t>
      </w:r>
      <w:r w:rsidR="00780AD5" w:rsidRPr="004C3C9B">
        <w:rPr>
          <w:rFonts w:ascii="Times New Roman" w:hAnsi="Times New Roman" w:cs="Times New Roman"/>
          <w:sz w:val="24"/>
          <w:szCs w:val="24"/>
        </w:rPr>
        <w:t xml:space="preserve">leeman N, </w:t>
      </w:r>
      <w:r w:rsidRPr="004C3C9B">
        <w:rPr>
          <w:rFonts w:ascii="Times New Roman" w:hAnsi="Times New Roman" w:cs="Times New Roman"/>
          <w:sz w:val="24"/>
          <w:szCs w:val="24"/>
        </w:rPr>
        <w:t>D</w:t>
      </w:r>
      <w:r w:rsidR="00780AD5" w:rsidRPr="004C3C9B">
        <w:rPr>
          <w:rFonts w:ascii="Times New Roman" w:hAnsi="Times New Roman" w:cs="Times New Roman"/>
          <w:sz w:val="24"/>
          <w:szCs w:val="24"/>
        </w:rPr>
        <w:t xml:space="preserve">undar </w:t>
      </w:r>
      <w:r w:rsidRPr="004C3C9B">
        <w:rPr>
          <w:rFonts w:ascii="Times New Roman" w:hAnsi="Times New Roman" w:cs="Times New Roman"/>
          <w:sz w:val="24"/>
          <w:szCs w:val="24"/>
        </w:rPr>
        <w:t>Y (2014) 5: Data Extraction: Where Do I Begin? In B</w:t>
      </w:r>
      <w:r w:rsidR="00780AD5" w:rsidRPr="004C3C9B">
        <w:rPr>
          <w:rFonts w:ascii="Times New Roman" w:hAnsi="Times New Roman" w:cs="Times New Roman"/>
          <w:sz w:val="24"/>
          <w:szCs w:val="24"/>
        </w:rPr>
        <w:t xml:space="preserve">oland A, </w:t>
      </w:r>
      <w:r w:rsidRPr="004C3C9B">
        <w:rPr>
          <w:rFonts w:ascii="Times New Roman" w:hAnsi="Times New Roman" w:cs="Times New Roman"/>
          <w:sz w:val="24"/>
          <w:szCs w:val="24"/>
        </w:rPr>
        <w:t>C</w:t>
      </w:r>
      <w:r w:rsidR="00780AD5" w:rsidRPr="004C3C9B">
        <w:rPr>
          <w:rFonts w:ascii="Times New Roman" w:hAnsi="Times New Roman" w:cs="Times New Roman"/>
          <w:sz w:val="24"/>
          <w:szCs w:val="24"/>
        </w:rPr>
        <w:t xml:space="preserve">herry G, </w:t>
      </w:r>
      <w:r w:rsidRPr="004C3C9B">
        <w:rPr>
          <w:rFonts w:ascii="Times New Roman" w:hAnsi="Times New Roman" w:cs="Times New Roman"/>
          <w:sz w:val="24"/>
          <w:szCs w:val="24"/>
        </w:rPr>
        <w:t>D</w:t>
      </w:r>
      <w:r w:rsidR="00780AD5" w:rsidRPr="004C3C9B">
        <w:rPr>
          <w:rFonts w:ascii="Times New Roman" w:hAnsi="Times New Roman" w:cs="Times New Roman"/>
          <w:sz w:val="24"/>
          <w:szCs w:val="24"/>
        </w:rPr>
        <w:t xml:space="preserve">ickson </w:t>
      </w:r>
      <w:r w:rsidRPr="004C3C9B">
        <w:rPr>
          <w:rFonts w:ascii="Times New Roman" w:hAnsi="Times New Roman" w:cs="Times New Roman"/>
          <w:sz w:val="24"/>
          <w:szCs w:val="24"/>
        </w:rPr>
        <w:t>R (</w:t>
      </w:r>
      <w:r w:rsidR="00780AD5" w:rsidRPr="004C3C9B">
        <w:rPr>
          <w:rFonts w:ascii="Times New Roman" w:hAnsi="Times New Roman" w:cs="Times New Roman"/>
          <w:sz w:val="24"/>
          <w:szCs w:val="24"/>
        </w:rPr>
        <w:t>E</w:t>
      </w:r>
      <w:r w:rsidRPr="004C3C9B">
        <w:rPr>
          <w:rFonts w:ascii="Times New Roman" w:hAnsi="Times New Roman" w:cs="Times New Roman"/>
          <w:sz w:val="24"/>
          <w:szCs w:val="24"/>
        </w:rPr>
        <w:t>ds) Doing a Systematic Review: A Student's Guide. SAGE Publications Ltd,</w:t>
      </w:r>
      <w:r w:rsidR="00780AD5" w:rsidRPr="004C3C9B">
        <w:rPr>
          <w:rFonts w:ascii="Times New Roman" w:hAnsi="Times New Roman" w:cs="Times New Roman"/>
          <w:sz w:val="24"/>
          <w:szCs w:val="24"/>
        </w:rPr>
        <w:t xml:space="preserve"> London.</w:t>
      </w:r>
      <w:r w:rsidRPr="004C3C9B">
        <w:rPr>
          <w:rFonts w:ascii="Times New Roman" w:hAnsi="Times New Roman" w:cs="Times New Roman"/>
          <w:sz w:val="24"/>
          <w:szCs w:val="24"/>
        </w:rPr>
        <w:t xml:space="preserve"> 85-97</w:t>
      </w:r>
      <w:r w:rsidR="002314F6" w:rsidRPr="004C3C9B">
        <w:rPr>
          <w:rFonts w:ascii="Times New Roman" w:hAnsi="Times New Roman" w:cs="Times New Roman"/>
          <w:sz w:val="24"/>
          <w:szCs w:val="24"/>
        </w:rPr>
        <w:t>.</w:t>
      </w:r>
    </w:p>
    <w:bookmarkEnd w:id="2"/>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G</w:t>
      </w:r>
      <w:r w:rsidR="000166A1" w:rsidRPr="004C3C9B">
        <w:rPr>
          <w:rFonts w:ascii="Times New Roman" w:hAnsi="Times New Roman" w:cs="Times New Roman"/>
          <w:sz w:val="24"/>
          <w:szCs w:val="24"/>
        </w:rPr>
        <w:t>ielen SC, Dekker J, Francke AL et al</w:t>
      </w:r>
      <w:r w:rsidRPr="004C3C9B">
        <w:rPr>
          <w:rFonts w:ascii="Times New Roman" w:hAnsi="Times New Roman" w:cs="Times New Roman"/>
          <w:sz w:val="24"/>
          <w:szCs w:val="24"/>
        </w:rPr>
        <w:t xml:space="preserve"> (2014) The effects of nurse prescribing: A systematic</w:t>
      </w:r>
      <w:r w:rsidR="000166A1" w:rsidRPr="004C3C9B">
        <w:rPr>
          <w:rFonts w:ascii="Times New Roman" w:hAnsi="Times New Roman" w:cs="Times New Roman"/>
          <w:sz w:val="24"/>
          <w:szCs w:val="24"/>
        </w:rPr>
        <w:t xml:space="preserve"> review</w:t>
      </w:r>
      <w:r w:rsidRPr="004C3C9B">
        <w:rPr>
          <w:rFonts w:ascii="Times New Roman" w:hAnsi="Times New Roman" w:cs="Times New Roman"/>
          <w:sz w:val="24"/>
          <w:szCs w:val="24"/>
        </w:rPr>
        <w:t xml:space="preserve">. International </w:t>
      </w:r>
      <w:r w:rsidR="000166A1" w:rsidRPr="004C3C9B">
        <w:rPr>
          <w:rFonts w:ascii="Times New Roman" w:hAnsi="Times New Roman" w:cs="Times New Roman"/>
          <w:sz w:val="24"/>
          <w:szCs w:val="24"/>
        </w:rPr>
        <w:t>J</w:t>
      </w:r>
      <w:r w:rsidRPr="004C3C9B">
        <w:rPr>
          <w:rFonts w:ascii="Times New Roman" w:hAnsi="Times New Roman" w:cs="Times New Roman"/>
          <w:sz w:val="24"/>
          <w:szCs w:val="24"/>
        </w:rPr>
        <w:t xml:space="preserve">ournal of </w:t>
      </w:r>
      <w:r w:rsidR="000166A1" w:rsidRPr="004C3C9B">
        <w:rPr>
          <w:rFonts w:ascii="Times New Roman" w:hAnsi="Times New Roman" w:cs="Times New Roman"/>
          <w:sz w:val="24"/>
          <w:szCs w:val="24"/>
        </w:rPr>
        <w:t>N</w:t>
      </w:r>
      <w:r w:rsidRPr="004C3C9B">
        <w:rPr>
          <w:rFonts w:ascii="Times New Roman" w:hAnsi="Times New Roman" w:cs="Times New Roman"/>
          <w:sz w:val="24"/>
          <w:szCs w:val="24"/>
        </w:rPr>
        <w:t xml:space="preserve">ursing </w:t>
      </w:r>
      <w:r w:rsidR="000166A1" w:rsidRPr="004C3C9B">
        <w:rPr>
          <w:rFonts w:ascii="Times New Roman" w:hAnsi="Times New Roman" w:cs="Times New Roman"/>
          <w:sz w:val="24"/>
          <w:szCs w:val="24"/>
        </w:rPr>
        <w:t>S</w:t>
      </w:r>
      <w:r w:rsidRPr="004C3C9B">
        <w:rPr>
          <w:rFonts w:ascii="Times New Roman" w:hAnsi="Times New Roman" w:cs="Times New Roman"/>
          <w:sz w:val="24"/>
          <w:szCs w:val="24"/>
        </w:rPr>
        <w:t>tudies</w:t>
      </w:r>
      <w:r w:rsidR="000166A1" w:rsidRPr="004C3C9B">
        <w:rPr>
          <w:rFonts w:ascii="Times New Roman" w:hAnsi="Times New Roman" w:cs="Times New Roman"/>
          <w:sz w:val="24"/>
          <w:szCs w:val="24"/>
        </w:rPr>
        <w:t>.</w:t>
      </w:r>
      <w:r w:rsidRPr="004C3C9B">
        <w:rPr>
          <w:rFonts w:ascii="Times New Roman" w:hAnsi="Times New Roman" w:cs="Times New Roman"/>
          <w:sz w:val="24"/>
          <w:szCs w:val="24"/>
        </w:rPr>
        <w:t xml:space="preserve"> 51</w:t>
      </w:r>
      <w:r w:rsidR="000166A1"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7, 1048. </w:t>
      </w:r>
    </w:p>
    <w:p w:rsidR="006874F1" w:rsidRPr="004C3C9B" w:rsidRDefault="00E31AF6"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Gumber R, Khoosal D, Gajebasia N (2012)</w:t>
      </w:r>
      <w:r w:rsidR="006874F1" w:rsidRPr="004C3C9B">
        <w:rPr>
          <w:rFonts w:ascii="Times New Roman" w:hAnsi="Times New Roman" w:cs="Times New Roman"/>
          <w:sz w:val="24"/>
          <w:szCs w:val="24"/>
        </w:rPr>
        <w:t xml:space="preserve"> Non‐medical prescribing: audit, practice and views. Journal of Psychiatric and Mental Health Nursing</w:t>
      </w:r>
      <w:r w:rsidRPr="004C3C9B">
        <w:rPr>
          <w:rFonts w:ascii="Times New Roman" w:hAnsi="Times New Roman" w:cs="Times New Roman"/>
          <w:sz w:val="24"/>
          <w:szCs w:val="24"/>
        </w:rPr>
        <w:t>.</w:t>
      </w:r>
      <w:r w:rsidR="006874F1" w:rsidRPr="004C3C9B">
        <w:rPr>
          <w:rFonts w:ascii="Times New Roman" w:hAnsi="Times New Roman" w:cs="Times New Roman"/>
          <w:sz w:val="24"/>
          <w:szCs w:val="24"/>
        </w:rPr>
        <w:t xml:space="preserve"> 19</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6, 475-481.</w:t>
      </w:r>
    </w:p>
    <w:p w:rsidR="00126949"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lastRenderedPageBreak/>
        <w:t>H</w:t>
      </w:r>
      <w:r w:rsidR="00126949" w:rsidRPr="004C3C9B">
        <w:rPr>
          <w:rFonts w:ascii="Times New Roman" w:hAnsi="Times New Roman" w:cs="Times New Roman"/>
          <w:sz w:val="24"/>
          <w:szCs w:val="24"/>
        </w:rPr>
        <w:t>all</w:t>
      </w:r>
      <w:r w:rsidRPr="004C3C9B">
        <w:rPr>
          <w:rFonts w:ascii="Times New Roman" w:hAnsi="Times New Roman" w:cs="Times New Roman"/>
          <w:sz w:val="24"/>
          <w:szCs w:val="24"/>
        </w:rPr>
        <w:t xml:space="preserve"> J (2006) Influences o</w:t>
      </w:r>
      <w:r w:rsidR="00126949" w:rsidRPr="004C3C9B">
        <w:rPr>
          <w:rFonts w:ascii="Times New Roman" w:hAnsi="Times New Roman" w:cs="Times New Roman"/>
          <w:sz w:val="24"/>
          <w:szCs w:val="24"/>
        </w:rPr>
        <w:t>n Community Nurse Prescribing.</w:t>
      </w:r>
      <w:r w:rsidR="004A0767" w:rsidRPr="004C3C9B">
        <w:rPr>
          <w:rFonts w:ascii="Times New Roman" w:hAnsi="Times New Roman" w:cs="Times New Roman"/>
          <w:sz w:val="24"/>
          <w:szCs w:val="24"/>
        </w:rPr>
        <w:t xml:space="preserve"> PhD</w:t>
      </w:r>
      <w:r w:rsidR="00290040" w:rsidRPr="004C3C9B">
        <w:rPr>
          <w:rFonts w:ascii="Times New Roman" w:hAnsi="Times New Roman" w:cs="Times New Roman"/>
          <w:sz w:val="24"/>
          <w:szCs w:val="24"/>
        </w:rPr>
        <w:t>.</w:t>
      </w:r>
      <w:r w:rsidR="004A0767" w:rsidRPr="004C3C9B">
        <w:rPr>
          <w:rFonts w:ascii="Times New Roman" w:hAnsi="Times New Roman" w:cs="Times New Roman"/>
          <w:sz w:val="24"/>
          <w:szCs w:val="24"/>
        </w:rPr>
        <w:t xml:space="preserve"> University of Manchester</w:t>
      </w:r>
      <w:r w:rsidR="00290040" w:rsidRPr="004C3C9B">
        <w:rPr>
          <w:rFonts w:ascii="Times New Roman" w:hAnsi="Times New Roman" w:cs="Times New Roman"/>
          <w:sz w:val="24"/>
          <w:szCs w:val="24"/>
        </w:rPr>
        <w:t>, Manchester</w:t>
      </w:r>
      <w:r w:rsidR="004A0767" w:rsidRPr="004C3C9B">
        <w:rPr>
          <w:rFonts w:ascii="Times New Roman" w:hAnsi="Times New Roman" w:cs="Times New Roman"/>
          <w:sz w:val="24"/>
          <w:szCs w:val="24"/>
        </w:rPr>
        <w:t xml:space="preserve">. </w:t>
      </w:r>
      <w:r w:rsidR="002934DF" w:rsidRPr="004C3C9B">
        <w:rPr>
          <w:rFonts w:ascii="Times New Roman" w:hAnsi="Times New Roman" w:cs="Times New Roman"/>
          <w:sz w:val="24"/>
          <w:szCs w:val="24"/>
        </w:rPr>
        <w:t xml:space="preserve"> </w:t>
      </w:r>
      <w:r w:rsidR="00126949" w:rsidRPr="004C3C9B">
        <w:rPr>
          <w:rFonts w:ascii="Times New Roman" w:hAnsi="Times New Roman" w:cs="Times New Roman"/>
          <w:sz w:val="24"/>
          <w:szCs w:val="24"/>
        </w:rPr>
        <w:t>http://ethos.bl.uk/OrderDetails.do?uin=uk.bl.ethos.502236</w:t>
      </w:r>
    </w:p>
    <w:p w:rsidR="0082129A" w:rsidRPr="004C3C9B" w:rsidRDefault="00126949"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(Last accessed: 31 August 2017)</w:t>
      </w:r>
    </w:p>
    <w:p w:rsidR="0082129A" w:rsidRPr="004C3C9B" w:rsidRDefault="0082129A" w:rsidP="004C3C9B">
      <w:pPr>
        <w:pStyle w:val="ListParagraph"/>
        <w:numPr>
          <w:ilvl w:val="0"/>
          <w:numId w:val="1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Hannes K, Lockwood C, Pearson A (2010). A Comparative Analysis of Three Online Appraisal Instruments’ Ability to Assess Validity in Qualitative Research. Qualitative Health Research. 20, 12, 1736-1743. </w:t>
      </w:r>
    </w:p>
    <w:p w:rsidR="006874F1" w:rsidRPr="004C3C9B" w:rsidRDefault="00EA530E"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Herklots A, </w:t>
      </w:r>
      <w:r w:rsidR="007F0644" w:rsidRPr="004C3C9B">
        <w:rPr>
          <w:rFonts w:ascii="Times New Roman" w:hAnsi="Times New Roman" w:cs="Times New Roman"/>
          <w:sz w:val="24"/>
          <w:szCs w:val="24"/>
        </w:rPr>
        <w:t>Baileff</w:t>
      </w:r>
      <w:r w:rsidRPr="004C3C9B">
        <w:rPr>
          <w:rFonts w:ascii="Times New Roman" w:hAnsi="Times New Roman" w:cs="Times New Roman"/>
          <w:sz w:val="24"/>
          <w:szCs w:val="24"/>
        </w:rPr>
        <w:t xml:space="preserve"> A</w:t>
      </w:r>
      <w:r w:rsidR="007F0644" w:rsidRPr="004C3C9B">
        <w:rPr>
          <w:rFonts w:ascii="Times New Roman" w:hAnsi="Times New Roman" w:cs="Times New Roman"/>
          <w:sz w:val="24"/>
          <w:szCs w:val="24"/>
        </w:rPr>
        <w:t>, L</w:t>
      </w:r>
      <w:r w:rsidRPr="004C3C9B">
        <w:rPr>
          <w:rFonts w:ascii="Times New Roman" w:hAnsi="Times New Roman" w:cs="Times New Roman"/>
          <w:sz w:val="24"/>
          <w:szCs w:val="24"/>
        </w:rPr>
        <w:t>atter</w:t>
      </w:r>
      <w:r w:rsidR="006874F1" w:rsidRPr="004C3C9B">
        <w:rPr>
          <w:rFonts w:ascii="Times New Roman" w:hAnsi="Times New Roman" w:cs="Times New Roman"/>
          <w:sz w:val="24"/>
          <w:szCs w:val="24"/>
        </w:rPr>
        <w:t xml:space="preserve"> S</w:t>
      </w:r>
      <w:r w:rsidR="007F0644" w:rsidRPr="004C3C9B">
        <w:rPr>
          <w:rFonts w:ascii="Times New Roman" w:hAnsi="Times New Roman" w:cs="Times New Roman"/>
          <w:sz w:val="24"/>
          <w:szCs w:val="24"/>
        </w:rPr>
        <w:t xml:space="preserve"> (2015)</w:t>
      </w:r>
      <w:r w:rsidR="006874F1" w:rsidRPr="004C3C9B">
        <w:rPr>
          <w:rFonts w:ascii="Times New Roman" w:hAnsi="Times New Roman" w:cs="Times New Roman"/>
          <w:sz w:val="24"/>
          <w:szCs w:val="24"/>
        </w:rPr>
        <w:t xml:space="preserve"> Community matrons' experien</w:t>
      </w:r>
      <w:r w:rsidR="007F0644" w:rsidRPr="004C3C9B">
        <w:rPr>
          <w:rFonts w:ascii="Times New Roman" w:hAnsi="Times New Roman" w:cs="Times New Roman"/>
          <w:sz w:val="24"/>
          <w:szCs w:val="24"/>
        </w:rPr>
        <w:t xml:space="preserve">ce as independent prescribers. </w:t>
      </w:r>
      <w:r w:rsidR="006874F1" w:rsidRPr="004C3C9B">
        <w:rPr>
          <w:rFonts w:ascii="Times New Roman" w:hAnsi="Times New Roman" w:cs="Times New Roman"/>
          <w:sz w:val="24"/>
          <w:szCs w:val="24"/>
        </w:rPr>
        <w:t>British Journal of Community Nursing. 20</w:t>
      </w:r>
      <w:r w:rsidR="007F0644"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5, 217-223.</w:t>
      </w:r>
    </w:p>
    <w:p w:rsidR="00387C09" w:rsidRPr="004C3C9B" w:rsidRDefault="00387C09"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Home Office (2012) Misuse of Drugs (Amendment No.2) (England, Wales and Scotland) Regulations 2012. The Stationary Office, London.</w:t>
      </w:r>
    </w:p>
    <w:p w:rsidR="006874F1" w:rsidRPr="004C3C9B" w:rsidRDefault="00B67F4B"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Joanna Briggs Institute </w:t>
      </w:r>
      <w:r w:rsidR="006874F1" w:rsidRPr="004C3C9B">
        <w:rPr>
          <w:rFonts w:ascii="Times New Roman" w:hAnsi="Times New Roman" w:cs="Times New Roman"/>
          <w:sz w:val="24"/>
          <w:szCs w:val="24"/>
        </w:rPr>
        <w:t>(2014) Joanna Briggs Institu</w:t>
      </w:r>
      <w:r w:rsidRPr="004C3C9B">
        <w:rPr>
          <w:rFonts w:ascii="Times New Roman" w:hAnsi="Times New Roman" w:cs="Times New Roman"/>
          <w:sz w:val="24"/>
          <w:szCs w:val="24"/>
        </w:rPr>
        <w:t xml:space="preserve">te Reviewers’ Manual. </w:t>
      </w:r>
      <w:r w:rsidR="006874F1" w:rsidRPr="004C3C9B">
        <w:rPr>
          <w:rFonts w:ascii="Times New Roman" w:hAnsi="Times New Roman" w:cs="Times New Roman"/>
          <w:sz w:val="24"/>
          <w:szCs w:val="24"/>
        </w:rPr>
        <w:t>The University of Adelaide</w:t>
      </w:r>
      <w:r w:rsidRPr="004C3C9B">
        <w:rPr>
          <w:rFonts w:ascii="Times New Roman" w:hAnsi="Times New Roman" w:cs="Times New Roman"/>
          <w:sz w:val="24"/>
          <w:szCs w:val="24"/>
        </w:rPr>
        <w:t>, South Australia</w:t>
      </w:r>
      <w:r w:rsidR="006874F1" w:rsidRPr="004C3C9B">
        <w:rPr>
          <w:rFonts w:ascii="Times New Roman" w:hAnsi="Times New Roman" w:cs="Times New Roman"/>
          <w:sz w:val="24"/>
          <w:szCs w:val="24"/>
        </w:rPr>
        <w:t xml:space="preserve">. </w:t>
      </w:r>
    </w:p>
    <w:p w:rsidR="006874F1" w:rsidRPr="004C3C9B" w:rsidRDefault="00B67F4B"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Latter </w:t>
      </w:r>
      <w:r w:rsidR="006874F1" w:rsidRPr="004C3C9B">
        <w:rPr>
          <w:rFonts w:ascii="Times New Roman" w:hAnsi="Times New Roman" w:cs="Times New Roman"/>
          <w:sz w:val="24"/>
          <w:szCs w:val="24"/>
        </w:rPr>
        <w:t>S</w:t>
      </w:r>
      <w:r w:rsidRPr="004C3C9B">
        <w:rPr>
          <w:rFonts w:ascii="Times New Roman" w:hAnsi="Times New Roman" w:cs="Times New Roman"/>
          <w:sz w:val="24"/>
          <w:szCs w:val="24"/>
        </w:rPr>
        <w:t>, Maben J, Myall M et al</w:t>
      </w:r>
      <w:r w:rsidR="006874F1" w:rsidRPr="004C3C9B">
        <w:rPr>
          <w:rFonts w:ascii="Times New Roman" w:hAnsi="Times New Roman" w:cs="Times New Roman"/>
          <w:sz w:val="24"/>
          <w:szCs w:val="24"/>
        </w:rPr>
        <w:t xml:space="preserve"> (2007) Perceptions and practice of concordance in nurses’ prescribing consultations: Findings from a national questionnaire survey and case studies of practice in England. International Journal of Nursing Studies</w:t>
      </w:r>
      <w:r w:rsidR="00CB3012" w:rsidRPr="004C3C9B">
        <w:rPr>
          <w:rFonts w:ascii="Times New Roman" w:hAnsi="Times New Roman" w:cs="Times New Roman"/>
          <w:sz w:val="24"/>
          <w:szCs w:val="24"/>
        </w:rPr>
        <w:t>.</w:t>
      </w:r>
      <w:r w:rsidR="006874F1" w:rsidRPr="004C3C9B">
        <w:rPr>
          <w:rFonts w:ascii="Times New Roman" w:hAnsi="Times New Roman" w:cs="Times New Roman"/>
          <w:sz w:val="24"/>
          <w:szCs w:val="24"/>
        </w:rPr>
        <w:t xml:space="preserve"> 44</w:t>
      </w:r>
      <w:r w:rsidR="00CB3012"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1, 9-18.</w:t>
      </w:r>
    </w:p>
    <w:p w:rsidR="003A4836" w:rsidRPr="004C3C9B" w:rsidRDefault="00BD663B"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Latter</w:t>
      </w:r>
      <w:r w:rsidR="006874F1" w:rsidRPr="004C3C9B">
        <w:rPr>
          <w:rFonts w:ascii="Times New Roman" w:hAnsi="Times New Roman" w:cs="Times New Roman"/>
          <w:sz w:val="24"/>
          <w:szCs w:val="24"/>
        </w:rPr>
        <w:t xml:space="preserve"> S</w:t>
      </w:r>
      <w:r w:rsidRPr="004C3C9B">
        <w:rPr>
          <w:rFonts w:ascii="Times New Roman" w:hAnsi="Times New Roman" w:cs="Times New Roman"/>
          <w:sz w:val="24"/>
          <w:szCs w:val="24"/>
        </w:rPr>
        <w:t xml:space="preserve">, Blenkinsopp A, Smith A </w:t>
      </w:r>
      <w:r w:rsidR="006874F1" w:rsidRPr="004C3C9B">
        <w:rPr>
          <w:rFonts w:ascii="Times New Roman" w:hAnsi="Times New Roman" w:cs="Times New Roman"/>
          <w:sz w:val="24"/>
          <w:szCs w:val="24"/>
        </w:rPr>
        <w:t>et al (2011) Evaluation of nurse and pharmacist independent prescribing</w:t>
      </w:r>
      <w:r w:rsidRPr="004C3C9B">
        <w:rPr>
          <w:rFonts w:ascii="Times New Roman" w:hAnsi="Times New Roman" w:cs="Times New Roman"/>
          <w:sz w:val="24"/>
          <w:szCs w:val="24"/>
        </w:rPr>
        <w:t xml:space="preserve">. </w:t>
      </w:r>
      <w:r w:rsidR="00AA6FA5" w:rsidRPr="004C3C9B">
        <w:rPr>
          <w:rFonts w:ascii="Times New Roman" w:hAnsi="Times New Roman" w:cs="Times New Roman"/>
          <w:sz w:val="24"/>
          <w:szCs w:val="24"/>
        </w:rPr>
        <w:t>Department of Health, London</w:t>
      </w:r>
      <w:r w:rsidR="006874F1" w:rsidRPr="004C3C9B">
        <w:rPr>
          <w:rFonts w:ascii="Times New Roman" w:hAnsi="Times New Roman" w:cs="Times New Roman"/>
          <w:sz w:val="24"/>
          <w:szCs w:val="24"/>
        </w:rPr>
        <w:t>.</w:t>
      </w:r>
    </w:p>
    <w:p w:rsidR="006874F1" w:rsidRPr="004C3C9B" w:rsidRDefault="003A4836" w:rsidP="004C3C9B">
      <w:pPr>
        <w:pStyle w:val="ListParagraph"/>
        <w:numPr>
          <w:ilvl w:val="0"/>
          <w:numId w:val="8"/>
        </w:numPr>
        <w:spacing w:after="0" w:line="480" w:lineRule="auto"/>
        <w:ind w:left="0" w:firstLine="0"/>
        <w:jc w:val="both"/>
        <w:rPr>
          <w:rFonts w:ascii="Times New Roman" w:hAnsi="Times New Roman" w:cs="Times New Roman"/>
          <w:sz w:val="24"/>
          <w:szCs w:val="24"/>
        </w:rPr>
      </w:pPr>
      <w:r w:rsidRPr="004C3C9B">
        <w:rPr>
          <w:rFonts w:ascii="Times New Roman" w:hAnsi="Times New Roman" w:cs="Times New Roman"/>
          <w:sz w:val="24"/>
          <w:szCs w:val="24"/>
        </w:rPr>
        <w:t xml:space="preserve">Levers, M-JD (2013). Philosophical Paradigms, Grounded Theory, and Perspectives on Emergence. SAGE </w:t>
      </w:r>
      <w:r w:rsidR="000A4B85" w:rsidRPr="004C3C9B">
        <w:rPr>
          <w:rFonts w:ascii="Times New Roman" w:hAnsi="Times New Roman" w:cs="Times New Roman"/>
          <w:sz w:val="24"/>
          <w:szCs w:val="24"/>
        </w:rPr>
        <w:t>O</w:t>
      </w:r>
      <w:r w:rsidRPr="004C3C9B">
        <w:rPr>
          <w:rFonts w:ascii="Times New Roman" w:hAnsi="Times New Roman" w:cs="Times New Roman"/>
          <w:sz w:val="24"/>
          <w:szCs w:val="24"/>
        </w:rPr>
        <w:t>pen. 3,</w:t>
      </w:r>
      <w:r w:rsidR="00A361C3" w:rsidRPr="004C3C9B">
        <w:rPr>
          <w:rFonts w:ascii="Times New Roman" w:hAnsi="Times New Roman" w:cs="Times New Roman"/>
          <w:sz w:val="24"/>
          <w:szCs w:val="24"/>
        </w:rPr>
        <w:t xml:space="preserve"> </w:t>
      </w:r>
      <w:r w:rsidRPr="004C3C9B">
        <w:rPr>
          <w:rFonts w:ascii="Times New Roman" w:hAnsi="Times New Roman" w:cs="Times New Roman"/>
          <w:sz w:val="24"/>
          <w:szCs w:val="24"/>
        </w:rPr>
        <w:t>4, 1-6.</w:t>
      </w:r>
    </w:p>
    <w:p w:rsidR="006874F1" w:rsidRPr="004C3C9B" w:rsidRDefault="00B044A0"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Lewis-Evans A, Jester R</w:t>
      </w:r>
      <w:r w:rsidR="006874F1" w:rsidRPr="004C3C9B">
        <w:rPr>
          <w:rFonts w:ascii="Times New Roman" w:hAnsi="Times New Roman" w:cs="Times New Roman"/>
          <w:sz w:val="24"/>
          <w:szCs w:val="24"/>
        </w:rPr>
        <w:t xml:space="preserve"> (2004) Nurse prescribers' experiences of prescribing. Journal of Clinical Nursing. 13</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7, 796-805.</w:t>
      </w:r>
    </w:p>
    <w:p w:rsidR="006874F1" w:rsidRPr="004C3C9B" w:rsidRDefault="006874F1"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lastRenderedPageBreak/>
        <w:t>L</w:t>
      </w:r>
      <w:r w:rsidR="00585295" w:rsidRPr="004C3C9B">
        <w:rPr>
          <w:rFonts w:ascii="Times New Roman" w:hAnsi="Times New Roman" w:cs="Times New Roman"/>
          <w:sz w:val="24"/>
          <w:szCs w:val="24"/>
        </w:rPr>
        <w:t xml:space="preserve">uker KA, Hogg C, Austin L et al </w:t>
      </w:r>
      <w:r w:rsidRPr="004C3C9B">
        <w:rPr>
          <w:rFonts w:ascii="Times New Roman" w:hAnsi="Times New Roman" w:cs="Times New Roman"/>
          <w:sz w:val="24"/>
          <w:szCs w:val="24"/>
        </w:rPr>
        <w:t>(1998). Decision making: the context of nurse prescribing. Journal of Advanced Nursing. 27</w:t>
      </w:r>
      <w:r w:rsidR="00585295" w:rsidRPr="004C3C9B">
        <w:rPr>
          <w:rFonts w:ascii="Times New Roman" w:hAnsi="Times New Roman" w:cs="Times New Roman"/>
          <w:sz w:val="24"/>
          <w:szCs w:val="24"/>
        </w:rPr>
        <w:t xml:space="preserve">, </w:t>
      </w:r>
      <w:r w:rsidRPr="004C3C9B">
        <w:rPr>
          <w:rFonts w:ascii="Times New Roman" w:hAnsi="Times New Roman" w:cs="Times New Roman"/>
          <w:sz w:val="24"/>
          <w:szCs w:val="24"/>
        </w:rPr>
        <w:t>3, 657-665.</w:t>
      </w:r>
    </w:p>
    <w:p w:rsidR="006874F1" w:rsidRPr="004C3C9B" w:rsidRDefault="006874F1" w:rsidP="004C3C9B">
      <w:pPr>
        <w:pStyle w:val="ListParagraph"/>
        <w:numPr>
          <w:ilvl w:val="0"/>
          <w:numId w:val="8"/>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M</w:t>
      </w:r>
      <w:r w:rsidR="00290040" w:rsidRPr="004C3C9B">
        <w:rPr>
          <w:rFonts w:ascii="Times New Roman" w:hAnsi="Times New Roman" w:cs="Times New Roman"/>
          <w:sz w:val="24"/>
          <w:szCs w:val="24"/>
        </w:rPr>
        <w:t xml:space="preserve">addox </w:t>
      </w:r>
      <w:r w:rsidRPr="004C3C9B">
        <w:rPr>
          <w:rFonts w:ascii="Times New Roman" w:hAnsi="Times New Roman" w:cs="Times New Roman"/>
          <w:sz w:val="24"/>
          <w:szCs w:val="24"/>
        </w:rPr>
        <w:t xml:space="preserve">C (2011) Influences on Non-Medical Prescribing: Nurse and Pharmacist Prescribers in Primary and Community Care. </w:t>
      </w:r>
      <w:r w:rsidR="00290040" w:rsidRPr="004C3C9B">
        <w:rPr>
          <w:rFonts w:ascii="Times New Roman" w:hAnsi="Times New Roman" w:cs="Times New Roman"/>
          <w:sz w:val="24"/>
          <w:szCs w:val="24"/>
        </w:rPr>
        <w:t>PhD.</w:t>
      </w:r>
      <w:r w:rsidRPr="004C3C9B">
        <w:rPr>
          <w:rFonts w:ascii="Times New Roman" w:hAnsi="Times New Roman" w:cs="Times New Roman"/>
          <w:sz w:val="24"/>
          <w:szCs w:val="24"/>
        </w:rPr>
        <w:t xml:space="preserve"> University of Manchester</w:t>
      </w:r>
      <w:r w:rsidR="00290040" w:rsidRPr="004C3C9B">
        <w:rPr>
          <w:rFonts w:ascii="Times New Roman" w:hAnsi="Times New Roman" w:cs="Times New Roman"/>
          <w:sz w:val="24"/>
          <w:szCs w:val="24"/>
        </w:rPr>
        <w:t>, Manchester</w:t>
      </w:r>
      <w:r w:rsidRPr="004C3C9B">
        <w:rPr>
          <w:rFonts w:ascii="Times New Roman" w:hAnsi="Times New Roman" w:cs="Times New Roman"/>
          <w:sz w:val="24"/>
          <w:szCs w:val="24"/>
        </w:rPr>
        <w:t>.</w:t>
      </w:r>
      <w:r w:rsidR="00290040" w:rsidRPr="004C3C9B">
        <w:rPr>
          <w:rFonts w:ascii="Times New Roman" w:hAnsi="Times New Roman" w:cs="Times New Roman"/>
          <w:sz w:val="24"/>
          <w:szCs w:val="24"/>
        </w:rPr>
        <w:t xml:space="preserve"> https://www.escholar.manchester.ac.uk/uk-ac-man-scw:134208</w:t>
      </w:r>
    </w:p>
    <w:p w:rsidR="00290040" w:rsidRPr="004C3C9B" w:rsidRDefault="00290040"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(Last accessed: 31 August 2017)</w:t>
      </w:r>
    </w:p>
    <w:p w:rsidR="006874F1" w:rsidRPr="004C3C9B" w:rsidRDefault="00FF0940"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McI</w:t>
      </w:r>
      <w:r w:rsidR="00B42B25" w:rsidRPr="004C3C9B">
        <w:rPr>
          <w:rFonts w:ascii="Times New Roman" w:hAnsi="Times New Roman" w:cs="Times New Roman"/>
          <w:sz w:val="24"/>
          <w:szCs w:val="24"/>
        </w:rPr>
        <w:t xml:space="preserve">ntosh T, Stewart D, Forbes-McKay K et al </w:t>
      </w:r>
      <w:r w:rsidR="006874F1" w:rsidRPr="004C3C9B">
        <w:rPr>
          <w:rFonts w:ascii="Times New Roman" w:hAnsi="Times New Roman" w:cs="Times New Roman"/>
          <w:sz w:val="24"/>
          <w:szCs w:val="24"/>
        </w:rPr>
        <w:t xml:space="preserve">(2014). Poster Abstracts: A systematic review of the social and cognitive influences on non-medical prescribing decision-making. International </w:t>
      </w:r>
      <w:r w:rsidR="00150CA5" w:rsidRPr="004C3C9B">
        <w:rPr>
          <w:rFonts w:ascii="Times New Roman" w:hAnsi="Times New Roman" w:cs="Times New Roman"/>
          <w:sz w:val="24"/>
          <w:szCs w:val="24"/>
        </w:rPr>
        <w:t>Journal of Pharmacy Practice</w:t>
      </w:r>
      <w:r w:rsidR="00FC0DF4"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22</w:t>
      </w:r>
      <w:r w:rsidR="00FC0DF4"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Supplement 1, 45-46.</w:t>
      </w:r>
    </w:p>
    <w:p w:rsidR="006874F1" w:rsidRPr="004C3C9B" w:rsidRDefault="006874F1"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M</w:t>
      </w:r>
      <w:r w:rsidR="005A0A0C" w:rsidRPr="004C3C9B">
        <w:rPr>
          <w:rFonts w:ascii="Times New Roman" w:hAnsi="Times New Roman" w:cs="Times New Roman"/>
          <w:sz w:val="24"/>
          <w:szCs w:val="24"/>
        </w:rPr>
        <w:t>oher</w:t>
      </w:r>
      <w:r w:rsidRPr="004C3C9B">
        <w:rPr>
          <w:rFonts w:ascii="Times New Roman" w:hAnsi="Times New Roman" w:cs="Times New Roman"/>
          <w:sz w:val="24"/>
          <w:szCs w:val="24"/>
        </w:rPr>
        <w:t xml:space="preserve"> D</w:t>
      </w:r>
      <w:r w:rsidR="00E1695C" w:rsidRPr="004C3C9B">
        <w:rPr>
          <w:rFonts w:ascii="Times New Roman" w:hAnsi="Times New Roman" w:cs="Times New Roman"/>
          <w:sz w:val="24"/>
          <w:szCs w:val="24"/>
        </w:rPr>
        <w:t xml:space="preserve">, Liberati A, Tetzlaff J </w:t>
      </w:r>
      <w:r w:rsidRPr="004C3C9B">
        <w:rPr>
          <w:rFonts w:ascii="Times New Roman" w:hAnsi="Times New Roman" w:cs="Times New Roman"/>
          <w:sz w:val="24"/>
          <w:szCs w:val="24"/>
        </w:rPr>
        <w:t xml:space="preserve">et al (2009) Preferred Reporting Items for Systematic Reviews and Meta- Analyses: The PRISMA Statement. </w:t>
      </w:r>
      <w:r w:rsidR="005A0A0C" w:rsidRPr="004C3C9B">
        <w:rPr>
          <w:rFonts w:ascii="Times New Roman" w:hAnsi="Times New Roman" w:cs="Times New Roman"/>
          <w:sz w:val="24"/>
          <w:szCs w:val="24"/>
        </w:rPr>
        <w:t>Physical T</w:t>
      </w:r>
      <w:r w:rsidRPr="004C3C9B">
        <w:rPr>
          <w:rFonts w:ascii="Times New Roman" w:hAnsi="Times New Roman" w:cs="Times New Roman"/>
          <w:sz w:val="24"/>
          <w:szCs w:val="24"/>
        </w:rPr>
        <w:t>herapy</w:t>
      </w:r>
      <w:r w:rsidR="005A0A0C" w:rsidRPr="004C3C9B">
        <w:rPr>
          <w:rFonts w:ascii="Times New Roman" w:hAnsi="Times New Roman" w:cs="Times New Roman"/>
          <w:sz w:val="24"/>
          <w:szCs w:val="24"/>
        </w:rPr>
        <w:t xml:space="preserve">. 89, </w:t>
      </w:r>
      <w:r w:rsidRPr="004C3C9B">
        <w:rPr>
          <w:rFonts w:ascii="Times New Roman" w:hAnsi="Times New Roman" w:cs="Times New Roman"/>
          <w:sz w:val="24"/>
          <w:szCs w:val="24"/>
        </w:rPr>
        <w:t xml:space="preserve">9, 873-880. </w:t>
      </w:r>
    </w:p>
    <w:p w:rsidR="00EE71C5" w:rsidRPr="004C3C9B" w:rsidRDefault="006874F1"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N</w:t>
      </w:r>
      <w:r w:rsidR="00FD5886" w:rsidRPr="004C3C9B">
        <w:rPr>
          <w:rFonts w:ascii="Times New Roman" w:hAnsi="Times New Roman" w:cs="Times New Roman"/>
          <w:sz w:val="24"/>
          <w:szCs w:val="24"/>
        </w:rPr>
        <w:t xml:space="preserve">ess </w:t>
      </w:r>
      <w:r w:rsidRPr="004C3C9B">
        <w:rPr>
          <w:rFonts w:ascii="Times New Roman" w:hAnsi="Times New Roman" w:cs="Times New Roman"/>
          <w:sz w:val="24"/>
          <w:szCs w:val="24"/>
        </w:rPr>
        <w:t>V</w:t>
      </w:r>
      <w:r w:rsidR="00FD5886" w:rsidRPr="004C3C9B">
        <w:rPr>
          <w:rFonts w:ascii="Times New Roman" w:hAnsi="Times New Roman" w:cs="Times New Roman"/>
          <w:sz w:val="24"/>
          <w:szCs w:val="24"/>
        </w:rPr>
        <w:t>,</w:t>
      </w:r>
      <w:r w:rsidRPr="004C3C9B">
        <w:rPr>
          <w:rFonts w:ascii="Times New Roman" w:hAnsi="Times New Roman" w:cs="Times New Roman"/>
          <w:sz w:val="24"/>
          <w:szCs w:val="24"/>
        </w:rPr>
        <w:t xml:space="preserve"> </w:t>
      </w:r>
      <w:r w:rsidR="00FD5886" w:rsidRPr="004C3C9B">
        <w:rPr>
          <w:rFonts w:ascii="Times New Roman" w:hAnsi="Times New Roman" w:cs="Times New Roman"/>
          <w:sz w:val="24"/>
          <w:szCs w:val="24"/>
        </w:rPr>
        <w:t xml:space="preserve">Price L, Currie K </w:t>
      </w:r>
      <w:r w:rsidRPr="004C3C9B">
        <w:rPr>
          <w:rFonts w:ascii="Times New Roman" w:hAnsi="Times New Roman" w:cs="Times New Roman"/>
          <w:sz w:val="24"/>
          <w:szCs w:val="24"/>
        </w:rPr>
        <w:t>et al (2016) Influences on independent nurse prescribers' antimicrobial prescribing behaviour: a systematic review. Journal of Clinical Nursing</w:t>
      </w:r>
      <w:r w:rsidR="00FD5886" w:rsidRPr="004C3C9B">
        <w:rPr>
          <w:rFonts w:ascii="Times New Roman" w:hAnsi="Times New Roman" w:cs="Times New Roman"/>
          <w:sz w:val="24"/>
          <w:szCs w:val="24"/>
        </w:rPr>
        <w:t>.</w:t>
      </w:r>
      <w:r w:rsidRPr="004C3C9B">
        <w:rPr>
          <w:rFonts w:ascii="Times New Roman" w:hAnsi="Times New Roman" w:cs="Times New Roman"/>
          <w:sz w:val="24"/>
          <w:szCs w:val="24"/>
        </w:rPr>
        <w:t xml:space="preserve"> 25</w:t>
      </w:r>
      <w:r w:rsidR="00FD5886" w:rsidRPr="004C3C9B">
        <w:rPr>
          <w:rFonts w:ascii="Times New Roman" w:hAnsi="Times New Roman" w:cs="Times New Roman"/>
          <w:sz w:val="24"/>
          <w:szCs w:val="24"/>
        </w:rPr>
        <w:t xml:space="preserve">, </w:t>
      </w:r>
      <w:r w:rsidRPr="004C3C9B">
        <w:rPr>
          <w:rFonts w:ascii="Times New Roman" w:hAnsi="Times New Roman" w:cs="Times New Roman"/>
          <w:sz w:val="24"/>
          <w:szCs w:val="24"/>
        </w:rPr>
        <w:t>9</w:t>
      </w:r>
      <w:r w:rsidR="00FD5886" w:rsidRPr="004C3C9B">
        <w:rPr>
          <w:rFonts w:ascii="Times New Roman" w:hAnsi="Times New Roman" w:cs="Times New Roman"/>
          <w:sz w:val="24"/>
          <w:szCs w:val="24"/>
        </w:rPr>
        <w:t>/</w:t>
      </w:r>
      <w:r w:rsidRPr="004C3C9B">
        <w:rPr>
          <w:rFonts w:ascii="Times New Roman" w:hAnsi="Times New Roman" w:cs="Times New Roman"/>
          <w:sz w:val="24"/>
          <w:szCs w:val="24"/>
        </w:rPr>
        <w:t>10, 1206-1217.</w:t>
      </w:r>
    </w:p>
    <w:p w:rsidR="006A0D0A" w:rsidRPr="004C3C9B" w:rsidRDefault="006A0D0A" w:rsidP="004C3C9B">
      <w:pPr>
        <w:pStyle w:val="ListParagraph"/>
        <w:numPr>
          <w:ilvl w:val="0"/>
          <w:numId w:val="9"/>
        </w:numPr>
        <w:spacing w:after="0" w:line="480" w:lineRule="auto"/>
        <w:ind w:left="0" w:firstLine="0"/>
        <w:jc w:val="both"/>
        <w:rPr>
          <w:rFonts w:ascii="Times New Roman" w:hAnsi="Times New Roman" w:cs="Times New Roman"/>
          <w:sz w:val="24"/>
          <w:szCs w:val="24"/>
        </w:rPr>
      </w:pPr>
      <w:r w:rsidRPr="004C3C9B">
        <w:rPr>
          <w:rFonts w:ascii="Times New Roman" w:hAnsi="Times New Roman" w:cs="Times New Roman"/>
          <w:sz w:val="24"/>
          <w:szCs w:val="24"/>
        </w:rPr>
        <w:t xml:space="preserve">Noblit GW, Hare RD (1988). Meta-ethnography: Synthesizing qualitative studies. Sage, </w:t>
      </w:r>
      <w:r w:rsidR="003E7916" w:rsidRPr="004C3C9B">
        <w:rPr>
          <w:rFonts w:ascii="Times New Roman" w:hAnsi="Times New Roman" w:cs="Times New Roman"/>
          <w:sz w:val="24"/>
          <w:szCs w:val="24"/>
        </w:rPr>
        <w:t>Newbury Park (</w:t>
      </w:r>
      <w:r w:rsidRPr="004C3C9B">
        <w:rPr>
          <w:rFonts w:ascii="Times New Roman" w:hAnsi="Times New Roman" w:cs="Times New Roman"/>
          <w:sz w:val="24"/>
          <w:szCs w:val="24"/>
        </w:rPr>
        <w:t>California</w:t>
      </w:r>
      <w:r w:rsidR="003E7916" w:rsidRPr="004C3C9B">
        <w:rPr>
          <w:rFonts w:ascii="Times New Roman" w:hAnsi="Times New Roman" w:cs="Times New Roman"/>
          <w:sz w:val="24"/>
          <w:szCs w:val="24"/>
        </w:rPr>
        <w:t>)</w:t>
      </w:r>
      <w:r w:rsidRPr="004C3C9B">
        <w:rPr>
          <w:rFonts w:ascii="Times New Roman" w:hAnsi="Times New Roman" w:cs="Times New Roman"/>
          <w:sz w:val="24"/>
          <w:szCs w:val="24"/>
        </w:rPr>
        <w:t xml:space="preserve">. </w:t>
      </w:r>
    </w:p>
    <w:p w:rsidR="00D97DF9" w:rsidRPr="004C3C9B" w:rsidRDefault="006A0D0A" w:rsidP="004C3C9B">
      <w:pPr>
        <w:pStyle w:val="ListParagraph"/>
        <w:numPr>
          <w:ilvl w:val="0"/>
          <w:numId w:val="9"/>
        </w:numPr>
        <w:spacing w:after="0" w:line="480" w:lineRule="auto"/>
        <w:ind w:left="0" w:firstLine="0"/>
        <w:jc w:val="both"/>
        <w:rPr>
          <w:rFonts w:ascii="Times New Roman" w:hAnsi="Times New Roman" w:cs="Times New Roman"/>
          <w:sz w:val="24"/>
          <w:szCs w:val="24"/>
        </w:rPr>
      </w:pPr>
      <w:r w:rsidRPr="004C3C9B">
        <w:rPr>
          <w:rFonts w:ascii="Times New Roman" w:hAnsi="Times New Roman" w:cs="Times New Roman"/>
          <w:sz w:val="24"/>
          <w:szCs w:val="24"/>
        </w:rPr>
        <w:t>N</w:t>
      </w:r>
      <w:r w:rsidR="00AF17AF" w:rsidRPr="004C3C9B">
        <w:rPr>
          <w:rFonts w:ascii="Times New Roman" w:hAnsi="Times New Roman" w:cs="Times New Roman"/>
          <w:sz w:val="24"/>
          <w:szCs w:val="24"/>
        </w:rPr>
        <w:t xml:space="preserve">oyes </w:t>
      </w:r>
      <w:r w:rsidRPr="004C3C9B">
        <w:rPr>
          <w:rFonts w:ascii="Times New Roman" w:hAnsi="Times New Roman" w:cs="Times New Roman"/>
          <w:sz w:val="24"/>
          <w:szCs w:val="24"/>
        </w:rPr>
        <w:t>J</w:t>
      </w:r>
      <w:r w:rsidR="00AF17AF" w:rsidRPr="004C3C9B">
        <w:rPr>
          <w:rFonts w:ascii="Times New Roman" w:hAnsi="Times New Roman" w:cs="Times New Roman"/>
          <w:sz w:val="24"/>
          <w:szCs w:val="24"/>
        </w:rPr>
        <w:t xml:space="preserve">, Popay J, Pearson A et al </w:t>
      </w:r>
      <w:r w:rsidRPr="004C3C9B">
        <w:rPr>
          <w:rFonts w:ascii="Times New Roman" w:hAnsi="Times New Roman" w:cs="Times New Roman"/>
          <w:sz w:val="24"/>
          <w:szCs w:val="24"/>
        </w:rPr>
        <w:t>(2011). Chapter 20: Qualitative research and Cochrane reviews. In H</w:t>
      </w:r>
      <w:r w:rsidR="00D97DF9" w:rsidRPr="004C3C9B">
        <w:rPr>
          <w:rFonts w:ascii="Times New Roman" w:hAnsi="Times New Roman" w:cs="Times New Roman"/>
          <w:sz w:val="24"/>
          <w:szCs w:val="24"/>
        </w:rPr>
        <w:t xml:space="preserve">iggins JPT, </w:t>
      </w:r>
      <w:r w:rsidRPr="004C3C9B">
        <w:rPr>
          <w:rFonts w:ascii="Times New Roman" w:hAnsi="Times New Roman" w:cs="Times New Roman"/>
          <w:sz w:val="24"/>
          <w:szCs w:val="24"/>
        </w:rPr>
        <w:t>G</w:t>
      </w:r>
      <w:r w:rsidR="00D97DF9" w:rsidRPr="004C3C9B">
        <w:rPr>
          <w:rFonts w:ascii="Times New Roman" w:hAnsi="Times New Roman" w:cs="Times New Roman"/>
          <w:sz w:val="24"/>
          <w:szCs w:val="24"/>
        </w:rPr>
        <w:t xml:space="preserve">reen S </w:t>
      </w:r>
      <w:r w:rsidRPr="004C3C9B">
        <w:rPr>
          <w:rFonts w:ascii="Times New Roman" w:hAnsi="Times New Roman" w:cs="Times New Roman"/>
          <w:sz w:val="24"/>
          <w:szCs w:val="24"/>
        </w:rPr>
        <w:t>(</w:t>
      </w:r>
      <w:r w:rsidR="00D97DF9" w:rsidRPr="004C3C9B">
        <w:rPr>
          <w:rFonts w:ascii="Times New Roman" w:hAnsi="Times New Roman" w:cs="Times New Roman"/>
          <w:sz w:val="24"/>
          <w:szCs w:val="24"/>
        </w:rPr>
        <w:t>E</w:t>
      </w:r>
      <w:r w:rsidRPr="004C3C9B">
        <w:rPr>
          <w:rFonts w:ascii="Times New Roman" w:hAnsi="Times New Roman" w:cs="Times New Roman"/>
          <w:sz w:val="24"/>
          <w:szCs w:val="24"/>
        </w:rPr>
        <w:t>ds). Cochrane Handbook for Systematic Reviews of Interventions, Version 5.</w:t>
      </w:r>
      <w:r w:rsidR="00D97DF9" w:rsidRPr="004C3C9B">
        <w:rPr>
          <w:rFonts w:ascii="Times New Roman" w:hAnsi="Times New Roman" w:cs="Times New Roman"/>
          <w:sz w:val="24"/>
          <w:szCs w:val="24"/>
        </w:rPr>
        <w:t xml:space="preserve">1.0, The Cochrane Collaboration. </w:t>
      </w:r>
    </w:p>
    <w:p w:rsidR="00D97DF9" w:rsidRPr="004C3C9B" w:rsidRDefault="00D97DF9" w:rsidP="004C3C9B">
      <w:pPr>
        <w:pStyle w:val="ListParagraph"/>
        <w:spacing w:after="0" w:line="480" w:lineRule="auto"/>
        <w:ind w:left="0"/>
        <w:jc w:val="both"/>
        <w:rPr>
          <w:rFonts w:ascii="Times New Roman" w:hAnsi="Times New Roman" w:cs="Times New Roman"/>
          <w:sz w:val="24"/>
          <w:szCs w:val="24"/>
        </w:rPr>
      </w:pPr>
      <w:r w:rsidRPr="004C3C9B">
        <w:rPr>
          <w:rFonts w:ascii="Times New Roman" w:hAnsi="Times New Roman" w:cs="Times New Roman"/>
          <w:sz w:val="24"/>
          <w:szCs w:val="24"/>
        </w:rPr>
        <w:t>http://handbook-5-1.cochrane.org/</w:t>
      </w:r>
    </w:p>
    <w:p w:rsidR="00D97DF9" w:rsidRPr="004C3C9B" w:rsidRDefault="00D97DF9" w:rsidP="004C3C9B">
      <w:pPr>
        <w:pStyle w:val="ListParagraph"/>
        <w:spacing w:after="0" w:line="480" w:lineRule="auto"/>
        <w:ind w:left="0"/>
        <w:jc w:val="both"/>
        <w:rPr>
          <w:rFonts w:ascii="Times New Roman" w:hAnsi="Times New Roman" w:cs="Times New Roman"/>
          <w:sz w:val="24"/>
          <w:szCs w:val="24"/>
        </w:rPr>
      </w:pPr>
      <w:r w:rsidRPr="004C3C9B">
        <w:rPr>
          <w:rFonts w:ascii="Times New Roman" w:hAnsi="Times New Roman" w:cs="Times New Roman"/>
          <w:sz w:val="24"/>
          <w:szCs w:val="24"/>
        </w:rPr>
        <w:t>(Last accessed: 09 October 2017)</w:t>
      </w:r>
    </w:p>
    <w:p w:rsidR="006874F1" w:rsidRPr="004C3C9B" w:rsidRDefault="00EE71C5"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lastRenderedPageBreak/>
        <w:t>Nursing and Midwifery Council (2006) Standards of Proficiency for Nurse and Midwife Prescribers. NMC, London.</w:t>
      </w:r>
    </w:p>
    <w:p w:rsidR="006874F1" w:rsidRPr="004C3C9B" w:rsidRDefault="00A56AB7"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Nursing and Midwifery Council (</w:t>
      </w:r>
      <w:r w:rsidR="006874F1" w:rsidRPr="004C3C9B">
        <w:rPr>
          <w:rFonts w:ascii="Times New Roman" w:hAnsi="Times New Roman" w:cs="Times New Roman"/>
          <w:sz w:val="24"/>
          <w:szCs w:val="24"/>
        </w:rPr>
        <w:t>2015</w:t>
      </w:r>
      <w:r w:rsidRPr="004C3C9B">
        <w:rPr>
          <w:rFonts w:ascii="Times New Roman" w:hAnsi="Times New Roman" w:cs="Times New Roman"/>
          <w:sz w:val="24"/>
          <w:szCs w:val="24"/>
        </w:rPr>
        <w:t>)</w:t>
      </w:r>
      <w:r w:rsidR="006874F1" w:rsidRPr="004C3C9B">
        <w:rPr>
          <w:rFonts w:ascii="Times New Roman" w:hAnsi="Times New Roman" w:cs="Times New Roman"/>
          <w:sz w:val="24"/>
          <w:szCs w:val="24"/>
        </w:rPr>
        <w:t xml:space="preserve"> The code: professional standards of practice and behaviour for nurses and midwives. </w:t>
      </w:r>
      <w:r w:rsidRPr="004C3C9B">
        <w:rPr>
          <w:rFonts w:ascii="Times New Roman" w:hAnsi="Times New Roman" w:cs="Times New Roman"/>
          <w:sz w:val="24"/>
          <w:szCs w:val="24"/>
        </w:rPr>
        <w:t xml:space="preserve">NMC, </w:t>
      </w:r>
      <w:r w:rsidR="006874F1" w:rsidRPr="004C3C9B">
        <w:rPr>
          <w:rFonts w:ascii="Times New Roman" w:hAnsi="Times New Roman" w:cs="Times New Roman"/>
          <w:sz w:val="24"/>
          <w:szCs w:val="24"/>
        </w:rPr>
        <w:t>London</w:t>
      </w:r>
      <w:r w:rsidRPr="004C3C9B">
        <w:rPr>
          <w:rFonts w:ascii="Times New Roman" w:hAnsi="Times New Roman" w:cs="Times New Roman"/>
          <w:sz w:val="24"/>
          <w:szCs w:val="24"/>
        </w:rPr>
        <w:t>.</w:t>
      </w:r>
    </w:p>
    <w:p w:rsidR="006874F1" w:rsidRPr="004C3C9B" w:rsidRDefault="006874F1"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O</w:t>
      </w:r>
      <w:r w:rsidR="00A85A99" w:rsidRPr="004C3C9B">
        <w:rPr>
          <w:rFonts w:ascii="Times New Roman" w:hAnsi="Times New Roman" w:cs="Times New Roman"/>
          <w:sz w:val="24"/>
          <w:szCs w:val="24"/>
        </w:rPr>
        <w:t xml:space="preserve">ffredy </w:t>
      </w:r>
      <w:r w:rsidRPr="004C3C9B">
        <w:rPr>
          <w:rFonts w:ascii="Times New Roman" w:hAnsi="Times New Roman" w:cs="Times New Roman"/>
          <w:sz w:val="24"/>
          <w:szCs w:val="24"/>
        </w:rPr>
        <w:t>M</w:t>
      </w:r>
      <w:r w:rsidR="00A85A99" w:rsidRPr="004C3C9B">
        <w:rPr>
          <w:rFonts w:ascii="Times New Roman" w:hAnsi="Times New Roman" w:cs="Times New Roman"/>
          <w:sz w:val="24"/>
          <w:szCs w:val="24"/>
        </w:rPr>
        <w:t xml:space="preserve">, </w:t>
      </w:r>
      <w:r w:rsidRPr="004C3C9B">
        <w:rPr>
          <w:rFonts w:ascii="Times New Roman" w:hAnsi="Times New Roman" w:cs="Times New Roman"/>
          <w:sz w:val="24"/>
          <w:szCs w:val="24"/>
        </w:rPr>
        <w:t>K</w:t>
      </w:r>
      <w:r w:rsidR="00A85A99" w:rsidRPr="004C3C9B">
        <w:rPr>
          <w:rFonts w:ascii="Times New Roman" w:hAnsi="Times New Roman" w:cs="Times New Roman"/>
          <w:sz w:val="24"/>
          <w:szCs w:val="24"/>
        </w:rPr>
        <w:t xml:space="preserve">endall </w:t>
      </w:r>
      <w:r w:rsidRPr="004C3C9B">
        <w:rPr>
          <w:rFonts w:ascii="Times New Roman" w:hAnsi="Times New Roman" w:cs="Times New Roman"/>
          <w:sz w:val="24"/>
          <w:szCs w:val="24"/>
        </w:rPr>
        <w:t>S</w:t>
      </w:r>
      <w:r w:rsidR="00A85A99" w:rsidRPr="004C3C9B">
        <w:rPr>
          <w:rFonts w:ascii="Times New Roman" w:hAnsi="Times New Roman" w:cs="Times New Roman"/>
          <w:sz w:val="24"/>
          <w:szCs w:val="24"/>
        </w:rPr>
        <w:t>, Goodman</w:t>
      </w:r>
      <w:r w:rsidRPr="004C3C9B">
        <w:rPr>
          <w:rFonts w:ascii="Times New Roman" w:hAnsi="Times New Roman" w:cs="Times New Roman"/>
          <w:sz w:val="24"/>
          <w:szCs w:val="24"/>
        </w:rPr>
        <w:t xml:space="preserve"> C</w:t>
      </w:r>
      <w:r w:rsidR="00A85A99" w:rsidRPr="004C3C9B">
        <w:rPr>
          <w:rFonts w:ascii="Times New Roman" w:hAnsi="Times New Roman" w:cs="Times New Roman"/>
          <w:sz w:val="24"/>
          <w:szCs w:val="24"/>
        </w:rPr>
        <w:t xml:space="preserve"> </w:t>
      </w:r>
      <w:r w:rsidRPr="004C3C9B">
        <w:rPr>
          <w:rFonts w:ascii="Times New Roman" w:hAnsi="Times New Roman" w:cs="Times New Roman"/>
          <w:sz w:val="24"/>
          <w:szCs w:val="24"/>
        </w:rPr>
        <w:t>(2008) The use of cognitive continuum theory and patient scenarios to explore nurse prescribers' pharmacological knowledge and decision-making. International Journal of Nursing Studies</w:t>
      </w:r>
      <w:r w:rsidR="00D73609" w:rsidRPr="004C3C9B">
        <w:rPr>
          <w:rFonts w:ascii="Times New Roman" w:hAnsi="Times New Roman" w:cs="Times New Roman"/>
          <w:sz w:val="24"/>
          <w:szCs w:val="24"/>
        </w:rPr>
        <w:t>.</w:t>
      </w:r>
      <w:r w:rsidRPr="004C3C9B">
        <w:rPr>
          <w:rFonts w:ascii="Times New Roman" w:hAnsi="Times New Roman" w:cs="Times New Roman"/>
          <w:sz w:val="24"/>
          <w:szCs w:val="24"/>
        </w:rPr>
        <w:t xml:space="preserve"> 45</w:t>
      </w:r>
      <w:r w:rsidR="00D73609" w:rsidRPr="004C3C9B">
        <w:rPr>
          <w:rFonts w:ascii="Times New Roman" w:hAnsi="Times New Roman" w:cs="Times New Roman"/>
          <w:sz w:val="24"/>
          <w:szCs w:val="24"/>
        </w:rPr>
        <w:t xml:space="preserve">, </w:t>
      </w:r>
      <w:r w:rsidRPr="004C3C9B">
        <w:rPr>
          <w:rFonts w:ascii="Times New Roman" w:hAnsi="Times New Roman" w:cs="Times New Roman"/>
          <w:sz w:val="24"/>
          <w:szCs w:val="24"/>
        </w:rPr>
        <w:t>6, 855-868.</w:t>
      </w:r>
    </w:p>
    <w:p w:rsidR="006874F1" w:rsidRPr="004C3C9B" w:rsidRDefault="006874F1" w:rsidP="004C3C9B">
      <w:pPr>
        <w:pStyle w:val="ListParagraph"/>
        <w:numPr>
          <w:ilvl w:val="0"/>
          <w:numId w:val="9"/>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Pan X,</w:t>
      </w:r>
      <w:r w:rsidR="00DD06F1" w:rsidRPr="004C3C9B">
        <w:rPr>
          <w:rFonts w:ascii="Times New Roman" w:hAnsi="Times New Roman" w:cs="Times New Roman"/>
          <w:sz w:val="24"/>
          <w:szCs w:val="24"/>
        </w:rPr>
        <w:t xml:space="preserve"> Slater M, Beacco A</w:t>
      </w:r>
      <w:r w:rsidRPr="004C3C9B">
        <w:rPr>
          <w:rFonts w:ascii="Times New Roman" w:hAnsi="Times New Roman" w:cs="Times New Roman"/>
          <w:sz w:val="24"/>
          <w:szCs w:val="24"/>
        </w:rPr>
        <w:t xml:space="preserve"> et al (2016) The Responses of Medical General Practitioners to Unreasonable Patient Demand for Antibiotics – A Study of Medical Ethics Using Immersive Virtual Reality. PLoS ONE</w:t>
      </w:r>
      <w:r w:rsidR="00DD06F1" w:rsidRPr="004C3C9B">
        <w:rPr>
          <w:rFonts w:ascii="Times New Roman" w:hAnsi="Times New Roman" w:cs="Times New Roman"/>
          <w:sz w:val="24"/>
          <w:szCs w:val="24"/>
        </w:rPr>
        <w:t>.</w:t>
      </w:r>
      <w:r w:rsidRPr="004C3C9B">
        <w:rPr>
          <w:rFonts w:ascii="Times New Roman" w:hAnsi="Times New Roman" w:cs="Times New Roman"/>
          <w:sz w:val="24"/>
          <w:szCs w:val="24"/>
        </w:rPr>
        <w:t xml:space="preserve"> 11</w:t>
      </w:r>
      <w:r w:rsidR="00DD06F1"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2, e0146837. </w:t>
      </w:r>
      <w:r w:rsidR="00DD06F1" w:rsidRPr="004C3C9B">
        <w:rPr>
          <w:rFonts w:ascii="Times New Roman" w:hAnsi="Times New Roman" w:cs="Times New Roman"/>
          <w:sz w:val="24"/>
          <w:szCs w:val="24"/>
        </w:rPr>
        <w:t>https://doi.org/10.1371/journal.pone.0146837</w:t>
      </w:r>
    </w:p>
    <w:p w:rsidR="00DD06F1" w:rsidRPr="004C3C9B" w:rsidRDefault="00DD06F1"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(Last accessed: 31 August 2017)</w:t>
      </w:r>
    </w:p>
    <w:p w:rsidR="006874F1" w:rsidRPr="004C3C9B" w:rsidRDefault="006874F1"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P</w:t>
      </w:r>
      <w:r w:rsidR="004B0BB4" w:rsidRPr="004C3C9B">
        <w:rPr>
          <w:rFonts w:ascii="Times New Roman" w:hAnsi="Times New Roman" w:cs="Times New Roman"/>
          <w:sz w:val="24"/>
          <w:szCs w:val="24"/>
        </w:rPr>
        <w:t xml:space="preserve">hilp </w:t>
      </w:r>
      <w:r w:rsidRPr="004C3C9B">
        <w:rPr>
          <w:rFonts w:ascii="Times New Roman" w:hAnsi="Times New Roman" w:cs="Times New Roman"/>
          <w:sz w:val="24"/>
          <w:szCs w:val="24"/>
        </w:rPr>
        <w:t>A</w:t>
      </w:r>
      <w:r w:rsidR="004B0BB4" w:rsidRPr="004C3C9B">
        <w:rPr>
          <w:rFonts w:ascii="Times New Roman" w:hAnsi="Times New Roman" w:cs="Times New Roman"/>
          <w:sz w:val="24"/>
          <w:szCs w:val="24"/>
        </w:rPr>
        <w:t xml:space="preserve">, </w:t>
      </w:r>
      <w:r w:rsidRPr="004C3C9B">
        <w:rPr>
          <w:rFonts w:ascii="Times New Roman" w:hAnsi="Times New Roman" w:cs="Times New Roman"/>
          <w:sz w:val="24"/>
          <w:szCs w:val="24"/>
        </w:rPr>
        <w:t>W</w:t>
      </w:r>
      <w:r w:rsidR="004B0BB4" w:rsidRPr="004C3C9B">
        <w:rPr>
          <w:rFonts w:ascii="Times New Roman" w:hAnsi="Times New Roman" w:cs="Times New Roman"/>
          <w:sz w:val="24"/>
          <w:szCs w:val="24"/>
        </w:rPr>
        <w:t xml:space="preserve">infield </w:t>
      </w:r>
      <w:r w:rsidRPr="004C3C9B">
        <w:rPr>
          <w:rFonts w:ascii="Times New Roman" w:hAnsi="Times New Roman" w:cs="Times New Roman"/>
          <w:sz w:val="24"/>
          <w:szCs w:val="24"/>
        </w:rPr>
        <w:t>L (2010) Why prescribe antibiotics for otitis media in children? Nurse Prescribing</w:t>
      </w:r>
      <w:r w:rsidR="004B0BB4" w:rsidRPr="004C3C9B">
        <w:rPr>
          <w:rFonts w:ascii="Times New Roman" w:hAnsi="Times New Roman" w:cs="Times New Roman"/>
          <w:sz w:val="24"/>
          <w:szCs w:val="24"/>
        </w:rPr>
        <w:t xml:space="preserve">. </w:t>
      </w:r>
      <w:r w:rsidRPr="004C3C9B">
        <w:rPr>
          <w:rFonts w:ascii="Times New Roman" w:hAnsi="Times New Roman" w:cs="Times New Roman"/>
          <w:sz w:val="24"/>
          <w:szCs w:val="24"/>
        </w:rPr>
        <w:t>8</w:t>
      </w:r>
      <w:r w:rsidR="004B0BB4" w:rsidRPr="004C3C9B">
        <w:rPr>
          <w:rFonts w:ascii="Times New Roman" w:hAnsi="Times New Roman" w:cs="Times New Roman"/>
          <w:sz w:val="24"/>
          <w:szCs w:val="24"/>
        </w:rPr>
        <w:t xml:space="preserve">, </w:t>
      </w:r>
      <w:r w:rsidRPr="004C3C9B">
        <w:rPr>
          <w:rFonts w:ascii="Times New Roman" w:hAnsi="Times New Roman" w:cs="Times New Roman"/>
          <w:sz w:val="24"/>
          <w:szCs w:val="24"/>
        </w:rPr>
        <w:t>1, 14-19.</w:t>
      </w:r>
    </w:p>
    <w:p w:rsidR="006874F1" w:rsidRPr="004C3C9B" w:rsidRDefault="006874F1"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P</w:t>
      </w:r>
      <w:r w:rsidR="00E954BB" w:rsidRPr="004C3C9B">
        <w:rPr>
          <w:rFonts w:ascii="Times New Roman" w:hAnsi="Times New Roman" w:cs="Times New Roman"/>
          <w:sz w:val="24"/>
          <w:szCs w:val="24"/>
        </w:rPr>
        <w:t xml:space="preserve">rosser H, </w:t>
      </w:r>
      <w:r w:rsidRPr="004C3C9B">
        <w:rPr>
          <w:rFonts w:ascii="Times New Roman" w:hAnsi="Times New Roman" w:cs="Times New Roman"/>
          <w:sz w:val="24"/>
          <w:szCs w:val="24"/>
        </w:rPr>
        <w:t>W</w:t>
      </w:r>
      <w:r w:rsidR="00E954BB" w:rsidRPr="004C3C9B">
        <w:rPr>
          <w:rFonts w:ascii="Times New Roman" w:hAnsi="Times New Roman" w:cs="Times New Roman"/>
          <w:sz w:val="24"/>
          <w:szCs w:val="24"/>
        </w:rPr>
        <w:t xml:space="preserve">alley </w:t>
      </w:r>
      <w:r w:rsidRPr="004C3C9B">
        <w:rPr>
          <w:rFonts w:ascii="Times New Roman" w:hAnsi="Times New Roman" w:cs="Times New Roman"/>
          <w:sz w:val="24"/>
          <w:szCs w:val="24"/>
        </w:rPr>
        <w:t>T</w:t>
      </w:r>
      <w:r w:rsidR="00E954BB" w:rsidRPr="004C3C9B">
        <w:rPr>
          <w:rFonts w:ascii="Times New Roman" w:hAnsi="Times New Roman" w:cs="Times New Roman"/>
          <w:sz w:val="24"/>
          <w:szCs w:val="24"/>
        </w:rPr>
        <w:t xml:space="preserve"> (2007)</w:t>
      </w:r>
      <w:r w:rsidRPr="004C3C9B">
        <w:rPr>
          <w:rFonts w:ascii="Times New Roman" w:hAnsi="Times New Roman" w:cs="Times New Roman"/>
          <w:sz w:val="24"/>
          <w:szCs w:val="24"/>
        </w:rPr>
        <w:t xml:space="preserve"> Perceptions of the impact of primary care organizations on GP prescribing; The iron fist in the velvet glove?</w:t>
      </w:r>
      <w:r w:rsidR="00E954BB" w:rsidRPr="004C3C9B">
        <w:rPr>
          <w:rFonts w:ascii="Times New Roman" w:hAnsi="Times New Roman" w:cs="Times New Roman"/>
          <w:sz w:val="24"/>
          <w:szCs w:val="24"/>
        </w:rPr>
        <w:t xml:space="preserve"> Journal of Health O</w:t>
      </w:r>
      <w:r w:rsidRPr="004C3C9B">
        <w:rPr>
          <w:rFonts w:ascii="Times New Roman" w:hAnsi="Times New Roman" w:cs="Times New Roman"/>
          <w:sz w:val="24"/>
          <w:szCs w:val="24"/>
        </w:rPr>
        <w:t>rganizatio</w:t>
      </w:r>
      <w:r w:rsidR="00E954BB" w:rsidRPr="004C3C9B">
        <w:rPr>
          <w:rFonts w:ascii="Times New Roman" w:hAnsi="Times New Roman" w:cs="Times New Roman"/>
          <w:sz w:val="24"/>
          <w:szCs w:val="24"/>
        </w:rPr>
        <w:t>n and Management. 21, 1, 5-26.</w:t>
      </w:r>
      <w:r w:rsidRPr="004C3C9B">
        <w:rPr>
          <w:rFonts w:ascii="Times New Roman" w:hAnsi="Times New Roman" w:cs="Times New Roman"/>
          <w:sz w:val="24"/>
          <w:szCs w:val="24"/>
        </w:rPr>
        <w:t xml:space="preserve"> </w:t>
      </w:r>
    </w:p>
    <w:p w:rsidR="002314F6" w:rsidRPr="004C3C9B" w:rsidRDefault="002314F6"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 xml:space="preserve">Radcliffe V (2008) 6: Non-medical prescribing. In Neno R, Price D (Eds) </w:t>
      </w:r>
      <w:r w:rsidR="002F3FC9" w:rsidRPr="004C3C9B">
        <w:rPr>
          <w:rFonts w:ascii="Times New Roman" w:hAnsi="Times New Roman" w:cs="Times New Roman"/>
          <w:sz w:val="24"/>
          <w:szCs w:val="24"/>
        </w:rPr>
        <w:t>The Handbook for Advanced Primary Care Nurses</w:t>
      </w:r>
      <w:r w:rsidRPr="004C3C9B">
        <w:rPr>
          <w:rFonts w:ascii="Times New Roman" w:hAnsi="Times New Roman" w:cs="Times New Roman"/>
          <w:sz w:val="24"/>
          <w:szCs w:val="24"/>
        </w:rPr>
        <w:t xml:space="preserve">. </w:t>
      </w:r>
      <w:r w:rsidR="002F3FC9" w:rsidRPr="004C3C9B">
        <w:rPr>
          <w:rFonts w:ascii="Times New Roman" w:hAnsi="Times New Roman" w:cs="Times New Roman"/>
          <w:sz w:val="24"/>
          <w:szCs w:val="24"/>
        </w:rPr>
        <w:t>Open University Press</w:t>
      </w:r>
      <w:r w:rsidRPr="004C3C9B">
        <w:rPr>
          <w:rFonts w:ascii="Times New Roman" w:hAnsi="Times New Roman" w:cs="Times New Roman"/>
          <w:sz w:val="24"/>
          <w:szCs w:val="24"/>
        </w:rPr>
        <w:t xml:space="preserve">, </w:t>
      </w:r>
      <w:r w:rsidR="002F3FC9" w:rsidRPr="004C3C9B">
        <w:rPr>
          <w:rFonts w:ascii="Times New Roman" w:hAnsi="Times New Roman" w:cs="Times New Roman"/>
          <w:sz w:val="24"/>
          <w:szCs w:val="24"/>
        </w:rPr>
        <w:t>Maidenhead</w:t>
      </w:r>
      <w:r w:rsidRPr="004C3C9B">
        <w:rPr>
          <w:rFonts w:ascii="Times New Roman" w:hAnsi="Times New Roman" w:cs="Times New Roman"/>
          <w:sz w:val="24"/>
          <w:szCs w:val="24"/>
        </w:rPr>
        <w:t xml:space="preserve">. </w:t>
      </w:r>
      <w:r w:rsidR="002F3FC9" w:rsidRPr="004C3C9B">
        <w:rPr>
          <w:rFonts w:ascii="Times New Roman" w:hAnsi="Times New Roman" w:cs="Times New Roman"/>
          <w:sz w:val="24"/>
          <w:szCs w:val="24"/>
        </w:rPr>
        <w:t>7</w:t>
      </w:r>
      <w:r w:rsidRPr="004C3C9B">
        <w:rPr>
          <w:rFonts w:ascii="Times New Roman" w:hAnsi="Times New Roman" w:cs="Times New Roman"/>
          <w:sz w:val="24"/>
          <w:szCs w:val="24"/>
        </w:rPr>
        <w:t>8</w:t>
      </w:r>
      <w:r w:rsidR="002F3FC9" w:rsidRPr="004C3C9B">
        <w:rPr>
          <w:rFonts w:ascii="Times New Roman" w:hAnsi="Times New Roman" w:cs="Times New Roman"/>
          <w:sz w:val="24"/>
          <w:szCs w:val="24"/>
        </w:rPr>
        <w:t>-88</w:t>
      </w:r>
      <w:r w:rsidRPr="004C3C9B">
        <w:rPr>
          <w:rFonts w:ascii="Times New Roman" w:hAnsi="Times New Roman" w:cs="Times New Roman"/>
          <w:sz w:val="24"/>
          <w:szCs w:val="24"/>
        </w:rPr>
        <w:t>.</w:t>
      </w:r>
    </w:p>
    <w:p w:rsidR="006874F1" w:rsidRPr="004C3C9B" w:rsidRDefault="006874F1"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R</w:t>
      </w:r>
      <w:r w:rsidR="00B81920" w:rsidRPr="004C3C9B">
        <w:rPr>
          <w:rFonts w:ascii="Times New Roman" w:hAnsi="Times New Roman" w:cs="Times New Roman"/>
          <w:sz w:val="24"/>
          <w:szCs w:val="24"/>
        </w:rPr>
        <w:t>owbotham</w:t>
      </w:r>
      <w:r w:rsidRPr="004C3C9B">
        <w:rPr>
          <w:rFonts w:ascii="Times New Roman" w:hAnsi="Times New Roman" w:cs="Times New Roman"/>
          <w:sz w:val="24"/>
          <w:szCs w:val="24"/>
        </w:rPr>
        <w:t xml:space="preserve"> S</w:t>
      </w:r>
      <w:r w:rsidR="00B81920" w:rsidRPr="004C3C9B">
        <w:rPr>
          <w:rFonts w:ascii="Times New Roman" w:hAnsi="Times New Roman" w:cs="Times New Roman"/>
          <w:sz w:val="24"/>
          <w:szCs w:val="24"/>
        </w:rPr>
        <w:t>, Chisholm A, Moschogianis S et al</w:t>
      </w:r>
      <w:r w:rsidRPr="004C3C9B">
        <w:rPr>
          <w:rFonts w:ascii="Times New Roman" w:hAnsi="Times New Roman" w:cs="Times New Roman"/>
          <w:sz w:val="24"/>
          <w:szCs w:val="24"/>
        </w:rPr>
        <w:t xml:space="preserve"> (2012). Challenges to nurse prescribers of no-antibiotic prescribing strategy for managing self-limiting respiratory tract infections</w:t>
      </w:r>
      <w:r w:rsidR="00B81920" w:rsidRPr="004C3C9B">
        <w:rPr>
          <w:rFonts w:ascii="Times New Roman" w:hAnsi="Times New Roman" w:cs="Times New Roman"/>
          <w:sz w:val="24"/>
          <w:szCs w:val="24"/>
        </w:rPr>
        <w:t xml:space="preserve">. Journal of Advanced Nursing. 68, </w:t>
      </w:r>
      <w:r w:rsidRPr="004C3C9B">
        <w:rPr>
          <w:rFonts w:ascii="Times New Roman" w:hAnsi="Times New Roman" w:cs="Times New Roman"/>
          <w:sz w:val="24"/>
          <w:szCs w:val="24"/>
        </w:rPr>
        <w:t>12, 2622-2632.</w:t>
      </w:r>
    </w:p>
    <w:p w:rsidR="006874F1" w:rsidRPr="004C3C9B" w:rsidRDefault="00021484"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lastRenderedPageBreak/>
        <w:t xml:space="preserve">Royal College of Nursing </w:t>
      </w:r>
      <w:r w:rsidR="006874F1" w:rsidRPr="004C3C9B">
        <w:rPr>
          <w:rFonts w:ascii="Times New Roman" w:hAnsi="Times New Roman" w:cs="Times New Roman"/>
          <w:sz w:val="24"/>
          <w:szCs w:val="24"/>
        </w:rPr>
        <w:t xml:space="preserve">(2014) RCN Fact Sheet: Nurse Prescribing in the UK. </w:t>
      </w:r>
      <w:r w:rsidRPr="004C3C9B">
        <w:rPr>
          <w:rFonts w:ascii="Times New Roman" w:hAnsi="Times New Roman" w:cs="Times New Roman"/>
          <w:sz w:val="24"/>
          <w:szCs w:val="24"/>
        </w:rPr>
        <w:t>RCN, London</w:t>
      </w:r>
      <w:r w:rsidR="006874F1" w:rsidRPr="004C3C9B">
        <w:rPr>
          <w:rFonts w:ascii="Times New Roman" w:hAnsi="Times New Roman" w:cs="Times New Roman"/>
          <w:sz w:val="24"/>
          <w:szCs w:val="24"/>
        </w:rPr>
        <w:t xml:space="preserve">. </w:t>
      </w:r>
    </w:p>
    <w:p w:rsidR="00E14DA6" w:rsidRPr="004C3C9B" w:rsidRDefault="00E14DA6" w:rsidP="004C3C9B">
      <w:pPr>
        <w:pStyle w:val="ListParagraph"/>
        <w:numPr>
          <w:ilvl w:val="0"/>
          <w:numId w:val="10"/>
        </w:numPr>
        <w:spacing w:after="0" w:line="480" w:lineRule="auto"/>
        <w:ind w:left="0" w:firstLine="0"/>
        <w:jc w:val="both"/>
        <w:rPr>
          <w:rFonts w:ascii="Times New Roman" w:hAnsi="Times New Roman" w:cs="Times New Roman"/>
          <w:sz w:val="24"/>
          <w:szCs w:val="24"/>
        </w:rPr>
      </w:pPr>
      <w:r w:rsidRPr="004C3C9B">
        <w:rPr>
          <w:rFonts w:ascii="Times New Roman" w:hAnsi="Times New Roman" w:cs="Times New Roman"/>
          <w:sz w:val="24"/>
          <w:szCs w:val="24"/>
        </w:rPr>
        <w:t>Royal Pharmaceutical Society (2016). A Competency Framework for all Prescribers. The Royal Pharmaceutical Society, London.</w:t>
      </w:r>
    </w:p>
    <w:p w:rsidR="006874F1" w:rsidRPr="004C3C9B" w:rsidRDefault="0083514D"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Smith A, Latter S, Blenkinsopp</w:t>
      </w:r>
      <w:r w:rsidR="006874F1" w:rsidRPr="004C3C9B">
        <w:rPr>
          <w:rFonts w:ascii="Times New Roman" w:hAnsi="Times New Roman" w:cs="Times New Roman"/>
          <w:sz w:val="24"/>
          <w:szCs w:val="24"/>
        </w:rPr>
        <w:t xml:space="preserve"> A</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(2014)</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Safety and quality of nurse independent prescribing: a national study of experiences of education, continuing professional development clinical governance.</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Journal of Advanced Nursing</w:t>
      </w:r>
      <w:r w:rsidRPr="004C3C9B">
        <w:rPr>
          <w:rFonts w:ascii="Times New Roman" w:hAnsi="Times New Roman" w:cs="Times New Roman"/>
          <w:sz w:val="24"/>
          <w:szCs w:val="24"/>
        </w:rPr>
        <w:t>.</w:t>
      </w:r>
      <w:r w:rsidR="006874F1" w:rsidRPr="004C3C9B">
        <w:rPr>
          <w:rFonts w:ascii="Times New Roman" w:hAnsi="Times New Roman" w:cs="Times New Roman"/>
          <w:sz w:val="24"/>
          <w:szCs w:val="24"/>
        </w:rPr>
        <w:t xml:space="preserve"> 70</w:t>
      </w:r>
      <w:r w:rsidRPr="004C3C9B">
        <w:rPr>
          <w:rFonts w:ascii="Times New Roman" w:hAnsi="Times New Roman" w:cs="Times New Roman"/>
          <w:sz w:val="24"/>
          <w:szCs w:val="24"/>
        </w:rPr>
        <w:t xml:space="preserve">, </w:t>
      </w:r>
      <w:r w:rsidR="006874F1" w:rsidRPr="004C3C9B">
        <w:rPr>
          <w:rFonts w:ascii="Times New Roman" w:hAnsi="Times New Roman" w:cs="Times New Roman"/>
          <w:sz w:val="24"/>
          <w:szCs w:val="24"/>
        </w:rPr>
        <w:t>11, 2506-2517.</w:t>
      </w:r>
    </w:p>
    <w:p w:rsidR="006874F1" w:rsidRPr="004C3C9B" w:rsidRDefault="006874F1" w:rsidP="004C3C9B">
      <w:pPr>
        <w:pStyle w:val="ListParagraph"/>
        <w:numPr>
          <w:ilvl w:val="0"/>
          <w:numId w:val="10"/>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S</w:t>
      </w:r>
      <w:r w:rsidR="004B0BB4" w:rsidRPr="004C3C9B">
        <w:rPr>
          <w:rFonts w:ascii="Times New Roman" w:hAnsi="Times New Roman" w:cs="Times New Roman"/>
          <w:sz w:val="24"/>
          <w:szCs w:val="24"/>
        </w:rPr>
        <w:t xml:space="preserve">tevenson FA, Cox K, Britten N </w:t>
      </w:r>
      <w:r w:rsidRPr="004C3C9B">
        <w:rPr>
          <w:rFonts w:ascii="Times New Roman" w:hAnsi="Times New Roman" w:cs="Times New Roman"/>
          <w:sz w:val="24"/>
          <w:szCs w:val="24"/>
        </w:rPr>
        <w:t>et al (2004) A systematic review of the research on communication between patients and health care professionals about medicines: the consequences for concordance</w:t>
      </w:r>
      <w:r w:rsidR="004B0BB4" w:rsidRPr="004C3C9B">
        <w:rPr>
          <w:rFonts w:ascii="Times New Roman" w:hAnsi="Times New Roman" w:cs="Times New Roman"/>
          <w:sz w:val="24"/>
          <w:szCs w:val="24"/>
        </w:rPr>
        <w:t>.</w:t>
      </w:r>
      <w:r w:rsidRPr="004C3C9B">
        <w:rPr>
          <w:rFonts w:ascii="Times New Roman" w:hAnsi="Times New Roman" w:cs="Times New Roman"/>
          <w:sz w:val="24"/>
          <w:szCs w:val="24"/>
        </w:rPr>
        <w:t xml:space="preserve"> Health </w:t>
      </w:r>
      <w:r w:rsidR="004B0BB4" w:rsidRPr="004C3C9B">
        <w:rPr>
          <w:rFonts w:ascii="Times New Roman" w:hAnsi="Times New Roman" w:cs="Times New Roman"/>
          <w:sz w:val="24"/>
          <w:szCs w:val="24"/>
        </w:rPr>
        <w:t>E</w:t>
      </w:r>
      <w:r w:rsidRPr="004C3C9B">
        <w:rPr>
          <w:rFonts w:ascii="Times New Roman" w:hAnsi="Times New Roman" w:cs="Times New Roman"/>
          <w:sz w:val="24"/>
          <w:szCs w:val="24"/>
        </w:rPr>
        <w:t>xpectations</w:t>
      </w:r>
      <w:r w:rsidR="004B0BB4" w:rsidRPr="004C3C9B">
        <w:rPr>
          <w:rFonts w:ascii="Times New Roman" w:hAnsi="Times New Roman" w:cs="Times New Roman"/>
          <w:sz w:val="24"/>
          <w:szCs w:val="24"/>
        </w:rPr>
        <w:t xml:space="preserve">. </w:t>
      </w:r>
      <w:r w:rsidRPr="004C3C9B">
        <w:rPr>
          <w:rFonts w:ascii="Times New Roman" w:hAnsi="Times New Roman" w:cs="Times New Roman"/>
          <w:sz w:val="24"/>
          <w:szCs w:val="24"/>
        </w:rPr>
        <w:t>7</w:t>
      </w:r>
      <w:r w:rsidR="004B0BB4"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3, 235-245 </w:t>
      </w:r>
    </w:p>
    <w:p w:rsidR="00F648B3" w:rsidRPr="004C3C9B" w:rsidRDefault="00ED0274"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Stuttle</w:t>
      </w:r>
      <w:r w:rsidR="00F648B3" w:rsidRPr="004C3C9B">
        <w:rPr>
          <w:rFonts w:ascii="Times New Roman" w:hAnsi="Times New Roman" w:cs="Times New Roman"/>
          <w:sz w:val="24"/>
          <w:szCs w:val="24"/>
        </w:rPr>
        <w:t xml:space="preserve"> B (2010) Non-medical prescribing in a multidisciplinary team context. In Courtenay M, Griffiths M (Eds) Independent and Supplementary Prescribing: An Essential Guide. Second edition. Cambridge, Cambridge University Press. 7-14.</w:t>
      </w:r>
    </w:p>
    <w:p w:rsidR="006874F1" w:rsidRPr="004C3C9B" w:rsidRDefault="006874F1" w:rsidP="004C3C9B">
      <w:pPr>
        <w:pStyle w:val="ListParagraph"/>
        <w:numPr>
          <w:ilvl w:val="0"/>
          <w:numId w:val="4"/>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The Joanna Briggs Institute Levels of Evidence and Grades of Recommendation Working Party (2016) Summary of Findings Tables for Joanna Briggs Institute Systematic Reviews. Version 3</w:t>
      </w:r>
      <w:r w:rsidR="00565095" w:rsidRPr="004C3C9B">
        <w:rPr>
          <w:rFonts w:ascii="Times New Roman" w:hAnsi="Times New Roman" w:cs="Times New Roman"/>
          <w:sz w:val="24"/>
          <w:szCs w:val="24"/>
        </w:rPr>
        <w:t xml:space="preserve">. </w:t>
      </w:r>
      <w:r w:rsidRPr="004C3C9B">
        <w:rPr>
          <w:rFonts w:ascii="Times New Roman" w:hAnsi="Times New Roman" w:cs="Times New Roman"/>
          <w:sz w:val="24"/>
          <w:szCs w:val="24"/>
        </w:rPr>
        <w:t xml:space="preserve">The Joanna Briggs Institute. </w:t>
      </w:r>
      <w:r w:rsidR="002934DF" w:rsidRPr="004C3C9B">
        <w:rPr>
          <w:rFonts w:ascii="Times New Roman" w:hAnsi="Times New Roman" w:cs="Times New Roman"/>
          <w:sz w:val="24"/>
          <w:szCs w:val="24"/>
        </w:rPr>
        <w:t xml:space="preserve">   </w:t>
      </w:r>
      <w:r w:rsidR="005877C1" w:rsidRPr="004C3C9B">
        <w:rPr>
          <w:rFonts w:ascii="Times New Roman" w:hAnsi="Times New Roman" w:cs="Times New Roman"/>
          <w:sz w:val="24"/>
          <w:szCs w:val="24"/>
        </w:rPr>
        <w:t>https://joannabriggs.org/assets/docs/sumari/Summary_of_Findings_Tables_for_Joanna_Briggs_Institute_Systematic_Reviews-V3.pdf</w:t>
      </w:r>
    </w:p>
    <w:p w:rsidR="005877C1" w:rsidRPr="004C3C9B" w:rsidRDefault="005877C1"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(Last accessed: 31 August 2017)</w:t>
      </w:r>
    </w:p>
    <w:p w:rsidR="006874F1" w:rsidRPr="004C3C9B" w:rsidRDefault="006874F1" w:rsidP="004C3C9B">
      <w:pPr>
        <w:pStyle w:val="ListParagraph"/>
        <w:numPr>
          <w:ilvl w:val="0"/>
          <w:numId w:val="11"/>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T</w:t>
      </w:r>
      <w:r w:rsidR="002F5F08" w:rsidRPr="004C3C9B">
        <w:rPr>
          <w:rFonts w:ascii="Times New Roman" w:hAnsi="Times New Roman" w:cs="Times New Roman"/>
          <w:sz w:val="24"/>
          <w:szCs w:val="24"/>
        </w:rPr>
        <w:t xml:space="preserve">obin </w:t>
      </w:r>
      <w:r w:rsidRPr="004C3C9B">
        <w:rPr>
          <w:rFonts w:ascii="Times New Roman" w:hAnsi="Times New Roman" w:cs="Times New Roman"/>
          <w:sz w:val="24"/>
          <w:szCs w:val="24"/>
        </w:rPr>
        <w:t>L</w:t>
      </w:r>
      <w:r w:rsidR="002F5F08" w:rsidRPr="004C3C9B">
        <w:rPr>
          <w:rFonts w:ascii="Times New Roman" w:hAnsi="Times New Roman" w:cs="Times New Roman"/>
          <w:sz w:val="24"/>
          <w:szCs w:val="24"/>
        </w:rPr>
        <w:t>, de Almedia Neto AC, Wutzke S et al (2008)</w:t>
      </w:r>
      <w:r w:rsidRPr="004C3C9B">
        <w:rPr>
          <w:rFonts w:ascii="Times New Roman" w:hAnsi="Times New Roman" w:cs="Times New Roman"/>
          <w:sz w:val="24"/>
          <w:szCs w:val="24"/>
        </w:rPr>
        <w:t xml:space="preserve"> Influences on the prescribing of new drugs. Australian </w:t>
      </w:r>
      <w:r w:rsidR="002F5F08" w:rsidRPr="004C3C9B">
        <w:rPr>
          <w:rFonts w:ascii="Times New Roman" w:hAnsi="Times New Roman" w:cs="Times New Roman"/>
          <w:sz w:val="24"/>
          <w:szCs w:val="24"/>
        </w:rPr>
        <w:t>F</w:t>
      </w:r>
      <w:r w:rsidRPr="004C3C9B">
        <w:rPr>
          <w:rFonts w:ascii="Times New Roman" w:hAnsi="Times New Roman" w:cs="Times New Roman"/>
          <w:sz w:val="24"/>
          <w:szCs w:val="24"/>
        </w:rPr>
        <w:t xml:space="preserve">amily </w:t>
      </w:r>
      <w:r w:rsidR="002F5F08" w:rsidRPr="004C3C9B">
        <w:rPr>
          <w:rFonts w:ascii="Times New Roman" w:hAnsi="Times New Roman" w:cs="Times New Roman"/>
          <w:sz w:val="24"/>
          <w:szCs w:val="24"/>
        </w:rPr>
        <w:t>P</w:t>
      </w:r>
      <w:r w:rsidRPr="004C3C9B">
        <w:rPr>
          <w:rFonts w:ascii="Times New Roman" w:hAnsi="Times New Roman" w:cs="Times New Roman"/>
          <w:sz w:val="24"/>
          <w:szCs w:val="24"/>
        </w:rPr>
        <w:t>hysician</w:t>
      </w:r>
      <w:r w:rsidR="002F5F08" w:rsidRPr="004C3C9B">
        <w:rPr>
          <w:rFonts w:ascii="Times New Roman" w:hAnsi="Times New Roman" w:cs="Times New Roman"/>
          <w:sz w:val="24"/>
          <w:szCs w:val="24"/>
        </w:rPr>
        <w:t>.</w:t>
      </w:r>
      <w:r w:rsidRPr="004C3C9B">
        <w:rPr>
          <w:rFonts w:ascii="Times New Roman" w:hAnsi="Times New Roman" w:cs="Times New Roman"/>
          <w:sz w:val="24"/>
          <w:szCs w:val="24"/>
        </w:rPr>
        <w:t xml:space="preserve"> 37</w:t>
      </w:r>
      <w:r w:rsidR="002F5F08" w:rsidRPr="004C3C9B">
        <w:rPr>
          <w:rFonts w:ascii="Times New Roman" w:hAnsi="Times New Roman" w:cs="Times New Roman"/>
          <w:sz w:val="24"/>
          <w:szCs w:val="24"/>
        </w:rPr>
        <w:t xml:space="preserve">, </w:t>
      </w:r>
      <w:r w:rsidRPr="004C3C9B">
        <w:rPr>
          <w:rFonts w:ascii="Times New Roman" w:hAnsi="Times New Roman" w:cs="Times New Roman"/>
          <w:sz w:val="24"/>
          <w:szCs w:val="24"/>
        </w:rPr>
        <w:t>1</w:t>
      </w:r>
      <w:r w:rsidR="002F5F08" w:rsidRPr="004C3C9B">
        <w:rPr>
          <w:rFonts w:ascii="Times New Roman" w:hAnsi="Times New Roman" w:cs="Times New Roman"/>
          <w:sz w:val="24"/>
          <w:szCs w:val="24"/>
        </w:rPr>
        <w:t>/</w:t>
      </w:r>
      <w:r w:rsidR="00D446E7" w:rsidRPr="004C3C9B">
        <w:rPr>
          <w:rFonts w:ascii="Times New Roman" w:hAnsi="Times New Roman" w:cs="Times New Roman"/>
          <w:sz w:val="24"/>
          <w:szCs w:val="24"/>
        </w:rPr>
        <w:t>2, 78-80.</w:t>
      </w:r>
    </w:p>
    <w:p w:rsidR="00D446E7" w:rsidRPr="004C3C9B" w:rsidRDefault="00D446E7" w:rsidP="004C3C9B">
      <w:pPr>
        <w:pStyle w:val="ListParagraph"/>
        <w:numPr>
          <w:ilvl w:val="0"/>
          <w:numId w:val="11"/>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lastRenderedPageBreak/>
        <w:t>Ward H, Armstrong A (2015) Chapter 7: Non-medical prescribing</w:t>
      </w:r>
      <w:r w:rsidR="009E6E82" w:rsidRPr="004C3C9B">
        <w:rPr>
          <w:rFonts w:ascii="Times New Roman" w:hAnsi="Times New Roman" w:cs="Times New Roman"/>
          <w:sz w:val="24"/>
          <w:szCs w:val="24"/>
        </w:rPr>
        <w:t>.</w:t>
      </w:r>
      <w:r w:rsidRPr="004C3C9B">
        <w:rPr>
          <w:rFonts w:ascii="Times New Roman" w:hAnsi="Times New Roman" w:cs="Times New Roman"/>
          <w:sz w:val="24"/>
          <w:szCs w:val="24"/>
        </w:rPr>
        <w:t xml:space="preserve"> In Barton TD, Allan D (Eds) Advanced Nursing Practice: Changing Healthcare in a Changing World. PALGRAVE, London. 168-189.</w:t>
      </w:r>
    </w:p>
    <w:p w:rsidR="007B1F87" w:rsidRPr="004C3C9B" w:rsidRDefault="006874F1" w:rsidP="004C3C9B">
      <w:pPr>
        <w:pStyle w:val="ListParagraph"/>
        <w:numPr>
          <w:ilvl w:val="0"/>
          <w:numId w:val="11"/>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W</w:t>
      </w:r>
      <w:r w:rsidR="007B1F87" w:rsidRPr="004C3C9B">
        <w:rPr>
          <w:rFonts w:ascii="Times New Roman" w:hAnsi="Times New Roman" w:cs="Times New Roman"/>
          <w:sz w:val="24"/>
          <w:szCs w:val="24"/>
        </w:rPr>
        <w:t xml:space="preserve">atterson </w:t>
      </w:r>
      <w:r w:rsidRPr="004C3C9B">
        <w:rPr>
          <w:rFonts w:ascii="Times New Roman" w:hAnsi="Times New Roman" w:cs="Times New Roman"/>
          <w:sz w:val="24"/>
          <w:szCs w:val="24"/>
        </w:rPr>
        <w:t>A</w:t>
      </w:r>
      <w:r w:rsidR="007B1F87" w:rsidRPr="004C3C9B">
        <w:rPr>
          <w:rFonts w:ascii="Times New Roman" w:hAnsi="Times New Roman" w:cs="Times New Roman"/>
          <w:sz w:val="24"/>
          <w:szCs w:val="24"/>
        </w:rPr>
        <w:t xml:space="preserve">, Turner F, </w:t>
      </w:r>
      <w:r w:rsidR="00FF0940" w:rsidRPr="004C3C9B">
        <w:rPr>
          <w:rFonts w:ascii="Times New Roman" w:hAnsi="Times New Roman" w:cs="Times New Roman"/>
          <w:sz w:val="24"/>
          <w:szCs w:val="24"/>
        </w:rPr>
        <w:t>Cool</w:t>
      </w:r>
      <w:r w:rsidR="007B1F87" w:rsidRPr="004C3C9B">
        <w:rPr>
          <w:rFonts w:ascii="Times New Roman" w:hAnsi="Times New Roman" w:cs="Times New Roman"/>
          <w:sz w:val="24"/>
          <w:szCs w:val="24"/>
        </w:rPr>
        <w:t xml:space="preserve"> A </w:t>
      </w:r>
      <w:r w:rsidRPr="004C3C9B">
        <w:rPr>
          <w:rFonts w:ascii="Times New Roman" w:hAnsi="Times New Roman" w:cs="Times New Roman"/>
          <w:sz w:val="24"/>
          <w:szCs w:val="24"/>
        </w:rPr>
        <w:t xml:space="preserve">et al (2009) An Evaluation of the Expansion of Nurse Prescribing in Scotland. Health and Community Care, Scottish Government Social Research. </w:t>
      </w:r>
    </w:p>
    <w:p w:rsidR="006874F1" w:rsidRPr="004C3C9B" w:rsidRDefault="007B1F87"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http://www.scotland.gov.uk/Publications/2009/09/24131739/0</w:t>
      </w:r>
    </w:p>
    <w:p w:rsidR="007B1F87" w:rsidRPr="004C3C9B" w:rsidRDefault="007B1F87" w:rsidP="004C3C9B">
      <w:pPr>
        <w:spacing w:after="0" w:line="480" w:lineRule="auto"/>
        <w:jc w:val="both"/>
        <w:rPr>
          <w:rFonts w:ascii="Times New Roman" w:hAnsi="Times New Roman" w:cs="Times New Roman"/>
          <w:sz w:val="24"/>
          <w:szCs w:val="24"/>
        </w:rPr>
      </w:pPr>
      <w:r w:rsidRPr="004C3C9B">
        <w:rPr>
          <w:rFonts w:ascii="Times New Roman" w:hAnsi="Times New Roman" w:cs="Times New Roman"/>
          <w:sz w:val="24"/>
          <w:szCs w:val="24"/>
        </w:rPr>
        <w:t>(Last accessed: 31 August 2017)</w:t>
      </w:r>
    </w:p>
    <w:p w:rsidR="006874F1" w:rsidRPr="004C3C9B" w:rsidRDefault="006874F1" w:rsidP="004C3C9B">
      <w:pPr>
        <w:pStyle w:val="ListParagraph"/>
        <w:numPr>
          <w:ilvl w:val="0"/>
          <w:numId w:val="12"/>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W</w:t>
      </w:r>
      <w:r w:rsidR="00E4706A" w:rsidRPr="004C3C9B">
        <w:rPr>
          <w:rFonts w:ascii="Times New Roman" w:hAnsi="Times New Roman" w:cs="Times New Roman"/>
          <w:sz w:val="24"/>
          <w:szCs w:val="24"/>
        </w:rPr>
        <w:t>eglicki</w:t>
      </w:r>
      <w:r w:rsidRPr="004C3C9B">
        <w:rPr>
          <w:rFonts w:ascii="Times New Roman" w:hAnsi="Times New Roman" w:cs="Times New Roman"/>
          <w:sz w:val="24"/>
          <w:szCs w:val="24"/>
        </w:rPr>
        <w:t xml:space="preserve"> RS, R</w:t>
      </w:r>
      <w:r w:rsidR="00E4706A" w:rsidRPr="004C3C9B">
        <w:rPr>
          <w:rFonts w:ascii="Times New Roman" w:hAnsi="Times New Roman" w:cs="Times New Roman"/>
          <w:sz w:val="24"/>
          <w:szCs w:val="24"/>
        </w:rPr>
        <w:t xml:space="preserve">eynolds </w:t>
      </w:r>
      <w:r w:rsidRPr="004C3C9B">
        <w:rPr>
          <w:rFonts w:ascii="Times New Roman" w:hAnsi="Times New Roman" w:cs="Times New Roman"/>
          <w:sz w:val="24"/>
          <w:szCs w:val="24"/>
        </w:rPr>
        <w:t>J</w:t>
      </w:r>
      <w:r w:rsidR="00E4706A" w:rsidRPr="004C3C9B">
        <w:rPr>
          <w:rFonts w:ascii="Times New Roman" w:hAnsi="Times New Roman" w:cs="Times New Roman"/>
          <w:sz w:val="24"/>
          <w:szCs w:val="24"/>
        </w:rPr>
        <w:t xml:space="preserve">, </w:t>
      </w:r>
      <w:r w:rsidRPr="004C3C9B">
        <w:rPr>
          <w:rFonts w:ascii="Times New Roman" w:hAnsi="Times New Roman" w:cs="Times New Roman"/>
          <w:sz w:val="24"/>
          <w:szCs w:val="24"/>
        </w:rPr>
        <w:t>R</w:t>
      </w:r>
      <w:r w:rsidR="00E4706A" w:rsidRPr="004C3C9B">
        <w:rPr>
          <w:rFonts w:ascii="Times New Roman" w:hAnsi="Times New Roman" w:cs="Times New Roman"/>
          <w:sz w:val="24"/>
          <w:szCs w:val="24"/>
        </w:rPr>
        <w:t xml:space="preserve">ivers </w:t>
      </w:r>
      <w:r w:rsidRPr="004C3C9B">
        <w:rPr>
          <w:rFonts w:ascii="Times New Roman" w:hAnsi="Times New Roman" w:cs="Times New Roman"/>
          <w:sz w:val="24"/>
          <w:szCs w:val="24"/>
        </w:rPr>
        <w:t>PH (2015</w:t>
      </w:r>
      <w:r w:rsidR="00E4706A" w:rsidRPr="004C3C9B">
        <w:rPr>
          <w:rFonts w:ascii="Times New Roman" w:hAnsi="Times New Roman" w:cs="Times New Roman"/>
          <w:sz w:val="24"/>
          <w:szCs w:val="24"/>
        </w:rPr>
        <w:t>)</w:t>
      </w:r>
      <w:r w:rsidRPr="004C3C9B">
        <w:rPr>
          <w:rFonts w:ascii="Times New Roman" w:hAnsi="Times New Roman" w:cs="Times New Roman"/>
          <w:sz w:val="24"/>
          <w:szCs w:val="24"/>
        </w:rPr>
        <w:t xml:space="preserve"> Continuing professional development needs of nursing and allied health professionals with responsibility for prescribing. Nurse Education Today</w:t>
      </w:r>
      <w:r w:rsidR="00E4706A" w:rsidRPr="004C3C9B">
        <w:rPr>
          <w:rFonts w:ascii="Times New Roman" w:hAnsi="Times New Roman" w:cs="Times New Roman"/>
          <w:sz w:val="24"/>
          <w:szCs w:val="24"/>
        </w:rPr>
        <w:t>.</w:t>
      </w:r>
      <w:r w:rsidRPr="004C3C9B">
        <w:rPr>
          <w:rFonts w:ascii="Times New Roman" w:hAnsi="Times New Roman" w:cs="Times New Roman"/>
          <w:sz w:val="24"/>
          <w:szCs w:val="24"/>
        </w:rPr>
        <w:t xml:space="preserve"> 35</w:t>
      </w:r>
      <w:r w:rsidR="00E4706A" w:rsidRPr="004C3C9B">
        <w:rPr>
          <w:rFonts w:ascii="Times New Roman" w:hAnsi="Times New Roman" w:cs="Times New Roman"/>
          <w:sz w:val="24"/>
          <w:szCs w:val="24"/>
        </w:rPr>
        <w:t xml:space="preserve">, </w:t>
      </w:r>
      <w:r w:rsidRPr="004C3C9B">
        <w:rPr>
          <w:rFonts w:ascii="Times New Roman" w:hAnsi="Times New Roman" w:cs="Times New Roman"/>
          <w:sz w:val="24"/>
          <w:szCs w:val="24"/>
        </w:rPr>
        <w:t>1, 227-331.</w:t>
      </w:r>
    </w:p>
    <w:p w:rsidR="006874F1" w:rsidRPr="004C3C9B" w:rsidRDefault="006874F1" w:rsidP="004C3C9B">
      <w:pPr>
        <w:pStyle w:val="ListParagraph"/>
        <w:numPr>
          <w:ilvl w:val="0"/>
          <w:numId w:val="12"/>
        </w:numPr>
        <w:spacing w:after="0" w:line="480" w:lineRule="auto"/>
        <w:ind w:left="0" w:firstLine="0"/>
        <w:contextualSpacing w:val="0"/>
        <w:jc w:val="both"/>
        <w:rPr>
          <w:rFonts w:ascii="Times New Roman" w:hAnsi="Times New Roman" w:cs="Times New Roman"/>
          <w:sz w:val="24"/>
          <w:szCs w:val="24"/>
        </w:rPr>
      </w:pPr>
      <w:r w:rsidRPr="004C3C9B">
        <w:rPr>
          <w:rFonts w:ascii="Times New Roman" w:hAnsi="Times New Roman" w:cs="Times New Roman"/>
          <w:sz w:val="24"/>
          <w:szCs w:val="24"/>
        </w:rPr>
        <w:t>W</w:t>
      </w:r>
      <w:r w:rsidR="002A067D" w:rsidRPr="004C3C9B">
        <w:rPr>
          <w:rFonts w:ascii="Times New Roman" w:hAnsi="Times New Roman" w:cs="Times New Roman"/>
          <w:sz w:val="24"/>
          <w:szCs w:val="24"/>
        </w:rPr>
        <w:t xml:space="preserve">ood </w:t>
      </w:r>
      <w:r w:rsidRPr="004C3C9B">
        <w:rPr>
          <w:rFonts w:ascii="Times New Roman" w:hAnsi="Times New Roman" w:cs="Times New Roman"/>
          <w:sz w:val="24"/>
          <w:szCs w:val="24"/>
        </w:rPr>
        <w:t>F</w:t>
      </w:r>
      <w:r w:rsidR="002A067D" w:rsidRPr="004C3C9B">
        <w:rPr>
          <w:rFonts w:ascii="Times New Roman" w:hAnsi="Times New Roman" w:cs="Times New Roman"/>
          <w:sz w:val="24"/>
          <w:szCs w:val="24"/>
        </w:rPr>
        <w:t xml:space="preserve">, </w:t>
      </w:r>
      <w:r w:rsidRPr="004C3C9B">
        <w:rPr>
          <w:rFonts w:ascii="Times New Roman" w:hAnsi="Times New Roman" w:cs="Times New Roman"/>
          <w:sz w:val="24"/>
          <w:szCs w:val="24"/>
        </w:rPr>
        <w:t>S</w:t>
      </w:r>
      <w:r w:rsidR="002A067D" w:rsidRPr="004C3C9B">
        <w:rPr>
          <w:rFonts w:ascii="Times New Roman" w:hAnsi="Times New Roman" w:cs="Times New Roman"/>
          <w:sz w:val="24"/>
          <w:szCs w:val="24"/>
        </w:rPr>
        <w:t xml:space="preserve">impson </w:t>
      </w:r>
      <w:r w:rsidRPr="004C3C9B">
        <w:rPr>
          <w:rFonts w:ascii="Times New Roman" w:hAnsi="Times New Roman" w:cs="Times New Roman"/>
          <w:sz w:val="24"/>
          <w:szCs w:val="24"/>
        </w:rPr>
        <w:t>S</w:t>
      </w:r>
      <w:r w:rsidR="002A067D" w:rsidRPr="004C3C9B">
        <w:rPr>
          <w:rFonts w:ascii="Times New Roman" w:hAnsi="Times New Roman" w:cs="Times New Roman"/>
          <w:sz w:val="24"/>
          <w:szCs w:val="24"/>
        </w:rPr>
        <w:t>, Butler</w:t>
      </w:r>
      <w:r w:rsidRPr="004C3C9B">
        <w:rPr>
          <w:rFonts w:ascii="Times New Roman" w:hAnsi="Times New Roman" w:cs="Times New Roman"/>
          <w:sz w:val="24"/>
          <w:szCs w:val="24"/>
        </w:rPr>
        <w:t xml:space="preserve"> C</w:t>
      </w:r>
      <w:r w:rsidR="002A067D" w:rsidRPr="004C3C9B">
        <w:rPr>
          <w:rFonts w:ascii="Times New Roman" w:hAnsi="Times New Roman" w:cs="Times New Roman"/>
          <w:sz w:val="24"/>
          <w:szCs w:val="24"/>
        </w:rPr>
        <w:t xml:space="preserve"> </w:t>
      </w:r>
      <w:r w:rsidRPr="004C3C9B">
        <w:rPr>
          <w:rFonts w:ascii="Times New Roman" w:hAnsi="Times New Roman" w:cs="Times New Roman"/>
          <w:sz w:val="24"/>
          <w:szCs w:val="24"/>
        </w:rPr>
        <w:t>(2007). Socially responsible antibiotic choices in primary care: a qualitative study of GPs’ decisions to prescribe broad-spectrum a</w:t>
      </w:r>
      <w:r w:rsidR="002A067D" w:rsidRPr="004C3C9B">
        <w:rPr>
          <w:rFonts w:ascii="Times New Roman" w:hAnsi="Times New Roman" w:cs="Times New Roman"/>
          <w:sz w:val="24"/>
          <w:szCs w:val="24"/>
        </w:rPr>
        <w:t xml:space="preserve">nd fluroquinolone antibiotics. </w:t>
      </w:r>
      <w:r w:rsidRPr="004C3C9B">
        <w:rPr>
          <w:rFonts w:ascii="Times New Roman" w:hAnsi="Times New Roman" w:cs="Times New Roman"/>
          <w:sz w:val="24"/>
          <w:szCs w:val="24"/>
        </w:rPr>
        <w:t xml:space="preserve">Family </w:t>
      </w:r>
      <w:r w:rsidR="002A067D" w:rsidRPr="004C3C9B">
        <w:rPr>
          <w:rFonts w:ascii="Times New Roman" w:hAnsi="Times New Roman" w:cs="Times New Roman"/>
          <w:sz w:val="24"/>
          <w:szCs w:val="24"/>
        </w:rPr>
        <w:t>P</w:t>
      </w:r>
      <w:r w:rsidRPr="004C3C9B">
        <w:rPr>
          <w:rFonts w:ascii="Times New Roman" w:hAnsi="Times New Roman" w:cs="Times New Roman"/>
          <w:sz w:val="24"/>
          <w:szCs w:val="24"/>
        </w:rPr>
        <w:t>ractice</w:t>
      </w:r>
      <w:r w:rsidR="002A067D" w:rsidRPr="004C3C9B">
        <w:rPr>
          <w:rFonts w:ascii="Times New Roman" w:hAnsi="Times New Roman" w:cs="Times New Roman"/>
          <w:sz w:val="24"/>
          <w:szCs w:val="24"/>
        </w:rPr>
        <w:t>.</w:t>
      </w:r>
      <w:r w:rsidRPr="004C3C9B">
        <w:rPr>
          <w:rFonts w:ascii="Times New Roman" w:hAnsi="Times New Roman" w:cs="Times New Roman"/>
          <w:sz w:val="24"/>
          <w:szCs w:val="24"/>
        </w:rPr>
        <w:t xml:space="preserve"> 24</w:t>
      </w:r>
      <w:r w:rsidR="002A067D" w:rsidRPr="004C3C9B">
        <w:rPr>
          <w:rFonts w:ascii="Times New Roman" w:hAnsi="Times New Roman" w:cs="Times New Roman"/>
          <w:sz w:val="24"/>
          <w:szCs w:val="24"/>
        </w:rPr>
        <w:t xml:space="preserve">, </w:t>
      </w:r>
      <w:r w:rsidRPr="004C3C9B">
        <w:rPr>
          <w:rFonts w:ascii="Times New Roman" w:hAnsi="Times New Roman" w:cs="Times New Roman"/>
          <w:sz w:val="24"/>
          <w:szCs w:val="24"/>
        </w:rPr>
        <w:t>5, 427-434.</w:t>
      </w:r>
      <w:r w:rsidR="00780623" w:rsidRPr="004C3C9B">
        <w:rPr>
          <w:rFonts w:ascii="Times New Roman" w:hAnsi="Times New Roman" w:cs="Times New Roman"/>
          <w:sz w:val="24"/>
          <w:szCs w:val="24"/>
        </w:rPr>
        <w:t xml:space="preserve"> </w:t>
      </w:r>
    </w:p>
    <w:sectPr w:rsidR="006874F1" w:rsidRPr="004C3C9B" w:rsidSect="006E782D">
      <w:footerReference w:type="default" r:id="rId8"/>
      <w:pgSz w:w="11906" w:h="16838"/>
      <w:pgMar w:top="1440" w:right="2268"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D2" w:rsidRDefault="00C349D2" w:rsidP="00645CD4">
      <w:pPr>
        <w:spacing w:after="0" w:line="240" w:lineRule="auto"/>
      </w:pPr>
      <w:r>
        <w:separator/>
      </w:r>
    </w:p>
  </w:endnote>
  <w:endnote w:type="continuationSeparator" w:id="0">
    <w:p w:rsidR="00C349D2" w:rsidRDefault="00C349D2" w:rsidP="0064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31591"/>
      <w:docPartObj>
        <w:docPartGallery w:val="Page Numbers (Bottom of Page)"/>
        <w:docPartUnique/>
      </w:docPartObj>
    </w:sdtPr>
    <w:sdtEndPr>
      <w:rPr>
        <w:noProof/>
      </w:rPr>
    </w:sdtEndPr>
    <w:sdtContent>
      <w:p w:rsidR="00C243B5" w:rsidRDefault="00C243B5">
        <w:pPr>
          <w:pStyle w:val="Footer"/>
          <w:jc w:val="right"/>
        </w:pPr>
        <w:r>
          <w:fldChar w:fldCharType="begin"/>
        </w:r>
        <w:r>
          <w:instrText xml:space="preserve"> PAGE   \* MERGEFORMAT </w:instrText>
        </w:r>
        <w:r>
          <w:fldChar w:fldCharType="separate"/>
        </w:r>
        <w:r w:rsidR="00361FCA">
          <w:rPr>
            <w:noProof/>
          </w:rPr>
          <w:t>1</w:t>
        </w:r>
        <w:r>
          <w:rPr>
            <w:noProof/>
          </w:rPr>
          <w:fldChar w:fldCharType="end"/>
        </w:r>
      </w:p>
    </w:sdtContent>
  </w:sdt>
  <w:p w:rsidR="00C243B5" w:rsidRDefault="00C2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D2" w:rsidRDefault="00C349D2" w:rsidP="00645CD4">
      <w:pPr>
        <w:spacing w:after="0" w:line="240" w:lineRule="auto"/>
      </w:pPr>
      <w:r>
        <w:separator/>
      </w:r>
    </w:p>
  </w:footnote>
  <w:footnote w:type="continuationSeparator" w:id="0">
    <w:p w:rsidR="00C349D2" w:rsidRDefault="00C349D2" w:rsidP="0064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729"/>
    <w:multiLevelType w:val="hybridMultilevel"/>
    <w:tmpl w:val="14B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2514"/>
    <w:multiLevelType w:val="hybridMultilevel"/>
    <w:tmpl w:val="4BD0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A0A90"/>
    <w:multiLevelType w:val="hybridMultilevel"/>
    <w:tmpl w:val="E3CE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2DD2"/>
    <w:multiLevelType w:val="hybridMultilevel"/>
    <w:tmpl w:val="AE8E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03398"/>
    <w:multiLevelType w:val="hybridMultilevel"/>
    <w:tmpl w:val="D148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E6894"/>
    <w:multiLevelType w:val="hybridMultilevel"/>
    <w:tmpl w:val="B458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52F05"/>
    <w:multiLevelType w:val="hybridMultilevel"/>
    <w:tmpl w:val="1B1C7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75189"/>
    <w:multiLevelType w:val="hybridMultilevel"/>
    <w:tmpl w:val="4C0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D7F78"/>
    <w:multiLevelType w:val="hybridMultilevel"/>
    <w:tmpl w:val="2142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2D7"/>
    <w:multiLevelType w:val="hybridMultilevel"/>
    <w:tmpl w:val="478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A0DED"/>
    <w:multiLevelType w:val="hybridMultilevel"/>
    <w:tmpl w:val="59FE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74E4E"/>
    <w:multiLevelType w:val="hybridMultilevel"/>
    <w:tmpl w:val="AC7C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F1E6D"/>
    <w:multiLevelType w:val="hybridMultilevel"/>
    <w:tmpl w:val="850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349B1"/>
    <w:multiLevelType w:val="hybridMultilevel"/>
    <w:tmpl w:val="E0D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6"/>
  </w:num>
  <w:num w:numId="6">
    <w:abstractNumId w:val="1"/>
  </w:num>
  <w:num w:numId="7">
    <w:abstractNumId w:val="3"/>
  </w:num>
  <w:num w:numId="8">
    <w:abstractNumId w:val="10"/>
  </w:num>
  <w:num w:numId="9">
    <w:abstractNumId w:val="12"/>
  </w:num>
  <w:num w:numId="10">
    <w:abstractNumId w:val="0"/>
  </w:num>
  <w:num w:numId="11">
    <w:abstractNumId w:val="9"/>
  </w:num>
  <w:num w:numId="12">
    <w:abstractNumId w:val="1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26"/>
    <w:rsid w:val="00007629"/>
    <w:rsid w:val="0001024A"/>
    <w:rsid w:val="00013144"/>
    <w:rsid w:val="00013F87"/>
    <w:rsid w:val="00014E05"/>
    <w:rsid w:val="00015D8D"/>
    <w:rsid w:val="000166A1"/>
    <w:rsid w:val="000208C3"/>
    <w:rsid w:val="00021484"/>
    <w:rsid w:val="00022C6B"/>
    <w:rsid w:val="00024826"/>
    <w:rsid w:val="00027E13"/>
    <w:rsid w:val="000308EC"/>
    <w:rsid w:val="00032023"/>
    <w:rsid w:val="0003644B"/>
    <w:rsid w:val="000405F5"/>
    <w:rsid w:val="0004209F"/>
    <w:rsid w:val="000510E6"/>
    <w:rsid w:val="00051797"/>
    <w:rsid w:val="0005180E"/>
    <w:rsid w:val="00055BE8"/>
    <w:rsid w:val="000617A3"/>
    <w:rsid w:val="0006560C"/>
    <w:rsid w:val="0007001D"/>
    <w:rsid w:val="00076586"/>
    <w:rsid w:val="000777C7"/>
    <w:rsid w:val="0008088A"/>
    <w:rsid w:val="00087A36"/>
    <w:rsid w:val="00090265"/>
    <w:rsid w:val="00097B02"/>
    <w:rsid w:val="000A01F2"/>
    <w:rsid w:val="000A463C"/>
    <w:rsid w:val="000A4B85"/>
    <w:rsid w:val="000A6303"/>
    <w:rsid w:val="000A746E"/>
    <w:rsid w:val="000B191D"/>
    <w:rsid w:val="000B3601"/>
    <w:rsid w:val="000B4CF6"/>
    <w:rsid w:val="000B4DE7"/>
    <w:rsid w:val="000B6AF3"/>
    <w:rsid w:val="000C0F8B"/>
    <w:rsid w:val="000C1AB7"/>
    <w:rsid w:val="000C2565"/>
    <w:rsid w:val="000C5CC5"/>
    <w:rsid w:val="000C7431"/>
    <w:rsid w:val="000D4E4A"/>
    <w:rsid w:val="000D59E7"/>
    <w:rsid w:val="000D6A5C"/>
    <w:rsid w:val="000E078E"/>
    <w:rsid w:val="000E1AC3"/>
    <w:rsid w:val="000E4B67"/>
    <w:rsid w:val="000E71CD"/>
    <w:rsid w:val="000F1CF8"/>
    <w:rsid w:val="000F28DA"/>
    <w:rsid w:val="000F2F45"/>
    <w:rsid w:val="000F5D88"/>
    <w:rsid w:val="000F69B8"/>
    <w:rsid w:val="00100D89"/>
    <w:rsid w:val="001029CA"/>
    <w:rsid w:val="0010658D"/>
    <w:rsid w:val="00107D5A"/>
    <w:rsid w:val="00110C34"/>
    <w:rsid w:val="0011246B"/>
    <w:rsid w:val="001127ED"/>
    <w:rsid w:val="00115020"/>
    <w:rsid w:val="00117DED"/>
    <w:rsid w:val="00120AAB"/>
    <w:rsid w:val="00123D20"/>
    <w:rsid w:val="00125046"/>
    <w:rsid w:val="001268FA"/>
    <w:rsid w:val="00126949"/>
    <w:rsid w:val="001301F2"/>
    <w:rsid w:val="0013125E"/>
    <w:rsid w:val="00131465"/>
    <w:rsid w:val="00131961"/>
    <w:rsid w:val="001333AC"/>
    <w:rsid w:val="00133634"/>
    <w:rsid w:val="00133ABA"/>
    <w:rsid w:val="00136A67"/>
    <w:rsid w:val="00142D8F"/>
    <w:rsid w:val="00150CA5"/>
    <w:rsid w:val="00157F58"/>
    <w:rsid w:val="00162533"/>
    <w:rsid w:val="001640E3"/>
    <w:rsid w:val="00164FB8"/>
    <w:rsid w:val="00166333"/>
    <w:rsid w:val="00174CD3"/>
    <w:rsid w:val="001859DA"/>
    <w:rsid w:val="00186BE1"/>
    <w:rsid w:val="00192E8A"/>
    <w:rsid w:val="001954AD"/>
    <w:rsid w:val="0019769E"/>
    <w:rsid w:val="001A16F5"/>
    <w:rsid w:val="001A17D4"/>
    <w:rsid w:val="001A3FE9"/>
    <w:rsid w:val="001A4FFE"/>
    <w:rsid w:val="001A50A4"/>
    <w:rsid w:val="001A581B"/>
    <w:rsid w:val="001A608A"/>
    <w:rsid w:val="001B0AA4"/>
    <w:rsid w:val="001B5986"/>
    <w:rsid w:val="001C0FE2"/>
    <w:rsid w:val="001C4CE4"/>
    <w:rsid w:val="001D0DD6"/>
    <w:rsid w:val="001D263F"/>
    <w:rsid w:val="001E3862"/>
    <w:rsid w:val="001E7C7C"/>
    <w:rsid w:val="001F4E9C"/>
    <w:rsid w:val="00204BBD"/>
    <w:rsid w:val="002055AF"/>
    <w:rsid w:val="00206F2F"/>
    <w:rsid w:val="00213A55"/>
    <w:rsid w:val="0021622C"/>
    <w:rsid w:val="00216431"/>
    <w:rsid w:val="00217D41"/>
    <w:rsid w:val="00220269"/>
    <w:rsid w:val="0022498F"/>
    <w:rsid w:val="00227D59"/>
    <w:rsid w:val="00230172"/>
    <w:rsid w:val="002314F6"/>
    <w:rsid w:val="002318E8"/>
    <w:rsid w:val="00235068"/>
    <w:rsid w:val="0023734D"/>
    <w:rsid w:val="002415F1"/>
    <w:rsid w:val="00247129"/>
    <w:rsid w:val="002472F0"/>
    <w:rsid w:val="0024792D"/>
    <w:rsid w:val="0025706E"/>
    <w:rsid w:val="00257145"/>
    <w:rsid w:val="00257594"/>
    <w:rsid w:val="00257FC6"/>
    <w:rsid w:val="00265AF9"/>
    <w:rsid w:val="00272124"/>
    <w:rsid w:val="002740F0"/>
    <w:rsid w:val="00275873"/>
    <w:rsid w:val="00275960"/>
    <w:rsid w:val="00277809"/>
    <w:rsid w:val="00285A17"/>
    <w:rsid w:val="00287256"/>
    <w:rsid w:val="00290040"/>
    <w:rsid w:val="00292F37"/>
    <w:rsid w:val="002934DF"/>
    <w:rsid w:val="00295470"/>
    <w:rsid w:val="00297FD1"/>
    <w:rsid w:val="002A067D"/>
    <w:rsid w:val="002A4595"/>
    <w:rsid w:val="002A5021"/>
    <w:rsid w:val="002A7CA4"/>
    <w:rsid w:val="002B0105"/>
    <w:rsid w:val="002B015F"/>
    <w:rsid w:val="002B21E1"/>
    <w:rsid w:val="002B232C"/>
    <w:rsid w:val="002B574C"/>
    <w:rsid w:val="002B6761"/>
    <w:rsid w:val="002B7EDD"/>
    <w:rsid w:val="002C3C1B"/>
    <w:rsid w:val="002D2B26"/>
    <w:rsid w:val="002D310A"/>
    <w:rsid w:val="002D3963"/>
    <w:rsid w:val="002E0119"/>
    <w:rsid w:val="002E0F7B"/>
    <w:rsid w:val="002E57D2"/>
    <w:rsid w:val="002F13FE"/>
    <w:rsid w:val="002F39E4"/>
    <w:rsid w:val="002F3FC9"/>
    <w:rsid w:val="002F5F08"/>
    <w:rsid w:val="002F74D2"/>
    <w:rsid w:val="00304617"/>
    <w:rsid w:val="003100A8"/>
    <w:rsid w:val="003102ED"/>
    <w:rsid w:val="003137EB"/>
    <w:rsid w:val="00313F25"/>
    <w:rsid w:val="00315F93"/>
    <w:rsid w:val="00320BFB"/>
    <w:rsid w:val="0032331E"/>
    <w:rsid w:val="003348FC"/>
    <w:rsid w:val="003448FF"/>
    <w:rsid w:val="00344EA5"/>
    <w:rsid w:val="003550EA"/>
    <w:rsid w:val="0035660E"/>
    <w:rsid w:val="0035688D"/>
    <w:rsid w:val="00361A02"/>
    <w:rsid w:val="00361FCA"/>
    <w:rsid w:val="00370777"/>
    <w:rsid w:val="003735F4"/>
    <w:rsid w:val="00382377"/>
    <w:rsid w:val="00382593"/>
    <w:rsid w:val="00385C5C"/>
    <w:rsid w:val="00387C09"/>
    <w:rsid w:val="003944F2"/>
    <w:rsid w:val="003A00CB"/>
    <w:rsid w:val="003A2467"/>
    <w:rsid w:val="003A29FF"/>
    <w:rsid w:val="003A2EF9"/>
    <w:rsid w:val="003A4836"/>
    <w:rsid w:val="003A7CC6"/>
    <w:rsid w:val="003B053F"/>
    <w:rsid w:val="003C1F54"/>
    <w:rsid w:val="003C5614"/>
    <w:rsid w:val="003C649E"/>
    <w:rsid w:val="003C6A2E"/>
    <w:rsid w:val="003C6DBE"/>
    <w:rsid w:val="003E1723"/>
    <w:rsid w:val="003E7750"/>
    <w:rsid w:val="003E7916"/>
    <w:rsid w:val="003F2E80"/>
    <w:rsid w:val="003F660F"/>
    <w:rsid w:val="003F730C"/>
    <w:rsid w:val="004027CA"/>
    <w:rsid w:val="004077CE"/>
    <w:rsid w:val="0041388F"/>
    <w:rsid w:val="004149C9"/>
    <w:rsid w:val="00420133"/>
    <w:rsid w:val="0042125C"/>
    <w:rsid w:val="004229AA"/>
    <w:rsid w:val="004237DD"/>
    <w:rsid w:val="004261D3"/>
    <w:rsid w:val="00426470"/>
    <w:rsid w:val="00427363"/>
    <w:rsid w:val="004307F6"/>
    <w:rsid w:val="0043170C"/>
    <w:rsid w:val="004334AA"/>
    <w:rsid w:val="0043615F"/>
    <w:rsid w:val="0044004C"/>
    <w:rsid w:val="0044123F"/>
    <w:rsid w:val="004421B4"/>
    <w:rsid w:val="004515DA"/>
    <w:rsid w:val="0045219C"/>
    <w:rsid w:val="00453CB3"/>
    <w:rsid w:val="004652D2"/>
    <w:rsid w:val="0047167C"/>
    <w:rsid w:val="0047296D"/>
    <w:rsid w:val="00473E84"/>
    <w:rsid w:val="00476545"/>
    <w:rsid w:val="00476E9F"/>
    <w:rsid w:val="00477E21"/>
    <w:rsid w:val="00480908"/>
    <w:rsid w:val="00480934"/>
    <w:rsid w:val="00481450"/>
    <w:rsid w:val="00486963"/>
    <w:rsid w:val="00490FF8"/>
    <w:rsid w:val="004921C9"/>
    <w:rsid w:val="00492954"/>
    <w:rsid w:val="0049395A"/>
    <w:rsid w:val="00493E21"/>
    <w:rsid w:val="00494A85"/>
    <w:rsid w:val="00495B3A"/>
    <w:rsid w:val="00497EE8"/>
    <w:rsid w:val="004A0767"/>
    <w:rsid w:val="004A0BD4"/>
    <w:rsid w:val="004A5F06"/>
    <w:rsid w:val="004B0BB4"/>
    <w:rsid w:val="004B4A52"/>
    <w:rsid w:val="004B7CE6"/>
    <w:rsid w:val="004C0173"/>
    <w:rsid w:val="004C3C9B"/>
    <w:rsid w:val="004C78BF"/>
    <w:rsid w:val="004D04FE"/>
    <w:rsid w:val="004D5C9A"/>
    <w:rsid w:val="004D7A08"/>
    <w:rsid w:val="004E4C94"/>
    <w:rsid w:val="004E561D"/>
    <w:rsid w:val="004F3A19"/>
    <w:rsid w:val="005032D0"/>
    <w:rsid w:val="00503CD9"/>
    <w:rsid w:val="005052EF"/>
    <w:rsid w:val="00513E51"/>
    <w:rsid w:val="005142C6"/>
    <w:rsid w:val="005142C9"/>
    <w:rsid w:val="00516080"/>
    <w:rsid w:val="0052008C"/>
    <w:rsid w:val="00521F6A"/>
    <w:rsid w:val="0053232B"/>
    <w:rsid w:val="005344B7"/>
    <w:rsid w:val="00534B03"/>
    <w:rsid w:val="005370E3"/>
    <w:rsid w:val="005461C9"/>
    <w:rsid w:val="0055383F"/>
    <w:rsid w:val="00565095"/>
    <w:rsid w:val="00574331"/>
    <w:rsid w:val="00577D18"/>
    <w:rsid w:val="00580B04"/>
    <w:rsid w:val="005821D9"/>
    <w:rsid w:val="00584A88"/>
    <w:rsid w:val="00585295"/>
    <w:rsid w:val="00585616"/>
    <w:rsid w:val="00585956"/>
    <w:rsid w:val="00586286"/>
    <w:rsid w:val="005877C1"/>
    <w:rsid w:val="00587EA2"/>
    <w:rsid w:val="005919F3"/>
    <w:rsid w:val="005942C3"/>
    <w:rsid w:val="005A0A0C"/>
    <w:rsid w:val="005A0B92"/>
    <w:rsid w:val="005A2204"/>
    <w:rsid w:val="005A4288"/>
    <w:rsid w:val="005B493C"/>
    <w:rsid w:val="005B5B2E"/>
    <w:rsid w:val="005C082D"/>
    <w:rsid w:val="005C30AB"/>
    <w:rsid w:val="005C3259"/>
    <w:rsid w:val="005C3B8F"/>
    <w:rsid w:val="005D07C9"/>
    <w:rsid w:val="005D46A7"/>
    <w:rsid w:val="005D631D"/>
    <w:rsid w:val="005D6758"/>
    <w:rsid w:val="005E23E5"/>
    <w:rsid w:val="005F0C29"/>
    <w:rsid w:val="005F5087"/>
    <w:rsid w:val="00601CE5"/>
    <w:rsid w:val="00605948"/>
    <w:rsid w:val="006105B8"/>
    <w:rsid w:val="00610B14"/>
    <w:rsid w:val="0061319F"/>
    <w:rsid w:val="006136AE"/>
    <w:rsid w:val="00613EF5"/>
    <w:rsid w:val="00615F6D"/>
    <w:rsid w:val="006166BD"/>
    <w:rsid w:val="00622F8F"/>
    <w:rsid w:val="00623011"/>
    <w:rsid w:val="006233AF"/>
    <w:rsid w:val="006235D4"/>
    <w:rsid w:val="00623E9C"/>
    <w:rsid w:val="00624122"/>
    <w:rsid w:val="00627AB8"/>
    <w:rsid w:val="006303B7"/>
    <w:rsid w:val="00631102"/>
    <w:rsid w:val="00632073"/>
    <w:rsid w:val="00633247"/>
    <w:rsid w:val="00640C47"/>
    <w:rsid w:val="00641641"/>
    <w:rsid w:val="006418DE"/>
    <w:rsid w:val="00642310"/>
    <w:rsid w:val="00643E3E"/>
    <w:rsid w:val="006447E7"/>
    <w:rsid w:val="00645CD4"/>
    <w:rsid w:val="00647035"/>
    <w:rsid w:val="00650DC4"/>
    <w:rsid w:val="006523FF"/>
    <w:rsid w:val="006532AE"/>
    <w:rsid w:val="00654054"/>
    <w:rsid w:val="00654A0C"/>
    <w:rsid w:val="0065571E"/>
    <w:rsid w:val="006578AB"/>
    <w:rsid w:val="00661289"/>
    <w:rsid w:val="00663876"/>
    <w:rsid w:val="006651A1"/>
    <w:rsid w:val="00665DFF"/>
    <w:rsid w:val="00666D70"/>
    <w:rsid w:val="00676B7F"/>
    <w:rsid w:val="00682A22"/>
    <w:rsid w:val="00683DB3"/>
    <w:rsid w:val="00684F5A"/>
    <w:rsid w:val="00686AB2"/>
    <w:rsid w:val="006874F1"/>
    <w:rsid w:val="00687C08"/>
    <w:rsid w:val="00694F93"/>
    <w:rsid w:val="00695548"/>
    <w:rsid w:val="006965B1"/>
    <w:rsid w:val="006A0D0A"/>
    <w:rsid w:val="006A79B0"/>
    <w:rsid w:val="006B2F32"/>
    <w:rsid w:val="006B2F5A"/>
    <w:rsid w:val="006B5172"/>
    <w:rsid w:val="006B6224"/>
    <w:rsid w:val="006B74CE"/>
    <w:rsid w:val="006C2D8C"/>
    <w:rsid w:val="006C69DF"/>
    <w:rsid w:val="006D6092"/>
    <w:rsid w:val="006D6822"/>
    <w:rsid w:val="006E51D9"/>
    <w:rsid w:val="006E782D"/>
    <w:rsid w:val="006F08D3"/>
    <w:rsid w:val="006F225C"/>
    <w:rsid w:val="006F303C"/>
    <w:rsid w:val="006F3F16"/>
    <w:rsid w:val="006F636A"/>
    <w:rsid w:val="006F7B60"/>
    <w:rsid w:val="00700DC9"/>
    <w:rsid w:val="00702570"/>
    <w:rsid w:val="007029BB"/>
    <w:rsid w:val="00702E89"/>
    <w:rsid w:val="00702FAF"/>
    <w:rsid w:val="00705CA8"/>
    <w:rsid w:val="00720BF8"/>
    <w:rsid w:val="00721C22"/>
    <w:rsid w:val="007247A2"/>
    <w:rsid w:val="007248E8"/>
    <w:rsid w:val="0073375D"/>
    <w:rsid w:val="007347D9"/>
    <w:rsid w:val="00740776"/>
    <w:rsid w:val="0074298B"/>
    <w:rsid w:val="00744885"/>
    <w:rsid w:val="007545A2"/>
    <w:rsid w:val="00760894"/>
    <w:rsid w:val="00760912"/>
    <w:rsid w:val="00760A12"/>
    <w:rsid w:val="0076281E"/>
    <w:rsid w:val="0076602A"/>
    <w:rsid w:val="00766750"/>
    <w:rsid w:val="007735B8"/>
    <w:rsid w:val="00774A95"/>
    <w:rsid w:val="00780623"/>
    <w:rsid w:val="00780AD5"/>
    <w:rsid w:val="00781A68"/>
    <w:rsid w:val="00785905"/>
    <w:rsid w:val="00786E96"/>
    <w:rsid w:val="00787BAF"/>
    <w:rsid w:val="0079215A"/>
    <w:rsid w:val="007A1F9D"/>
    <w:rsid w:val="007A204C"/>
    <w:rsid w:val="007A28ED"/>
    <w:rsid w:val="007A30DF"/>
    <w:rsid w:val="007A6FCB"/>
    <w:rsid w:val="007B1A65"/>
    <w:rsid w:val="007B1F87"/>
    <w:rsid w:val="007C005F"/>
    <w:rsid w:val="007C2D31"/>
    <w:rsid w:val="007C3968"/>
    <w:rsid w:val="007C4A50"/>
    <w:rsid w:val="007C5C71"/>
    <w:rsid w:val="007C76DB"/>
    <w:rsid w:val="007D6756"/>
    <w:rsid w:val="007D7CC3"/>
    <w:rsid w:val="007E1FFB"/>
    <w:rsid w:val="007E2EEC"/>
    <w:rsid w:val="007E3121"/>
    <w:rsid w:val="007F0644"/>
    <w:rsid w:val="007F344A"/>
    <w:rsid w:val="007F3FC0"/>
    <w:rsid w:val="007F6D53"/>
    <w:rsid w:val="007F76B5"/>
    <w:rsid w:val="00802668"/>
    <w:rsid w:val="00803EB3"/>
    <w:rsid w:val="00804018"/>
    <w:rsid w:val="00804F04"/>
    <w:rsid w:val="008073F0"/>
    <w:rsid w:val="008109B2"/>
    <w:rsid w:val="00810AEC"/>
    <w:rsid w:val="00810C40"/>
    <w:rsid w:val="00812830"/>
    <w:rsid w:val="00813EAD"/>
    <w:rsid w:val="00814D52"/>
    <w:rsid w:val="0082129A"/>
    <w:rsid w:val="00821660"/>
    <w:rsid w:val="008216C3"/>
    <w:rsid w:val="0082225B"/>
    <w:rsid w:val="00823D01"/>
    <w:rsid w:val="008315E9"/>
    <w:rsid w:val="00831EA7"/>
    <w:rsid w:val="00833CAE"/>
    <w:rsid w:val="0083514D"/>
    <w:rsid w:val="00843F18"/>
    <w:rsid w:val="00846952"/>
    <w:rsid w:val="00850245"/>
    <w:rsid w:val="00853A47"/>
    <w:rsid w:val="008558C6"/>
    <w:rsid w:val="008579D0"/>
    <w:rsid w:val="00857B0F"/>
    <w:rsid w:val="008629B2"/>
    <w:rsid w:val="00865809"/>
    <w:rsid w:val="008732C7"/>
    <w:rsid w:val="0087557A"/>
    <w:rsid w:val="0087638D"/>
    <w:rsid w:val="00876767"/>
    <w:rsid w:val="00882A7D"/>
    <w:rsid w:val="00886D90"/>
    <w:rsid w:val="0089665A"/>
    <w:rsid w:val="008A77B1"/>
    <w:rsid w:val="008B3BB2"/>
    <w:rsid w:val="008B4CDF"/>
    <w:rsid w:val="008B6D8A"/>
    <w:rsid w:val="008C2A24"/>
    <w:rsid w:val="008C6CFF"/>
    <w:rsid w:val="008D015A"/>
    <w:rsid w:val="008D034B"/>
    <w:rsid w:val="008D0743"/>
    <w:rsid w:val="008D196F"/>
    <w:rsid w:val="008D241F"/>
    <w:rsid w:val="008D275F"/>
    <w:rsid w:val="008D373E"/>
    <w:rsid w:val="008D5534"/>
    <w:rsid w:val="008D5E20"/>
    <w:rsid w:val="008E1D2F"/>
    <w:rsid w:val="008E2585"/>
    <w:rsid w:val="008E4016"/>
    <w:rsid w:val="008E4B6A"/>
    <w:rsid w:val="008F5DC7"/>
    <w:rsid w:val="008F6D20"/>
    <w:rsid w:val="00900A2B"/>
    <w:rsid w:val="00901219"/>
    <w:rsid w:val="009056BE"/>
    <w:rsid w:val="00906883"/>
    <w:rsid w:val="00906A87"/>
    <w:rsid w:val="00907948"/>
    <w:rsid w:val="00907B73"/>
    <w:rsid w:val="0091190D"/>
    <w:rsid w:val="009121C2"/>
    <w:rsid w:val="0091361B"/>
    <w:rsid w:val="00915139"/>
    <w:rsid w:val="00917536"/>
    <w:rsid w:val="00917FAA"/>
    <w:rsid w:val="00921537"/>
    <w:rsid w:val="009215F1"/>
    <w:rsid w:val="00921635"/>
    <w:rsid w:val="00921F55"/>
    <w:rsid w:val="00926BF5"/>
    <w:rsid w:val="00930380"/>
    <w:rsid w:val="00930C6B"/>
    <w:rsid w:val="00935BD1"/>
    <w:rsid w:val="00935C75"/>
    <w:rsid w:val="009422CF"/>
    <w:rsid w:val="00944C72"/>
    <w:rsid w:val="00952E36"/>
    <w:rsid w:val="00955BE6"/>
    <w:rsid w:val="00962084"/>
    <w:rsid w:val="009633AB"/>
    <w:rsid w:val="00965B78"/>
    <w:rsid w:val="00966B3D"/>
    <w:rsid w:val="00967F5F"/>
    <w:rsid w:val="0097043F"/>
    <w:rsid w:val="00970885"/>
    <w:rsid w:val="00972B65"/>
    <w:rsid w:val="00972E87"/>
    <w:rsid w:val="009733A6"/>
    <w:rsid w:val="00977277"/>
    <w:rsid w:val="00983F94"/>
    <w:rsid w:val="00986C89"/>
    <w:rsid w:val="00990EAB"/>
    <w:rsid w:val="009917D1"/>
    <w:rsid w:val="0099243F"/>
    <w:rsid w:val="00994407"/>
    <w:rsid w:val="00996AD5"/>
    <w:rsid w:val="009A41BC"/>
    <w:rsid w:val="009A7136"/>
    <w:rsid w:val="009A7736"/>
    <w:rsid w:val="009B268B"/>
    <w:rsid w:val="009B798D"/>
    <w:rsid w:val="009D2063"/>
    <w:rsid w:val="009D21AD"/>
    <w:rsid w:val="009D2CC7"/>
    <w:rsid w:val="009D4258"/>
    <w:rsid w:val="009E2446"/>
    <w:rsid w:val="009E4435"/>
    <w:rsid w:val="009E5B55"/>
    <w:rsid w:val="009E6E82"/>
    <w:rsid w:val="009F1CCF"/>
    <w:rsid w:val="009F25EC"/>
    <w:rsid w:val="009F72D6"/>
    <w:rsid w:val="009F74C2"/>
    <w:rsid w:val="00A02295"/>
    <w:rsid w:val="00A045CE"/>
    <w:rsid w:val="00A0508F"/>
    <w:rsid w:val="00A055A4"/>
    <w:rsid w:val="00A10CAA"/>
    <w:rsid w:val="00A21633"/>
    <w:rsid w:val="00A22134"/>
    <w:rsid w:val="00A24C58"/>
    <w:rsid w:val="00A27D6D"/>
    <w:rsid w:val="00A30E51"/>
    <w:rsid w:val="00A315AF"/>
    <w:rsid w:val="00A34C56"/>
    <w:rsid w:val="00A361C3"/>
    <w:rsid w:val="00A3788F"/>
    <w:rsid w:val="00A438C8"/>
    <w:rsid w:val="00A45E42"/>
    <w:rsid w:val="00A537C9"/>
    <w:rsid w:val="00A53A45"/>
    <w:rsid w:val="00A55B1A"/>
    <w:rsid w:val="00A56AB7"/>
    <w:rsid w:val="00A60EFB"/>
    <w:rsid w:val="00A64A17"/>
    <w:rsid w:val="00A709F8"/>
    <w:rsid w:val="00A70B04"/>
    <w:rsid w:val="00A7276A"/>
    <w:rsid w:val="00A75C75"/>
    <w:rsid w:val="00A77DFD"/>
    <w:rsid w:val="00A83DAF"/>
    <w:rsid w:val="00A85A99"/>
    <w:rsid w:val="00A86692"/>
    <w:rsid w:val="00A92937"/>
    <w:rsid w:val="00A94D6B"/>
    <w:rsid w:val="00A94ECC"/>
    <w:rsid w:val="00A97F8D"/>
    <w:rsid w:val="00AA0A70"/>
    <w:rsid w:val="00AA210B"/>
    <w:rsid w:val="00AA45ED"/>
    <w:rsid w:val="00AA45F3"/>
    <w:rsid w:val="00AA6FA5"/>
    <w:rsid w:val="00AA7626"/>
    <w:rsid w:val="00AB2B22"/>
    <w:rsid w:val="00AB7032"/>
    <w:rsid w:val="00AC6B9C"/>
    <w:rsid w:val="00AD13C1"/>
    <w:rsid w:val="00AD4EFB"/>
    <w:rsid w:val="00AD5876"/>
    <w:rsid w:val="00AD63C0"/>
    <w:rsid w:val="00AD6E7A"/>
    <w:rsid w:val="00AE02D5"/>
    <w:rsid w:val="00AE2DD3"/>
    <w:rsid w:val="00AE7A0A"/>
    <w:rsid w:val="00AF17AF"/>
    <w:rsid w:val="00AF3A90"/>
    <w:rsid w:val="00AF3ADC"/>
    <w:rsid w:val="00AF765F"/>
    <w:rsid w:val="00B032A2"/>
    <w:rsid w:val="00B044A0"/>
    <w:rsid w:val="00B10FA6"/>
    <w:rsid w:val="00B15F1F"/>
    <w:rsid w:val="00B16653"/>
    <w:rsid w:val="00B17CDA"/>
    <w:rsid w:val="00B25862"/>
    <w:rsid w:val="00B261A2"/>
    <w:rsid w:val="00B36AF7"/>
    <w:rsid w:val="00B42B25"/>
    <w:rsid w:val="00B450C7"/>
    <w:rsid w:val="00B470B7"/>
    <w:rsid w:val="00B50CBA"/>
    <w:rsid w:val="00B542CB"/>
    <w:rsid w:val="00B54AA1"/>
    <w:rsid w:val="00B54C70"/>
    <w:rsid w:val="00B574C4"/>
    <w:rsid w:val="00B663C1"/>
    <w:rsid w:val="00B67F4B"/>
    <w:rsid w:val="00B713F5"/>
    <w:rsid w:val="00B722E6"/>
    <w:rsid w:val="00B72862"/>
    <w:rsid w:val="00B73019"/>
    <w:rsid w:val="00B75488"/>
    <w:rsid w:val="00B754C2"/>
    <w:rsid w:val="00B76329"/>
    <w:rsid w:val="00B7660B"/>
    <w:rsid w:val="00B8080C"/>
    <w:rsid w:val="00B80C18"/>
    <w:rsid w:val="00B81920"/>
    <w:rsid w:val="00B832E1"/>
    <w:rsid w:val="00B84E81"/>
    <w:rsid w:val="00B85708"/>
    <w:rsid w:val="00B91664"/>
    <w:rsid w:val="00B9436A"/>
    <w:rsid w:val="00B96503"/>
    <w:rsid w:val="00B978C6"/>
    <w:rsid w:val="00BA0B4F"/>
    <w:rsid w:val="00BA5B8F"/>
    <w:rsid w:val="00BA7CD9"/>
    <w:rsid w:val="00BB36F8"/>
    <w:rsid w:val="00BB4EED"/>
    <w:rsid w:val="00BB6BC2"/>
    <w:rsid w:val="00BC1951"/>
    <w:rsid w:val="00BC36EC"/>
    <w:rsid w:val="00BC579C"/>
    <w:rsid w:val="00BD4778"/>
    <w:rsid w:val="00BD663B"/>
    <w:rsid w:val="00BD6C2D"/>
    <w:rsid w:val="00BE1606"/>
    <w:rsid w:val="00BE1EE1"/>
    <w:rsid w:val="00BE2EE0"/>
    <w:rsid w:val="00BE2F98"/>
    <w:rsid w:val="00BE4528"/>
    <w:rsid w:val="00BF005E"/>
    <w:rsid w:val="00BF3200"/>
    <w:rsid w:val="00BF64A5"/>
    <w:rsid w:val="00C04533"/>
    <w:rsid w:val="00C04A6B"/>
    <w:rsid w:val="00C10DD6"/>
    <w:rsid w:val="00C1469E"/>
    <w:rsid w:val="00C243B5"/>
    <w:rsid w:val="00C26DC2"/>
    <w:rsid w:val="00C276B5"/>
    <w:rsid w:val="00C27855"/>
    <w:rsid w:val="00C32964"/>
    <w:rsid w:val="00C349D2"/>
    <w:rsid w:val="00C36101"/>
    <w:rsid w:val="00C42229"/>
    <w:rsid w:val="00C517AF"/>
    <w:rsid w:val="00C5354F"/>
    <w:rsid w:val="00C55DD8"/>
    <w:rsid w:val="00C65869"/>
    <w:rsid w:val="00C67AB7"/>
    <w:rsid w:val="00C71B7E"/>
    <w:rsid w:val="00C7219E"/>
    <w:rsid w:val="00C72A89"/>
    <w:rsid w:val="00C73AC4"/>
    <w:rsid w:val="00C76C8E"/>
    <w:rsid w:val="00C7770E"/>
    <w:rsid w:val="00C80F4A"/>
    <w:rsid w:val="00C83403"/>
    <w:rsid w:val="00C83ED1"/>
    <w:rsid w:val="00C96377"/>
    <w:rsid w:val="00C963D6"/>
    <w:rsid w:val="00CA5F44"/>
    <w:rsid w:val="00CA6EF5"/>
    <w:rsid w:val="00CB23D7"/>
    <w:rsid w:val="00CB24C2"/>
    <w:rsid w:val="00CB3012"/>
    <w:rsid w:val="00CC308D"/>
    <w:rsid w:val="00CC4244"/>
    <w:rsid w:val="00CC4F3F"/>
    <w:rsid w:val="00CD1945"/>
    <w:rsid w:val="00CD2648"/>
    <w:rsid w:val="00CE11BF"/>
    <w:rsid w:val="00CE49EB"/>
    <w:rsid w:val="00CE4C41"/>
    <w:rsid w:val="00CE5F0A"/>
    <w:rsid w:val="00CE68B1"/>
    <w:rsid w:val="00CE75BB"/>
    <w:rsid w:val="00CF0A31"/>
    <w:rsid w:val="00CF21A4"/>
    <w:rsid w:val="00CF35C3"/>
    <w:rsid w:val="00CF59F6"/>
    <w:rsid w:val="00D0195C"/>
    <w:rsid w:val="00D02EDA"/>
    <w:rsid w:val="00D062AE"/>
    <w:rsid w:val="00D13AE2"/>
    <w:rsid w:val="00D17ADD"/>
    <w:rsid w:val="00D26EC3"/>
    <w:rsid w:val="00D27058"/>
    <w:rsid w:val="00D446E7"/>
    <w:rsid w:val="00D549AD"/>
    <w:rsid w:val="00D55AA6"/>
    <w:rsid w:val="00D6034C"/>
    <w:rsid w:val="00D60994"/>
    <w:rsid w:val="00D6492B"/>
    <w:rsid w:val="00D65975"/>
    <w:rsid w:val="00D66511"/>
    <w:rsid w:val="00D7075B"/>
    <w:rsid w:val="00D70D3C"/>
    <w:rsid w:val="00D73609"/>
    <w:rsid w:val="00D74E3E"/>
    <w:rsid w:val="00D768F7"/>
    <w:rsid w:val="00D83ADD"/>
    <w:rsid w:val="00D844CC"/>
    <w:rsid w:val="00D85DF7"/>
    <w:rsid w:val="00D8717E"/>
    <w:rsid w:val="00D93DD5"/>
    <w:rsid w:val="00D94D99"/>
    <w:rsid w:val="00D94F28"/>
    <w:rsid w:val="00D9777A"/>
    <w:rsid w:val="00D97DF9"/>
    <w:rsid w:val="00DA1E79"/>
    <w:rsid w:val="00DA4C50"/>
    <w:rsid w:val="00DA5889"/>
    <w:rsid w:val="00DB0E61"/>
    <w:rsid w:val="00DB778A"/>
    <w:rsid w:val="00DC0D36"/>
    <w:rsid w:val="00DC439A"/>
    <w:rsid w:val="00DC5210"/>
    <w:rsid w:val="00DC59DB"/>
    <w:rsid w:val="00DC6F11"/>
    <w:rsid w:val="00DC7830"/>
    <w:rsid w:val="00DD06F1"/>
    <w:rsid w:val="00DD07A4"/>
    <w:rsid w:val="00DD130A"/>
    <w:rsid w:val="00DE20F7"/>
    <w:rsid w:val="00DE419C"/>
    <w:rsid w:val="00DF0F07"/>
    <w:rsid w:val="00DF4D04"/>
    <w:rsid w:val="00DF6120"/>
    <w:rsid w:val="00DF62A5"/>
    <w:rsid w:val="00DF7C1F"/>
    <w:rsid w:val="00E002E6"/>
    <w:rsid w:val="00E006E0"/>
    <w:rsid w:val="00E12417"/>
    <w:rsid w:val="00E143FD"/>
    <w:rsid w:val="00E149AC"/>
    <w:rsid w:val="00E14DA6"/>
    <w:rsid w:val="00E1695C"/>
    <w:rsid w:val="00E1797A"/>
    <w:rsid w:val="00E17B70"/>
    <w:rsid w:val="00E20BD1"/>
    <w:rsid w:val="00E2796A"/>
    <w:rsid w:val="00E304A4"/>
    <w:rsid w:val="00E31AF6"/>
    <w:rsid w:val="00E31C5D"/>
    <w:rsid w:val="00E35FDD"/>
    <w:rsid w:val="00E3734A"/>
    <w:rsid w:val="00E43E2B"/>
    <w:rsid w:val="00E4706A"/>
    <w:rsid w:val="00E5044A"/>
    <w:rsid w:val="00E50EA6"/>
    <w:rsid w:val="00E5630D"/>
    <w:rsid w:val="00E57670"/>
    <w:rsid w:val="00E63BDD"/>
    <w:rsid w:val="00E66FAF"/>
    <w:rsid w:val="00E72741"/>
    <w:rsid w:val="00E72D0F"/>
    <w:rsid w:val="00E7510A"/>
    <w:rsid w:val="00E80F4C"/>
    <w:rsid w:val="00E826ED"/>
    <w:rsid w:val="00E84003"/>
    <w:rsid w:val="00E84401"/>
    <w:rsid w:val="00E87931"/>
    <w:rsid w:val="00E95264"/>
    <w:rsid w:val="00E954BB"/>
    <w:rsid w:val="00EA5220"/>
    <w:rsid w:val="00EA530E"/>
    <w:rsid w:val="00EB1392"/>
    <w:rsid w:val="00EB5E8A"/>
    <w:rsid w:val="00EB7BBA"/>
    <w:rsid w:val="00EC1945"/>
    <w:rsid w:val="00EC3DB6"/>
    <w:rsid w:val="00EC7CA3"/>
    <w:rsid w:val="00ED0274"/>
    <w:rsid w:val="00ED1477"/>
    <w:rsid w:val="00ED1C99"/>
    <w:rsid w:val="00ED5B1B"/>
    <w:rsid w:val="00ED5BE8"/>
    <w:rsid w:val="00EE1F3C"/>
    <w:rsid w:val="00EE3082"/>
    <w:rsid w:val="00EE71C5"/>
    <w:rsid w:val="00EE76B1"/>
    <w:rsid w:val="00EF1817"/>
    <w:rsid w:val="00EF3605"/>
    <w:rsid w:val="00EF46E0"/>
    <w:rsid w:val="00EF6821"/>
    <w:rsid w:val="00F0149A"/>
    <w:rsid w:val="00F06CD2"/>
    <w:rsid w:val="00F074A0"/>
    <w:rsid w:val="00F07BC3"/>
    <w:rsid w:val="00F11BA6"/>
    <w:rsid w:val="00F12D9D"/>
    <w:rsid w:val="00F16C86"/>
    <w:rsid w:val="00F257D1"/>
    <w:rsid w:val="00F257E0"/>
    <w:rsid w:val="00F3208E"/>
    <w:rsid w:val="00F34E7B"/>
    <w:rsid w:val="00F35F96"/>
    <w:rsid w:val="00F414E7"/>
    <w:rsid w:val="00F42DA7"/>
    <w:rsid w:val="00F45162"/>
    <w:rsid w:val="00F46F9D"/>
    <w:rsid w:val="00F52611"/>
    <w:rsid w:val="00F57010"/>
    <w:rsid w:val="00F576C5"/>
    <w:rsid w:val="00F62134"/>
    <w:rsid w:val="00F62497"/>
    <w:rsid w:val="00F648B3"/>
    <w:rsid w:val="00F64E99"/>
    <w:rsid w:val="00F65FB9"/>
    <w:rsid w:val="00F75B3A"/>
    <w:rsid w:val="00F77506"/>
    <w:rsid w:val="00F77EAA"/>
    <w:rsid w:val="00F8126B"/>
    <w:rsid w:val="00F857F8"/>
    <w:rsid w:val="00F85E89"/>
    <w:rsid w:val="00F94EDD"/>
    <w:rsid w:val="00FA180C"/>
    <w:rsid w:val="00FB1106"/>
    <w:rsid w:val="00FC0DF4"/>
    <w:rsid w:val="00FC0F43"/>
    <w:rsid w:val="00FD4244"/>
    <w:rsid w:val="00FD5880"/>
    <w:rsid w:val="00FD5886"/>
    <w:rsid w:val="00FD707F"/>
    <w:rsid w:val="00FE3A1F"/>
    <w:rsid w:val="00FE5385"/>
    <w:rsid w:val="00FE7693"/>
    <w:rsid w:val="00FF035E"/>
    <w:rsid w:val="00FF0940"/>
    <w:rsid w:val="00FF0E2E"/>
    <w:rsid w:val="00FF2900"/>
    <w:rsid w:val="00FF2CAC"/>
    <w:rsid w:val="00FF34A1"/>
    <w:rsid w:val="00FF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A9B688-3054-4C70-ABA9-40F79A1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CD4"/>
  </w:style>
  <w:style w:type="paragraph" w:styleId="Footer">
    <w:name w:val="footer"/>
    <w:basedOn w:val="Normal"/>
    <w:link w:val="FooterChar"/>
    <w:uiPriority w:val="99"/>
    <w:unhideWhenUsed/>
    <w:rsid w:val="0064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CD4"/>
  </w:style>
  <w:style w:type="table" w:styleId="GridTable5Dark">
    <w:name w:val="Grid Table 5 Dark"/>
    <w:basedOn w:val="TableNormal"/>
    <w:uiPriority w:val="50"/>
    <w:rsid w:val="00E17B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cimalAligned">
    <w:name w:val="Decimal Aligned"/>
    <w:basedOn w:val="Normal"/>
    <w:uiPriority w:val="40"/>
    <w:qFormat/>
    <w:rsid w:val="0099243F"/>
    <w:pPr>
      <w:tabs>
        <w:tab w:val="decimal" w:pos="360"/>
      </w:tabs>
    </w:pPr>
    <w:rPr>
      <w:rFonts w:eastAsiaTheme="minorEastAsia" w:cs="Times New Roman"/>
      <w:lang w:val="en-US"/>
    </w:rPr>
  </w:style>
  <w:style w:type="paragraph" w:styleId="FootnoteText">
    <w:name w:val="footnote text"/>
    <w:basedOn w:val="Normal"/>
    <w:link w:val="FootnoteTextChar"/>
    <w:uiPriority w:val="99"/>
    <w:unhideWhenUsed/>
    <w:rsid w:val="0099243F"/>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99243F"/>
    <w:rPr>
      <w:rFonts w:eastAsiaTheme="minorEastAsia" w:cs="Times New Roman"/>
      <w:sz w:val="20"/>
      <w:szCs w:val="20"/>
      <w:lang w:val="en-US"/>
    </w:rPr>
  </w:style>
  <w:style w:type="character" w:styleId="SubtleEmphasis">
    <w:name w:val="Subtle Emphasis"/>
    <w:basedOn w:val="DefaultParagraphFont"/>
    <w:uiPriority w:val="19"/>
    <w:qFormat/>
    <w:rsid w:val="0099243F"/>
    <w:rPr>
      <w:i/>
      <w:iCs/>
    </w:rPr>
  </w:style>
  <w:style w:type="table" w:styleId="LightShading-Accent1">
    <w:name w:val="Light Shading Accent 1"/>
    <w:basedOn w:val="TableNormal"/>
    <w:uiPriority w:val="60"/>
    <w:rsid w:val="0099243F"/>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9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6B1"/>
    <w:rPr>
      <w:color w:val="0000FF" w:themeColor="hyperlink"/>
      <w:u w:val="single"/>
    </w:rPr>
  </w:style>
  <w:style w:type="character" w:styleId="UnresolvedMention">
    <w:name w:val="Unresolved Mention"/>
    <w:basedOn w:val="DefaultParagraphFont"/>
    <w:uiPriority w:val="99"/>
    <w:semiHidden/>
    <w:unhideWhenUsed/>
    <w:rsid w:val="00EE76B1"/>
    <w:rPr>
      <w:color w:val="808080"/>
      <w:shd w:val="clear" w:color="auto" w:fill="E6E6E6"/>
    </w:rPr>
  </w:style>
  <w:style w:type="table" w:styleId="MediumShading2-Accent5">
    <w:name w:val="Medium Shading 2 Accent 5"/>
    <w:basedOn w:val="TableNormal"/>
    <w:uiPriority w:val="64"/>
    <w:rsid w:val="004A0BD4"/>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B91664"/>
    <w:pPr>
      <w:ind w:left="720"/>
      <w:contextualSpacing/>
    </w:pPr>
  </w:style>
  <w:style w:type="table" w:styleId="GridTable7Colorful">
    <w:name w:val="Grid Table 7 Colorful"/>
    <w:basedOn w:val="TableNormal"/>
    <w:uiPriority w:val="52"/>
    <w:rsid w:val="004201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4201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01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0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0D74-CF61-473E-A96F-BFDB8DAB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6175</Words>
  <Characters>35200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dc:creator>
  <cp:keywords/>
  <dc:description/>
  <cp:lastModifiedBy>Anissa</cp:lastModifiedBy>
  <cp:revision>2</cp:revision>
  <dcterms:created xsi:type="dcterms:W3CDTF">2017-10-10T01:53:00Z</dcterms:created>
  <dcterms:modified xsi:type="dcterms:W3CDTF">2017-10-10T01:53:00Z</dcterms:modified>
</cp:coreProperties>
</file>