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921B6B" w14:textId="77777777" w:rsidR="00A37DAB" w:rsidRPr="00EF5943" w:rsidRDefault="008E67B0" w:rsidP="00A37DAB">
      <w:pPr>
        <w:pStyle w:val="Heading1"/>
        <w:shd w:val="clear" w:color="auto" w:fill="FFFFFF"/>
        <w:spacing w:before="0" w:after="96"/>
        <w:jc w:val="center"/>
        <w:rPr>
          <w:rFonts w:asciiTheme="majorBidi" w:hAnsiTheme="majorBidi"/>
          <w:b/>
          <w:bCs/>
          <w:color w:val="auto"/>
          <w:sz w:val="28"/>
          <w:szCs w:val="28"/>
        </w:rPr>
      </w:pPr>
      <w:hyperlink r:id="rId8" w:history="1">
        <w:r w:rsidR="00A37DAB" w:rsidRPr="00A50171">
          <w:rPr>
            <w:rFonts w:asciiTheme="majorBidi" w:hAnsiTheme="majorBidi"/>
            <w:b/>
            <w:bCs/>
            <w:color w:val="auto"/>
            <w:sz w:val="28"/>
            <w:szCs w:val="28"/>
          </w:rPr>
          <w:t xml:space="preserve"> Economic </w:t>
        </w:r>
        <w:r w:rsidR="00A37DAB">
          <w:rPr>
            <w:rFonts w:asciiTheme="majorBidi" w:hAnsiTheme="majorBidi"/>
            <w:b/>
            <w:bCs/>
            <w:color w:val="auto"/>
            <w:sz w:val="28"/>
            <w:szCs w:val="28"/>
          </w:rPr>
          <w:t xml:space="preserve">and </w:t>
        </w:r>
        <w:r w:rsidR="00A37DAB" w:rsidRPr="00EF5943">
          <w:rPr>
            <w:rFonts w:asciiTheme="majorBidi" w:hAnsiTheme="majorBidi"/>
            <w:b/>
            <w:bCs/>
            <w:color w:val="auto"/>
            <w:sz w:val="28"/>
            <w:szCs w:val="28"/>
          </w:rPr>
          <w:t>Environmental Life Cycle Assessment </w:t>
        </w:r>
      </w:hyperlink>
      <w:r w:rsidR="00A37DAB" w:rsidRPr="00EF5943">
        <w:rPr>
          <w:rFonts w:asciiTheme="majorBidi" w:hAnsiTheme="majorBidi"/>
          <w:b/>
          <w:bCs/>
          <w:color w:val="auto"/>
          <w:sz w:val="28"/>
          <w:szCs w:val="28"/>
        </w:rPr>
        <w:t xml:space="preserve">of Alternative Mass Timber Walls to Evaluate </w:t>
      </w:r>
      <w:r w:rsidR="00A37DAB" w:rsidRPr="00A930BE">
        <w:rPr>
          <w:rFonts w:asciiTheme="majorBidi" w:hAnsiTheme="majorBidi"/>
          <w:b/>
          <w:bCs/>
          <w:color w:val="auto"/>
          <w:sz w:val="28"/>
          <w:szCs w:val="28"/>
        </w:rPr>
        <w:t>Circular Economy</w:t>
      </w:r>
      <w:r w:rsidR="00A37DAB" w:rsidRPr="00EF5943">
        <w:rPr>
          <w:rFonts w:asciiTheme="majorBidi" w:hAnsiTheme="majorBidi"/>
          <w:b/>
          <w:bCs/>
          <w:color w:val="auto"/>
          <w:sz w:val="28"/>
          <w:szCs w:val="28"/>
        </w:rPr>
        <w:t xml:space="preserve"> in Building</w:t>
      </w:r>
      <w:r w:rsidR="00A37DAB">
        <w:rPr>
          <w:rFonts w:asciiTheme="majorBidi" w:hAnsiTheme="majorBidi"/>
          <w:b/>
          <w:bCs/>
          <w:color w:val="auto"/>
          <w:sz w:val="28"/>
          <w:szCs w:val="28"/>
        </w:rPr>
        <w:t>: MCDM Method</w:t>
      </w:r>
    </w:p>
    <w:p w14:paraId="4B32A340" w14:textId="5A3D4F2C" w:rsidR="00A37DAB" w:rsidRDefault="00A37DAB" w:rsidP="00A37DAB">
      <w:pPr>
        <w:pStyle w:val="Heading2"/>
        <w:spacing w:before="0"/>
        <w:rPr>
          <w:rFonts w:ascii="Arial" w:hAnsi="Arial" w:cs="Arial"/>
          <w:color w:val="505050"/>
        </w:rPr>
      </w:pPr>
    </w:p>
    <w:p w14:paraId="7D1323C5" w14:textId="77777777" w:rsidR="00AD3E86" w:rsidRPr="00AD3E86" w:rsidRDefault="00AD3E86" w:rsidP="00AD3E86"/>
    <w:p w14:paraId="7B8DA355" w14:textId="5D76A828" w:rsidR="000354D8" w:rsidRDefault="000354D8">
      <w:pPr>
        <w:rPr>
          <w:rFonts w:asciiTheme="majorBidi" w:eastAsiaTheme="minorEastAsia" w:hAnsiTheme="majorBidi" w:cstheme="majorBidi"/>
          <w:b/>
          <w:bCs/>
          <w:i/>
          <w:iCs/>
        </w:rPr>
      </w:pPr>
    </w:p>
    <w:p w14:paraId="2C1DFBB8" w14:textId="46E88A41" w:rsidR="005C091D" w:rsidRDefault="005C091D">
      <w:pPr>
        <w:rPr>
          <w:rFonts w:asciiTheme="majorBidi" w:eastAsiaTheme="minorEastAsia" w:hAnsiTheme="majorBidi" w:cstheme="majorBidi"/>
          <w:b/>
          <w:bCs/>
          <w:i/>
          <w:iCs/>
        </w:rPr>
      </w:pPr>
    </w:p>
    <w:p w14:paraId="620CA778" w14:textId="03D9328C" w:rsidR="005C091D" w:rsidRDefault="005C091D">
      <w:pPr>
        <w:rPr>
          <w:rFonts w:asciiTheme="majorBidi" w:eastAsiaTheme="minorEastAsia" w:hAnsiTheme="majorBidi" w:cstheme="majorBidi"/>
          <w:b/>
          <w:bCs/>
          <w:i/>
          <w:iCs/>
        </w:rPr>
      </w:pPr>
    </w:p>
    <w:p w14:paraId="3E74D051" w14:textId="77777777" w:rsidR="005C091D" w:rsidRDefault="005C091D"/>
    <w:p w14:paraId="03BFECBE" w14:textId="77777777" w:rsidR="00E26F8B" w:rsidRDefault="00E26F8B"/>
    <w:p w14:paraId="74E9E80C" w14:textId="77777777" w:rsidR="000E76D1" w:rsidRPr="00A038BF" w:rsidRDefault="000E76D1">
      <w:pPr>
        <w:rPr>
          <w:sz w:val="20"/>
          <w:szCs w:val="20"/>
        </w:rPr>
      </w:pPr>
      <w:r w:rsidRPr="00A038BF">
        <w:rPr>
          <w:rFonts w:asciiTheme="majorBidi" w:hAnsiTheme="majorBidi" w:cstheme="majorBidi"/>
          <w:b/>
          <w:bCs/>
          <w:sz w:val="24"/>
          <w:szCs w:val="24"/>
        </w:rPr>
        <w:t>Abstract</w:t>
      </w:r>
    </w:p>
    <w:p w14:paraId="4C7808F3" w14:textId="1637519B" w:rsidR="009E6DE6" w:rsidRPr="000354D8" w:rsidRDefault="00D1208C" w:rsidP="00A37DAB">
      <w:pPr>
        <w:spacing w:line="276" w:lineRule="auto"/>
        <w:jc w:val="both"/>
        <w:rPr>
          <w:rFonts w:asciiTheme="majorBidi" w:hAnsiTheme="majorBidi" w:cstheme="majorBidi"/>
        </w:rPr>
      </w:pPr>
      <w:r w:rsidRPr="000354D8">
        <w:rPr>
          <w:rFonts w:asciiTheme="majorBidi" w:hAnsiTheme="majorBidi" w:cstheme="majorBidi"/>
          <w:color w:val="000000" w:themeColor="text1"/>
        </w:rPr>
        <w:t>The c</w:t>
      </w:r>
      <w:r w:rsidR="00720FBD" w:rsidRPr="000354D8">
        <w:rPr>
          <w:rFonts w:asciiTheme="majorBidi" w:hAnsiTheme="majorBidi" w:cstheme="majorBidi"/>
          <w:color w:val="000000" w:themeColor="text1"/>
        </w:rPr>
        <w:t>onstruction industry is one of the largest consumer</w:t>
      </w:r>
      <w:r w:rsidRPr="000354D8">
        <w:rPr>
          <w:rFonts w:asciiTheme="majorBidi" w:hAnsiTheme="majorBidi" w:cstheme="majorBidi"/>
          <w:color w:val="000000" w:themeColor="text1"/>
        </w:rPr>
        <w:t>s</w:t>
      </w:r>
      <w:r w:rsidR="00720FBD" w:rsidRPr="000354D8">
        <w:rPr>
          <w:rFonts w:asciiTheme="majorBidi" w:hAnsiTheme="majorBidi" w:cstheme="majorBidi"/>
          <w:color w:val="000000" w:themeColor="text1"/>
        </w:rPr>
        <w:t xml:space="preserve"> </w:t>
      </w:r>
      <w:r w:rsidRPr="000354D8">
        <w:rPr>
          <w:rFonts w:asciiTheme="majorBidi" w:hAnsiTheme="majorBidi" w:cstheme="majorBidi"/>
          <w:color w:val="000000" w:themeColor="text1"/>
        </w:rPr>
        <w:t>of</w:t>
      </w:r>
      <w:r w:rsidR="00720FBD" w:rsidRPr="000354D8">
        <w:rPr>
          <w:rFonts w:asciiTheme="majorBidi" w:hAnsiTheme="majorBidi" w:cstheme="majorBidi"/>
          <w:color w:val="000000" w:themeColor="text1"/>
        </w:rPr>
        <w:t xml:space="preserve"> energy and materials, which leads to </w:t>
      </w:r>
      <w:r w:rsidR="00DD2ABA">
        <w:rPr>
          <w:rFonts w:asciiTheme="majorBidi" w:hAnsiTheme="majorBidi" w:cstheme="majorBidi"/>
          <w:color w:val="000000" w:themeColor="text1"/>
        </w:rPr>
        <w:t xml:space="preserve">it </w:t>
      </w:r>
      <w:r w:rsidR="00720FBD" w:rsidRPr="000354D8">
        <w:rPr>
          <w:rFonts w:asciiTheme="majorBidi" w:hAnsiTheme="majorBidi" w:cstheme="majorBidi"/>
          <w:color w:val="000000" w:themeColor="text1"/>
        </w:rPr>
        <w:t>be</w:t>
      </w:r>
      <w:r w:rsidRPr="000354D8">
        <w:rPr>
          <w:rFonts w:asciiTheme="majorBidi" w:hAnsiTheme="majorBidi" w:cstheme="majorBidi"/>
          <w:color w:val="000000" w:themeColor="text1"/>
        </w:rPr>
        <w:t>ing</w:t>
      </w:r>
      <w:r w:rsidR="00720FBD" w:rsidRPr="000354D8">
        <w:rPr>
          <w:rFonts w:asciiTheme="majorBidi" w:hAnsiTheme="majorBidi" w:cstheme="majorBidi"/>
          <w:color w:val="000000" w:themeColor="text1"/>
        </w:rPr>
        <w:t xml:space="preserve"> one of the highest source</w:t>
      </w:r>
      <w:r w:rsidRPr="000354D8">
        <w:rPr>
          <w:rFonts w:asciiTheme="majorBidi" w:hAnsiTheme="majorBidi" w:cstheme="majorBidi"/>
          <w:color w:val="000000" w:themeColor="text1"/>
        </w:rPr>
        <w:t>s</w:t>
      </w:r>
      <w:r w:rsidR="00720FBD" w:rsidRPr="000354D8">
        <w:rPr>
          <w:rFonts w:asciiTheme="majorBidi" w:hAnsiTheme="majorBidi" w:cstheme="majorBidi"/>
          <w:color w:val="000000" w:themeColor="text1"/>
        </w:rPr>
        <w:t xml:space="preserve"> </w:t>
      </w:r>
      <w:r w:rsidRPr="000354D8">
        <w:rPr>
          <w:rFonts w:asciiTheme="majorBidi" w:hAnsiTheme="majorBidi" w:cstheme="majorBidi"/>
          <w:color w:val="000000" w:themeColor="text1"/>
        </w:rPr>
        <w:t>of</w:t>
      </w:r>
      <w:r w:rsidR="00720FBD" w:rsidRPr="000354D8">
        <w:rPr>
          <w:rFonts w:asciiTheme="majorBidi" w:hAnsiTheme="majorBidi" w:cstheme="majorBidi"/>
          <w:color w:val="000000" w:themeColor="text1"/>
        </w:rPr>
        <w:t xml:space="preserve"> environmental emissions. </w:t>
      </w:r>
      <w:r w:rsidR="00DD2ABA">
        <w:rPr>
          <w:rFonts w:asciiTheme="majorBidi" w:hAnsiTheme="majorBidi" w:cstheme="majorBidi"/>
          <w:color w:val="000000" w:themeColor="text1"/>
        </w:rPr>
        <w:t>Q</w:t>
      </w:r>
      <w:r w:rsidR="00720FBD" w:rsidRPr="000354D8">
        <w:rPr>
          <w:rFonts w:asciiTheme="majorBidi" w:hAnsiTheme="majorBidi" w:cstheme="majorBidi"/>
          <w:color w:val="000000" w:themeColor="text1"/>
        </w:rPr>
        <w:t xml:space="preserve">uantifying </w:t>
      </w:r>
      <w:r w:rsidR="00DD2ABA">
        <w:rPr>
          <w:rFonts w:asciiTheme="majorBidi" w:hAnsiTheme="majorBidi" w:cstheme="majorBidi"/>
          <w:color w:val="000000" w:themeColor="text1"/>
        </w:rPr>
        <w:t xml:space="preserve">the impact of </w:t>
      </w:r>
      <w:r w:rsidR="00DD2ABA" w:rsidRPr="000354D8">
        <w:rPr>
          <w:rFonts w:asciiTheme="majorBidi" w:hAnsiTheme="majorBidi" w:cstheme="majorBidi"/>
          <w:color w:val="000000" w:themeColor="text1"/>
        </w:rPr>
        <w:t>building material</w:t>
      </w:r>
      <w:r w:rsidR="00DD2ABA">
        <w:rPr>
          <w:rFonts w:asciiTheme="majorBidi" w:hAnsiTheme="majorBidi" w:cstheme="majorBidi"/>
          <w:color w:val="000000" w:themeColor="text1"/>
        </w:rPr>
        <w:t>s</w:t>
      </w:r>
      <w:r w:rsidR="00720FBD" w:rsidRPr="000354D8">
        <w:rPr>
          <w:rFonts w:asciiTheme="majorBidi" w:hAnsiTheme="majorBidi" w:cstheme="majorBidi"/>
          <w:color w:val="000000" w:themeColor="text1"/>
        </w:rPr>
        <w:t xml:space="preserve"> is critical </w:t>
      </w:r>
      <w:r w:rsidR="00DD2ABA">
        <w:rPr>
          <w:rFonts w:asciiTheme="majorBidi" w:hAnsiTheme="majorBidi" w:cstheme="majorBidi"/>
          <w:color w:val="000000" w:themeColor="text1"/>
        </w:rPr>
        <w:t>if</w:t>
      </w:r>
      <w:r w:rsidR="00720FBD" w:rsidRPr="000354D8">
        <w:rPr>
          <w:rFonts w:asciiTheme="majorBidi" w:hAnsiTheme="majorBidi" w:cstheme="majorBidi"/>
          <w:color w:val="000000" w:themeColor="text1"/>
        </w:rPr>
        <w:t xml:space="preserve"> </w:t>
      </w:r>
      <w:r w:rsidR="00DD2ABA" w:rsidRPr="000354D8">
        <w:rPr>
          <w:rFonts w:asciiTheme="majorBidi" w:hAnsiTheme="majorBidi" w:cstheme="majorBidi"/>
          <w:color w:val="000000" w:themeColor="text1"/>
        </w:rPr>
        <w:t>strateg</w:t>
      </w:r>
      <w:r w:rsidR="00DD2ABA">
        <w:rPr>
          <w:rFonts w:asciiTheme="majorBidi" w:hAnsiTheme="majorBidi" w:cstheme="majorBidi"/>
          <w:color w:val="000000" w:themeColor="text1"/>
        </w:rPr>
        <w:t>ies</w:t>
      </w:r>
      <w:r w:rsidR="00DD2ABA" w:rsidRPr="000354D8">
        <w:rPr>
          <w:rFonts w:asciiTheme="majorBidi" w:hAnsiTheme="majorBidi" w:cstheme="majorBidi"/>
          <w:color w:val="000000" w:themeColor="text1"/>
        </w:rPr>
        <w:t xml:space="preserve"> </w:t>
      </w:r>
      <w:r w:rsidR="00720FBD" w:rsidRPr="000354D8">
        <w:rPr>
          <w:rFonts w:asciiTheme="majorBidi" w:hAnsiTheme="majorBidi" w:cstheme="majorBidi"/>
          <w:color w:val="000000" w:themeColor="text1"/>
        </w:rPr>
        <w:t xml:space="preserve">for mitigating environmental </w:t>
      </w:r>
      <w:r w:rsidR="00DD2ABA" w:rsidRPr="00DD2ABA">
        <w:rPr>
          <w:rFonts w:asciiTheme="majorBidi" w:hAnsiTheme="majorBidi" w:cstheme="majorBidi"/>
          <w:color w:val="000000" w:themeColor="text1"/>
        </w:rPr>
        <w:t>deterioration</w:t>
      </w:r>
      <w:r w:rsidR="00DD2ABA">
        <w:rPr>
          <w:rFonts w:asciiTheme="majorBidi" w:hAnsiTheme="majorBidi" w:cstheme="majorBidi"/>
          <w:color w:val="000000" w:themeColor="text1"/>
        </w:rPr>
        <w:t xml:space="preserve"> are to be developed</w:t>
      </w:r>
      <w:r w:rsidR="00720FBD" w:rsidRPr="000354D8">
        <w:rPr>
          <w:rFonts w:asciiTheme="majorBidi" w:hAnsiTheme="majorBidi" w:cstheme="majorBidi"/>
          <w:color w:val="000000" w:themeColor="text1"/>
        </w:rPr>
        <w:t xml:space="preserve">. </w:t>
      </w:r>
      <w:r w:rsidR="00DD03E1" w:rsidRPr="000354D8">
        <w:rPr>
          <w:rFonts w:asciiTheme="majorBidi" w:hAnsiTheme="majorBidi" w:cstheme="majorBidi"/>
          <w:color w:val="000000" w:themeColor="text1"/>
        </w:rPr>
        <w:t xml:space="preserve">The lifecycle assessment (LCA) consequential methodology has been applied to evaluate different </w:t>
      </w:r>
      <w:r w:rsidR="00DD2ABA">
        <w:rPr>
          <w:rFonts w:asciiTheme="majorBidi" w:hAnsiTheme="majorBidi" w:cstheme="majorBidi"/>
          <w:color w:val="000000" w:themeColor="text1"/>
        </w:rPr>
        <w:t xml:space="preserve">methods of constructing </w:t>
      </w:r>
      <w:r w:rsidR="00DD03E1" w:rsidRPr="000354D8">
        <w:rPr>
          <w:rFonts w:asciiTheme="majorBidi" w:hAnsiTheme="majorBidi" w:cstheme="majorBidi"/>
          <w:color w:val="000000" w:themeColor="text1"/>
        </w:rPr>
        <w:t xml:space="preserve">residential </w:t>
      </w:r>
      <w:r w:rsidR="00857703" w:rsidRPr="000354D8">
        <w:rPr>
          <w:rFonts w:asciiTheme="majorBidi" w:hAnsiTheme="majorBidi" w:cstheme="majorBidi"/>
          <w:color w:val="000000" w:themeColor="text1"/>
        </w:rPr>
        <w:t>double</w:t>
      </w:r>
      <w:r w:rsidR="00720FBD" w:rsidRPr="000354D8">
        <w:rPr>
          <w:rFonts w:asciiTheme="majorBidi" w:hAnsiTheme="majorBidi" w:cstheme="majorBidi"/>
          <w:color w:val="000000" w:themeColor="text1"/>
        </w:rPr>
        <w:t>-story building</w:t>
      </w:r>
      <w:r w:rsidR="00DD2ABA">
        <w:rPr>
          <w:rFonts w:asciiTheme="majorBidi" w:hAnsiTheme="majorBidi" w:cstheme="majorBidi"/>
          <w:color w:val="000000" w:themeColor="text1"/>
        </w:rPr>
        <w:t xml:space="preserve">s. The </w:t>
      </w:r>
      <w:r w:rsidR="00334C0B" w:rsidRPr="000354D8">
        <w:rPr>
          <w:rFonts w:asciiTheme="majorBidi" w:hAnsiTheme="majorBidi" w:cstheme="majorBidi"/>
          <w:color w:val="000000" w:themeColor="text1"/>
        </w:rPr>
        <w:t xml:space="preserve">ReCiPe methodology </w:t>
      </w:r>
      <w:r w:rsidR="00DD2ABA">
        <w:rPr>
          <w:rFonts w:asciiTheme="majorBidi" w:hAnsiTheme="majorBidi" w:cstheme="majorBidi"/>
          <w:color w:val="000000" w:themeColor="text1"/>
        </w:rPr>
        <w:t xml:space="preserve">has been used </w:t>
      </w:r>
      <w:r w:rsidR="00334C0B" w:rsidRPr="000354D8">
        <w:rPr>
          <w:rFonts w:asciiTheme="majorBidi" w:hAnsiTheme="majorBidi" w:cstheme="majorBidi"/>
          <w:color w:val="000000" w:themeColor="text1"/>
        </w:rPr>
        <w:t>for life cycle inventory</w:t>
      </w:r>
      <w:r w:rsidR="00720FBD" w:rsidRPr="000354D8">
        <w:rPr>
          <w:rFonts w:asciiTheme="majorBidi" w:hAnsiTheme="majorBidi" w:cstheme="majorBidi"/>
          <w:color w:val="000000" w:themeColor="text1"/>
        </w:rPr>
        <w:t xml:space="preserve">. </w:t>
      </w:r>
      <w:r w:rsidR="006F3984" w:rsidRPr="000354D8">
        <w:rPr>
          <w:rFonts w:asciiTheme="majorBidi" w:hAnsiTheme="majorBidi" w:cstheme="majorBidi"/>
          <w:color w:val="000000" w:themeColor="text1"/>
        </w:rPr>
        <w:t>Three different</w:t>
      </w:r>
      <w:r w:rsidR="006F3984" w:rsidRPr="000354D8">
        <w:rPr>
          <w:rFonts w:asciiTheme="majorBidi" w:hAnsiTheme="majorBidi" w:cstheme="majorBidi"/>
          <w:color w:val="000000" w:themeColor="text1"/>
          <w:shd w:val="clear" w:color="auto" w:fill="FFFFFF"/>
        </w:rPr>
        <w:t xml:space="preserve"> forms of mass timber construction </w:t>
      </w:r>
      <w:r w:rsidR="00DD2ABA">
        <w:rPr>
          <w:rFonts w:asciiTheme="majorBidi" w:hAnsiTheme="majorBidi" w:cstheme="majorBidi"/>
          <w:color w:val="000000" w:themeColor="text1"/>
          <w:shd w:val="clear" w:color="auto" w:fill="FFFFFF"/>
        </w:rPr>
        <w:t xml:space="preserve">have been considered </w:t>
      </w:r>
      <w:r w:rsidR="00DD2ABA" w:rsidRPr="000354D8">
        <w:rPr>
          <w:rFonts w:asciiTheme="majorBidi" w:hAnsiTheme="majorBidi" w:cstheme="majorBidi"/>
          <w:color w:val="000000" w:themeColor="text1"/>
          <w:shd w:val="clear" w:color="auto" w:fill="FFFFFF"/>
        </w:rPr>
        <w:t>includ</w:t>
      </w:r>
      <w:r w:rsidR="00DD2ABA">
        <w:rPr>
          <w:rFonts w:asciiTheme="majorBidi" w:hAnsiTheme="majorBidi" w:cstheme="majorBidi"/>
          <w:color w:val="000000" w:themeColor="text1"/>
          <w:shd w:val="clear" w:color="auto" w:fill="FFFFFF"/>
        </w:rPr>
        <w:t>ing</w:t>
      </w:r>
      <w:r w:rsidR="00DD2ABA" w:rsidRPr="000354D8">
        <w:rPr>
          <w:rFonts w:asciiTheme="majorBidi" w:hAnsiTheme="majorBidi" w:cstheme="majorBidi"/>
          <w:color w:val="000000" w:themeColor="text1"/>
          <w:shd w:val="clear" w:color="auto" w:fill="FFFFFF"/>
        </w:rPr>
        <w:t xml:space="preserve"> </w:t>
      </w:r>
      <w:r w:rsidR="00DC5899" w:rsidRPr="000354D8">
        <w:rPr>
          <w:rFonts w:asciiTheme="majorBidi" w:hAnsiTheme="majorBidi" w:cstheme="majorBidi"/>
          <w:color w:val="000000" w:themeColor="text1"/>
          <w:shd w:val="clear" w:color="auto" w:fill="FFFFFF"/>
        </w:rPr>
        <w:t>Cross-laminated timber (CLT), Nail Laminated Timber (NLT), and Dowel Laminated Timber (DLT)</w:t>
      </w:r>
      <w:r w:rsidR="00DD2ABA">
        <w:rPr>
          <w:rFonts w:asciiTheme="majorBidi" w:hAnsiTheme="majorBidi" w:cstheme="majorBidi"/>
          <w:color w:val="000000" w:themeColor="text1"/>
          <w:shd w:val="clear" w:color="auto" w:fill="FFFFFF"/>
        </w:rPr>
        <w:t xml:space="preserve">. These </w:t>
      </w:r>
      <w:r w:rsidR="00DC5899" w:rsidRPr="000354D8">
        <w:rPr>
          <w:rFonts w:asciiTheme="majorBidi" w:hAnsiTheme="majorBidi" w:cstheme="majorBidi"/>
          <w:color w:val="000000" w:themeColor="text1"/>
        </w:rPr>
        <w:t>ha</w:t>
      </w:r>
      <w:r w:rsidR="000B2EAD">
        <w:rPr>
          <w:rFonts w:asciiTheme="majorBidi" w:hAnsiTheme="majorBidi" w:cstheme="majorBidi"/>
          <w:color w:val="000000" w:themeColor="text1"/>
        </w:rPr>
        <w:t>ve</w:t>
      </w:r>
      <w:r w:rsidR="00DC5899" w:rsidRPr="000354D8">
        <w:rPr>
          <w:rFonts w:asciiTheme="majorBidi" w:hAnsiTheme="majorBidi" w:cstheme="majorBidi"/>
          <w:color w:val="000000" w:themeColor="text1"/>
        </w:rPr>
        <w:t xml:space="preserve"> </w:t>
      </w:r>
      <w:r w:rsidR="00A91159" w:rsidRPr="000354D8">
        <w:rPr>
          <w:rFonts w:asciiTheme="majorBidi" w:hAnsiTheme="majorBidi" w:cstheme="majorBidi"/>
          <w:color w:val="000000" w:themeColor="text1"/>
        </w:rPr>
        <w:t xml:space="preserve">been </w:t>
      </w:r>
      <w:r w:rsidR="00DC5899" w:rsidRPr="000354D8">
        <w:rPr>
          <w:rFonts w:asciiTheme="majorBidi" w:hAnsiTheme="majorBidi" w:cstheme="majorBidi"/>
          <w:color w:val="000000" w:themeColor="text1"/>
        </w:rPr>
        <w:t>assessed as load</w:t>
      </w:r>
      <w:r w:rsidR="00A91159" w:rsidRPr="000354D8">
        <w:rPr>
          <w:rFonts w:asciiTheme="majorBidi" w:hAnsiTheme="majorBidi" w:cstheme="majorBidi"/>
          <w:color w:val="000000" w:themeColor="text1"/>
        </w:rPr>
        <w:t>-</w:t>
      </w:r>
      <w:r w:rsidR="00DC5899" w:rsidRPr="000354D8">
        <w:rPr>
          <w:rFonts w:asciiTheme="majorBidi" w:hAnsiTheme="majorBidi" w:cstheme="majorBidi"/>
          <w:color w:val="000000" w:themeColor="text1"/>
        </w:rPr>
        <w:t>bearing panel</w:t>
      </w:r>
      <w:r w:rsidR="00DD2ABA">
        <w:rPr>
          <w:rFonts w:asciiTheme="majorBidi" w:hAnsiTheme="majorBidi" w:cstheme="majorBidi"/>
          <w:color w:val="000000" w:themeColor="text1"/>
        </w:rPr>
        <w:t>s</w:t>
      </w:r>
      <w:r w:rsidR="00357772" w:rsidRPr="000354D8">
        <w:rPr>
          <w:rFonts w:asciiTheme="majorBidi" w:hAnsiTheme="majorBidi" w:cstheme="majorBidi"/>
          <w:color w:val="000000" w:themeColor="text1"/>
        </w:rPr>
        <w:t xml:space="preserve"> or wood frame construction</w:t>
      </w:r>
      <w:r w:rsidR="00DC5899" w:rsidRPr="000354D8">
        <w:rPr>
          <w:rFonts w:asciiTheme="majorBidi" w:hAnsiTheme="majorBidi" w:cstheme="majorBidi"/>
          <w:color w:val="000000" w:themeColor="text1"/>
        </w:rPr>
        <w:t>.</w:t>
      </w:r>
      <w:r w:rsidR="00357772" w:rsidRPr="000354D8">
        <w:rPr>
          <w:rFonts w:asciiTheme="majorBidi" w:hAnsiTheme="majorBidi" w:cstheme="majorBidi"/>
          <w:color w:val="000000" w:themeColor="text1"/>
        </w:rPr>
        <w:t xml:space="preserve"> </w:t>
      </w:r>
      <w:r w:rsidR="00DC5899" w:rsidRPr="000354D8">
        <w:rPr>
          <w:rFonts w:asciiTheme="majorBidi" w:hAnsiTheme="majorBidi" w:cstheme="majorBidi"/>
        </w:rPr>
        <w:t xml:space="preserve">We evaluated the </w:t>
      </w:r>
      <w:r w:rsidR="006330C4" w:rsidRPr="000354D8">
        <w:rPr>
          <w:rFonts w:asciiTheme="majorBidi" w:hAnsiTheme="majorBidi" w:cstheme="majorBidi"/>
        </w:rPr>
        <w:t>global warming potential (GWP), embodied energy</w:t>
      </w:r>
      <w:r w:rsidR="000B2EAD">
        <w:rPr>
          <w:rFonts w:asciiTheme="majorBidi" w:hAnsiTheme="majorBidi" w:cstheme="majorBidi"/>
        </w:rPr>
        <w:t>,</w:t>
      </w:r>
      <w:r w:rsidR="006330C4" w:rsidRPr="000354D8">
        <w:rPr>
          <w:rFonts w:asciiTheme="majorBidi" w:hAnsiTheme="majorBidi" w:cstheme="majorBidi"/>
        </w:rPr>
        <w:t xml:space="preserve"> and cost </w:t>
      </w:r>
      <w:r w:rsidR="00DC5899" w:rsidRPr="000354D8">
        <w:rPr>
          <w:rFonts w:asciiTheme="majorBidi" w:hAnsiTheme="majorBidi" w:cstheme="majorBidi"/>
        </w:rPr>
        <w:t>to identify the building type with the lowest impacts.</w:t>
      </w:r>
      <w:r w:rsidR="000B2EAD">
        <w:rPr>
          <w:rFonts w:asciiTheme="majorBidi" w:hAnsiTheme="majorBidi" w:cstheme="majorBidi"/>
        </w:rPr>
        <w:t xml:space="preserve"> </w:t>
      </w:r>
      <w:r w:rsidR="00D61156" w:rsidRPr="000354D8">
        <w:rPr>
          <w:rFonts w:asciiTheme="majorBidi" w:hAnsiTheme="majorBidi" w:cstheme="majorBidi"/>
        </w:rPr>
        <w:t>The result</w:t>
      </w:r>
      <w:r w:rsidR="00DD2ABA">
        <w:rPr>
          <w:rFonts w:asciiTheme="majorBidi" w:hAnsiTheme="majorBidi" w:cstheme="majorBidi"/>
        </w:rPr>
        <w:t>s</w:t>
      </w:r>
      <w:r w:rsidR="00D61156" w:rsidRPr="000354D8">
        <w:rPr>
          <w:rFonts w:asciiTheme="majorBidi" w:hAnsiTheme="majorBidi" w:cstheme="majorBidi"/>
        </w:rPr>
        <w:t xml:space="preserve"> revealed that </w:t>
      </w:r>
      <w:r w:rsidR="006330C4" w:rsidRPr="000354D8">
        <w:rPr>
          <w:rFonts w:asciiTheme="majorBidi" w:hAnsiTheme="majorBidi" w:cstheme="majorBidi"/>
        </w:rPr>
        <w:t>total CO</w:t>
      </w:r>
      <w:r w:rsidR="006330C4" w:rsidRPr="000354D8">
        <w:rPr>
          <w:rFonts w:asciiTheme="majorBidi" w:hAnsiTheme="majorBidi" w:cstheme="majorBidi"/>
          <w:vertAlign w:val="subscript"/>
        </w:rPr>
        <w:t>2</w:t>
      </w:r>
      <w:r w:rsidR="006330C4" w:rsidRPr="000354D8">
        <w:rPr>
          <w:rFonts w:asciiTheme="majorBidi" w:hAnsiTheme="majorBidi" w:cstheme="majorBidi"/>
        </w:rPr>
        <w:t xml:space="preserve"> emission</w:t>
      </w:r>
      <w:r w:rsidR="000B2EAD">
        <w:rPr>
          <w:rFonts w:asciiTheme="majorBidi" w:hAnsiTheme="majorBidi" w:cstheme="majorBidi"/>
        </w:rPr>
        <w:t>s</w:t>
      </w:r>
      <w:r w:rsidR="006330C4" w:rsidRPr="000354D8">
        <w:rPr>
          <w:rFonts w:asciiTheme="majorBidi" w:hAnsiTheme="majorBidi" w:cstheme="majorBidi"/>
        </w:rPr>
        <w:t xml:space="preserve"> for mass timbers for </w:t>
      </w:r>
      <w:r w:rsidR="000B2EAD">
        <w:rPr>
          <w:rFonts w:asciiTheme="majorBidi" w:hAnsiTheme="majorBidi" w:cstheme="majorBidi"/>
        </w:rPr>
        <w:t xml:space="preserve">the </w:t>
      </w:r>
      <w:r w:rsidR="006330C4" w:rsidRPr="000354D8">
        <w:rPr>
          <w:rFonts w:asciiTheme="majorBidi" w:hAnsiTheme="majorBidi" w:cstheme="majorBidi"/>
        </w:rPr>
        <w:t xml:space="preserve">construction stage are </w:t>
      </w:r>
      <w:r w:rsidR="006330C4" w:rsidRPr="003A58F7">
        <w:rPr>
          <w:rFonts w:asciiTheme="majorBidi" w:eastAsia="Times New Roman" w:hAnsiTheme="majorBidi" w:cstheme="majorBidi"/>
          <w:color w:val="000000"/>
        </w:rPr>
        <w:t>130</w:t>
      </w:r>
      <w:r w:rsidR="006330C4" w:rsidRPr="000354D8">
        <w:rPr>
          <w:rFonts w:asciiTheme="majorBidi" w:hAnsiTheme="majorBidi" w:cstheme="majorBidi"/>
        </w:rPr>
        <w:t xml:space="preserve"> CO</w:t>
      </w:r>
      <w:r w:rsidR="006330C4" w:rsidRPr="000354D8">
        <w:rPr>
          <w:rFonts w:asciiTheme="majorBidi" w:hAnsiTheme="majorBidi" w:cstheme="majorBidi"/>
          <w:vertAlign w:val="subscript"/>
        </w:rPr>
        <w:t>2</w:t>
      </w:r>
      <w:r w:rsidR="006330C4" w:rsidRPr="000354D8">
        <w:rPr>
          <w:rFonts w:asciiTheme="majorBidi" w:hAnsiTheme="majorBidi" w:cstheme="majorBidi"/>
        </w:rPr>
        <w:t>/M</w:t>
      </w:r>
      <w:r w:rsidR="006330C4" w:rsidRPr="000354D8">
        <w:rPr>
          <w:rFonts w:asciiTheme="majorBidi" w:hAnsiTheme="majorBidi" w:cstheme="majorBidi"/>
          <w:vertAlign w:val="superscript"/>
        </w:rPr>
        <w:t>2</w:t>
      </w:r>
      <w:r w:rsidR="006330C4" w:rsidRPr="000354D8">
        <w:rPr>
          <w:rFonts w:asciiTheme="majorBidi" w:eastAsia="Times New Roman" w:hAnsiTheme="majorBidi" w:cstheme="majorBidi"/>
          <w:color w:val="000000"/>
        </w:rPr>
        <w:t xml:space="preserve">, </w:t>
      </w:r>
      <w:r w:rsidR="006330C4" w:rsidRPr="003A58F7">
        <w:rPr>
          <w:rFonts w:asciiTheme="majorBidi" w:eastAsia="Times New Roman" w:hAnsiTheme="majorBidi" w:cstheme="majorBidi"/>
          <w:color w:val="000000"/>
        </w:rPr>
        <w:t>118</w:t>
      </w:r>
      <w:r w:rsidR="006330C4" w:rsidRPr="000354D8">
        <w:rPr>
          <w:rFonts w:asciiTheme="majorBidi" w:hAnsiTheme="majorBidi" w:cstheme="majorBidi"/>
        </w:rPr>
        <w:t xml:space="preserve"> CO</w:t>
      </w:r>
      <w:r w:rsidR="006330C4" w:rsidRPr="000354D8">
        <w:rPr>
          <w:rFonts w:asciiTheme="majorBidi" w:hAnsiTheme="majorBidi" w:cstheme="majorBidi"/>
          <w:vertAlign w:val="subscript"/>
        </w:rPr>
        <w:t>2</w:t>
      </w:r>
      <w:r w:rsidR="006330C4" w:rsidRPr="000354D8">
        <w:rPr>
          <w:rFonts w:asciiTheme="majorBidi" w:hAnsiTheme="majorBidi" w:cstheme="majorBidi"/>
        </w:rPr>
        <w:t>/M</w:t>
      </w:r>
      <w:r w:rsidR="006330C4" w:rsidRPr="000354D8">
        <w:rPr>
          <w:rFonts w:asciiTheme="majorBidi" w:hAnsiTheme="majorBidi" w:cstheme="majorBidi"/>
          <w:vertAlign w:val="superscript"/>
        </w:rPr>
        <w:t>2</w:t>
      </w:r>
      <w:r w:rsidR="000B2EAD">
        <w:rPr>
          <w:rFonts w:asciiTheme="majorBidi" w:hAnsiTheme="majorBidi" w:cstheme="majorBidi"/>
          <w:vertAlign w:val="superscript"/>
        </w:rPr>
        <w:t>,</w:t>
      </w:r>
      <w:r w:rsidR="006330C4" w:rsidRPr="000354D8">
        <w:rPr>
          <w:rFonts w:asciiTheme="majorBidi" w:eastAsia="Times New Roman" w:hAnsiTheme="majorBidi" w:cstheme="majorBidi"/>
          <w:color w:val="000000"/>
        </w:rPr>
        <w:t xml:space="preserve"> and </w:t>
      </w:r>
      <w:r w:rsidR="006330C4" w:rsidRPr="003A58F7">
        <w:rPr>
          <w:rFonts w:asciiTheme="majorBidi" w:eastAsia="Times New Roman" w:hAnsiTheme="majorBidi" w:cstheme="majorBidi"/>
          <w:color w:val="000000"/>
        </w:rPr>
        <w:t>132</w:t>
      </w:r>
      <w:r w:rsidR="006330C4" w:rsidRPr="000354D8">
        <w:rPr>
          <w:rFonts w:asciiTheme="majorBidi" w:eastAsia="Times New Roman" w:hAnsiTheme="majorBidi" w:cstheme="majorBidi"/>
          <w:color w:val="000000"/>
        </w:rPr>
        <w:t xml:space="preserve"> </w:t>
      </w:r>
      <w:r w:rsidR="006330C4" w:rsidRPr="000354D8">
        <w:rPr>
          <w:rFonts w:asciiTheme="majorBidi" w:hAnsiTheme="majorBidi" w:cstheme="majorBidi"/>
        </w:rPr>
        <w:t>CO</w:t>
      </w:r>
      <w:r w:rsidR="006330C4" w:rsidRPr="000354D8">
        <w:rPr>
          <w:rFonts w:asciiTheme="majorBidi" w:hAnsiTheme="majorBidi" w:cstheme="majorBidi"/>
          <w:vertAlign w:val="subscript"/>
        </w:rPr>
        <w:t>2</w:t>
      </w:r>
      <w:r w:rsidR="006330C4" w:rsidRPr="000354D8">
        <w:rPr>
          <w:rFonts w:asciiTheme="majorBidi" w:hAnsiTheme="majorBidi" w:cstheme="majorBidi"/>
        </w:rPr>
        <w:t>/M</w:t>
      </w:r>
      <w:r w:rsidR="006330C4" w:rsidRPr="000354D8">
        <w:rPr>
          <w:rFonts w:asciiTheme="majorBidi" w:hAnsiTheme="majorBidi" w:cstheme="majorBidi"/>
          <w:vertAlign w:val="superscript"/>
        </w:rPr>
        <w:t xml:space="preserve">2 </w:t>
      </w:r>
      <w:r w:rsidR="006330C4" w:rsidRPr="000354D8">
        <w:rPr>
          <w:rFonts w:asciiTheme="majorBidi" w:hAnsiTheme="majorBidi" w:cstheme="majorBidi"/>
        </w:rPr>
        <w:t xml:space="preserve">of </w:t>
      </w:r>
      <w:r w:rsidR="000B2EAD">
        <w:rPr>
          <w:rFonts w:asciiTheme="majorBidi" w:hAnsiTheme="majorBidi" w:cstheme="majorBidi"/>
        </w:rPr>
        <w:t xml:space="preserve">the </w:t>
      </w:r>
      <w:r w:rsidR="006330C4" w:rsidRPr="000354D8">
        <w:rPr>
          <w:rFonts w:asciiTheme="majorBidi" w:hAnsiTheme="majorBidi" w:cstheme="majorBidi"/>
        </w:rPr>
        <w:t>panel for CLT, DLT</w:t>
      </w:r>
      <w:r w:rsidR="000B2EAD">
        <w:rPr>
          <w:rFonts w:asciiTheme="majorBidi" w:hAnsiTheme="majorBidi" w:cstheme="majorBidi"/>
        </w:rPr>
        <w:t>,</w:t>
      </w:r>
      <w:r w:rsidR="006330C4" w:rsidRPr="000354D8">
        <w:rPr>
          <w:rFonts w:asciiTheme="majorBidi" w:hAnsiTheme="majorBidi" w:cstheme="majorBidi"/>
        </w:rPr>
        <w:t xml:space="preserve"> and NLT</w:t>
      </w:r>
      <w:r w:rsidR="00DD2ABA">
        <w:rPr>
          <w:rFonts w:asciiTheme="majorBidi" w:hAnsiTheme="majorBidi" w:cstheme="majorBidi"/>
        </w:rPr>
        <w:t xml:space="preserve"> respectively</w:t>
      </w:r>
      <w:r w:rsidR="006330C4" w:rsidRPr="000354D8">
        <w:rPr>
          <w:rFonts w:asciiTheme="majorBidi" w:hAnsiTheme="majorBidi" w:cstheme="majorBidi"/>
        </w:rPr>
        <w:t xml:space="preserve">. The embodied energy emission </w:t>
      </w:r>
      <w:r w:rsidR="000B2EAD">
        <w:rPr>
          <w:rFonts w:asciiTheme="majorBidi" w:hAnsiTheme="majorBidi" w:cstheme="majorBidi"/>
        </w:rPr>
        <w:t>is</w:t>
      </w:r>
      <w:r w:rsidR="006330C4" w:rsidRPr="000354D8">
        <w:rPr>
          <w:rFonts w:asciiTheme="majorBidi" w:hAnsiTheme="majorBidi" w:cstheme="majorBidi"/>
        </w:rPr>
        <w:t xml:space="preserve"> </w:t>
      </w:r>
      <w:r w:rsidR="006330C4" w:rsidRPr="003A58F7">
        <w:rPr>
          <w:rFonts w:asciiTheme="majorBidi" w:eastAsia="Times New Roman" w:hAnsiTheme="majorBidi" w:cstheme="majorBidi"/>
          <w:color w:val="000000"/>
        </w:rPr>
        <w:t>1921</w:t>
      </w:r>
      <w:r w:rsidR="006330C4" w:rsidRPr="000354D8">
        <w:rPr>
          <w:rFonts w:asciiTheme="majorBidi" w:eastAsia="Times New Roman" w:hAnsiTheme="majorBidi" w:cstheme="majorBidi"/>
          <w:color w:val="000000"/>
        </w:rPr>
        <w:t xml:space="preserve"> MJ/M</w:t>
      </w:r>
      <w:r w:rsidR="006330C4" w:rsidRPr="000354D8">
        <w:rPr>
          <w:rFonts w:asciiTheme="majorBidi" w:eastAsia="Times New Roman" w:hAnsiTheme="majorBidi" w:cstheme="majorBidi"/>
          <w:color w:val="000000"/>
          <w:vertAlign w:val="superscript"/>
        </w:rPr>
        <w:t>2</w:t>
      </w:r>
      <w:r w:rsidR="006330C4" w:rsidRPr="000354D8">
        <w:rPr>
          <w:rFonts w:asciiTheme="majorBidi" w:eastAsia="Times New Roman" w:hAnsiTheme="majorBidi" w:cstheme="majorBidi"/>
          <w:color w:val="000000"/>
        </w:rPr>
        <w:t xml:space="preserve">, </w:t>
      </w:r>
      <w:r w:rsidR="006330C4" w:rsidRPr="003A58F7">
        <w:rPr>
          <w:rFonts w:asciiTheme="majorBidi" w:eastAsia="Times New Roman" w:hAnsiTheme="majorBidi" w:cstheme="majorBidi"/>
          <w:color w:val="000000"/>
        </w:rPr>
        <w:t>1902</w:t>
      </w:r>
      <w:r w:rsidR="006330C4" w:rsidRPr="000354D8">
        <w:rPr>
          <w:rFonts w:asciiTheme="majorBidi" w:eastAsia="Times New Roman" w:hAnsiTheme="majorBidi" w:cstheme="majorBidi"/>
          <w:color w:val="000000"/>
        </w:rPr>
        <w:t xml:space="preserve"> MJ/M</w:t>
      </w:r>
      <w:r w:rsidR="006330C4" w:rsidRPr="000354D8">
        <w:rPr>
          <w:rFonts w:asciiTheme="majorBidi" w:eastAsia="Times New Roman" w:hAnsiTheme="majorBidi" w:cstheme="majorBidi"/>
          <w:color w:val="000000"/>
          <w:vertAlign w:val="superscript"/>
        </w:rPr>
        <w:t>2</w:t>
      </w:r>
      <w:r w:rsidR="000B2EAD">
        <w:rPr>
          <w:rFonts w:asciiTheme="majorBidi" w:eastAsia="Times New Roman" w:hAnsiTheme="majorBidi" w:cstheme="majorBidi"/>
          <w:color w:val="000000"/>
          <w:vertAlign w:val="superscript"/>
        </w:rPr>
        <w:t xml:space="preserve">, </w:t>
      </w:r>
      <w:r w:rsidR="006330C4" w:rsidRPr="000354D8">
        <w:rPr>
          <w:rFonts w:asciiTheme="majorBidi" w:eastAsia="Times New Roman" w:hAnsiTheme="majorBidi" w:cstheme="majorBidi"/>
          <w:color w:val="000000"/>
        </w:rPr>
        <w:t xml:space="preserve">and </w:t>
      </w:r>
      <w:r w:rsidR="006330C4" w:rsidRPr="003A58F7">
        <w:rPr>
          <w:rFonts w:asciiTheme="majorBidi" w:eastAsia="Times New Roman" w:hAnsiTheme="majorBidi" w:cstheme="majorBidi"/>
          <w:color w:val="000000"/>
        </w:rPr>
        <w:t>2130</w:t>
      </w:r>
      <w:r w:rsidR="006330C4" w:rsidRPr="000354D8">
        <w:rPr>
          <w:rFonts w:asciiTheme="majorBidi" w:eastAsia="Times New Roman" w:hAnsiTheme="majorBidi" w:cstheme="majorBidi"/>
          <w:color w:val="000000"/>
        </w:rPr>
        <w:t xml:space="preserve"> MJ/M</w:t>
      </w:r>
      <w:r w:rsidR="006330C4" w:rsidRPr="000354D8">
        <w:rPr>
          <w:rFonts w:asciiTheme="majorBidi" w:eastAsia="Times New Roman" w:hAnsiTheme="majorBidi" w:cstheme="majorBidi"/>
          <w:color w:val="000000"/>
          <w:vertAlign w:val="superscript"/>
        </w:rPr>
        <w:t>2</w:t>
      </w:r>
      <w:r w:rsidR="006330C4" w:rsidRPr="000354D8">
        <w:rPr>
          <w:rFonts w:asciiTheme="majorBidi" w:eastAsia="Times New Roman" w:hAnsiTheme="majorBidi" w:cstheme="majorBidi"/>
          <w:color w:val="000000"/>
        </w:rPr>
        <w:t xml:space="preserve"> related to the </w:t>
      </w:r>
      <w:r w:rsidR="006330C4" w:rsidRPr="000354D8">
        <w:rPr>
          <w:rFonts w:asciiTheme="majorBidi" w:hAnsiTheme="majorBidi" w:cstheme="majorBidi"/>
        </w:rPr>
        <w:t>CLT, DLT</w:t>
      </w:r>
      <w:r w:rsidR="000B2EAD">
        <w:rPr>
          <w:rFonts w:asciiTheme="majorBidi" w:hAnsiTheme="majorBidi" w:cstheme="majorBidi"/>
        </w:rPr>
        <w:t>,</w:t>
      </w:r>
      <w:r w:rsidR="006330C4" w:rsidRPr="000354D8">
        <w:rPr>
          <w:rFonts w:asciiTheme="majorBidi" w:hAnsiTheme="majorBidi" w:cstheme="majorBidi"/>
        </w:rPr>
        <w:t xml:space="preserve"> and NLT, respectively</w:t>
      </w:r>
      <w:r w:rsidR="000B2EAD">
        <w:rPr>
          <w:rFonts w:asciiTheme="majorBidi" w:hAnsiTheme="majorBidi" w:cstheme="majorBidi"/>
        </w:rPr>
        <w:t>,</w:t>
      </w:r>
      <w:r w:rsidR="006330C4" w:rsidRPr="000354D8">
        <w:rPr>
          <w:rFonts w:asciiTheme="majorBidi" w:hAnsiTheme="majorBidi" w:cstheme="majorBidi"/>
        </w:rPr>
        <w:t xml:space="preserve"> for this stage. The result</w:t>
      </w:r>
      <w:r w:rsidR="00847850">
        <w:rPr>
          <w:rFonts w:asciiTheme="majorBidi" w:hAnsiTheme="majorBidi" w:cstheme="majorBidi"/>
        </w:rPr>
        <w:t>s also</w:t>
      </w:r>
      <w:r w:rsidR="006330C4" w:rsidRPr="000354D8">
        <w:rPr>
          <w:rFonts w:asciiTheme="majorBidi" w:hAnsiTheme="majorBidi" w:cstheme="majorBidi"/>
        </w:rPr>
        <w:t xml:space="preserve"> indicated that the carbon emission of DLT is lowest compare</w:t>
      </w:r>
      <w:r w:rsidR="00C30AC5">
        <w:rPr>
          <w:rFonts w:asciiTheme="majorBidi" w:hAnsiTheme="majorBidi" w:cstheme="majorBidi"/>
        </w:rPr>
        <w:t>d</w:t>
      </w:r>
      <w:r w:rsidR="006330C4" w:rsidRPr="000354D8">
        <w:rPr>
          <w:rFonts w:asciiTheme="majorBidi" w:hAnsiTheme="majorBidi" w:cstheme="majorBidi"/>
        </w:rPr>
        <w:t xml:space="preserve"> to </w:t>
      </w:r>
      <w:r w:rsidR="000B2EAD">
        <w:rPr>
          <w:rFonts w:asciiTheme="majorBidi" w:hAnsiTheme="majorBidi" w:cstheme="majorBidi"/>
        </w:rPr>
        <w:t xml:space="preserve">the </w:t>
      </w:r>
      <w:r w:rsidR="006330C4" w:rsidRPr="000354D8">
        <w:rPr>
          <w:rFonts w:asciiTheme="majorBidi" w:hAnsiTheme="majorBidi" w:cstheme="majorBidi"/>
        </w:rPr>
        <w:t xml:space="preserve">other two alternatives in </w:t>
      </w:r>
      <w:r w:rsidR="000B2EAD">
        <w:rPr>
          <w:rFonts w:asciiTheme="majorBidi" w:hAnsiTheme="majorBidi" w:cstheme="majorBidi"/>
        </w:rPr>
        <w:t xml:space="preserve">the </w:t>
      </w:r>
      <w:r w:rsidR="006330C4" w:rsidRPr="000354D8">
        <w:rPr>
          <w:rFonts w:asciiTheme="majorBidi" w:hAnsiTheme="majorBidi" w:cstheme="majorBidi"/>
        </w:rPr>
        <w:t>manufacturing and construction stage</w:t>
      </w:r>
      <w:r w:rsidR="000B2EAD">
        <w:rPr>
          <w:rFonts w:asciiTheme="majorBidi" w:hAnsiTheme="majorBidi" w:cstheme="majorBidi"/>
        </w:rPr>
        <w:t>s</w:t>
      </w:r>
      <w:r w:rsidR="006330C4" w:rsidRPr="000354D8">
        <w:rPr>
          <w:rFonts w:asciiTheme="majorBidi" w:hAnsiTheme="majorBidi" w:cstheme="majorBidi"/>
        </w:rPr>
        <w:t xml:space="preserve">. However, </w:t>
      </w:r>
      <w:r w:rsidR="00847850">
        <w:rPr>
          <w:rFonts w:asciiTheme="majorBidi" w:hAnsiTheme="majorBidi" w:cstheme="majorBidi"/>
        </w:rPr>
        <w:t>when</w:t>
      </w:r>
      <w:r w:rsidR="00847850" w:rsidRPr="000354D8">
        <w:rPr>
          <w:rFonts w:asciiTheme="majorBidi" w:hAnsiTheme="majorBidi" w:cstheme="majorBidi"/>
        </w:rPr>
        <w:t xml:space="preserve"> </w:t>
      </w:r>
      <w:r w:rsidR="006330C4" w:rsidRPr="000354D8">
        <w:rPr>
          <w:rFonts w:asciiTheme="majorBidi" w:hAnsiTheme="majorBidi" w:cstheme="majorBidi"/>
        </w:rPr>
        <w:t xml:space="preserve">the </w:t>
      </w:r>
      <w:r w:rsidR="00847850">
        <w:rPr>
          <w:rFonts w:asciiTheme="majorBidi" w:hAnsiTheme="majorBidi" w:cstheme="majorBidi"/>
        </w:rPr>
        <w:t>entire</w:t>
      </w:r>
      <w:r w:rsidR="00847850" w:rsidRPr="000354D8">
        <w:rPr>
          <w:rFonts w:asciiTheme="majorBidi" w:hAnsiTheme="majorBidi" w:cstheme="majorBidi"/>
        </w:rPr>
        <w:t xml:space="preserve"> </w:t>
      </w:r>
      <w:r w:rsidR="006330C4" w:rsidRPr="000354D8">
        <w:rPr>
          <w:rFonts w:asciiTheme="majorBidi" w:hAnsiTheme="majorBidi" w:cstheme="majorBidi"/>
        </w:rPr>
        <w:t xml:space="preserve">life cycle </w:t>
      </w:r>
      <w:r w:rsidR="00847850">
        <w:rPr>
          <w:rFonts w:asciiTheme="majorBidi" w:hAnsiTheme="majorBidi" w:cstheme="majorBidi"/>
        </w:rPr>
        <w:t>is considered</w:t>
      </w:r>
      <w:r w:rsidR="000B2EAD">
        <w:rPr>
          <w:rFonts w:asciiTheme="majorBidi" w:hAnsiTheme="majorBidi" w:cstheme="majorBidi"/>
        </w:rPr>
        <w:t xml:space="preserve">, </w:t>
      </w:r>
      <w:r w:rsidR="006330C4" w:rsidRPr="000354D8">
        <w:rPr>
          <w:rFonts w:asciiTheme="majorBidi" w:hAnsiTheme="majorBidi" w:cstheme="majorBidi"/>
        </w:rPr>
        <w:t xml:space="preserve">NLT </w:t>
      </w:r>
      <w:r w:rsidR="00847850">
        <w:rPr>
          <w:rFonts w:asciiTheme="majorBidi" w:hAnsiTheme="majorBidi" w:cstheme="majorBidi"/>
        </w:rPr>
        <w:t>i</w:t>
      </w:r>
      <w:r w:rsidR="006330C4" w:rsidRPr="000354D8">
        <w:rPr>
          <w:rFonts w:asciiTheme="majorBidi" w:hAnsiTheme="majorBidi" w:cstheme="majorBidi"/>
        </w:rPr>
        <w:t>s the most favorable</w:t>
      </w:r>
      <w:r w:rsidR="000354D8" w:rsidRPr="000354D8">
        <w:rPr>
          <w:rFonts w:asciiTheme="majorBidi" w:hAnsiTheme="majorBidi" w:cstheme="majorBidi"/>
        </w:rPr>
        <w:t xml:space="preserve"> </w:t>
      </w:r>
      <w:r w:rsidR="00847850">
        <w:rPr>
          <w:rFonts w:asciiTheme="majorBidi" w:hAnsiTheme="majorBidi" w:cstheme="majorBidi"/>
        </w:rPr>
        <w:t>material</w:t>
      </w:r>
      <w:r w:rsidR="000354D8" w:rsidRPr="000354D8">
        <w:rPr>
          <w:rFonts w:asciiTheme="majorBidi" w:hAnsiTheme="majorBidi" w:cstheme="majorBidi"/>
        </w:rPr>
        <w:t>.</w:t>
      </w:r>
      <w:r w:rsidR="00C30AC5">
        <w:rPr>
          <w:rFonts w:asciiTheme="majorBidi" w:hAnsiTheme="majorBidi" w:cstheme="majorBidi"/>
        </w:rPr>
        <w:t xml:space="preserve"> </w:t>
      </w:r>
      <w:r w:rsidR="00847850">
        <w:rPr>
          <w:rFonts w:asciiTheme="majorBidi" w:hAnsiTheme="majorBidi" w:cstheme="majorBidi"/>
        </w:rPr>
        <w:t>However, based on the</w:t>
      </w:r>
      <w:r w:rsidR="000354D8" w:rsidRPr="000354D8">
        <w:rPr>
          <w:rFonts w:asciiTheme="majorBidi" w:hAnsiTheme="majorBidi" w:cstheme="majorBidi"/>
        </w:rPr>
        <w:t xml:space="preserve"> life cycle cost (LCC)</w:t>
      </w:r>
      <w:r w:rsidR="00847850">
        <w:rPr>
          <w:rFonts w:asciiTheme="majorBidi" w:hAnsiTheme="majorBidi" w:cstheme="majorBidi"/>
        </w:rPr>
        <w:t xml:space="preserve">, </w:t>
      </w:r>
      <w:r w:rsidR="000354D8" w:rsidRPr="000354D8">
        <w:rPr>
          <w:rFonts w:asciiTheme="majorBidi" w:hAnsiTheme="majorBidi" w:cstheme="majorBidi"/>
        </w:rPr>
        <w:t xml:space="preserve">DLT has </w:t>
      </w:r>
      <w:r w:rsidR="000B2EAD">
        <w:rPr>
          <w:rFonts w:asciiTheme="majorBidi" w:hAnsiTheme="majorBidi" w:cstheme="majorBidi"/>
        </w:rPr>
        <w:t xml:space="preserve">a </w:t>
      </w:r>
      <w:r w:rsidR="000354D8" w:rsidRPr="000354D8">
        <w:rPr>
          <w:rFonts w:asciiTheme="majorBidi" w:hAnsiTheme="majorBidi" w:cstheme="majorBidi"/>
        </w:rPr>
        <w:t xml:space="preserve">lower cost. </w:t>
      </w:r>
      <w:r w:rsidR="00D55241">
        <w:rPr>
          <w:rFonts w:asciiTheme="majorBidi" w:hAnsiTheme="majorBidi" w:cstheme="majorBidi"/>
        </w:rPr>
        <w:t xml:space="preserve">Finally, </w:t>
      </w:r>
      <w:r w:rsidR="003F255F">
        <w:rPr>
          <w:rFonts w:asciiTheme="majorBidi" w:hAnsiTheme="majorBidi" w:cstheme="majorBidi"/>
        </w:rPr>
        <w:t>m</w:t>
      </w:r>
      <w:r w:rsidR="003F255F" w:rsidRPr="003F255F">
        <w:rPr>
          <w:rFonts w:asciiTheme="majorBidi" w:hAnsiTheme="majorBidi" w:cstheme="majorBidi"/>
        </w:rPr>
        <w:t xml:space="preserve">ultiple-criteria decision-making </w:t>
      </w:r>
      <w:r w:rsidR="003F255F">
        <w:rPr>
          <w:rFonts w:asciiTheme="majorBidi" w:hAnsiTheme="majorBidi" w:cstheme="majorBidi"/>
        </w:rPr>
        <w:t>(</w:t>
      </w:r>
      <w:r w:rsidR="00D55241" w:rsidRPr="00D55241">
        <w:rPr>
          <w:rFonts w:asciiTheme="majorBidi" w:hAnsiTheme="majorBidi" w:cstheme="majorBidi"/>
        </w:rPr>
        <w:t>MCDM</w:t>
      </w:r>
      <w:r w:rsidR="003F255F">
        <w:rPr>
          <w:rFonts w:asciiTheme="majorBidi" w:hAnsiTheme="majorBidi" w:cstheme="majorBidi"/>
        </w:rPr>
        <w:t>)</w:t>
      </w:r>
      <w:r w:rsidR="00D55241">
        <w:rPr>
          <w:rFonts w:asciiTheme="majorBidi" w:hAnsiTheme="majorBidi" w:cstheme="majorBidi"/>
        </w:rPr>
        <w:t xml:space="preserve"> </w:t>
      </w:r>
      <w:r w:rsidR="00847850">
        <w:rPr>
          <w:rFonts w:asciiTheme="majorBidi" w:hAnsiTheme="majorBidi" w:cstheme="majorBidi"/>
        </w:rPr>
        <w:t xml:space="preserve">was </w:t>
      </w:r>
      <w:r w:rsidR="00D55241">
        <w:rPr>
          <w:rFonts w:asciiTheme="majorBidi" w:hAnsiTheme="majorBidi" w:cstheme="majorBidi"/>
        </w:rPr>
        <w:t xml:space="preserve">used to normalize </w:t>
      </w:r>
      <w:r w:rsidR="00847850">
        <w:rPr>
          <w:rFonts w:asciiTheme="majorBidi" w:hAnsiTheme="majorBidi" w:cstheme="majorBidi"/>
        </w:rPr>
        <w:t>the</w:t>
      </w:r>
      <w:r w:rsidR="00D55241">
        <w:rPr>
          <w:rFonts w:asciiTheme="majorBidi" w:hAnsiTheme="majorBidi" w:cstheme="majorBidi"/>
        </w:rPr>
        <w:t xml:space="preserve"> result</w:t>
      </w:r>
      <w:r w:rsidR="00C30AC5">
        <w:rPr>
          <w:rFonts w:asciiTheme="majorBidi" w:hAnsiTheme="majorBidi" w:cstheme="majorBidi"/>
        </w:rPr>
        <w:t>s</w:t>
      </w:r>
      <w:r w:rsidR="00D55241">
        <w:rPr>
          <w:rFonts w:asciiTheme="majorBidi" w:hAnsiTheme="majorBidi" w:cstheme="majorBidi"/>
        </w:rPr>
        <w:t xml:space="preserve"> and compare </w:t>
      </w:r>
      <w:r w:rsidR="003F255F">
        <w:rPr>
          <w:rFonts w:asciiTheme="majorBidi" w:hAnsiTheme="majorBidi" w:cstheme="majorBidi"/>
        </w:rPr>
        <w:t xml:space="preserve">the </w:t>
      </w:r>
      <w:r w:rsidR="00D55241">
        <w:rPr>
          <w:rFonts w:asciiTheme="majorBidi" w:hAnsiTheme="majorBidi" w:cstheme="majorBidi"/>
        </w:rPr>
        <w:t>alternatives. Th</w:t>
      </w:r>
      <w:r w:rsidR="003F255F">
        <w:rPr>
          <w:rFonts w:asciiTheme="majorBidi" w:hAnsiTheme="majorBidi" w:cstheme="majorBidi"/>
        </w:rPr>
        <w:t xml:space="preserve">is </w:t>
      </w:r>
      <w:r w:rsidR="00D55241">
        <w:rPr>
          <w:rFonts w:asciiTheme="majorBidi" w:hAnsiTheme="majorBidi" w:cstheme="majorBidi"/>
        </w:rPr>
        <w:t xml:space="preserve">showed DLT </w:t>
      </w:r>
      <w:r w:rsidR="003F255F">
        <w:rPr>
          <w:rFonts w:asciiTheme="majorBidi" w:hAnsiTheme="majorBidi" w:cstheme="majorBidi"/>
        </w:rPr>
        <w:t xml:space="preserve">to be </w:t>
      </w:r>
      <w:r w:rsidR="00D55241">
        <w:rPr>
          <w:rFonts w:asciiTheme="majorBidi" w:hAnsiTheme="majorBidi" w:cstheme="majorBidi"/>
        </w:rPr>
        <w:t>the best alternative</w:t>
      </w:r>
      <w:r w:rsidR="00C30AC5">
        <w:rPr>
          <w:rFonts w:asciiTheme="majorBidi" w:hAnsiTheme="majorBidi" w:cstheme="majorBidi"/>
        </w:rPr>
        <w:t>,</w:t>
      </w:r>
      <w:r w:rsidR="00D55241">
        <w:rPr>
          <w:rFonts w:asciiTheme="majorBidi" w:hAnsiTheme="majorBidi" w:cstheme="majorBidi"/>
        </w:rPr>
        <w:t xml:space="preserve"> followed by CLT and NLT. </w:t>
      </w:r>
      <w:r w:rsidR="009E6DE6" w:rsidRPr="000354D8">
        <w:rPr>
          <w:rFonts w:asciiTheme="majorBidi" w:hAnsiTheme="majorBidi" w:cstheme="majorBidi"/>
        </w:rPr>
        <w:t>In conclusion, the selection of building materials need</w:t>
      </w:r>
      <w:r w:rsidR="000B2EAD">
        <w:rPr>
          <w:rFonts w:asciiTheme="majorBidi" w:hAnsiTheme="majorBidi" w:cstheme="majorBidi"/>
        </w:rPr>
        <w:t>s to prioritize regulation</w:t>
      </w:r>
      <w:r w:rsidR="003F255F">
        <w:rPr>
          <w:rFonts w:asciiTheme="majorBidi" w:hAnsiTheme="majorBidi" w:cstheme="majorBidi"/>
        </w:rPr>
        <w:t>s</w:t>
      </w:r>
      <w:r w:rsidR="009E6DE6" w:rsidRPr="000354D8">
        <w:rPr>
          <w:rFonts w:asciiTheme="majorBidi" w:hAnsiTheme="majorBidi" w:cstheme="majorBidi"/>
        </w:rPr>
        <w:t xml:space="preserve"> to reduce environmental </w:t>
      </w:r>
      <w:r w:rsidR="000354D8" w:rsidRPr="000354D8">
        <w:rPr>
          <w:rFonts w:asciiTheme="majorBidi" w:hAnsiTheme="majorBidi" w:cstheme="majorBidi"/>
        </w:rPr>
        <w:t>and economic impact</w:t>
      </w:r>
      <w:r w:rsidR="003F255F">
        <w:rPr>
          <w:rFonts w:asciiTheme="majorBidi" w:hAnsiTheme="majorBidi" w:cstheme="majorBidi"/>
        </w:rPr>
        <w:t>s</w:t>
      </w:r>
      <w:r w:rsidR="000354D8" w:rsidRPr="000354D8">
        <w:rPr>
          <w:rFonts w:asciiTheme="majorBidi" w:hAnsiTheme="majorBidi" w:cstheme="majorBidi"/>
        </w:rPr>
        <w:t xml:space="preserve">. </w:t>
      </w:r>
    </w:p>
    <w:p w14:paraId="6A18E4E2" w14:textId="77777777" w:rsidR="006A423E" w:rsidRDefault="006A423E"/>
    <w:p w14:paraId="581192FC" w14:textId="6E2446D9" w:rsidR="005E03F5" w:rsidRDefault="00E702D2" w:rsidP="00AD6D1C">
      <w:pPr>
        <w:ind w:left="540"/>
        <w:rPr>
          <w:rFonts w:asciiTheme="majorBidi" w:hAnsiTheme="majorBidi" w:cstheme="majorBidi"/>
          <w:sz w:val="20"/>
          <w:szCs w:val="20"/>
        </w:rPr>
      </w:pPr>
      <w:r w:rsidRPr="00E702D2">
        <w:rPr>
          <w:rFonts w:asciiTheme="majorBidi" w:hAnsiTheme="majorBidi" w:cstheme="majorBidi"/>
          <w:b/>
          <w:bCs/>
          <w:sz w:val="20"/>
          <w:szCs w:val="20"/>
        </w:rPr>
        <w:t xml:space="preserve">Keyword: </w:t>
      </w:r>
      <w:r w:rsidR="00AD6D1C" w:rsidRPr="00AD6D1C">
        <w:rPr>
          <w:rFonts w:asciiTheme="majorBidi" w:hAnsiTheme="majorBidi" w:cstheme="majorBidi"/>
          <w:sz w:val="20"/>
          <w:szCs w:val="20"/>
        </w:rPr>
        <w:t>Circular Economy</w:t>
      </w:r>
      <w:r w:rsidR="003F1B34" w:rsidRPr="003F1B34">
        <w:rPr>
          <w:rFonts w:asciiTheme="majorBidi" w:hAnsiTheme="majorBidi" w:cstheme="majorBidi"/>
          <w:sz w:val="20"/>
          <w:szCs w:val="20"/>
        </w:rPr>
        <w:t>; Engineering Wood; Life Cycle Analysis</w:t>
      </w:r>
      <w:r w:rsidR="00116659">
        <w:rPr>
          <w:rFonts w:asciiTheme="majorBidi" w:hAnsiTheme="majorBidi" w:cstheme="majorBidi"/>
          <w:sz w:val="20"/>
          <w:szCs w:val="20"/>
        </w:rPr>
        <w:t xml:space="preserve">; </w:t>
      </w:r>
      <w:r w:rsidR="00566E2F" w:rsidRPr="00566E2F">
        <w:rPr>
          <w:rFonts w:asciiTheme="majorBidi" w:hAnsiTheme="majorBidi" w:cstheme="majorBidi"/>
          <w:sz w:val="20"/>
          <w:szCs w:val="20"/>
        </w:rPr>
        <w:t>Cross-laminated timber (CLT), Nail Laminated Timber (NLT), Dowel Laminated Timber (DLT)</w:t>
      </w:r>
    </w:p>
    <w:p w14:paraId="32072626" w14:textId="77777777" w:rsidR="0073037B" w:rsidRDefault="0073037B" w:rsidP="005E03F5">
      <w:pPr>
        <w:rPr>
          <w:rFonts w:asciiTheme="majorBidi" w:hAnsiTheme="majorBidi" w:cstheme="majorBidi"/>
          <w:sz w:val="20"/>
          <w:szCs w:val="20"/>
        </w:rPr>
      </w:pPr>
    </w:p>
    <w:p w14:paraId="0B963BD3" w14:textId="77777777" w:rsidR="00C279E5" w:rsidRDefault="00C279E5" w:rsidP="005E03F5">
      <w:pPr>
        <w:rPr>
          <w:rFonts w:asciiTheme="majorBidi" w:hAnsiTheme="majorBidi" w:cstheme="majorBidi"/>
          <w:sz w:val="20"/>
          <w:szCs w:val="20"/>
        </w:rPr>
      </w:pPr>
    </w:p>
    <w:p w14:paraId="1D81B25F" w14:textId="77777777" w:rsidR="00FD21DE" w:rsidRDefault="00FD21DE" w:rsidP="00FD21DE">
      <w:pPr>
        <w:pStyle w:val="ListParagraph"/>
        <w:numPr>
          <w:ilvl w:val="0"/>
          <w:numId w:val="3"/>
        </w:numPr>
        <w:spacing w:line="276" w:lineRule="auto"/>
        <w:rPr>
          <w:rFonts w:asciiTheme="majorBidi" w:hAnsiTheme="majorBidi" w:cstheme="majorBidi"/>
          <w:b/>
          <w:bCs/>
        </w:rPr>
      </w:pPr>
      <w:r w:rsidRPr="00945E7C">
        <w:rPr>
          <w:rFonts w:asciiTheme="majorBidi" w:hAnsiTheme="majorBidi" w:cstheme="majorBidi"/>
          <w:b/>
          <w:bCs/>
        </w:rPr>
        <w:t>Introduction</w:t>
      </w:r>
    </w:p>
    <w:p w14:paraId="3C399952" w14:textId="77777777" w:rsidR="00583B74" w:rsidRPr="00641E3A" w:rsidRDefault="00583B74" w:rsidP="00583B74">
      <w:pPr>
        <w:spacing w:line="276" w:lineRule="auto"/>
        <w:ind w:firstLine="720"/>
        <w:jc w:val="both"/>
        <w:rPr>
          <w:rFonts w:asciiTheme="majorBidi" w:hAnsiTheme="majorBidi" w:cstheme="majorBidi"/>
        </w:rPr>
      </w:pPr>
      <w:r w:rsidRPr="00641E3A">
        <w:rPr>
          <w:rFonts w:asciiTheme="majorBidi" w:hAnsiTheme="majorBidi" w:cstheme="majorBidi"/>
        </w:rPr>
        <w:t xml:space="preserve">The building sector encompasses multiple industries and emits significant amounts of greenhouse gasses </w:t>
      </w:r>
      <w:r w:rsidRPr="00641E3A">
        <w:rPr>
          <w:rFonts w:asciiTheme="majorBidi" w:hAnsiTheme="majorBidi" w:cstheme="majorBidi"/>
        </w:rPr>
        <w:fldChar w:fldCharType="begin" w:fldLock="1"/>
      </w:r>
      <w:r w:rsidRPr="00641E3A">
        <w:rPr>
          <w:rFonts w:asciiTheme="majorBidi" w:hAnsiTheme="majorBidi" w:cstheme="majorBidi"/>
        </w:rPr>
        <w:instrText>ADDIN CSL_CITATION {"citationItems":[{"id":"ITEM-1","itemData":{"DOI":"10.1016/j.buildenv.2016.05.018","ISSN":"03601323","abstract":"With respect to global climate change, energy consumption and carbon emissions of the building sector has become an increasingly crucial issue in the sustainable development of China. While process-based analyses have been performed in previous research, in the present study, we propose a hybrid input-output approach that could account for supply-chain energy and emissions by China's building sector. In terms of energy and emission sources, three scopes are defined, primarily aimed at the entire life-cycle of building sector. By dividing the life-cycle into construction, operation, and disposal stages, both scope-based and stage-based analyses are made using domestic statistical data, within the range 1997-2012. The results demonstrate that supply-chain energy and emissions of Scope 3 contribute significantly to the overall life-cycle impacts of building sector, which might be underestimated in a process-based assessment. Although the operation stage appears to be the one with the largest consumption and emissions in the lifespan of a single building, attention should also be paid to the construction stage. The energy and emissions during construction make up the largest share (over 60%) in the life-cycle of the building sector due to the large number of building projects every year. Energy and carbon-intensive components are also evaluated, and possible measures for energy-saving and carbon reduction are discussed. Accordingly, this study provides some useful methods and relevant analysis results, which will be critical for the future of sustainable development of China's building industry.","author":[{"dropping-particle":"","family":"Zhang","given":"Xiaocun","non-dropping-particle":"","parse-names":false,"suffix":""},{"dropping-particle":"","family":"Wang","given":"Fenglai","non-dropping-particle":"","parse-names":false,"suffix":""}],"container-title":"Building and Environment","id":"ITEM-1","issued":{"date-parts":[["2016"]]},"page":"188-197","publisher":"Elsevier Ltd","title":"Hybrid input-output analysis for life-cycle energy consumption and carbon emissions of China's building sector","type":"article-journal","volume":"104"},"uris":["http://www.mendeley.com/documents/?uuid=03185c64-6a5f-4c66-a0a8-1a7828f1eaa0"]},{"id":"ITEM-2","itemData":{"DOI":"10.1016/j.buildenv.2017.08.025","ISSN":"03601323","abstract":"© 2017 Elsevier Ltd Malaysian government has advised builders to apply Industrial Building System (IBS) technique in construction due to so many advantages such as productivity, efficiency and cost. This study attempted to reduce greenhouse gas (GHG) emissions from building sector by representing two new building compositions into IBS structures categories. Life cycle assessment (LCA) tool Simapro.8 has been used to identify the environmental performance of buildings from cradle to grave. The full LCA has been run to assess the six different types of prefabricated buildings system, of which four are currently recognized and the other two are designed by current research. The primary result shows that timber prefabricate is the best choice due to having lower emissions toward climate change mitigation of building construction. However, timber houses have rarely been built due to some defects that occurred to its material and structure over time. Rate of applying wood in the construction industry in Malaysia has gone down from about 60% to 7% over the last 40 years. Therefore, this research aims to contribute to the body of knowledge by introducing new composite. First composite is Glued laminated timber (GLT) with steel stud and the second is a combination of laminated veneer lumber (LVL) with steel stud as two new compositions which not only have significantly less global warming potential (GWP) than prefabricated concrete structure or steel framing system, but can be replaced rather than abandoned timber structure. Therefore, new compositions can be suggested to house builders and facilitate the decision making process.","author":[{"dropping-particle":"","family":"Balasbaneh","given":"A.T.","non-dropping-particle":"","parse-names":false,"suffix":""},{"dropping-particle":"","family":"Marsono","given":"A.K.","non-dropping-particle":"Bin","parse-names":false,"suffix":""}],"container-title":"Building and Environment","id":"ITEM-2","issued":{"date-parts":[["2017"]]},"title":"Strategies for reducing greenhouse gas emissions from residential sector by proposing new building structures in hot and humid climatic conditions","type":"article-journal","volume":"124"},"uris":["http://www.mendeley.com/documents/?uuid=df38c7d0-f740-3538-a3c8-cb4a3415f394"]}],"mendeley":{"formattedCitation":"(A.T. Balasbaneh &amp; Bin Marsono, 2017a; X. Zhang &amp; Wang, 2016)","manualFormatting":"(Zhang &amp; Wang, 2016)","plainTextFormattedCitation":"(A.T. Balasbaneh &amp; Bin Marsono, 2017a; X. Zhang &amp; Wang, 2016)","previouslyFormattedCitation":"(A.T. Balasbaneh &amp; Bin Marsono, 2017a; X. Zhang &amp; Wang, 2016)"},"properties":{"noteIndex":0},"schema":"https://github.com/citation-style-language/schema/raw/master/csl-citation.json"}</w:instrText>
      </w:r>
      <w:r w:rsidRPr="00641E3A">
        <w:rPr>
          <w:rFonts w:asciiTheme="majorBidi" w:hAnsiTheme="majorBidi" w:cstheme="majorBidi"/>
        </w:rPr>
        <w:fldChar w:fldCharType="separate"/>
      </w:r>
      <w:r w:rsidRPr="00641E3A">
        <w:rPr>
          <w:rFonts w:asciiTheme="majorBidi" w:hAnsiTheme="majorBidi" w:cstheme="majorBidi"/>
          <w:noProof/>
        </w:rPr>
        <w:t>(Zhang &amp; Wang, 2016)</w:t>
      </w:r>
      <w:r w:rsidRPr="00641E3A">
        <w:rPr>
          <w:rFonts w:asciiTheme="majorBidi" w:hAnsiTheme="majorBidi" w:cstheme="majorBidi"/>
        </w:rPr>
        <w:fldChar w:fldCharType="end"/>
      </w:r>
      <w:r w:rsidRPr="00641E3A">
        <w:rPr>
          <w:rFonts w:asciiTheme="majorBidi" w:hAnsiTheme="majorBidi" w:cstheme="majorBidi"/>
        </w:rPr>
        <w:t>. Generally, it consumes 36% of global energy and produces 39% of carbon dioxide (CO</w:t>
      </w:r>
      <w:r w:rsidRPr="00641E3A">
        <w:rPr>
          <w:rFonts w:asciiTheme="majorBidi" w:hAnsiTheme="majorBidi" w:cstheme="majorBidi"/>
          <w:vertAlign w:val="subscript"/>
        </w:rPr>
        <w:t>2</w:t>
      </w:r>
      <w:r w:rsidRPr="00641E3A">
        <w:rPr>
          <w:rFonts w:asciiTheme="majorBidi" w:hAnsiTheme="majorBidi" w:cstheme="majorBidi"/>
        </w:rPr>
        <w:t>) emissions (Abergel, T et al 2017</w:t>
      </w:r>
      <w:r>
        <w:rPr>
          <w:rFonts w:asciiTheme="majorBidi" w:hAnsiTheme="majorBidi" w:cstheme="majorBidi"/>
        </w:rPr>
        <w:t>).</w:t>
      </w:r>
      <w:r w:rsidRPr="00641E3A">
        <w:rPr>
          <w:rFonts w:asciiTheme="majorBidi" w:hAnsiTheme="majorBidi" w:cstheme="majorBidi"/>
        </w:rPr>
        <w:t xml:space="preserve"> The sector thus has significant potential to decrease </w:t>
      </w:r>
      <w:r w:rsidRPr="00641E3A">
        <w:rPr>
          <w:rFonts w:asciiTheme="majorBidi" w:hAnsiTheme="majorBidi" w:cstheme="majorBidi"/>
        </w:rPr>
        <w:lastRenderedPageBreak/>
        <w:t>emissions by adopting sustainable approaches</w:t>
      </w:r>
      <w:r w:rsidRPr="00641E3A">
        <w:rPr>
          <w:rFonts w:asciiTheme="majorBidi" w:hAnsiTheme="majorBidi" w:cstheme="majorBidi"/>
          <w:b/>
          <w:bCs/>
        </w:rPr>
        <w:t xml:space="preserve">. </w:t>
      </w:r>
      <w:r w:rsidRPr="00523776">
        <w:rPr>
          <w:rFonts w:asciiTheme="majorBidi" w:hAnsiTheme="majorBidi" w:cstheme="majorBidi"/>
        </w:rPr>
        <w:t xml:space="preserve">Transitioning the built environment to a circular economy (CE) is vital to achieving sustainability goals. </w:t>
      </w:r>
      <w:r>
        <w:rPr>
          <w:rFonts w:asciiTheme="majorBidi" w:hAnsiTheme="majorBidi" w:cstheme="majorBidi"/>
        </w:rPr>
        <w:t>The circular economy's</w:t>
      </w:r>
      <w:r w:rsidRPr="0072411B">
        <w:rPr>
          <w:rFonts w:asciiTheme="majorBidi" w:hAnsiTheme="majorBidi" w:cstheme="majorBidi"/>
        </w:rPr>
        <w:t xml:space="preserve"> main aim is to increase the efficiency of materials and minimize resource depletion </w:t>
      </w:r>
      <w:r w:rsidRPr="0072411B">
        <w:rPr>
          <w:rFonts w:asciiTheme="majorBidi" w:hAnsiTheme="majorBidi" w:cstheme="majorBidi"/>
        </w:rPr>
        <w:fldChar w:fldCharType="begin" w:fldLock="1"/>
      </w:r>
      <w:r w:rsidRPr="0072411B">
        <w:rPr>
          <w:rFonts w:asciiTheme="majorBidi" w:hAnsiTheme="majorBidi" w:cstheme="majorBidi"/>
        </w:rPr>
        <w:instrText>ADDIN CSL_CITATION {"citationItems":[{"id":"ITEM-1","itemData":{"DOI":"10.1007/s10098-020-02012-9","ISBN":"0123456789","ISSN":"16189558","abstract":"Abstract: The need to reduce waste generation and resource extraction arising from the traditional linear economy system is gaining the attention of scholars, organisations and governments. A potential alternative is the circular economy concept, which can minimise waste, keep materials in circulation through reuse and recycling principles and consider the environmental, social and economic benefits of products. The circular economy evolved from some conflicting concepts and theories to a linear economy. The purpose of this study is therefore to identify those concepts and theories and to explore their potential contributions to the construction industry. To achieve the objective of the study, a semi-systematic review of extant literature was conducted. The results indicated that 14 concepts including cradle to cradle, regenerative design, biomimicry, performance economy, industrial ecology and reverse logistics are the pillars of the circular economy. The findings revealed that all the concepts share similar characteristics with the circular economy and are relevant to the construction industry, especially for environmental protection. Seven (50%) of the pillars are applicable for reuse and recycling, six (42.8%) for resource efficiency, three (21.4%) for design and two (14.3%) for service models. However, it is hoped that the results of this study will contribute to the body of knowledge on the circular economy concept and waste management. The development of a framework for the identification of suitable concepts for the construction industry is recommended for future studies. Graphical abstract: [Figure not available: see fulltext.]","author":[{"dropping-particle":"","family":"Ogunmakinde","given":"Olabode Emmanuel","non-dropping-particle":"","parse-names":false,"suffix":""},{"dropping-particle":"","family":"Sher","given":"William","non-dropping-particle":"","parse-names":false,"suffix":""},{"dropping-particle":"","family":"Egbelakin","given":"Temitope","non-dropping-particle":"","parse-names":false,"suffix":""}],"container-title":"Clean Technologies and Environmental Policy","id":"ITEM-1","issue":"3","issued":{"date-parts":[["2021"]]},"page":"899-914","publisher":"Springer Berlin Heidelberg","title":"Circular economy pillars: a semi-systematic review","type":"article-journal","volume":"23"},"uris":["http://www.mendeley.com/documents/?uuid=f32e25c1-b25f-44ef-9d6f-2077024c4f36"]}],"mendeley":{"formattedCitation":"(Ogunmakinde et al., 2021)","plainTextFormattedCitation":"(Ogunmakinde et al., 2021)","previouslyFormattedCitation":"(Ogunmakinde et al., 2021)"},"properties":{"noteIndex":0},"schema":"https://github.com/citation-style-language/schema/raw/master/csl-citation.json"}</w:instrText>
      </w:r>
      <w:r w:rsidRPr="0072411B">
        <w:rPr>
          <w:rFonts w:asciiTheme="majorBidi" w:hAnsiTheme="majorBidi" w:cstheme="majorBidi"/>
        </w:rPr>
        <w:fldChar w:fldCharType="separate"/>
      </w:r>
      <w:r w:rsidRPr="0072411B">
        <w:rPr>
          <w:rFonts w:asciiTheme="majorBidi" w:hAnsiTheme="majorBidi" w:cstheme="majorBidi"/>
          <w:noProof/>
        </w:rPr>
        <w:t>(Ogunmakinde et al., 2021)</w:t>
      </w:r>
      <w:r w:rsidRPr="0072411B">
        <w:rPr>
          <w:rFonts w:asciiTheme="majorBidi" w:hAnsiTheme="majorBidi" w:cstheme="majorBidi"/>
        </w:rPr>
        <w:fldChar w:fldCharType="end"/>
      </w:r>
      <w:r w:rsidRPr="0072411B">
        <w:rPr>
          <w:rFonts w:asciiTheme="majorBidi" w:hAnsiTheme="majorBidi" w:cstheme="majorBidi"/>
        </w:rPr>
        <w:t xml:space="preserve">. The </w:t>
      </w:r>
      <w:r>
        <w:rPr>
          <w:rFonts w:asciiTheme="majorBidi" w:hAnsiTheme="majorBidi" w:cstheme="majorBidi"/>
        </w:rPr>
        <w:t>circular economy</w:t>
      </w:r>
      <w:r w:rsidRPr="0072411B">
        <w:rPr>
          <w:rFonts w:asciiTheme="majorBidi" w:hAnsiTheme="majorBidi" w:cstheme="majorBidi"/>
        </w:rPr>
        <w:t xml:space="preserve"> inten</w:t>
      </w:r>
      <w:r>
        <w:rPr>
          <w:rFonts w:asciiTheme="majorBidi" w:hAnsiTheme="majorBidi" w:cstheme="majorBidi"/>
        </w:rPr>
        <w:t>ds to provide economic growth while alleviating the pressure on the</w:t>
      </w:r>
      <w:r w:rsidRPr="0072411B">
        <w:rPr>
          <w:rFonts w:asciiTheme="majorBidi" w:hAnsiTheme="majorBidi" w:cstheme="majorBidi"/>
        </w:rPr>
        <w:t xml:space="preserve"> environment </w:t>
      </w:r>
      <w:r w:rsidRPr="0072411B">
        <w:rPr>
          <w:rFonts w:asciiTheme="majorBidi" w:hAnsiTheme="majorBidi" w:cstheme="majorBidi"/>
        </w:rPr>
        <w:fldChar w:fldCharType="begin" w:fldLock="1"/>
      </w:r>
      <w:r w:rsidRPr="0072411B">
        <w:rPr>
          <w:rFonts w:asciiTheme="majorBidi" w:hAnsiTheme="majorBidi" w:cstheme="majorBidi"/>
        </w:rPr>
        <w:instrText>ADDIN CSL_CITATION {"citationItems":[{"id":"ITEM-1","itemData":{"DOI":"10.1016/j.jclepro.2016.12.055","ISSN":"09596526","abstract":"The built environment puts major pressure on the natural environment; its role in transitioning to a circular economy (CE) is therefore fundamental. However, current CE research tends to focus either on the macro-scale, such as eco-parks, or the micro-scale, such as manufactured products, with the risk of ignoring the additional impacts and potentials at the meso-scale of individual buildings. This article sets out to unpack the fundamental defining dimensions of a CE and frame them for CE studies for the built environment. A critical literature review forms the basis for identifying and framing such fundamental dimensions. Our contribution highlights the key roles of interdisciplinary research and of both bottom-up and top-down initiatives in facilitating the transition to ‘circular buildings’. The frame for reference has been used to capture current discourse on the sustainability of the built environment and has proved to be a valuable tool to cluster existing initiatives and highlight missing links for interdisciplinary endeavours. The article represents a contribution to the theoretical foundations of CE research in the built environment and a stepping stone to shape future research initiatives.","author":[{"dropping-particle":"","family":"Pomponi","given":"Francesco","non-dropping-particle":"","parse-names":false,"suffix":""},{"dropping-particle":"","family":"Moncaster","given":"Alice","non-dropping-particle":"","parse-names":false,"suffix":""}],"container-title":"Journal of Cleaner Production","id":"ITEM-1","issued":{"date-parts":[["2017"]]},"page":"710-718","title":"Circular economy for the built environment: A research framework","type":"article-journal","volume":"143"},"uris":["http://www.mendeley.com/documents/?uuid=32404809-22a6-4257-ade1-5d768cfa4ba2"]}],"mendeley":{"formattedCitation":"(Pomponi &amp; Moncaster, 2017)","plainTextFormattedCitation":"(Pomponi &amp; Moncaster, 2017)","previouslyFormattedCitation":"(Pomponi &amp; Moncaster, 2017)"},"properties":{"noteIndex":0},"schema":"https://github.com/citation-style-language/schema/raw/master/csl-citation.json"}</w:instrText>
      </w:r>
      <w:r w:rsidRPr="0072411B">
        <w:rPr>
          <w:rFonts w:asciiTheme="majorBidi" w:hAnsiTheme="majorBidi" w:cstheme="majorBidi"/>
        </w:rPr>
        <w:fldChar w:fldCharType="separate"/>
      </w:r>
      <w:r w:rsidRPr="0072411B">
        <w:rPr>
          <w:rFonts w:asciiTheme="majorBidi" w:hAnsiTheme="majorBidi" w:cstheme="majorBidi"/>
          <w:noProof/>
        </w:rPr>
        <w:t>(Pomponi &amp; Moncaster, 2017)</w:t>
      </w:r>
      <w:r w:rsidRPr="0072411B">
        <w:rPr>
          <w:rFonts w:asciiTheme="majorBidi" w:hAnsiTheme="majorBidi" w:cstheme="majorBidi"/>
        </w:rPr>
        <w:fldChar w:fldCharType="end"/>
      </w:r>
      <w:r w:rsidRPr="0072411B">
        <w:rPr>
          <w:rFonts w:asciiTheme="majorBidi" w:hAnsiTheme="majorBidi" w:cstheme="majorBidi"/>
        </w:rPr>
        <w:t xml:space="preserve">. </w:t>
      </w:r>
      <w:r w:rsidRPr="00641E3A">
        <w:rPr>
          <w:rFonts w:asciiTheme="majorBidi" w:hAnsiTheme="majorBidi" w:cstheme="majorBidi"/>
        </w:rPr>
        <w:t xml:space="preserve">Common building materials such as concrete and steel are high environmental emission choices compared to timber-based materials </w:t>
      </w:r>
      <w:r w:rsidRPr="00641E3A">
        <w:rPr>
          <w:rFonts w:asciiTheme="majorBidi" w:hAnsiTheme="majorBidi" w:cstheme="majorBidi"/>
        </w:rPr>
        <w:fldChar w:fldCharType="begin" w:fldLock="1"/>
      </w:r>
      <w:r>
        <w:rPr>
          <w:rFonts w:asciiTheme="majorBidi" w:hAnsiTheme="majorBidi" w:cstheme="majorBidi"/>
        </w:rPr>
        <w:instrText>ADDIN CSL_CITATION {"citationItems":[{"id":"ITEM-1","itemData":{"DOI":"10.1016/j.enbuild.2019.06.047","ISSN":"03787788","abstract":"As operational energy use is minimized through high-performance design, construction and systems, the embodied carbon and energy from building materials and construction will play larger roles in the environmental impact of buildings. Consequently, the structural system should be a primary target for reducing the embodied carbon and energy of a building. Parking garages offer an ideal case study for comparing the embodied carbon and energy of different structural systems. As parking garages have little operational energy use and have few materials or systems, the embodied carbon and energy of the structure comprises a majority of the environmental impacts during its life-cycle. This study uses manual material take-offs from construction documents of four parking garages with one-way spans; one pre-cast concrete, one post-tensioned concrete, one cellular steel and one mass timber. The resulting comparison shows that there is little difference in the embodied carbon and energy of structural systems used for parking garages under best material practices. Mass timber, while more viable in a worst-practices scenario, loses its advantages when cement replacement and high recycled content steel are utilized.","author":[{"dropping-particle":"","family":"Zeitz","given":"A.","non-dropping-particle":"","parse-names":false,"suffix":""},{"dropping-particle":"","family":"Griffin","given":"C. T.","non-dropping-particle":"","parse-names":false,"suffix":""},{"dropping-particle":"","family":"Dusicka","given":"P.","non-dropping-particle":"","parse-names":false,"suffix":""}],"container-title":"Energy and Buildings","id":"ITEM-1","issued":{"date-parts":[["2019"]]},"page":"126-133","publisher":"Elsevier B.V.","title":"Comparing the embodied carbon and energy of a mass timber structure system to typical steel and concrete alternatives for parking garages","type":"article-journal","volume":"199"},"uris":["http://www.mendeley.com/documents/?uuid=87596747-5d85-4a08-9d9e-d69dd55dc870","http://www.mendeley.com/documents/?uuid=1ebe1eea-0d84-4e99-9220-7b87334428f1","http://www.mendeley.com/documents/?uuid=f5c6561a-bc6f-42e4-a8c5-c74ce0101f60","http://www.mendeley.com/documents/?uuid=7971b9c0-301b-460e-a7e7-6b7d74533702","http://www.mendeley.com/documents/?uuid=66e9293f-82e8-4450-a836-b336d3661f00","http://www.mendeley.com/documents/?uuid=6a4109c9-2165-4e57-afb5-9a2e09dec7c9","http://www.mendeley.com/documents/?uuid=2005d64b-4c6f-4e29-bbe2-35fd2a0d1f84","http://www.mendeley.com/documents/?uuid=523733d7-f778-4c7a-b308-54106872a608","http://www.mendeley.com/documents/?uuid=a5cb8c32-c745-41fb-8ec1-b7d884375e02","http://www.mendeley.com/documents/?uuid=ca5ddbfd-a8a9-4e58-967a-27f749e7aa7c","http://www.mendeley.com/documents/?uuid=a29256f8-2b12-4ee9-a724-c08d967499e4","http://www.mendeley.com/documents/?uuid=78341cc5-6290-406d-954c-3ef5db54a27f","http://www.mendeley.com/documents/?uuid=07580e28-870d-49ed-aff8-6de1000a7da2"]},{"id":"ITEM-2","itemData":{"DOI":"10.1016/j.buildenv.2017.08.025","abstract":"© 2017 Elsevier Ltd Malaysian government has advised builders to apply Industrial Building System (IBS) technique in construction due to so many advantages such as productivity, efficiency and cost. This study attempted to reduce greenhouse gas (GHG) emissions from building sector by representing two new building compositions into IBS structures categories. Life cycle assessment (LCA) tool Simapro.8 has been used to identify the environmental performance of buildings from cradle to grave. The full LCA has been run to assess the six different types of prefabricated buildings system, of which four are currently recognized and the other two are designed by current research. The primary result shows that timber prefabricate is the best choice due to having lower emissions toward climate change mitigation of building construction. However, timber houses have rarely been built due to some defects that occurred to its material and structure over time. Rate of applying wood in the construction industry in Malaysia has gone down from about 60% to 7% over the last 40 years. Therefore, this research aims to contribute to the body of knowledge by introducing new composite. First composite is Glued laminated timber (GLT) with steel stud and the second is a combination of laminated veneer lumber (LVL) with steel stud as two new compositions which not only have significantly less global warming potential (GWP) than prefabricated concrete structure or steel framing system, but can be replaced rather than abandoned timber structure. Therefore, new compositions can be suggested to house builders and facilitate the decision making process.","author":[{"dropping-particle":"","family":"Balasbaneh","given":"A.T.","non-dropping-particle":"","parse-names":false,"suffix":""},{"dropping-particle":"","family":"Marsono","given":"A.K.","non-dropping-particle":"Bin","parse-names":false,"suffix":""}],"container-title":"Building and Environment","id":"ITEM-2","issued":{"date-parts":[["2017"]]},"page":"357-368","title":"Strategies for reducing greenhouse gas emissions from residential sector by proposing new building structures in hot and humid climatic conditions","type":"article-journal","volume":"124"},"uris":["http://www.mendeley.com/documents/?uuid=206caa84-ead6-3186-8aa8-e7525e965987","http://www.mendeley.com/documents/?uuid=3cd8edf5-9de4-4b1a-83e9-1cac57a90286","http://www.mendeley.com/documents/?uuid=c7ff1fb4-e88a-483f-8296-5bd8cef960a7","http://www.mendeley.com/documents/?uuid=d3508582-ca27-45bb-8fae-7529fea3f259","http://www.mendeley.com/documents/?uuid=81f1b8b6-a79a-4c7f-ba6e-8a196fe8a40d","http://www.mendeley.com/documents/?uuid=b8763bfa-adb9-458c-ac6a-1d83e8596ff4","http://www.mendeley.com/documents/?uuid=3022b8a4-57c9-47f0-9333-0f1a6b43242c","http://www.mendeley.com/documents/?uuid=792cb40c-da87-4c1f-bd4c-6cf3e942dcaf","http://www.mendeley.com/documents/?uuid=7b8fb3fa-1d58-47de-8677-e3987d3bc40d","http://www.mendeley.com/documents/?uuid=59eda4aa-cb24-403f-b2dc-96205984d67d","http://www.mendeley.com/documents/?uuid=b866e98d-5929-44fb-977b-6f417743fe8e","http://www.mendeley.com/documents/?uuid=bf46b36a-de21-4c37-a499-631127ff4c2c","http://www.mendeley.com/documents/?uuid=cd403078-fcb6-42ee-bc9f-41c9ddb16721"]}],"mendeley":{"formattedCitation":"(A.T. Balasbaneh &amp; Bin Marsono, 2017b; Zeitz et al., 2019)","manualFormatting":"(Balasbaneh 2017; Zeitz et al., 2019","plainTextFormattedCitation":"(A.T. Balasbaneh &amp; Bin Marsono, 2017b; Zeitz et al., 2019)","previouslyFormattedCitation":"(A.T. Balasbaneh &amp; Bin Marsono, 2017b; Zeitz et al., 2019)"},"properties":{"noteIndex":0},"schema":"https://github.com/citation-style-language/schema/raw/master/csl-citation.json"}</w:instrText>
      </w:r>
      <w:r w:rsidRPr="00641E3A">
        <w:rPr>
          <w:rFonts w:asciiTheme="majorBidi" w:hAnsiTheme="majorBidi" w:cstheme="majorBidi"/>
        </w:rPr>
        <w:fldChar w:fldCharType="separate"/>
      </w:r>
      <w:r>
        <w:rPr>
          <w:rFonts w:asciiTheme="majorBidi" w:hAnsiTheme="majorBidi" w:cstheme="majorBidi"/>
          <w:noProof/>
        </w:rPr>
        <w:t>(Balasbaneh</w:t>
      </w:r>
      <w:r w:rsidRPr="00641E3A">
        <w:rPr>
          <w:rFonts w:asciiTheme="majorBidi" w:hAnsiTheme="majorBidi" w:cstheme="majorBidi"/>
          <w:noProof/>
        </w:rPr>
        <w:t xml:space="preserve"> 2017; Zeitz et al., 2019</w:t>
      </w:r>
      <w:r w:rsidRPr="00641E3A">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{"citationItems":[{"id":"ITEM-1","itemData":{"DOI":"10.1007/s00107-017-1273-9","ISBN":"0123456789","ISSN":"1436736X","abstract":"This article highlights the interdependencies of carbon storage and material efficiency in timber buildings. These elements appear contradictory in regard to environmental factors. Following a general literature review of environmental aspects of timber buildings and their components, building elements are analyzed in regard to their relevance for both issues. Particular advantages for material efficiency and carbon storage in regard to specific building elements are discussed. The first section summarizes what currently qualifies as the state of art in environmental standards of timber buildings on building level, looking at influence on the sector and on the competition on wooden material for material or energetic use. Calculations on carbon storage of exemplary timber buildings are shown in the following section. A factor for material efficiency of wooden use is hereby introduced. The interdependencies of carbon storage and material efficiency are discussed on the level of building elements and according to necessary requirements. Results show that there is no “best” timber construction that fulfills all requirements, as each building and with that each specific construction needs to fulfill varying circumstances. It is thus demonstrated that it is not enough to only focus on one of the issues. It is important to keep these interconnections in mind for climate discussions in regard to timber buildings and to further optimize timber constructions and buildings to meet both targets.","author":[{"dropping-particle":"","family":"Hafner","given":"Annette","non-dropping-particle":"","parse-names":false,"suffix":""},{"dropping-particle":"","family":"Schäfer","given":"Sabrina","non-dropping-particle":"","parse-names":false,"suffix":""}],"container-title":"European Journal of Wood and Wood Products","id":"ITEM-1","issue":"3","issued":{"date-parts":[["2018"]]},"page":"1045-1059","publisher":"Springer Berlin Heidelberg","title":"Environmental aspects of material efficiency versus carbon storage in timber buildings","type":"article-journal","volume":"76"},"uris":["http://www.mendeley.com/documents/?uuid=4cb2a250-fe37-45b9-a3a9-eb9687ca4186"]}],"mendeley":{"formattedCitation":"(Hafner &amp; Schäfer, 2018)","manualFormatting":"Hafner &amp; Schäfer, 2018","plainTextFormattedCitation":"(Hafner &amp; Schäfer, 2018)","previouslyFormattedCitation":"(Hafner &amp; Schäfer, 2018)"},"properties":{"noteIndex":0},"schema":"https://github.com/citation-style-language/schema/raw/master/csl-citation.json"}</w:instrText>
      </w:r>
      <w:r>
        <w:rPr>
          <w:rFonts w:asciiTheme="majorBidi" w:hAnsiTheme="majorBidi" w:cstheme="majorBidi"/>
        </w:rPr>
        <w:fldChar w:fldCharType="separate"/>
      </w:r>
      <w:r w:rsidRPr="004A3530">
        <w:rPr>
          <w:rFonts w:asciiTheme="majorBidi" w:hAnsiTheme="majorBidi" w:cstheme="majorBidi"/>
          <w:noProof/>
        </w:rPr>
        <w:t>Hafner &amp; Schäfer, 2018</w:t>
      </w:r>
      <w:r>
        <w:rPr>
          <w:rFonts w:asciiTheme="majorBidi" w:hAnsiTheme="majorBidi" w:cstheme="majorBidi"/>
        </w:rPr>
        <w:fldChar w:fldCharType="end"/>
      </w:r>
      <w:r>
        <w:rPr>
          <w:rFonts w:asciiTheme="majorBidi" w:hAnsiTheme="majorBidi" w:cstheme="majorBidi"/>
        </w:rPr>
        <w:fldChar w:fldCharType="begin" w:fldLock="1"/>
      </w:r>
      <w:r>
        <w:rPr>
          <w:rFonts w:asciiTheme="majorBidi" w:hAnsiTheme="majorBidi" w:cstheme="majorBidi"/>
        </w:rPr>
        <w:instrText>ADDIN CSL_CITATION {"citationItems":[{"id":"ITEM-1","itemData":{"DOI":"10.1016/j.jenvman.2019.109743","ISSN":"10958630","PMID":"31706121","abstract":"The Life-Cycle Assessment (LCA) is a standard approach for evaluating the environmental impacts of products and processes. This paper presents the LCA of Living Wall Systems (LWS), a new technology for greening the building envelope and improve sustainability. Impacts of manufacture, operation, and use of the systems selected, were evaluated through an LCA. LWS are closely related to several environmental benefits, including improved air quality, increased biodiversity, mitigation of heat island effects, and reduced energy consumption due to savings in indoor cooling and heating. Two prototypes have been selected, taking into account the modularity and the use of organic substrate as selection criteria. The systems evaluated were a plastic-based modular system and a felt-based modular system. The inventory data was gathered through the manufacturers. The LCA approach has been used to assess the impact of these solutions by focusing on the construction phase and its contribution to both the energy balance and the entire life cycle of a building. This approach has never been done before for LWS. The study found that out of the two systems through the manufacturing, construction, and maintenance stage of the LCA, the felt-based LWS has an impact on almost 100% of the impact categories analyzed, while plastic-based LWS has the lowest influence on the total environmental impact.","author":[{"dropping-particle":"","family":"Oquendo-Di Cosola","given":"V.","non-dropping-particle":"","parse-names":false,"suffix":""},{"dropping-particle":"","family":"Olivieri","given":"F.","non-dropping-particle":"","parse-names":false,"suffix":""},{"dropping-particle":"","family":"Ruiz-García","given":"L.","non-dropping-particle":"","parse-names":false,"suffix":""},{"dropping-particle":"","family":"Bacenetti","given":"J.","non-dropping-particle":"","parse-names":false,"suffix":""}],"container-title":"Journal of Environmental Management","id":"ITEM-1","issue":"October 2019","issued":{"date-parts":[["2020"]]},"page":"109743","publisher":"Elsevier Ltd","title":"An environmental Life Cycle Assessment of Living Wall Systems","type":"article-journal","volume":"254"},"uris":["http://www.mendeley.com/documents/?uuid=bb2b092b-29ca-4f62-96a9-13b7fe5a8a2c"]}],"mendeley":{"formattedCitation":"(Oquendo-Di Cosola et al., 2020)","manualFormatting":")","plainTextFormattedCitation":"(Oquendo-Di Cosola et al., 2020)","previouslyFormattedCitation":"(Oquendo-Di Cosola et al., 2020)"},"properties":{"noteIndex":0},"schema":"https://github.com/citation-style-language/schema/raw/master/csl-citation.json"}</w:instrText>
      </w:r>
      <w:r>
        <w:rPr>
          <w:rFonts w:asciiTheme="majorBidi" w:hAnsiTheme="majorBidi" w:cstheme="majorBidi"/>
        </w:rPr>
        <w:fldChar w:fldCharType="separate"/>
      </w:r>
      <w:r w:rsidRPr="00F453C5">
        <w:rPr>
          <w:rFonts w:asciiTheme="majorBidi" w:hAnsiTheme="majorBidi" w:cstheme="majorBidi"/>
          <w:noProof/>
        </w:rPr>
        <w:t>)</w:t>
      </w:r>
      <w:r>
        <w:rPr>
          <w:rFonts w:asciiTheme="majorBidi" w:hAnsiTheme="majorBidi" w:cstheme="majorBidi"/>
        </w:rPr>
        <w:fldChar w:fldCharType="end"/>
      </w:r>
      <w:r>
        <w:rPr>
          <w:rFonts w:asciiTheme="majorBidi" w:hAnsiTheme="majorBidi" w:cstheme="majorBidi"/>
        </w:rPr>
        <w:t xml:space="preserve">. </w:t>
      </w:r>
      <w:r w:rsidRPr="00641E3A">
        <w:rPr>
          <w:rFonts w:asciiTheme="majorBidi" w:hAnsiTheme="majorBidi" w:cstheme="majorBidi"/>
        </w:rPr>
        <w:t xml:space="preserve">It is noteworthy that the use of wood as a construction material has increased in residential or public buildings worldwide </w:t>
      </w:r>
      <w:r w:rsidRPr="00641E3A">
        <w:rPr>
          <w:rFonts w:asciiTheme="majorBidi" w:hAnsiTheme="majorBidi" w:cstheme="majorBidi"/>
        </w:rPr>
        <w:fldChar w:fldCharType="begin" w:fldLock="1"/>
      </w:r>
      <w:r w:rsidRPr="00641E3A">
        <w:rPr>
          <w:rFonts w:asciiTheme="majorBidi" w:hAnsiTheme="majorBidi" w:cstheme="majorBidi"/>
        </w:rPr>
        <w:instrText>ADDIN CSL_CITATION {"citationItems":[{"id":"ITEM-1","itemData":{"DOI":"10.1016/j.buildenv.2016.12.033","ISSN":"03601323","abstract":"The current environmental and energetic crisis and the resulting regulations led to a new interest in using sustainable materials for building applications. Wood can be a material with high sustainable rates because it is recyclable, reusable and naturally renewable. Moreover, its excellent strength-to-weight ratios, thermal insulating and acoustical properties make it useful for different kinds of applications in buildings, ranging from structural beams and frames, insulating envelopes, windows, door frames, to wall and flooring materials and furniture. Although wood is commonly classified as a sustainable material, its real sustainability depends on different issues: appropriate forest management, manufacturing methods and site assembly, distance required for transportation and use of glues. Wood has also good seismic performances due to its lightweight and even if timber elements are not able to have a ductile behavior, using steel connection allows to build dissipative structure, as well platform frame and X-LAM panels systems. Insulation properties are related to low thermal conductivity values. Furthermore, wooden elements can be used to minimize sound transmission and they can be employed as sustainable materials as several Life Cycle Assessment studies demonstrate. This review paper aims to analyze the structural, thermal, acoustical and environmental properties of wooden materials for building applications; other properties such as fire resistance and durability were also taken into account. The work is completed by several tables and graphs with wood properties and by an updated and thorough reference list.","author":[{"dropping-particle":"","family":"Asdrubali","given":"F.","non-dropping-particle":"","parse-names":false,"suffix":""},{"dropping-particle":"","family":"Ferracuti","given":"B.","non-dropping-particle":"","parse-names":false,"suffix":""},{"dropping-particle":"","family":"Lombardi","given":"L.","non-dropping-particle":"","parse-names":false,"suffix":""},{"dropping-particle":"","family":"Guattari","given":"C.","non-dropping-particle":"","parse-names":false,"suffix":""},{"dropping-particle":"","family":"Evangelisti","given":"L.","non-dropping-particle":"","parse-names":false,"suffix":""},{"dropping-particle":"","family":"Grazieschi","given":"G.","non-dropping-particle":"","parse-names":false,"suffix":""}],"container-title":"Building and Environment","id":"ITEM-1","issued":{"date-parts":[["2017"]]},"page":"307-332","publisher":"Elsevier Ltd","title":"A review of structural, thermo-physical, acoustical, and environmental properties of wooden materials for building applications","type":"article-journal","volume":"114"},"uris":["http://www.mendeley.com/documents/?uuid=2df14c2e-9caa-470f-b3f7-13012da9e385"]},{"id":"ITEM-2","itemData":{"DOI":"10.1016/j.enbuild.2014.01.004","ISSN":"03787788","abstract":"The main objective of this study is to indentify advanced wall frame assemblies applicable for residential and small commercial buildings, that have or could reach R-values larger than RSI - 3.5 m2 K/W (U-value lower from 0.29). An extensive literature review of existing and past practices is used as the main vehicle to analyze: framing and wall insulation methods, architectural details with focus on minimizing thermal bridges, structural adequacy aspects with respect to gravity and lateral loads, and ability to provide fire and sound breaks. In this paper a wide selection of advance framing wall assemblies is discussed in details with main focus on construction methods, architectural details with minimized thermal bridges, and structural (strength) concerns. High performance wall technologies of consideration include: double walls, Larsen truss walls, optimum or advanced framing walls, walls using distance spacers (furring) and walls made of wood-based composites. Since wood framing for wall applications is mostly used in North America, Scandinavia, and Central Europe, this study is focused on research studies from these regions. In addition, field test studies are presented discussing an application of high R-value of new and retrofitted wall assemblies in actual test houses that have been constructed and being currently monitored. © 2014 Elsevier B.V.","author":[{"dropping-particle":"","family":"Kosny","given":"Jan","non-dropping-particle":"","parse-names":false,"suffix":""},{"dropping-particle":"","family":"Asiz","given":"Andi","non-dropping-particle":"","parse-names":false,"suffix":""},{"dropping-particle":"","family":"Smith","given":"Ian","non-dropping-particle":"","parse-names":false,"suffix":""},{"dropping-particle":"","family":"Shrestha","given":"Som","non-dropping-particle":"","parse-names":false,"suffix":""},{"dropping-particle":"","family":"Fallahi","given":"Ali","non-dropping-particle":"","parse-names":false,"suffix":""}],"container-title":"Energy and Buildings","id":"ITEM-2","issued":{"date-parts":[["2014"]]},"page":"441-456","publisher":"Elsevier B.V.","title":"A review of high R-value wood framed and composite wood wall technologies using advanced insulation techniques","type":"article-journal","volume":"72"},"uris":["http://www.mendeley.com/documents/?uuid=3e5bb835-bee5-46f7-8313-1805e98620ee"]},{"id":"ITEM-3","itemData":{"DOI":"10.1016/j.buildenv.2018.01.026","ISSN":"03601323","abstract":"The use of prefabrication for building has many benefits, including improved construction process efficiency and reduced waste and environmental effects over a building's life cycle. Studies have investigated building life cycle carbon (LCCa), but the extent of reported carbon reductions achieved through prefabrication remains inconsistent, and it is still unclear how different variables influence a prefabricated building's LCCa. This paper aims to systematically examine the evidence for reducing building LCCa through prefabrication, and to identify gaps in existing knowledge for future research. The relevant published empirical studies were examined using the Preferred Reporting Items for Systematic Reviews and Meta-Analyses method, based on a systems framework of 12 variables influencing prefabricated building LCCa. In total, 27 cases of prefabricated buildings, carefully identified through an onerous process, were examined. The results show that the embodied and operational carbon emissions of these cases varied significantly from 105 to 864 kg CO2/m2, and from 11 to 76 kg CO2/m2/yr, respectively. The results also indicate that, on average, 15.6% of embodied and 3.2% of operational carbon reductions were achieved through prefabrication, as compared with their traditional base cases. However, five and three cases, respectively, actually had increased embodied and operational carbon as a result of prefabrication compared with their traditional counterparts. These results suggest an inconsistent influence of different variables on prefabricated building LCCa, and provide a clearer and more critical understanding of prefabricated building LCCa. A systems framework is developed to identify seven gaps in existing knowledge and recommend directions for future research.","author":[{"dropping-particle":"","family":"Teng","given":"Yue","non-dropping-particle":"","parse-names":false,"suffix":""},{"dropping-particle":"","family":"Li","given":"Kaijian","non-dropping-particle":"","parse-names":false,"suffix":""},{"dropping-particle":"","family":"Pan","given":"Wei","non-dropping-particle":"","parse-names":false,"suffix":""},{"dropping-particle":"","family":"Ng","given":"Thomas","non-dropping-particle":"","parse-names":false,"suffix":""}],"container-title":"Building and Environment","id":"ITEM-3","issue":"October 2017","issued":{"date-parts":[["2018"]]},"page":"125-136","publisher":"Elsevier","title":"Reducing building life cycle carbon emissions through prefabrication: Evidence from and gaps in empirical studies","type":"article-journal","volume":"132"},"uris":["http://www.mendeley.com/documents/?uuid=b9df43f1-304d-4dc6-8900-66a7c43c3e55"]}],"mendeley":{"formattedCitation":"(Asdrubali et al., 2017; Kosny et al., 2014; Teng et al., 2018)","plainTextFormattedCitation":"(Asdrubali et al., 2017; Kosny et al., 2014; Teng et al., 2018)","previouslyFormattedCitation":"(Asdrubali et al., 2017; Kosny et al., 2014; Teng et al., 2018)"},"properties":{"noteIndex":0},"schema":"https://github.com/citation-style-language/schema/raw/master/csl-citation.json"}</w:instrText>
      </w:r>
      <w:r w:rsidRPr="00641E3A">
        <w:rPr>
          <w:rFonts w:asciiTheme="majorBidi" w:hAnsiTheme="majorBidi" w:cstheme="majorBidi"/>
        </w:rPr>
        <w:fldChar w:fldCharType="separate"/>
      </w:r>
      <w:r w:rsidRPr="00641E3A">
        <w:rPr>
          <w:rFonts w:asciiTheme="majorBidi" w:hAnsiTheme="majorBidi" w:cstheme="majorBidi"/>
          <w:noProof/>
        </w:rPr>
        <w:t>(Asdrubali et al., 2017; Kosny et al., 2014; Teng et al., 2018)</w:t>
      </w:r>
      <w:r w:rsidRPr="00641E3A">
        <w:rPr>
          <w:rFonts w:asciiTheme="majorBidi" w:hAnsiTheme="majorBidi" w:cstheme="majorBidi"/>
        </w:rPr>
        <w:fldChar w:fldCharType="end"/>
      </w:r>
      <w:r w:rsidRPr="00641E3A">
        <w:rPr>
          <w:rFonts w:asciiTheme="majorBidi" w:hAnsiTheme="majorBidi" w:cstheme="majorBidi"/>
        </w:rPr>
        <w:t>.</w:t>
      </w:r>
      <w:r>
        <w:rPr>
          <w:rFonts w:asciiTheme="majorBidi" w:hAnsiTheme="majorBidi" w:cstheme="majorBidi"/>
        </w:rPr>
        <w:t xml:space="preserve"> Timber as a building material considers around 70% in some </w:t>
      </w:r>
      <w:r w:rsidRPr="00641E3A">
        <w:rPr>
          <w:rFonts w:asciiTheme="majorBidi" w:hAnsiTheme="majorBidi" w:cstheme="majorBidi"/>
        </w:rPr>
        <w:t>European</w:t>
      </w:r>
      <w:r>
        <w:rPr>
          <w:rFonts w:asciiTheme="majorBidi" w:hAnsiTheme="majorBidi" w:cstheme="majorBidi"/>
        </w:rPr>
        <w:t xml:space="preserve"> countries, 46% of buildings in Japan, and up to 90% in </w:t>
      </w:r>
      <w:r w:rsidRPr="00641E3A">
        <w:rPr>
          <w:rFonts w:asciiTheme="majorBidi" w:hAnsiTheme="majorBidi" w:cstheme="majorBidi"/>
        </w:rPr>
        <w:t xml:space="preserve">North America </w:t>
      </w:r>
      <w:r w:rsidRPr="00641E3A">
        <w:rPr>
          <w:rFonts w:asciiTheme="majorBidi" w:hAnsiTheme="majorBidi" w:cstheme="majorBidi"/>
        </w:rPr>
        <w:fldChar w:fldCharType="begin" w:fldLock="1"/>
      </w:r>
      <w:r w:rsidRPr="00641E3A">
        <w:rPr>
          <w:rFonts w:asciiTheme="majorBidi" w:hAnsiTheme="majorBidi" w:cstheme="majorBidi"/>
        </w:rPr>
        <w:instrText>ADDIN CSL_CITATION {"citationItems":[{"id":"ITEM-1","itemData":{"DOI":"10.1016/j.jobe.2020.101468","ISSN":"2352-7102","author":[{"dropping-particle":"","family":"Nunes","given":"Gustavo","non-dropping-particle":"","parse-names":false,"suffix":""},{"dropping-particle":"","family":"Daniel","given":"Jorge","non-dropping-particle":"","parse-names":false,"suffix":""},{"dropping-particle":"","family":"Moura","given":"De Melo","non-dropping-particle":"","parse-names":false,"suffix":""},{"dropping-particle":"","family":"Güths","given":"Saulo","non-dropping-particle":"","parse-names":false,"suffix":""},{"dropping-particle":"","family":"Atem","given":"Camila","non-dropping-particle":"","parse-names":false,"suffix":""},{"dropping-particle":"","family":"Giglio","given":"Thalita","non-dropping-particle":"","parse-names":false,"suffix":""}],"container-title":"Journal of Building Engineering","id":"ITEM-1","issue":"May","issued":{"date-parts":[["2020"]]},"page":"101468","publisher":"Elsevier Ltd","title":"Thermo-energetic performance of wooden dwellings : Benefits of cross-laminated timber in Brazilian climates","type":"article-journal","volume":"32"},"uris":["http://www.mendeley.com/documents/?uuid=ca895c44-9883-474c-a247-07a017cf1af0"]}],"mendeley":{"formattedCitation":"(Nunes et al., 2020)","plainTextFormattedCitation":"(Nunes et al., 2020)","previouslyFormattedCitation":"(Nunes et al., 2020)"},"properties":{"noteIndex":0},"schema":"https://github.com/citation-style-language/schema/raw/master/csl-citation.json"}</w:instrText>
      </w:r>
      <w:r w:rsidRPr="00641E3A">
        <w:rPr>
          <w:rFonts w:asciiTheme="majorBidi" w:hAnsiTheme="majorBidi" w:cstheme="majorBidi"/>
        </w:rPr>
        <w:fldChar w:fldCharType="separate"/>
      </w:r>
      <w:r w:rsidRPr="00641E3A">
        <w:rPr>
          <w:rFonts w:asciiTheme="majorBidi" w:hAnsiTheme="majorBidi" w:cstheme="majorBidi"/>
          <w:noProof/>
        </w:rPr>
        <w:t>(Nunes et al., 2020)</w:t>
      </w:r>
      <w:r w:rsidRPr="00641E3A">
        <w:rPr>
          <w:rFonts w:asciiTheme="majorBidi" w:hAnsiTheme="majorBidi" w:cstheme="majorBidi"/>
        </w:rPr>
        <w:fldChar w:fldCharType="end"/>
      </w:r>
      <w:r w:rsidRPr="00641E3A">
        <w:rPr>
          <w:rFonts w:asciiTheme="majorBidi" w:hAnsiTheme="majorBidi" w:cstheme="majorBidi"/>
        </w:rPr>
        <w:t xml:space="preserve">. </w:t>
      </w:r>
    </w:p>
    <w:p w14:paraId="08BBBBC7" w14:textId="77777777" w:rsidR="00583B74" w:rsidRPr="00A038BF" w:rsidRDefault="00583B74" w:rsidP="00583B74">
      <w:pPr>
        <w:spacing w:line="276" w:lineRule="auto"/>
        <w:ind w:firstLine="720"/>
        <w:jc w:val="both"/>
        <w:rPr>
          <w:rFonts w:asciiTheme="majorBidi" w:hAnsiTheme="majorBidi" w:cstheme="majorBidi"/>
        </w:rPr>
      </w:pPr>
      <w:r w:rsidRPr="00641E3A">
        <w:rPr>
          <w:rFonts w:asciiTheme="majorBidi" w:hAnsiTheme="majorBidi" w:cstheme="majorBidi"/>
        </w:rPr>
        <w:t>There are many types of engineered wood that are manufactured and used by the construction industry. However, there are few robust studies that determine the differences in environmental emissions among these materials. This study assesses three different wood-based materials as the load-bearing wall frame construction for a residential building to identify their environmental and economic differences. The materials selected are mainly used as prefabricated wall panels and do not function as columns or beams. There is widespread agreement in literature</w:t>
      </w:r>
      <w:r w:rsidRPr="00362203">
        <w:rPr>
          <w:rFonts w:asciiTheme="majorBidi" w:hAnsiTheme="majorBidi" w:cstheme="majorBidi"/>
        </w:rPr>
        <w:t xml:space="preserve"> </w:t>
      </w:r>
      <w:r w:rsidRPr="00641E3A">
        <w:rPr>
          <w:rFonts w:asciiTheme="majorBidi" w:hAnsiTheme="majorBidi" w:cstheme="majorBidi"/>
        </w:rPr>
        <w:t xml:space="preserve">that wood and mass timber have lower environmental emissions than steel and concrete </w:t>
      </w:r>
      <w:r w:rsidRPr="00641E3A">
        <w:rPr>
          <w:rFonts w:asciiTheme="majorBidi" w:hAnsiTheme="majorBidi" w:cstheme="majorBidi"/>
        </w:rPr>
        <w:fldChar w:fldCharType="begin" w:fldLock="1"/>
      </w:r>
      <w:r>
        <w:rPr>
          <w:rFonts w:asciiTheme="majorBidi" w:hAnsiTheme="majorBidi" w:cstheme="majorBidi"/>
        </w:rPr>
        <w:instrText>ADDIN CSL_CITATION {"citationItems":[{"id":"ITEM-1","itemData":{"DOI":"10.1016/j.buildenv.2021.108130","author":[{"dropping-particle":"","family":"Walbech","given":"Morten","non-dropping-particle":"","parse-names":false,"suffix":""},{"dropping-particle":"","family":"Krogh","given":"Pernille","non-dropping-particle":"","parse-names":false,"suffix":""},{"dropping-particle":"","family":"Eva","given":"M","non-dropping-particle":"","parse-names":false,"suffix":""},{"dropping-particle":"","family":"Lading","given":"Tove","non-dropping-particle":"","parse-names":false,"suffix":""}],"id":"ITEM-1","issue":"May","issued":{"date-parts":[["2021"]]},"title":"Comparative life cycle assessment of four buildings in Greenland","type":"article-journal","volume":"204"},"uris":["http://www.mendeley.com/documents/?uuid=f098dd19-3970-4fc2-bb14-39dd2f4d90ed"]},{"id":"ITEM-2","itemData":{"DOI":"10.1108/CI-03-2017-0024","ISSN":"14770857","abstract":"Purpose: The purpose of this study is to describe life cycle cost (LCC) and life cycle assessment (LCA) evaluation for single story building house in Malaysia. Two objective functions, namely, LCA and LCC, were evaluated for each design and a total of 20 alternatives were analyzed. Two wall schemes that have been adopted from two different recent studies toward mitigation of climate change require clarification in both life cycle objectives. Design/methodology/approach: For this strategic life cycle assessment, Simapro 8.3 tool has been chosen over a 50-year life span. LCC analysis was also used to determine not only the most energy-efficient strategy, but also the most economically feasible one. A present value (PV)-based economic analysis takes LCC into account. Findings: The results will appear in present value and LC carbon footprint saving, both individually and in combination with each other. Result of life cycle management shows that timber wall−wooden post and beam covered by steel stud (W5) and wood truss with concrete roof tiles (R1) released less carbon emission to atmosphere and have lower life cycle cost over their life span. W5R1 releases 35 per cent less CO2 emission than the second best choice and costs 25 per cent less. Originality/value: The indicator assessed was global warming, and as the focus was on GHG emissions, the focus of this study was mainly in the context of Malaysian construction, although the principles apply universally. The result would support the adoption of sustainable building for building sector.","author":[{"dropping-particle":"","family":"Balasbaneh","given":"Ali Tighnavard","non-dropping-particle":"","parse-names":false,"suffix":""},{"dropping-particle":"","family":"Marsono","given":"Abdul Kadir","non-dropping-particle":"Bin","parse-names":false,"suffix":""},{"dropping-particle":"","family":"Kasra Kermanshahi","given":"Emad","non-dropping-particle":"","parse-names":false,"suffix":""}],"container-title":"Construction Innovation","id":"ITEM-2","issue":"3","issued":{"date-parts":[["2018"]]},"page":"274-300","title":"Balancing of life cycle carbon and cost appraisal on alternative wall and roof design verification for residential building","type":"article-journal","volume":"18"},"uris":["http://www.mendeley.com/documents/?uuid=62f6c397-f667-4a24-bf46-3a7686a24532"]},{"id":"ITEM-3","itemData":{"DOI":"10.1016/j.buildenv.2011.11.011","ISSN":"0360-1323","author":[{"dropping-particle":"","family":"Nässén","given":"Jonas","non-dropping-particle":"","parse-names":false,"suffix":""},{"dropping-particle":"","family":"Hedenus","given":"Fredrik","non-dropping-particle":"","parse-names":false,"suffix":""},{"dropping-particle":"","family":"Karlsson","given":"Sten","non-dropping-particle":"","parse-names":false,"suffix":""},{"dropping-particle":"","family":"Holmberg","given":"John","non-dropping-particle":"","parse-names":false,"suffix":""}],"container-title":"Building and Environment","id":"ITEM-3","issued":{"date-parts":[["2012"]]},"page":"361-369","publisher":"Elsevier Ltd","title":"Concrete vs . wood in buildings e An energy system approach","type":"article-journal","volume":"51"},"uris":["http://www.mendeley.com/documents/?uuid=a1774d97-8dd3-4b68-aa84-c03f1c1b91f7"]}],"mendeley":{"formattedCitation":"(Ali Tighnavard Balasbaneh et al., 2018; Nässén et al., 2012; Walbech et al., 2021)","manualFormatting":"(Nässén et al., 2012; Balasbaneh et al., 2018; Walbech et al., 2021","plainTextFormattedCitation":"(Ali Tighnavard Balasbaneh et al., 2018; Nässén et al., 2012; Walbech et al., 2021)","previouslyFormattedCitation":"(Ali Tighnavard Balasbaneh et al., 2018; Nässén et al., 2012; Walbech et al., 2021)"},"properties":{"noteIndex":0},"schema":"https://github.com/citation-style-language/schema/raw/master/csl-citation.json"}</w:instrText>
      </w:r>
      <w:r w:rsidRPr="00641E3A">
        <w:rPr>
          <w:rFonts w:asciiTheme="majorBidi" w:hAnsiTheme="majorBidi" w:cstheme="majorBidi"/>
        </w:rPr>
        <w:fldChar w:fldCharType="separate"/>
      </w:r>
      <w:r w:rsidRPr="00641E3A">
        <w:rPr>
          <w:rFonts w:asciiTheme="majorBidi" w:hAnsiTheme="majorBidi" w:cstheme="majorBidi"/>
          <w:noProof/>
        </w:rPr>
        <w:t>(Nässén et al., 2012; Balasbaneh et al., 2018; Walbech et al., 2021</w:t>
      </w:r>
      <w:r w:rsidRPr="00641E3A">
        <w:rPr>
          <w:rFonts w:asciiTheme="majorBidi" w:hAnsiTheme="majorBidi" w:cstheme="majorBidi"/>
        </w:rPr>
        <w:fldChar w:fldCharType="end"/>
      </w:r>
      <w:r>
        <w:rPr>
          <w:rFonts w:asciiTheme="majorBidi" w:hAnsiTheme="majorBidi" w:cstheme="majorBidi"/>
        </w:rPr>
        <w:t xml:space="preserve">; </w:t>
      </w:r>
      <w:r>
        <w:rPr>
          <w:rFonts w:asciiTheme="majorBidi" w:hAnsiTheme="majorBidi" w:cstheme="majorBidi"/>
        </w:rPr>
        <w:fldChar w:fldCharType="begin" w:fldLock="1"/>
      </w:r>
      <w:r>
        <w:rPr>
          <w:rFonts w:asciiTheme="majorBidi" w:hAnsiTheme="majorBidi" w:cstheme="majorBidi"/>
        </w:rPr>
        <w:instrText>ADDIN CSL_CITATION {"citationItems":[{"id":"ITEM-1","itemData":{"DOI":"10.1007/s00107-016-1087-1","ISSN":"1436736X","abstract":"Due to the increasing interest in applying a wider range of wood species for structural purposes, nine European softwood and hardwood species (ash, beech, birch, hornbeam, larch, oak, poplar, black locust and spruce) were assessed for their ability to be bonded with three different commercial adhesive systems (melamine–urea–formaldehyde, one-component polyurethane and phenol–resorcinol–formaldehyde). Tensile shear strength and delamination tests were conducted according to European standards, for all tests including the corresponding wood species as adhesive joints and as a solid wood reference. When tested in dry condition, the threshold of solid wood tensile shear strength was reached by all species–adhesive combinations. By contrast, testing in wet condition revealed distinct performance reductions for certain combinations. This trend was confirmed by delamination testing. Overall, the results indicate that extrapolation of test results achieved with a specific wood species (as recommended in the current standard for lap-joint tests) towards other species is highly problematic and has to be done with caution.","author":[{"dropping-particle":"","family":"Konnerth","given":"Johannes","non-dropping-particle":"","parse-names":false,"suffix":""},{"dropping-particle":"","family":"Kluge","given":"Marcel","non-dropping-particle":"","parse-names":false,"suffix":""},{"dropping-particle":"","family":"Schweizer","given":"Georg","non-dropping-particle":"","parse-names":false,"suffix":""},{"dropping-particle":"","family":"Miljković","given":"Milica","non-dropping-particle":"","parse-names":false,"suffix":""},{"dropping-particle":"","family":"Gindl-Altmutter","given":"Wolfgang","non-dropping-particle":"","parse-names":false,"suffix":""}],"container-title":"European Journal of Wood and Wood Products","id":"ITEM-1","issue":"6","issued":{"date-parts":[["2016"]]},"page":"809-819","title":"Survey of selected adhesive bonding properties of nine European softwood and hardwood species","type":"article-journal","volume":"74"},"uris":["http://www.mendeley.com/documents/?uuid=85c28c6b-330b-4f2c-96e3-2b2818008ab6"]}],"mendeley":{"formattedCitation":"(Konnerth et al., 2016)","manualFormatting":"Konnerth et al., 2016)","plainTextFormattedCitation":"(Konnerth et al., 2016)","previouslyFormattedCitation":"(Konnerth et al., 2016)"},"properties":{"noteIndex":0},"schema":"https://github.com/citation-style-language/schema/raw/master/csl-citation.json"}</w:instrText>
      </w:r>
      <w:r>
        <w:rPr>
          <w:rFonts w:asciiTheme="majorBidi" w:hAnsiTheme="majorBidi" w:cstheme="majorBidi"/>
        </w:rPr>
        <w:fldChar w:fldCharType="separate"/>
      </w:r>
      <w:r w:rsidRPr="0063478C">
        <w:rPr>
          <w:rFonts w:asciiTheme="majorBidi" w:hAnsiTheme="majorBidi" w:cstheme="majorBidi"/>
          <w:noProof/>
        </w:rPr>
        <w:t>Konnerth et al., 2016)</w:t>
      </w:r>
      <w:r>
        <w:rPr>
          <w:rFonts w:asciiTheme="majorBidi" w:hAnsiTheme="majorBidi" w:cstheme="majorBidi"/>
        </w:rPr>
        <w:fldChar w:fldCharType="end"/>
      </w:r>
      <w:r w:rsidRPr="00641E3A">
        <w:rPr>
          <w:rFonts w:asciiTheme="majorBidi" w:hAnsiTheme="majorBidi" w:cstheme="majorBidi"/>
        </w:rPr>
        <w:t xml:space="preserve">. </w:t>
      </w:r>
      <w:r w:rsidRPr="00A038BF">
        <w:rPr>
          <w:rFonts w:asciiTheme="majorBidi" w:hAnsiTheme="majorBidi" w:cstheme="majorBidi"/>
        </w:rPr>
        <w:t xml:space="preserve">Therefore, this study focuses on evaluating three different engineering wood products to reveal which is the most sustainable choice. Previous studies have shown that mass timber is an attractive sustainable construction material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{"citationItems":[{"id":"ITEM-1","itemData":{"abstract":"Greenhouse gas (GHG) emissions have increased for the last three consecutive years in Australia, and this directly threatens our ability to meet our 2030 GHG emission reduction target under the Paris Agreement. Despite progress in reducing building-related GHG emissions, little focus has been placed on the indirect GHG emissions associated with building material manufacture, and construction. Cross laminated timber (CLT) is an alternative construction material that has been subject to numerous comparison studies, including many life cycle assessments (LCA). The aim of this paper is to provide a review of the recent literature on the environmental performance of CLT construction for Medium Density Residential (MDR) buildings and to identify knowledge gaps that require further research. Studies reviewed were sourced from web-based research engine, direct searches on global wood promotion websites, and the review was limited to peer reviewed publications. This review provides a useful basis for informing the exploration of important gaps in the current knowledge of how CLT buildings perform from an environmental perspective. This will ensure a comprehensive understanding of the environmental benefits of CLT construction and inform decision-making relating to structural material selection for optimising the life cycle GHG emissions performance of buildings.","author":[{"dropping-particle":"","family":"Cadorel","given":"Xavier","non-dropping-particle":"","parse-names":false,"suffix":""},{"dropping-particle":"","family":"Crawford","given":"Robert","non-dropping-particle":"","parse-names":false,"suffix":""}],"container-title":"Engaging Architectural Science: Meeting the Challenges of Higher Density: 52nd International Conference of the Architectural Science Association 2018","id":"ITEM-1","issue":"January","issued":{"date-parts":[["2019"]]},"page":"107-114","title":"Life cycle analysis of cross laminated timber in buildings: a review","type":"article-journal","volume":"15978"},"uris":["http://www.mendeley.com/documents/?uuid=3a714bea-8863-47f9-9dca-dc75de9c73b8"]}],"mendeley":{"formattedCitation":"(Cadorel &amp; Crawford, 2019)","plainTextFormattedCitation":"(Cadorel &amp; Crawford, 2019)","previouslyFormattedCitation":"(Cadorel &amp; Crawford,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(Cadorel &amp; Crawford, 2019)</w:t>
      </w:r>
      <w:r w:rsidRPr="00A038BF">
        <w:rPr>
          <w:rFonts w:asciiTheme="majorBidi" w:hAnsiTheme="majorBidi" w:cstheme="majorBidi"/>
        </w:rPr>
        <w:fldChar w:fldCharType="end"/>
      </w:r>
      <w:r w:rsidRPr="00A038BF">
        <w:rPr>
          <w:rFonts w:asciiTheme="majorBidi" w:hAnsiTheme="majorBidi" w:cstheme="majorBidi"/>
        </w:rPr>
        <w:t xml:space="preserve">. Many studies have conducted life cycle assessments (LCA) of mass timber products and compared them to other construction materials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{"citationItems":[{"id":"ITEM-1","itemData":{"DOI":"10.1007/s00107-015-0890-4","ISBN":"0010701508","ISSN":"1436736X","abstract":"This study demonstrates life cycle assessment (LCA) on a reference wooden building according to the latest normative standards: EN 15978, EN 15804 and EN 16485. Global warming potential and primary energy balance over the reference building were assessed in a case study. Through the assessment, the application of the standards was studied. In addition, possible points for development in the standards, especially concerning wood products and wood construction, were discussed from a practical perspective. The lack of proper data is a critical issue in conducting the assessment in compliance with the standards. Since LCA is a data-intensive method, the preparation of data for the building assessment according to the standard is certainly required. This paper also raises questions about the life cycle modules defined in the standards and the importance of the communication system used for the assessment results. It would be of importance to develop the communication system in such a way as to stimulate environmental consciousness in society. In order to develop a relevant communication system, further discussion and case studies would be important and feedback from such practices should be incorporated into the development of the guideline for the assessment.","author":[{"dropping-particle":"","family":"Takano","given":"Atsushi","non-dropping-particle":"","parse-names":false,"suffix":""},{"dropping-particle":"","family":"Hafner","given":"Annette","non-dropping-particle":"","parse-names":false,"suffix":""},{"dropping-particle":"","family":"Linkosalmi","given":"Lauri","non-dropping-particle":"","parse-names":false,"suffix":""},{"dropping-particle":"","family":"Ott","given":"Stephan","non-dropping-particle":"","parse-names":false,"suffix":""},{"dropping-particle":"","family":"Hughes","given":"Mark","non-dropping-particle":"","parse-names":false,"suffix":""},{"dropping-particle":"","family":"Winter","given":"Stefan","non-dropping-particle":"","parse-names":false,"suffix":""}],"container-title":"European Journal of Wood and Wood Products","id":"ITEM-1","issue":"3","issued":{"date-parts":[["2015"]]},"page":"299-312","publisher":"Springer Berlin Heidelberg","title":"Life cycle assessment of wood construction according to the normative standards","type":"article-journal","volume":"73"},"uris":["http://www.mendeley.com/documents/?uuid=bf7bf627-00f4-41d3-8001-dea94f1cb472"]}],"mendeley":{"formattedCitation":"(Takano et al., 2015)","plainTextFormattedCitation":"(Takano et al., 2015)"},"properties":{"noteIndex":0},"schema":"https://github.com/citation-style-language/schema/raw/master/csl-citation.json"}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(Takano et al., 2015)</w:t>
      </w:r>
      <w:r w:rsidRPr="00A038BF">
        <w:rPr>
          <w:rFonts w:asciiTheme="majorBidi" w:hAnsiTheme="majorBidi" w:cstheme="majorBidi"/>
        </w:rPr>
        <w:fldChar w:fldCharType="end"/>
      </w:r>
      <w:r w:rsidRPr="00A038BF">
        <w:rPr>
          <w:rFonts w:asciiTheme="majorBidi" w:hAnsiTheme="majorBidi" w:cstheme="majorBidi"/>
        </w:rPr>
        <w:t xml:space="preserve">. For example,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{"citationItems":[{"id":"ITEM-1","itemData":{"DOI":"10.1016/j.biombioe.2007.07.001","ISSN":"09619534","abstract":"Data developed by the Consortium for Research on Renewable Industrial Materials were used to estimate savings of greenhouse gas emissions and energy consumption associated with use of wood-based building materials in residential construction in the United States. Results indicate that houses with wood-based wall systems require 15-16% less total energy for non-heating/cooling purposes than thermally comparable houses employing alternative steel- or concrete-based building systems. Results for non-renewable energy consumption are essentially the same as those for total energy, reflecting the fact that most of the displaced energy is in fossil fuels. Over a 100-year period, net greenhouse gas emissions associated with wood-based houses are 20-50% lower than emissions associated with thermally comparable houses employing steel- or concrete-based building systems. Assuming 1.5 million single-family housing starts per year, the difference between wood and non-wood building systems represents about 9.6 Mt of CO2 equivalents per year. The corresponding energy benefit associated with wood-based building materials is approximately 132 PJ year-1. These estimates represent about 22% of embodied energy and 27% of embodied greenhouse gas emissions in the residential sector of the US economy. The results of the analysis are very sensitive to assumptions and uncertainties regarding the fate of forestland that is taken out of wood production due to reduced demand for wood, the continued production of co-products where demand for wood products is reduced, and the rate at which carbon accumulates in forests. © 2007 Elsevier Ltd. All rights reserved.","author":[{"dropping-particle":"","family":"Upton","given":"Brad","non-dropping-particle":"","parse-names":false,"suffix":""},{"dropping-particle":"","family":"Miner","given":"Reid","non-dropping-particle":"","parse-names":false,"suffix":""},{"dropping-particle":"","family":"Spinney","given":"Mike","non-dropping-particle":"","parse-names":false,"suffix":""},{"dropping-particle":"","family":"Heath","given":"Linda S.","non-dropping-particle":"","parse-names":false,"suffix":""}],"container-title":"Biomass and Bioenergy","id":"ITEM-1","issue":"1","issued":{"date-parts":[["2008"]]},"page":"1-10","title":"The greenhouse gas and energy impacts of using wood instead of alternatives in residential construction in the United States","type":"article-journal","volume":"32"},"uris":["http://www.mendeley.com/documents/?uuid=eed2d10d-bbbf-4afe-a51e-d5cb765dfd5d"]}],"mendeley":{"formattedCitation":"(Upton et al., 2008)","manualFormatting":"Upton et al., (2008)","plainTextFormattedCitation":"(Upton et al., 2008)","previouslyFormattedCitation":"(Upton et al., 2008)"},"properties":{"noteIndex":0},"schema":"https://github.com/citation-style-language/schema/raw/master/csl-citation.json"}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Upton et al., (2008)</w:t>
      </w:r>
      <w:r w:rsidRPr="00A038BF">
        <w:rPr>
          <w:rFonts w:asciiTheme="majorBidi" w:hAnsiTheme="majorBidi" w:cstheme="majorBidi"/>
        </w:rPr>
        <w:fldChar w:fldCharType="end"/>
      </w:r>
      <w:r w:rsidRPr="00A038BF">
        <w:rPr>
          <w:rFonts w:asciiTheme="majorBidi" w:hAnsiTheme="majorBidi" w:cstheme="majorBidi"/>
        </w:rPr>
        <w:t xml:space="preserve"> evaluated CO</w:t>
      </w:r>
      <w:r w:rsidRPr="00A038BF">
        <w:rPr>
          <w:rFonts w:asciiTheme="majorBidi" w:hAnsiTheme="majorBidi" w:cstheme="majorBidi"/>
          <w:vertAlign w:val="subscript"/>
        </w:rPr>
        <w:t>2</w:t>
      </w:r>
      <w:r w:rsidRPr="00A038BF">
        <w:rPr>
          <w:rFonts w:asciiTheme="majorBidi" w:hAnsiTheme="majorBidi" w:cstheme="majorBidi"/>
        </w:rPr>
        <w:t xml:space="preserve"> emissions by comparing wood with concrete and steel as building materials. They showed that wood produced up to 50% less emissions than other alternatives.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{"citationItems":[{"id":"ITEM-1","itemData":{"DOI":"10.1016/j.apenergy.2019.05.056","ISSN":"03062619","abstract":"To understand the reasons behind the large environmental impact from buildings the whole life cycle needs to be considered. Therefore, this study evaluates the carbon dioxide emissions in all stages of a single-family house in Sweden from the production of building materials, followed by construction and user stages until the end-of-life of the building in a life cycle assessment (LCA). The methodology applied is attributional life cycle assessment (LCA) based on ‘One Click LCA’ tool and a calculated life span of 100 years. Global warming potential (GWP) and primary energy (PE) are calculated by using specific data from the case study, furthermore the data regarding building materials are based on Environmental Product Declarations (EPDs). The results show that the selection of wood-based materials has a significantly lower impact on the carbon dioxide emissions in comparison with non-wood based materials. The total emissions for this single-family house in Sweden are 6 kg CO2e/m2/year. The production stage of building materials, including building systems and installations represent 30% of the total carbon dioxide equivalent emissions, while the maintenance and replacement part represents 37%. However, energy use during the in-use stage of the house recorded lower environmental impact (21%) due to the Swedish electricity mix that is mostly based on energy sources with low carbon dioxide emissions. The water consumption, construction and the end-of-life stages have shown minor contribution to the buildings total greenhouse gas (GHG) emissions (12%). The primary energy indicator shows the largest share in the operational phase of the house.","author":[{"dropping-particle":"","family":"Petrovic","given":"Bojana","non-dropping-particle":"","parse-names":false,"suffix":""},{"dropping-particle":"","family":"Myhren","given":"Jonn Are","non-dropping-particle":"","parse-names":false,"suffix":""},{"dropping-particle":"","family":"Zhang","given":"Xingxing","non-dropping-particle":"","parse-names":false,"suffix":""},{"dropping-particle":"","family":"Wallhagen","given":"Marita","non-dropping-particle":"","parse-names":false,"suffix":""},{"dropping-particle":"","family":"Eriksson","given":"Ola","non-dropping-particle":"","parse-names":false,"suffix":""}],"container-title":"Applied Energy","id":"ITEM-1","issue":"January","issued":{"date-parts":[["2019"]]},"page":"113253","publisher":"Elsevier","title":"Life cycle assessment of a wooden single-family house in Sweden","type":"article-journal","volume":"251"},"uris":["http://www.mendeley.com/documents/?uuid=e27ecec9-81ea-439a-bd0d-5c363978f0b7"]}],"mendeley":{"formattedCitation":"(Petrovic et al., 2019)","manualFormatting":"Petrovic et al., (2019)","plainTextFormattedCitation":"(Petrovic et al., 2019)","previouslyFormattedCitation":"(Petrovic et al.,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Petrovic et al., (2019)</w:t>
      </w:r>
      <w:r w:rsidRPr="00A038BF">
        <w:rPr>
          <w:rFonts w:asciiTheme="majorBidi" w:hAnsiTheme="majorBidi" w:cstheme="majorBidi"/>
        </w:rPr>
        <w:fldChar w:fldCharType="end"/>
      </w:r>
      <w:r w:rsidRPr="00A038BF">
        <w:rPr>
          <w:rFonts w:asciiTheme="majorBidi" w:hAnsiTheme="majorBidi" w:cstheme="majorBidi"/>
        </w:rPr>
        <w:t xml:space="preserve"> also used LCA to compare non-wood and wood materials, showing that wood had lower CO</w:t>
      </w:r>
      <w:r w:rsidRPr="00A038BF">
        <w:rPr>
          <w:rFonts w:asciiTheme="majorBidi" w:hAnsiTheme="majorBidi" w:cstheme="majorBidi"/>
          <w:vertAlign w:val="subscript"/>
        </w:rPr>
        <w:t>2</w:t>
      </w:r>
      <w:r w:rsidRPr="00A038BF">
        <w:rPr>
          <w:rFonts w:asciiTheme="majorBidi" w:hAnsiTheme="majorBidi" w:cstheme="majorBidi"/>
        </w:rPr>
        <w:t xml:space="preserve"> emissions.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{"citationItems":[{"id":"ITEM-1","itemData":{"DOI":"10.1016/j.jclepro.2017.04.052","ISSN":"09596526","abstract":"The assessment of the environmental performance of buildings is now commonly using a life cycle approach, based on a growing number of databases and methods in Life Cycle Assessment (LCA). Recent studies have, however, highlighted the problems related to uncertainties in the LCA results. The aim of this study is to assess the sensitivity of construction materials to the different modelling choices in order to highlight their consequences at the building scale. In particular, we focused on the different modelling options in terms of database choices, system boundary definitions and replacement scenarios of building materials during the whole service life of the buildings. The assessment of uncertainties was conducted at two levels: the material or element level and the building level. The results clearly show the importance of these modelling choices. Variations on the overall assessment of buildings are significant, but the details at the material scale show that not all materials are similarly sensitive to these choices. We identified those materials that have a large contribution to the environmental impact of the buildings and which are also sensitive to different modelling choices. This can help for a better understanding of these modelling choices and can be used in upcoming regulations or public policies.","author":[{"dropping-particle":"","family":"Häfliger","given":"Ian Frederic","non-dropping-particle":"","parse-names":false,"suffix":""},{"dropping-particle":"","family":"John","given":"Viola","non-dropping-particle":"","parse-names":false,"suffix":""},{"dropping-particle":"","family":"Passer","given":"Alexander","non-dropping-particle":"","parse-names":false,"suffix":""},{"dropping-particle":"","family":"Lasvaux","given":"Sebastien","non-dropping-particle":"","parse-names":false,"suffix":""},{"dropping-particle":"","family":"Hoxha","given":"Endrit","non-dropping-particle":"","parse-names":false,"suffix":""},{"dropping-particle":"","family":"Saade","given":"Marcella Ruschi Mendes","non-dropping-particle":"","parse-names":false,"suffix":""},{"dropping-particle":"","family":"Habert","given":"Guillaume","non-dropping-particle":"","parse-names":false,"suffix":""}],"container-title":"Journal of Cleaner Production","id":"ITEM-1","issued":{"date-parts":[["2017"]]},"page":"805-816","title":"Buildings environmental impacts' sensitivity related to LCA modelling choices of construction materials","type":"article-journal","volume":"156"},"uris":["http://www.mendeley.com/documents/?uuid=70a3bd05-d09c-498c-9ff6-ada9fc6c16d9"]}],"mendeley":{"formattedCitation":"(Häfliger et al., 2017)","manualFormatting":"Häfliger et al., (2017)","plainTextFormattedCitation":"(Häfliger et al., 2017)","previouslyFormattedCitation":"(Häfliger et al., 2017)"},"properties":{"noteIndex":0},"schema":"https://github.com/citation-style-language/schema/raw/master/csl-citation.json"}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Häfliger et al., (2017)</w:t>
      </w:r>
      <w:r w:rsidRPr="00A038BF">
        <w:rPr>
          <w:rFonts w:asciiTheme="majorBidi" w:hAnsiTheme="majorBidi" w:cstheme="majorBidi"/>
        </w:rPr>
        <w:fldChar w:fldCharType="end"/>
      </w:r>
      <w:r w:rsidRPr="00A038BF">
        <w:rPr>
          <w:rFonts w:asciiTheme="majorBidi" w:hAnsiTheme="majorBidi" w:cstheme="majorBidi"/>
        </w:rPr>
        <w:t xml:space="preserve"> assessed the LCA of concrete and wood, identifying wood as the most sustainable material by virtue of its lower total environmental impact. On a global scale, substituting timber materials for steel and concrete structures can reduce global CO</w:t>
      </w:r>
      <w:r w:rsidRPr="00A038BF">
        <w:rPr>
          <w:rFonts w:asciiTheme="majorBidi" w:hAnsiTheme="majorBidi" w:cstheme="majorBidi"/>
          <w:vertAlign w:val="subscript"/>
        </w:rPr>
        <w:t>2</w:t>
      </w:r>
      <w:r w:rsidRPr="00A038BF">
        <w:rPr>
          <w:rFonts w:asciiTheme="majorBidi" w:hAnsiTheme="majorBidi" w:cstheme="majorBidi"/>
        </w:rPr>
        <w:t xml:space="preserve"> emissions by up to 31% (Oliver et al., 2014). Additionally, other researchers have recognized timber-based materials as a remedy for climate problems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{"citationItems":[{"id":"ITEM-1","itemData":{"DOI":"10.1016/j.dibe.2020.100030","ISSN":"26661659","abstract":"We conducted a systematic literature search and meta-analysis of studies with side-by-side life cycle analysis comparisons of mid-rise buildings using mass timber and conventional, concrete and steel, building materials. Based on 18 comparisons across four continents, we found that substituting conventional building materials for mass timber reduces construction phase emissions by 69%, an average reduction of 216 kgCO2e/m2 of floor area. Studies included in our analysis were unanimous in showing emissions reductions when building with mass timber compared to conventional materials. Scaling-up low-carbon construction, assuming mass timber is substituted for conventional building materials in half of expected new urban construction, could provide as much as 9% of global emissions reduction needed to meet 2030 targets for keeping global warming below 1.5 ​°C. Realizing the climate mitigation potential of mass timber building could be accelerated by policy and private investment. Policy actions such as changing building codes, including mass timber in carbon offset crediting programs and setting building-sector-specific emissions reduction goals will remove barriers to and incentivize the adoption of mass timber. Private capital, as debt or equity investment, is poised to play a crucial role in financing mass timber building.","author":[{"dropping-particle":"","family":"Himes","given":"Austin","non-dropping-particle":"","parse-names":false,"suffix":""},{"dropping-particle":"","family":"Busby","given":"Gwen","non-dropping-particle":"","parse-names":false,"suffix":""}],"container-title":"Developments in the Built Environment","id":"ITEM-1","issue":"October","issued":{"date-parts":[["2020"]]},"page":"100030","publisher":"Elsevier Ltd","title":"Wood buildings as a climate solution","type":"article-journal","volume":"4"},"uris":["http://www.mendeley.com/documents/?uuid=c3fb9200-0ab0-42ee-bc55-9497ccb542ce"]}],"mendeley":{"formattedCitation":"(Himes &amp; Busby, 2020)","plainTextFormattedCitation":"(Himes &amp; Busby, 2020)","previouslyFormattedCitation":"(Himes &amp; Busby, 2020)"},"properties":{"noteIndex":0},"schema":"https://github.com/citation-style-language/schema/raw/master/csl-citation.json"}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(Himes &amp; Busby, 2020)</w:t>
      </w:r>
      <w:r w:rsidRPr="00A038BF">
        <w:rPr>
          <w:rFonts w:asciiTheme="majorBidi" w:hAnsiTheme="majorBidi" w:cstheme="majorBidi"/>
        </w:rPr>
        <w:fldChar w:fldCharType="end"/>
      </w:r>
      <w:r w:rsidRPr="00A038BF">
        <w:rPr>
          <w:rFonts w:asciiTheme="majorBidi" w:hAnsiTheme="majorBidi" w:cstheme="majorBidi"/>
        </w:rPr>
        <w:t xml:space="preserve">. </w:t>
      </w:r>
    </w:p>
    <w:p w14:paraId="251F84BB" w14:textId="4B540C03" w:rsidR="00583B74" w:rsidRPr="00A038BF" w:rsidRDefault="00583B74" w:rsidP="00583B74">
      <w:pPr>
        <w:spacing w:line="276" w:lineRule="auto"/>
        <w:ind w:firstLine="720"/>
        <w:jc w:val="both"/>
        <w:rPr>
          <w:rFonts w:asciiTheme="majorBidi" w:hAnsiTheme="majorBidi" w:cstheme="majorBidi"/>
        </w:rPr>
      </w:pPr>
      <w:r w:rsidRPr="00A038BF">
        <w:rPr>
          <w:rFonts w:asciiTheme="majorBidi" w:hAnsiTheme="majorBidi" w:cstheme="majorBidi"/>
        </w:rPr>
        <w:t xml:space="preserve">It is evident that a new era of wood is emerging. The use of engineering wood such as </w:t>
      </w:r>
      <w:r w:rsidRPr="00A038BF">
        <w:rPr>
          <w:rFonts w:asciiTheme="majorBidi" w:hAnsiTheme="majorBidi" w:cstheme="majorBidi"/>
          <w:shd w:val="clear" w:color="auto" w:fill="FFFFFF"/>
        </w:rPr>
        <w:t>Cross-laminated timber (</w:t>
      </w:r>
      <w:r w:rsidRPr="00A038BF">
        <w:rPr>
          <w:rFonts w:asciiTheme="majorBidi" w:hAnsiTheme="majorBidi" w:cstheme="majorBidi"/>
        </w:rPr>
        <w:t xml:space="preserve">CLT) has gained popularity in the past decade for double-story and midrise construction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{"citationItems":[{"id":"ITEM-1","itemData":{"DOI":"10.1016/j.buildenv.2021.108112","ISSN":"03601323","abstract":"The environmental emissions and energy from construction activity and building materials contributes significantly to a building's sustainability. Previous research dealing with wood or engineering wood's energy requirements compared to reinforced concrete and steel structures has shown that embodied energy and embodied carbon is significantly lower in wood-based construction. This study has assessed the environmental impact and costs of glued laminated timber (GLT) or cross-laminated timber (CLT). Hardwood and softwood variants of both GLT and CLT were considered. We compared the life cycle costs (LCC) of these alternatives to discover the lowest cost. The comparative results indicated that GLT has higher emissions in Global warming potential (GWP), Terrestrial Ecotoxicity (TE), Land Use (LUP), and Ozone layer depletion (OLD), while CLT has higher impact in Human-Toxicity Potential (HTP), Fossil Depletion Potential (FDP). The results indicated that using CLT significantly reduces embodied energy by 40%. However, a comparison of costs showed that CLT is 7% more expensive than GLT. Establishing which material performs best based on environmental and economic criteria thus required further analysis. Thus, the multi-criteria decision making (MCDM) method was applied. This showed that CLT manufactured with softwood is the most sustainable choice among the alternatives considered. This study's findings are important for aggregate level decision making of different wood materials for residential buildings.","author":[{"dropping-particle":"","family":"Balasbaneh","given":"Ali Tighnavard","non-dropping-particle":"","parse-names":false,"suffix":""},{"dropping-particle":"","family":"Sher","given":"Willy","non-dropping-particle":"","parse-names":false,"suffix":""}],"container-title":"Building and Environment","id":"ITEM-1","issue":"July","issued":{"date-parts":[["2021"]]},"page":"108112","publisher":"Elsevier Ltd","title":"Comparative sustainability evaluation of two engineered wood-based construction materials: Life cycle analysis of CLT versus GLT","type":"article-journal","volume":"204"},"uris":["http://www.mendeley.com/documents/?uuid=1374b326-7f08-4f8b-9735-051d16b5f02d","http://www.mendeley.com/documents/?uuid=9e43bc1e-9450-4c04-bb10-56c56124fb58"]},{"id":"ITEM-2","itemData":{"DOI":"10.1016/j.dibe.2019.100004","ISSN":"26661659","abstract":"Engineered Wood Products (EWPs) are increasingly being used as construction and building materials. However, the predominant use of petroleum-based adhesives in EWPs contributes to the release of toxic gases (e.g. Volatile Organic Compounds (VOCs) and formaldehyde) which are harmful to the environment. Also, the use of adhesives in EWPs affects their end-of-life disposal, reusability and recyclability. This paper focusses on dowel laminated timber members and densified wood materials, which are adhesive free and sustainable alternatives to commonly used EWPs (e.g. glulam and CLT). The improved mechanical properties and tight fitting due to spring-back of densified wood support their use as sustainable alternatives to hardwood fasteners to overcome their disadvantages such as loss of stiffness over time and dimensional instability. This approach would also contribute to the uptake of dowel laminated timber members and densified wood materials for more diverse and advanced structural applications and subsequently yield both environmental and economic benefits.","author":[{"dropping-particle":"","family":"Sotayo","given":"Adeayo","non-dropping-particle":"","parse-names":false,"suffix":""},{"dropping-particle":"","family":"Bradley","given":"Daniel","non-dropping-particle":"","parse-names":false,"suffix":""},{"dropping-particle":"","family":"Bather","given":"Michael","non-dropping-particle":"","parse-names":false,"suffix":""},{"dropping-particle":"","family":"Sareh","given":"Pooya","non-dropping-particle":"","parse-names":false,"suffix":""},{"dropping-particle":"","family":"Oudjene","given":"Marc","non-dropping-particle":"","parse-names":false,"suffix":""},{"dropping-particle":"","family":"El-Houjeyri","given":"Imane","non-dropping-particle":"","parse-names":false,"suffix":""},{"dropping-particle":"","family":"Harte","given":"Annette M.","non-dropping-particle":"","parse-names":false,"suffix":""},{"dropping-particle":"","family":"Mehra","given":"Sameer","non-dropping-particle":"","parse-names":false,"suffix":""},{"dropping-particle":"","family":"O'Ceallaigh","given":"Conan","non-dropping-particle":"","parse-names":false,"suffix":""},{"dropping-particle":"","family":"Haller","given":"Peer","non-dropping-particle":"","parse-names":false,"suffix":""},{"dropping-particle":"","family":"Namari","given":"Siavash","non-dropping-particle":"","parse-names":false,"suffix":""},{"dropping-particle":"","family":"Makradi","given":"Ahmed","non-dropping-particle":"","parse-names":false,"suffix":""},{"dropping-particle":"","family":"Belouettar","given":"Salim","non-dropping-particle":"","parse-names":false,"suffix":""},{"dropping-particle":"","family":"Bouhala","given":"Lyazid","non-dropping-particle":"","parse-names":false,"suffix":""},{"dropping-particle":"","family":"Deneufbourg","given":"François","non-dropping-particle":"","parse-names":false,"suffix":""},{"dropping-particle":"","family":"Guan","given":"Zhongwei","non-dropping-particle":"","parse-names":false,"suffix":""}],"container-title":"Developments in the Built Environment","id":"ITEM-2","issue":"October 2019","issued":{"date-parts":[["2020"]]},"page":"100004","publisher":"Elsevier Ltd","title":"Review of state of the art of dowel laminated timber members and densified wood materials as sustainable engineered wood products for construction and building applications","type":"article-journal","volume":"1"},"uris":["http://www.mendeley.com/documents/?uuid=720fa5d8-329a-4b20-97e5-514c6e01983e","http://www.mendeley.com/documents/?uuid=debf5494-cf07-474c-8bf6-7d834ce222ce"]}],"mendeley":{"formattedCitation":"(Ali Tighnavard Balasbaneh &amp; Sher, 2021a; Sotayo et al., 2020)","manualFormatting":"(Balasbaneh &amp; Sher, 2021a; Sotayo et al., 2020)","plainTextFormattedCitation":"(Ali Tighnavard Balasbaneh &amp; Sher, 2021a; Sotayo et al., 2020)","previouslyFormattedCitation":"(Ali Tighnavard Balasbaneh &amp; Sher, 2021a; Sotayo et al., 2020)"},"properties":{"noteIndex":0},"schema":"https://github.com/citation-style-language/schema/raw/master/csl-citation.json"}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(Balasbaneh &amp; Sher, 2021a; Sotayo et al., 2020)</w:t>
      </w:r>
      <w:r w:rsidRPr="00A038BF">
        <w:rPr>
          <w:rFonts w:asciiTheme="majorBidi" w:hAnsiTheme="majorBidi" w:cstheme="majorBidi"/>
        </w:rPr>
        <w:fldChar w:fldCharType="end"/>
      </w:r>
      <w:r w:rsidRPr="00A038BF">
        <w:rPr>
          <w:rFonts w:asciiTheme="majorBidi" w:hAnsiTheme="majorBidi" w:cstheme="majorBidi"/>
        </w:rPr>
        <w:t xml:space="preserve">. Even another study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{"citationItems":[{"id":"ITEM-1","itemData":{"DOI":"10.1016/j.egypro.2016.09.112","ISSN":"18766102","abstract":"This paper reports on a study examining the potential of reducing greenhouse gas (GHG) emissions from the building sector by substituting multi-storey steel and concrete building structures with timber structures. Life cycle assessment (LCA) is applied to compare the climate change impact (CC) of a reinforced concrete (RC) benchmark structure to the CC of an alternative timber structure for four buildings ranging from 3 to 21 storeys. The timber structures are dimensioned to meet the same load criteria as the benchmark structures. The LCA comprises three calculation approaches differing in analysis perspective, allocation methods, and modelling of biogenic CO2 and carbonation of concrete. Irrespective of the assumptions made, the timber structures cause lower CC than the RC structures. By applying attributional LCA, the timber structures are found to cause a CC that is 34-84% lower than the RC structures. The large span is due to different building heights and methodological assumptions. The CC saving per m2 floor area obtained by substituting a RC structure with a timber structure decrease slightly with building height up to 12 storeys, but increase from 12 to 21 storeys. From a consequential LCA perspective, constructing timber structures can result in avoided GHG emissions, indicated by a negative CC. Compared to the RC structures, this equal savings greater than 100%.","author":[{"dropping-particle":"","family":"Skullestad","given":"Julie Lyslo","non-dropping-particle":"","parse-names":false,"suffix":""},{"dropping-particle":"","family":"Bohne","given":"Rolf André","non-dropping-particle":"","parse-names":false,"suffix":""},{"dropping-particle":"","family":"Lohne","given":"Jardar","non-dropping-particle":"","parse-names":false,"suffix":""}],"container-title":"Energy Procedia","id":"ITEM-1","issue":"1876","issued":{"date-parts":[["2016"]]},"page":"112-123","publisher":"The Author(s)","title":"High-rise Timber Buildings as a Climate Change Mitigation Measure - A Comparative LCA of Structural System Alternatives","type":"article-journal","volume":"96"},"uris":["http://www.mendeley.com/documents/?uuid=8b66d5b4-c939-451f-a38c-6af078e99a8b"]}],"mendeley":{"formattedCitation":"(Skullestad et al., 2016)","plainTextFormattedCitation":"(Skullestad et al., 2016)","previouslyFormattedCitation":"(Skullestad et al., 2016)"},"properties":{"noteIndex":0},"schema":"https://github.com/citation-style-language/schema/raw/master/csl-citation.json"}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(Skullestad et al., 2016)</w:t>
      </w:r>
      <w:r w:rsidRPr="00A038BF">
        <w:rPr>
          <w:rFonts w:asciiTheme="majorBidi" w:hAnsiTheme="majorBidi" w:cstheme="majorBidi"/>
        </w:rPr>
        <w:fldChar w:fldCharType="end"/>
      </w:r>
      <w:r w:rsidRPr="00A038BF">
        <w:rPr>
          <w:rFonts w:asciiTheme="majorBidi" w:hAnsiTheme="majorBidi" w:cstheme="majorBidi"/>
        </w:rPr>
        <w:t xml:space="preserve"> claimed that substituting an engineered wood such as CLT material for concrete could result in savings of greenhouse gas (GHG) emissions of up to 100 %.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{"citationItems":[{"id":"ITEM-1","itemData":{"DOI":"10.3390/su12114708","ISSN":"20711050","abstract":"Buildings consume large amounts of materials and energy, making them one of the highest environmental impactors. Quantifying the impact of building materials can be critical to developing an effective greenhouse gas mitigation strategy. Using Athena Impact Estimator for Buildings (IE4B), this paper compares cradle-to-grave life-cycle assessment (LCA) results for a 12-story building constructed from cross-laminated timber (CLT) and a functionally equivalent reinforced concrete (RC) building. Following EN 15978 framework, environmental impacts for stages A1-A5 (product to construction), B2, B4, and B6 (use), C1-C4 (end of life), and D (beyond the building life) were evaluated in detail along resource efficiency. For material resource efficiency, total mass of the CLT building was 33.2% less than the alternative RC building. For modules A to C and not considering operational energy use (B6), LCA results show a 20.6% reduction in embodied carbon achieved for the CLT building, compared to the RC building. For modules A to D and not considering B6, the embodied carbon assessment revealed that for the CLT building, 6.57 x 105 kg CO2 eq was emitted, whereas for the equivalent RC building, 2.16 x 106 kg CO2 eq was emitted, and emissions from CLT building was 70% lower than that from RC building. Additionally, 1.84 x 106 kg of CO2 eq was stored in the wood material used in the CLT building during its lifetime. Building material selection should be considered for the urgent need to reduce global climate change impacts.","author":[{"dropping-particle":"","family":"Chen","given":"Zhongjia","non-dropping-particle":"","parse-names":false,"suffix":""},{"dropping-particle":"","family":"Gu","given":"Hongmei","non-dropping-particle":"","parse-names":false,"suffix":""},{"dropping-particle":"","family":"Bergman","given":"Richard D.","non-dropping-particle":"","parse-names":false,"suffix":""},{"dropping-particle":"","family":"Liang","given":"Shaobo","non-dropping-particle":"","parse-names":false,"suffix":""}],"container-title":"Sustainability (Switzerland)","id":"ITEM-1","issue":"11","issued":{"date-parts":[["2020"]]},"title":"Comparative life-cycle assessment of a high-rise mass timber building with an equivalent reinforced concrete alternative using the athena impact estimator for buildings","type":"article-journal","volume":"12"},"uris":["http://www.mendeley.com/documents/?uuid=ebc60668-f092-4cd4-8c19-70618618e00e"]}],"mendeley":{"formattedCitation":"(Z. Chen et al., 2020)","manualFormatting":"Chen Z. et al., (2020)","plainTextFormattedCitation":"(Z. Chen et al., 2020)","previouslyFormattedCitation":"(Z. Chen et al., 2020)"},"properties":{"noteIndex":0},"schema":"https://github.com/citation-style-language/schema/raw/master/csl-citation.json"}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Chen Z. et al., (2020)</w:t>
      </w:r>
      <w:r w:rsidRPr="00A038BF">
        <w:rPr>
          <w:rFonts w:asciiTheme="majorBidi" w:hAnsiTheme="majorBidi" w:cstheme="majorBidi"/>
        </w:rPr>
        <w:fldChar w:fldCharType="end"/>
      </w:r>
      <w:r w:rsidRPr="00A038BF">
        <w:rPr>
          <w:rFonts w:asciiTheme="majorBidi" w:hAnsiTheme="majorBidi" w:cstheme="majorBidi"/>
        </w:rPr>
        <w:t xml:space="preserve"> assessed CLT structures based on a multi-story concrete building. They showed that CLT has 21 % lower emissions than concrete during building life spans, excluding benefit and loads stages.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{"citationItems":[{"id":"ITEM-1","itemData":{"DOI":"10.1016/j.conbuildmat.2016.08.041","ISSN":"09500618","abstract":"Whenever Life Cycle Assessment (LCA) is used to assess the climate impact of buildings, those with high content of biobased materials result with the lowest impact. Traditional approaches to LCA fail to capture aspects such as biogenic carbon exchanges, their timing and the effects from carbon storage. This paper explores a prospective increase of biobased materials in Swedish buildings, using traditional and dynamic LCA to assess the climate impact effects of this increase. Three alternative designs are analysed; one without biobased material content, a CLT building and an alternative timber design with “increased bio”. Different scenario setups explore the sensitivity to key assumptions such as the building's service life, end-of-life scenario, setting of forest sequestration before (growth) or after (regrowth) harvesting and time horizon of the dynamic LCA. Results show that increasing the biobased material content in a building reduces its climate impact when biogenic sequestration and emissions are accounted for using traditional or dynamic LCA in all the scenarios explored. The extent of these reductions is significantly sensitive to the end-of-life scenario assumed, the timing of the forest growth or regrowth and the time horizon of the integrated global warming impact in a dynamic LCA. A time horizon longer than one hundred years is necessary if biogenic flows from forest carbon sequestration and the building's life cycle are accounted for. Further climate impact reductions can be obtained by keeping the biogenic carbon dioxide stored after end-of-life or by extending the building's service life, but the time horizon and impact allocation among different life cycles must be properly addressed.","author":[{"dropping-particle":"","family":"Peñaloza","given":"Diego","non-dropping-particle":"","parse-names":false,"suffix":""},{"dropping-particle":"","family":"Erlandsson","given":"Martin","non-dropping-particle":"","parse-names":false,"suffix":""},{"dropping-particle":"","family":"Falk","given":"Andreas","non-dropping-particle":"","parse-names":false,"suffix":""}],"container-title":"Construction and Building Materials","id":"ITEM-1","issued":{"date-parts":[["2016"]]},"page":"219-226","title":"Exploring the climate impact effects of increased use of bio-based materials in buildings","type":"article-journal","volume":"125"},"uris":["http://www.mendeley.com/documents/?uuid=7fc2538b-d928-4f9b-af00-16b9ab40e387"]}],"mendeley":{"formattedCitation":"(Peñaloza et al., 2016)","manualFormatting":"Peñaloza et al., (2016)","plainTextFormattedCitation":"(Peñaloza et al., 2016)","previouslyFormattedCitation":"(Peñaloza et al., 2016)"},"properties":{"noteIndex":0},"schema":"https://github.com/citation-style-language/schema/raw/master/csl-citation.json"}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Peñaloza et al., (2016)</w:t>
      </w:r>
      <w:r w:rsidRPr="00A038BF">
        <w:rPr>
          <w:rFonts w:asciiTheme="majorBidi" w:hAnsiTheme="majorBidi" w:cstheme="majorBidi"/>
        </w:rPr>
        <w:fldChar w:fldCharType="end"/>
      </w:r>
      <w:r w:rsidRPr="00A038BF">
        <w:rPr>
          <w:rFonts w:asciiTheme="majorBidi" w:hAnsiTheme="majorBidi" w:cstheme="majorBidi"/>
        </w:rPr>
        <w:t xml:space="preserve"> used LCA to show that CLT has potentially lower CO</w:t>
      </w:r>
      <w:r w:rsidRPr="00A038BF">
        <w:rPr>
          <w:rFonts w:asciiTheme="majorBidi" w:hAnsiTheme="majorBidi" w:cstheme="majorBidi"/>
          <w:vertAlign w:val="subscript"/>
        </w:rPr>
        <w:t xml:space="preserve">2 </w:t>
      </w:r>
      <w:r w:rsidRPr="00A038BF">
        <w:rPr>
          <w:rFonts w:asciiTheme="majorBidi" w:hAnsiTheme="majorBidi" w:cstheme="majorBidi"/>
        </w:rPr>
        <w:t xml:space="preserve">emissions than a concrete building.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{"citationItems":[{"id":"ITEM-1","itemData":{"DOI":"10.1016/j.enbuild.2020.110091","ISSN":"03787788","abstract":"Engineering wood products have significant potential as a sustainable alternative for concrete and steel in construction. Cross Laminated Timber (CLT) can add value to conventional timber products due to its high strength-to-weight ratio, simple installation, aesthetic features and environmental benefits. Recent changes in the national construction code permit structural timber buildings with a height of up to 25m, which demonstrates the strong commitment of the construction industry to adopt more sustainable practices. This paper aims to compare life cycle greenhouse gas emissions (LCGHGE) and life cycle cost (LCC) of CLT and reinforced concrete (RC) in identical midrise residential buildings in three most populated cities in Australia. It has shown that the CLT building has 30 % less LCGHGE compared with the RC building over a life span of 50 years in Melbourne, and 34% and 29% reduction in LCGHCE in Sydney and Brisbane, respectively. The results from LCC analysis showed that CLT building is 1.3% lower than conventional RC in Melbourne, and 0.9% lower in Sydney and Brisbane. The initial and end of life phases reflected reductions in LCGHGE and LCC for the CLT building whilst the operation phase incurred higher values. The extended service life of buildings has a major impact on the operational phase while changes in the discount rate have strong effects on the lifecycle operational and maintenance costs. Overall the CLT building outperformed the RC building in terms of LCGHGE and LCC across three cities. However, further savings in the operational phase with energy efficient methodologies and reuse or recycling of timber products at the end of life of the building can reinforce CLT as a sustainable alternative to RC construction.","author":[{"dropping-particle":"","family":"Jayalath","given":"Amitha","non-dropping-particle":"","parse-names":false,"suffix":""},{"dropping-particle":"","family":"Navaratnam","given":"Satheeskumar","non-dropping-particle":"","parse-names":false,"suffix":""},{"dropping-particle":"","family":"Ngo","given":"Tuan","non-dropping-particle":"","parse-names":false,"suffix":""},{"dropping-particle":"","family":"Mendis","given":"Priyan","non-dropping-particle":"","parse-names":false,"suffix":""},{"dropping-particle":"","family":"Hewson","given":"Nick","non-dropping-particle":"","parse-names":false,"suffix":""},{"dropping-particle":"","family":"Aye","given":"Lu","non-dropping-particle":"","parse-names":false,"suffix":""}],"container-title":"Energy and Buildings","id":"ITEM-1","issued":{"date-parts":[["2020"]]},"page":"110091","publisher":"Elsevier B.V.","title":"Life cycle performance of Cross Laminated Timber mid-rise residential buildings in Australia","type":"article-journal","volume":"223"},"uris":["http://www.mendeley.com/documents/?uuid=059af4ea-cb61-4dcc-91b2-1540e58831eb"]}],"mendeley":{"formattedCitation":"(Jayalath et al., 2020)","manualFormatting":"Jayalath et al., (2020)","plainTextFormattedCitation":"(Jayalath et al., 2020)","previouslyFormattedCitation":"(Jayalath et al., 2020)"},"properties":{"noteIndex":0},"schema":"https://github.com/citation-style-language/schema/raw/master/csl-citation.json"}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Jayalath et al., (2020)</w:t>
      </w:r>
      <w:r w:rsidRPr="00A038BF">
        <w:rPr>
          <w:rFonts w:asciiTheme="majorBidi" w:hAnsiTheme="majorBidi" w:cstheme="majorBidi"/>
        </w:rPr>
        <w:fldChar w:fldCharType="end"/>
      </w:r>
      <w:r w:rsidRPr="00A038BF">
        <w:rPr>
          <w:rFonts w:asciiTheme="majorBidi" w:hAnsiTheme="majorBidi" w:cstheme="majorBidi"/>
        </w:rPr>
        <w:t xml:space="preserve"> assessed the GHG emissions and LCC between reinforced concrete and CLT in identical residential buildings. The results showed that CLT reduces GHG by an average of 31% and is on average 1% lower in cost.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author":[{"dropping-particle":"","family":"Liang","given":"Shaobo","non-dropping-particle":"","parse-names":false,"suffix":""},{"dropping-particle":"","family":"Gu","given":"Hongmei","non-dropping-particle":"","parse-names":false,"suffix":""}],"id":"ITEM-1","issued":{"date-parts":[["2021"]]},"title":"Environmental Life-Cycle Assessment and Life-Cycle Cost Analysis of a High-Rise Mass Timber Building : A Case Study in Pacific Northwestern United States","type":"article-journal"},"uris":["http://www.mendeley.com/documents/?uuid=0e61a745-48cb-41b4-9887-63f912cec58b"]}],"mendeley":{"formattedCitation":"(Liang &amp; Gu, 2021)","manualFormatting":"Liang &amp; Gu, (2021)","plainTextFormattedCitation":"(Liang &amp; Gu, 2021)","previouslyFormattedCitation":"(Liang &amp; Gu, 2021)"},"properties":{"noteIndex":0},"schema":"https://github.com/citation-style-language/schema/raw/master/csl-citation.json"}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Liang &amp; Gu, (2021)</w:t>
      </w:r>
      <w:r w:rsidRPr="00A038BF">
        <w:rPr>
          <w:rFonts w:asciiTheme="majorBidi" w:hAnsiTheme="majorBidi" w:cstheme="majorBidi"/>
        </w:rPr>
        <w:fldChar w:fldCharType="end"/>
      </w:r>
      <w:r w:rsidRPr="00A038BF">
        <w:rPr>
          <w:rFonts w:asciiTheme="majorBidi" w:hAnsiTheme="majorBidi" w:cstheme="majorBidi"/>
        </w:rPr>
        <w:t xml:space="preserve"> evaluated the LCA for high-rise mass timber construction compared to concrete buildings. They showed that the mass timber construction technique performs better than conventional concrete building by 3153 kg CO2-eq versus 3203 CO2-eq per m2.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{"citationItems":[{"id":"ITEM-1","itemData":{"DOI":"10.3390/su8101047","ISSN":"20711050","abstract":"Timber building has gained more and more attention worldwide due to it being a generic renewable material and having low environmental impact. It is widely accepted that the use of timber may be able to reduce the embodied energy of a building. However, the development of timber buildings in China is not as rapid as in some other countries. This may be because of the limitations of building regulations and technological development. Several new policies have been or are being implemented in China in order to encourage the use of timber in building construction and this could lead to a revolutionary change in the building industry in China. This paper is the first one to examine the feasibility of using Cross Laminated Timber (CLT) as an alternative solution to concrete by means of a cradle-to-grave life-cycle assessment in China. A seven-storey reference concrete building in Xi'an was selected as a case study in comparison with a redesigned CLT building. Two cities in China, in cold and severe cold regions (Xi'an and Harbin), were selected for this research. The assessment includes three different stages of the life span of a building: materialisation, operation, and end-of-life. The inventory data used in the materialisation stage was mostly local, in order to ensure that the assessment appropriately reflects the situation in China. Energy consumption in the operation stage was obtained from simulation by commercialised software IESTM, and different scenarios for recycling of timber material in the end-of-life are discussed in this paper. The results from this paper show that using CLT to replace conventional carbon intensive material would reduce energy consumption by more than 30% and reduce CO2 emission by more than 40% in both cities. This paper supports, and has shown the potential of, CLT being used in cold regions with proper detailing to minimise environmental impact.","author":[{"dropping-particle":"","family":"Liu","given":"Ying","non-dropping-particle":"","parse-names":false,"suffix":""},{"dropping-particle":"","family":"Guo","given":"Haibo","non-dropping-particle":"","parse-names":false,"suffix":""},{"dropping-particle":"","family":"Sun","given":"Cheng","non-dropping-particle":"","parse-names":false,"suffix":""},{"dropping-particle":"","family":"Chang","given":"Wen Shao","non-dropping-particle":"","parse-names":false,"suffix":""}],"container-title":"Sustainability (Switzerland)","id":"ITEM-1","issue":"10","issued":{"date-parts":[["2016"]]},"title":"Assessing cross laminated timber (CLT) as an alternative material for mid-rise residential buildings in cold regions in China-A life-cycle assessment approach","type":"article-journal","volume":"8"},"uris":["http://www.mendeley.com/documents/?uuid=f11aacc0-be4b-4f2b-943c-8455e7bf7e93"]}],"mendeley":{"formattedCitation":"(Liu et al., 2016)","manualFormatting":"Liu et al., (2016)","plainTextFormattedCitation":"(Liu et al., 2016)","previouslyFormattedCitation":"(Liu et al., 2016)"},"properties":{"noteIndex":0},"schema":"https://github.com/citation-style-language/schema/raw/master/csl-citation.json"}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Liu et al., (2016)</w:t>
      </w:r>
      <w:r w:rsidRPr="00A038BF">
        <w:rPr>
          <w:rFonts w:asciiTheme="majorBidi" w:hAnsiTheme="majorBidi" w:cstheme="majorBidi"/>
        </w:rPr>
        <w:fldChar w:fldCharType="end"/>
      </w:r>
      <w:r w:rsidRPr="00A038BF">
        <w:rPr>
          <w:rFonts w:asciiTheme="majorBidi" w:hAnsiTheme="majorBidi" w:cstheme="majorBidi"/>
        </w:rPr>
        <w:t xml:space="preserve"> compared concrete with CLT in a 7-story building. Their results revealed that using CLT could reduce CO</w:t>
      </w:r>
      <w:r w:rsidRPr="00A038BF">
        <w:rPr>
          <w:rFonts w:asciiTheme="majorBidi" w:hAnsiTheme="majorBidi" w:cstheme="majorBidi"/>
          <w:vertAlign w:val="subscript"/>
        </w:rPr>
        <w:t>2</w:t>
      </w:r>
      <w:r w:rsidRPr="00A038BF">
        <w:rPr>
          <w:rFonts w:asciiTheme="majorBidi" w:hAnsiTheme="majorBidi" w:cstheme="majorBidi"/>
        </w:rPr>
        <w:t xml:space="preserve"> emissions by nearly 40%.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{"citationItems":[{"id":"ITEM-1","itemData":{"DOI":"10.1016/j.jobe.2021.102239","ISSN":"23527102","abstract":"This paper has performed an environmental footprint assessment and a life cycle costing (LCC) of a single family house built using CLT structure with the objective of understanding the relevance of the environmental impacts associated to CLT buildings, identifying the main hotspots in the different impacts and investigating several measures to minimize them. The research analyses all the relevant environmental pressures in order to identify potential trade-offs and synergies of the improvement measures proposed. Additionally, a LCC was performed so that the costs arising in the different stages of the life of the building as well as the savings from the improvement measures can be assessed. The methodology used is the Product Environmental Footprint (PEF) a methodology based on the Life Cycle Assessment, and the Life Cycle Costing methodology, also using a life cycle approach. The main novelty of this research is the combined application of these two methodologies to a building scale. Results have shown that, the studied family house produces 34 kgCO2eq per square meter and year, mainly produced in the use phase of the building. However, in the wooden structure a total of 2.8 kgCO2eq/m2 are temporarily stored. In general, the use phase accounts for most of the impacts with the notable exceptions of water. Normalized and weighed results showed however that construction impacts are of higher relevance than the use phase impacts due to the very relevant role of the water scarcity results. Results also showed that investments in insulation measures as well as the use of forced ventilation systems pay off in environmental and economic terms reducing the environmental footprint and the life cycle costs of the building. Best results were obtained with the use of PV panels that proved to significantly reduce the environmental footprint as well as the costs. Some potential trade-offs were identified in the case of the use of increased insulation thickness and the use of PV panels. In the short term, while the electricity sector becomes fully decarbonized, the installation of PV panels is the most environmentally and economically sound solution to improve sustainability of the building sector in Spain.","author":[{"dropping-particle":"","family":"Lechón","given":"Y.","non-dropping-particle":"","parse-names":false,"suffix":""},{"dropping-particle":"de","family":"Rúa","given":"C.","non-dropping-particle":"la","parse-names":false,"suffix":""},{"dropping-particle":"","family":"Lechón","given":"J. I.","non-dropping-particle":"","parse-names":false,"suffix":""}],"container-title":"Journal of Building Engineering","id":"ITEM-1","issue":"February","issued":{"date-parts":[["2021"]]},"title":"Environmental footprint and life cycle costing of a family house built on CLT structure. Analysis of hotspots and improvement measures","type":"article-journal","volume":"39"},"uris":["http://www.mendeley.com/documents/?uuid=f89b5d92-dbad-48cc-8675-5ab544d18502"]}],"mendeley":{"formattedCitation":"(Lechón et al., 2021)","manualFormatting":"Lechón et al., (2021)","plainTextFormattedCitation":"(Lechón et al., 2021)","previouslyFormattedCitation":"(Lechón et al., 2021)"},"properties":{"noteIndex":0},"schema":"https://github.com/citation-style-language/schema/raw/master/csl-citation.json"}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Lechón et al., (2021)</w:t>
      </w:r>
      <w:r w:rsidRPr="00A038BF">
        <w:rPr>
          <w:rFonts w:asciiTheme="majorBidi" w:hAnsiTheme="majorBidi" w:cstheme="majorBidi"/>
        </w:rPr>
        <w:fldChar w:fldCharType="end"/>
      </w:r>
      <w:r w:rsidRPr="00A038BF">
        <w:rPr>
          <w:rFonts w:asciiTheme="majorBidi" w:hAnsiTheme="majorBidi" w:cstheme="majorBidi"/>
        </w:rPr>
        <w:t xml:space="preserve"> assessed the CO</w:t>
      </w:r>
      <w:r w:rsidRPr="00A038BF">
        <w:rPr>
          <w:rFonts w:asciiTheme="majorBidi" w:hAnsiTheme="majorBidi" w:cstheme="majorBidi"/>
          <w:vertAlign w:val="subscript"/>
        </w:rPr>
        <w:t>2</w:t>
      </w:r>
      <w:r w:rsidRPr="00A038BF">
        <w:rPr>
          <w:rFonts w:asciiTheme="majorBidi" w:hAnsiTheme="majorBidi" w:cstheme="majorBidi"/>
        </w:rPr>
        <w:t xml:space="preserve"> emissions and LCC of CLT for a single-family house. They showed that the building produced 34 kgCO</w:t>
      </w:r>
      <w:r w:rsidRPr="00A038BF">
        <w:rPr>
          <w:rFonts w:asciiTheme="majorBidi" w:hAnsiTheme="majorBidi" w:cstheme="majorBidi"/>
          <w:vertAlign w:val="subscript"/>
        </w:rPr>
        <w:t>2</w:t>
      </w:r>
      <w:r w:rsidRPr="00A038BF">
        <w:rPr>
          <w:rFonts w:asciiTheme="majorBidi" w:hAnsiTheme="majorBidi" w:cstheme="majorBidi"/>
        </w:rPr>
        <w:t xml:space="preserve">eq per square meter.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{"citationItems":[{"id":"ITEM-1","itemData":{"DOI":"10.3390/su11051278","ISSN":"20711050","abstract":"The use of cross-laminated timber (CLT), as an environmentally sustainable building material, has generated significant interest among the wood products industry, architects and policy makers inWashington State. However, the environmental impacts of CLT panels can vary significantly depending on material logistics and wood species mix. This study developed a regionally specific cradle-to-gate life cycle assessment of CLT produced in westernWashington. Specifically, this study focused on transportation logistics, mill location, and relevant wood species mixes to provide a comparative analysis for CLT produced in the region. For this study, five sawmills (potential lamstock suppliers) in westernWashington were selected along with two hypothetical CLT mills. The results show that the location of lumber suppliers, in reference to the CLT manufacturing facilities, and the wood species mix are important factors in determining the total environmental impacts of the CLT production. Additionally, changing wood species used for lumber from a heavier species such as Douglas-fir (Pseudotsuga menziesii) to a lighter species such as Sitka spruce (Picea sitchensis) could generate significant reduction in the global warming potential (GWP) of CLT. Given the size and location of the CLT manufacturing facilities, the mills can achieve up to 14% reduction in the overall GWP of the CLT panels by sourcing the lumber locally and using lighter wood species.","author":[{"dropping-particle":"","family":"Chen","given":"Cindy X.","non-dropping-particle":"","parse-names":false,"suffix":""},{"dropping-particle":"","family":"Pierobon","given":"Francesca","non-dropping-particle":"","parse-names":false,"suffix":""},{"dropping-particle":"","family":"Ganguly","given":"Indroneil","non-dropping-particle":"","parse-names":false,"suffix":""}],"container-title":"Sustainability (Switzerland)","id":"ITEM-1","issue":"5","issued":{"date-parts":[["2019"]]},"title":"Life Cycle Assessment (LCA) of Cross-Laminated Timber (CLT) produced in Western Washington: The role of logistics and wood species mix","type":"article-journal","volume":"11"},"uris":["http://www.mendeley.com/documents/?uuid=22a5e88f-6f2f-4745-a2e4-3851127ee831"]}],"mendeley":{"formattedCitation":"(C. X. Chen et al., 2019)","manualFormatting":"Chen C. X. et al. (2019)","plainTextFormattedCitation":"(C. X. Chen et al., 2019)","previouslyFormattedCitation":"(C. X. Chen et al.,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Chen C. X. et al. (2019)</w:t>
      </w:r>
      <w:r w:rsidRPr="00A038BF">
        <w:rPr>
          <w:rFonts w:asciiTheme="majorBidi" w:hAnsiTheme="majorBidi" w:cstheme="majorBidi"/>
        </w:rPr>
        <w:fldChar w:fldCharType="end"/>
      </w:r>
      <w:r w:rsidRPr="00A038BF">
        <w:rPr>
          <w:rFonts w:asciiTheme="majorBidi" w:hAnsiTheme="majorBidi" w:cstheme="majorBidi"/>
        </w:rPr>
        <w:t xml:space="preserve"> evaluated the cradle-to-gate of LCA for CLT. Their results indicated that the location of the mill manufacturing CLT could help reduce overall global warming potential. On the other hand, mass timber such as CLT can be used as a hybrid component. For example,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{"citationItems":[{"id":"ITEM-1","itemData":{"DOI":"10.1016/j.jobe.2019.100862","ISSN":"23527102","abstract":"In this study, the cradle-to-gate environmental impact of a hybrid, mid-rise, cross-laminated timber (CLT) commercial building is evaluated and compared to that of a reinforced concrete building with similar functional characteristics. This study evaluates the embodied emissions and energy associated with building materials, manufacturing, and construction. Two alternative designs are considered for fire protection in the hybrid CLT building: 1) a ‘fireproofing design’, where gypsum wallboard is applied to the structural wood; and 2) a ‘charring design’, where two extra layers of CLT are added to the panel. The life cycle environmental impacts are assessed using TRACI 2.1 and the total primary energy is evaluated using the Cumulative Energy Demand impact method. Results show that an average of 26.5% reduction in the global warming potential is achieved in the hybrid CLT building compared to the concrete building, excluding biogenic carbon emissions. Except ozone depletion, where the difference in impact between scenarios is &lt;1%, replacing fireproofing with charring is beneficial for all impact categories. The embodied energy assessment of the building types reveals that, on average, the total primary energy in the hybrid CLT buildings and concrete building are similar. However, the non-renewable energy (fossil-based) use in the hybrid CLT building is 8% lower compared to that of the concrete building. As compared to the concrete building, additional 1,556 tCO2e and 2,567 tCO2e are stored in the wood components of the building (long-term storage of biogenic carbon) in the scenario with fireproofing and with charring, respectively.","author":[{"dropping-particle":"","family":"Pierobon","given":"Francesca","non-dropping-particle":"","parse-names":false,"suffix":""},{"dropping-particle":"","family":"Huang","given":"Monica","non-dropping-particle":"","parse-names":false,"suffix":""},{"dropping-particle":"","family":"Simonen","given":"Kathrina","non-dropping-particle":"","parse-names":false,"suffix":""},{"dropping-particle":"","family":"Ganguly","given":"Indroneil","non-dropping-particle":"","parse-names":false,"suffix":""}],"container-title":"Journal of Building Engineering","id":"ITEM-1","issue":"July","issued":{"date-parts":[["2019"]]},"title":"Environmental benefits of using hybrid CLT structure in midrise non-residential construction: An LCA based comparative case study in the U.S. Pacific Northwest","type":"article-journal","volume":"26"},"uris":["http://www.mendeley.com/documents/?uuid=321f742f-919a-4fdd-b0ef-af466637e45c"]}],"mendeley":{"formattedCitation":"(Pierobon et al., 2019)","manualFormatting":"Pierobon et al. (2019)","plainTextFormattedCitation":"(Pierobon et al., 2019)","previouslyFormattedCitation":"(Pierobon et al.,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Pierobon et al. (2019)</w:t>
      </w:r>
      <w:r w:rsidRPr="00A038BF">
        <w:rPr>
          <w:rFonts w:asciiTheme="majorBidi" w:hAnsiTheme="majorBidi" w:cstheme="majorBidi"/>
        </w:rPr>
        <w:fldChar w:fldCharType="end"/>
      </w:r>
      <w:r w:rsidRPr="00A038BF">
        <w:rPr>
          <w:rFonts w:asciiTheme="majorBidi" w:hAnsiTheme="majorBidi" w:cstheme="majorBidi"/>
        </w:rPr>
        <w:t xml:space="preserve"> compared a hybrid CLT structure with a conventional concrete building, showing that hybrid CLT has 27% lower global warming potential (GWP). There is thus considerable convincing evidence of the environmental advantages of using timber-based construction materials.</w:t>
      </w:r>
    </w:p>
    <w:p w14:paraId="4533BFB1" w14:textId="78D24083" w:rsidR="00583B74" w:rsidRPr="00A038BF" w:rsidRDefault="00583B74" w:rsidP="002E01C4">
      <w:pPr>
        <w:spacing w:line="276" w:lineRule="auto"/>
        <w:ind w:firstLine="720"/>
        <w:jc w:val="both"/>
        <w:rPr>
          <w:rFonts w:asciiTheme="majorBidi" w:hAnsiTheme="majorBidi" w:cstheme="majorBidi"/>
        </w:rPr>
      </w:pPr>
      <w:r w:rsidRPr="00A038BF">
        <w:rPr>
          <w:rFonts w:asciiTheme="majorBidi" w:hAnsiTheme="majorBidi" w:cstheme="majorBidi"/>
        </w:rPr>
        <w:t xml:space="preserve">Previous research has shown that CLT's main contribution has been enabled through the use of modern adhesives between the layers of wood. However, adhesives have attracted considerable attention in the LCA of composite wood products </w:t>
      </w:r>
      <w:r w:rsidRPr="00A038BF">
        <w:rPr>
          <w:rFonts w:asciiTheme="majorBidi" w:hAnsiTheme="majorBidi" w:cstheme="majorBidi"/>
          <w:b/>
          <w:bCs/>
        </w:rPr>
        <w:fldChar w:fldCharType="begin" w:fldLock="1"/>
      </w:r>
      <w:r w:rsidRPr="00A038BF">
        <w:rPr>
          <w:rFonts w:asciiTheme="majorBidi" w:hAnsiTheme="majorBidi" w:cstheme="majorBidi"/>
          <w:b/>
          <w:bCs/>
        </w:rPr>
        <w:instrText>ADDIN CSL_CITATION {"citationItems":[{"id":"ITEM-1","itemData":{"author":[{"dropping-particle":"","family":"Chaudhary","given":"Abhishek","non-dropping-particle":"","parse-names":false,"suffix":""}],"id":"ITEM-1","issue":"June","issued":{"date-parts":[["2015"]]},"title":"Life cycle assessment of adhesives used in wood constructions Life cycle assessment ( LCA ) of adhesives used in wood constructions","type":"article-journal"},"uris":["http://www.mendeley.com/documents/?uuid=cf6e72cf-8db8-4063-827f-774f0b27954b"]}],"mendeley":{"formattedCitation":"(Chaudhary, 2015)","plainTextFormattedCitation":"(Chaudhary, 2015)","previouslyFormattedCitation":"(Chaudhary, 2015)"},"properties":{"noteIndex":0},"schema":"https://github.com/citation-style-language/schema/raw/master/csl-citation.json"}</w:instrText>
      </w:r>
      <w:r w:rsidRPr="00A038BF">
        <w:rPr>
          <w:rFonts w:asciiTheme="majorBidi" w:hAnsiTheme="majorBidi" w:cstheme="majorBidi"/>
          <w:b/>
          <w:bCs/>
        </w:rPr>
        <w:fldChar w:fldCharType="separate"/>
      </w:r>
      <w:r w:rsidRPr="00A038BF">
        <w:rPr>
          <w:rFonts w:asciiTheme="majorBidi" w:hAnsiTheme="majorBidi" w:cstheme="majorBidi"/>
          <w:bCs/>
          <w:noProof/>
        </w:rPr>
        <w:t>(Chaudhary, 2015)</w:t>
      </w:r>
      <w:r w:rsidRPr="00A038BF">
        <w:rPr>
          <w:rFonts w:asciiTheme="majorBidi" w:hAnsiTheme="majorBidi" w:cstheme="majorBidi"/>
          <w:b/>
          <w:bCs/>
        </w:rPr>
        <w:fldChar w:fldCharType="end"/>
      </w:r>
      <w:r w:rsidRPr="00A038BF">
        <w:rPr>
          <w:rFonts w:asciiTheme="majorBidi" w:hAnsiTheme="majorBidi" w:cstheme="majorBidi"/>
        </w:rPr>
        <w:t xml:space="preserve"> and this has encouraged investigations of other ways of manufacturing timber composites. There is limited research on non-glued mass composite wood. Such materials include Nail Laminated Timber (NLT)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{"citationItems":[{"id":"ITEM-1","itemData":{"DOI":"10.1016/j.conbuildmat.2020.121820","ISSN":"09500618","abstract":"In developed countries, the construction sector has moved towards industrialization and sustainability of construction and structural materials, thus solid wood construction has gained recognition. New products such as CLT panels are used for construction of multi-storey building, and other products that use the same principle of cross lamination have gained ground, as for instance the dowel cross laminated timber panel, called DCLT. This study aims to evaluate the structural behaviour of DCLT panels with Pinus elliottii and Pinus taeda wood lamellae and pau-roxo dowels (Peltogyne spp., Leguminosae), through a specific test model developed for the connections. The panel stiffness results obtained were 727 and 1353 kNm for the 3- and 5-layer panels, respectively. The analytical values were very close to the experimental values, validating the new test procedure, which was the slip modulus value used in the obtained analytical calculations. The conclusion was that the two panels proved to be efficient for structural use, because analytical simulations showed that the panels are capable of overcoming spans of about 4 meters with distributed load values common to homes, and may become a new product for residential construction.","author":[{"dropping-particle":"","family":"Pereira","given":"Marcos Cesar de Moraes","non-dropping-particle":"","parse-names":false,"suffix":""},{"dropping-particle":"","family":"Pascal Sohier","given":"Luc Arthur","non-dropping-particle":"","parse-names":false,"suffix":""},{"dropping-particle":"","family":"Descamps","given":"Thierry","non-dropping-particle":"","parse-names":false,"suffix":""},{"dropping-particle":"","family":"Junior","given":"Carlito Calil","non-dropping-particle":"","parse-names":false,"suffix":""}],"container-title":"Construction and Building Materials","id":"ITEM-1","issued":{"date-parts":[["2021"]]},"page":"121820","publisher":"Elsevier Ltd","title":"Doweled cross laminated timber: Experimental and analytical study","type":"article-journal","volume":"273"},"uris":["http://www.mendeley.com/documents/?uuid=fa0f9eb4-77ef-4073-b982-c923552ddc52"]}],"mendeley":{"formattedCitation":"(M. C. de M. Pereira et al., 2021)","plainTextFormattedCitation":"(M. C. de M. Pereira et al., 2021)","previouslyFormattedCitation":"(M. C. de M. Pereira et al., 2021)"},"properties":{"noteIndex":0},"schema":"https://github.com/citation-style-language/schema/raw/master/csl-citation.json"}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(Pereira et al., 2021)</w:t>
      </w:r>
      <w:r w:rsidRPr="00A038BF">
        <w:rPr>
          <w:rFonts w:asciiTheme="majorBidi" w:hAnsiTheme="majorBidi" w:cstheme="majorBidi"/>
        </w:rPr>
        <w:fldChar w:fldCharType="end"/>
      </w:r>
      <w:r w:rsidRPr="00A038BF">
        <w:rPr>
          <w:rFonts w:asciiTheme="majorBidi" w:hAnsiTheme="majorBidi" w:cstheme="majorBidi"/>
        </w:rPr>
        <w:t xml:space="preserve"> and Dowel Laminated Timber (DLT)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{"citationItems":[{"id":"ITEM-1","itemData":{"DOI":"10.1080/17452007.2016.1273089","ISSN":"17527589","abstract":"This research investigates the added value or negative impact of mass timber construction (MTC) when compared with traditional site built construction. The project documented mass timber case studies and collected cost and schedule data for each built case from three stakeholders–architect, general contractor, and mass timber fabricator. This data were compared with site built cost and schedule performance data provided by cost estimation firm Cummings Corp. for building types of similar size. The study found that mass timber improves project cost when compared with traditional site built construction. In addition to the quantitative comparison, a survey protocol of qualitative opportunities and challenges associated with MTC was solicited from project stakeholders. This resulted in an analysis of frequent lessons learned and best practices for mass timber project delivery for to be taken into consideration by stakeholders.","author":[{"dropping-particle":"","family":"Smith","given":"Ryan E.","non-dropping-particle":"","parse-names":false,"suffix":""},{"dropping-particle":"","family":"Griffin","given":"Gentry","non-dropping-particle":"","parse-names":false,"suffix":""},{"dropping-particle":"","family":"Rice","given":"Talbot","non-dropping-particle":"","parse-names":false,"suffix":""},{"dropping-particle":"","family":"Hagehofer-Daniell","given":"Benjamin","non-dropping-particle":"","parse-names":false,"suffix":""}],"container-title":"Architectural Engineering and Design Management","id":"ITEM-1","issue":"1-2","issued":{"date-parts":[["2018"]]},"page":"127-138","publisher":"Taylor &amp; Francis","title":"Mass timber: evaluating construction performance","type":"article-journal","volume":"14"},"uris":["http://www.mendeley.com/documents/?uuid=fe58077a-69f9-4af6-b618-2d697a092c21"]}],"mendeley":{"formattedCitation":"(Smith et al., 2018)","plainTextFormattedCitation":"(Smith et al., 2018)","previouslyFormattedCitation":"(Smith et al., 2018)"},"properties":{"noteIndex":0},"schema":"https://github.com/citation-style-language/schema/raw/master/csl-citation.json"}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(Smith et al., 2018)</w:t>
      </w:r>
      <w:r w:rsidRPr="00A038BF">
        <w:rPr>
          <w:rFonts w:asciiTheme="majorBidi" w:hAnsiTheme="majorBidi" w:cstheme="majorBidi"/>
        </w:rPr>
        <w:fldChar w:fldCharType="end"/>
      </w:r>
      <w:r w:rsidRPr="00A038BF">
        <w:rPr>
          <w:rFonts w:asciiTheme="majorBidi" w:hAnsiTheme="majorBidi" w:cstheme="majorBidi"/>
        </w:rPr>
        <w:t xml:space="preserve">. For example,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author":[{"dropping-particle":"","family":"Zhang","given":"Chao","non-dropping-particle":"","parse-names":false,"suffix":""},{"dropping-particle":"","family":"Lee","given":"George","non-dropping-particle":"","parse-names":false,"suffix":""},{"dropping-particle":"","family":"Lam","given":"Frank","non-dropping-particle":"","parse-names":false,"suffix":""}],"id":"ITEM-1","issue":"604","issued":{"date-parts":[["2018"]]},"page":"1-35","title":"Study of Massive Timber Walls based on NLT and Post Laminated LVL by","type":"article-journal"},"uris":["http://www.mendeley.com/documents/?uuid=36b12296-b819-404a-9714-1586b915629b"]}],"mendeley":{"formattedCitation":"(C. Zhang et al., 2018)","manualFormatting":"Zhang et al., (2018)","plainTextFormattedCitation":"(C. Zhang et al., 2018)","previouslyFormattedCitation":"(C. Zhang et al., 2018)"},"properties":{"noteIndex":0},"schema":"https://github.com/citation-style-language/schema/raw/master/csl-citation.json"}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Zhang et al., (2018)</w:t>
      </w:r>
      <w:r w:rsidRPr="00A038BF">
        <w:rPr>
          <w:rFonts w:asciiTheme="majorBidi" w:hAnsiTheme="majorBidi" w:cstheme="majorBidi"/>
        </w:rPr>
        <w:fldChar w:fldCharType="end"/>
      </w:r>
      <w:r w:rsidRPr="00A038BF">
        <w:rPr>
          <w:rFonts w:asciiTheme="majorBidi" w:hAnsiTheme="majorBidi" w:cstheme="majorBidi"/>
        </w:rPr>
        <w:t xml:space="preserve"> assessed the mechanical performance of NLT. Their results showed that NLT might serve as an alternative to light wooden framed walls or CLT walls.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{"citationItems":[{"id":"ITEM-1","itemData":{"DOI":"10.1016/j.conbuildmat.2019.03.305","ISSN":"09500618","abstract":"Developing higher-value structural products from fast-growing eucalypt plantations—that are currently managed for woodchip production—can create new markets for these plantation resources and ensure a sustainable supply of timber for building construction. In this study, structural nail-laminated timber (NLT) panels with different span lengths were manufactured from a 16-year-old fast-grown Eucalyptus nitens plantation using a lamination system that can maximise the use of lower-grade boards in NLT production. The short-term bending performance in the elastic region and the effects of environmental conditions and structural grade of timber on long-term bending creep deflection of the panels were evaluated. The data analysis revealed that the current visual stress-grading method is incapable of estimating the actual modulus of elasticity (MOE) of the plantation Eucalyptus nitens timber. A linear regression model was proposed using the actual MOE of the boards that can predict the MOE of NLT panels with an average accuracy of 98%. The NLT panels made with higher-grade boards showed 22.4% greater MOE values than the NLT panels made with lower-grade boards. The lamination system used resulted in NLT panels with predictable and customised MOE with a remarkable average coefficient of variance of less than 2.6%. The long-term bending creep deflection of the test panels was significantly affected by daily variations in the relative humidity of the environment and structural grade of the timber used. The results of this study can be used in the development of an appropriate NLT production system from fast-grown plantation eucalypt.","author":[{"dropping-particle":"","family":"Derikvand","given":"Mohammad","non-dropping-particle":"","parse-names":false,"suffix":""},{"dropping-particle":"","family":"Kotlarewski","given":"Nathan","non-dropping-particle":"","parse-names":false,"suffix":""},{"dropping-particle":"","family":"Lee","given":"Michael","non-dropping-particle":"","parse-names":false,"suffix":""},{"dropping-particle":"","family":"Jiao","given":"Hui","non-dropping-particle":"","parse-names":false,"suffix":""},{"dropping-particle":"","family":"Chan","given":"Andrew","non-dropping-particle":"","parse-names":false,"suffix":""},{"dropping-particle":"","family":"Nolan","given":"Gregory","non-dropping-particle":"","parse-names":false,"suffix":""}],"container-title":"Construction and Building Materials","id":"ITEM-1","issued":{"date-parts":[["2019"]]},"page":"952-964","publisher":"Elsevier Ltd","title":"Short-term and long-term bending properties of nail-laminated timber constructed of fast-grown plantation eucalypt","type":"article-journal","volume":"211"},"uris":["http://www.mendeley.com/documents/?uuid=d02febaa-c1d4-47c4-8011-b0e64e80d4e6"]}],"mendeley":{"formattedCitation":"(Derikvand et al., 2019)","manualFormatting":"Derikvand et al., (2019)","plainTextFormattedCitation":"(Derikvand et al., 2019)","previouslyFormattedCitation":"(Derikvand et al.,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Derikvand et al., (2019)</w:t>
      </w:r>
      <w:r w:rsidRPr="00A038BF">
        <w:rPr>
          <w:rFonts w:asciiTheme="majorBidi" w:hAnsiTheme="majorBidi" w:cstheme="majorBidi"/>
        </w:rPr>
        <w:fldChar w:fldCharType="end"/>
      </w:r>
      <w:r w:rsidRPr="00A038BF">
        <w:rPr>
          <w:rFonts w:asciiTheme="majorBidi" w:hAnsiTheme="majorBidi" w:cstheme="majorBidi"/>
        </w:rPr>
        <w:t xml:space="preserve"> argued that NLT could be used as a viable alternative flooring system. Although the concept of DLT members has been around for a few decades (Dauksta, 2014; Henderson et al., 2012), research on their development and properties are limited.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{"citationItems":[{"id":"ITEM-1","itemData":{"DOI":"10.22533/at.ed.642182910","ISBN":"9788585107642","abstract":"The building system with massive wood has been widely used in center Europe, Canada, Asia and Oceanian countries, mainly the Cross Laminated Timber (CLT), but other panels like NLT (Nail Laminated Timber) and DLT (Dowel Laminated Timber) are been used in construction sector and gaining space do CLT. DLT is a massive panel made with cross lamellas and connection with wood dowels. This study analyzed DLT panels made with lamellas of Pinus taeda and dowels of Pau-roxo (Peltogyne spp., Leguminosae), that is an Amazonian species of hardwood. Tests performed defined the characteristics of each wood, the slip module in perpendicular direction with tests of connections. To define of Modulus of Elasticity (MOE) of panel in longitudinal and transverse directions, was made bending tests. The results shows that Pinus Taeda is resistance class of C20 and Peltogyne spp., Leguminosae is D60 class. In bending test, dowels had an 18.8 GPa of MOE and 81 MPa for Module of Rupture. For connection test, the medium value of slip module (K ser ) was 9.4 KN/mm. In bending test for the panel, values were 1720 MPa and 610 MPa, for longitudinal and transversal direction respectively. This values evidenced the same behavior seen for a CLT, that is, the longitudinal direction presents values of rigidity of the order of 3 to 4 times superior to the ones of the transversal direction. The comparison with the rigidity of a bonded panel CLT showed that the stiffness of the DLT is lower. One of the important results of the current studies on DLT is the attempt to develop a constructive material made only with the use of renewable and recyclable organic material, which is the case of wood. Free of adhesive materials improves the LCA of the material and facilitates reuse after the life of the material.","author":[{"dropping-particle":"","family":"Pereira","given":"Marcos Cesar M.","non-dropping-particle":"","parse-names":false,"suffix":""},{"dropping-particle":"","family":"Calil","given":"Carlito","non-dropping-particle":"","parse-names":false,"suffix":""}],"container-title":"WCTE 2018 - World Conference on Timber Engineering","id":"ITEM-1","issue":"October","issued":{"date-parts":[["2018"]]},"title":"Analysis of the stiffness of dlt panels made with lamellas of Pinus taeda and dowels of Peltogyne spp., Leguminosae","type":"book"},"uris":["http://www.mendeley.com/documents/?uuid=8f480def-c6e2-4369-a45f-68f4223809ca"]}],"mendeley":{"formattedCitation":"(M. C. M. Pereira &amp; Calil, 2018)","manualFormatting":"Pereira &amp; Calil (2018)","plainTextFormattedCitation":"(M. C. M. Pereira &amp; Calil, 2018)","previouslyFormattedCitation":"(M. C. M. Pereira &amp; Calil, 2018)"},"properties":{"noteIndex":0},"schema":"https://github.com/citation-style-language/schema/raw/master/csl-citation.json"}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Pereira &amp; Calil (2018)</w:t>
      </w:r>
      <w:r w:rsidRPr="00A038BF">
        <w:rPr>
          <w:rFonts w:asciiTheme="majorBidi" w:hAnsiTheme="majorBidi" w:cstheme="majorBidi"/>
        </w:rPr>
        <w:fldChar w:fldCharType="end"/>
      </w:r>
      <w:r w:rsidRPr="00A038BF">
        <w:rPr>
          <w:rFonts w:asciiTheme="majorBidi" w:hAnsiTheme="majorBidi" w:cstheme="majorBidi"/>
        </w:rPr>
        <w:t xml:space="preserve"> investigated the use of DLT panels for floor and wall components. They found that the stiffness of DLT was lower than CLT, but was satisfactory for building components. Other reports claimed that the production of DLT contributed 121.40</w:t>
      </w:r>
      <w:r w:rsidRPr="00A038BF">
        <w:t xml:space="preserve"> </w:t>
      </w:r>
      <w:r w:rsidRPr="00A038BF">
        <w:rPr>
          <w:rFonts w:asciiTheme="majorBidi" w:hAnsiTheme="majorBidi" w:cstheme="majorBidi"/>
        </w:rPr>
        <w:t>kg CO</w:t>
      </w:r>
      <w:r w:rsidRPr="00A038BF">
        <w:rPr>
          <w:rFonts w:asciiTheme="majorBidi" w:hAnsiTheme="majorBidi" w:cstheme="majorBidi"/>
          <w:vertAlign w:val="subscript"/>
        </w:rPr>
        <w:t>2</w:t>
      </w:r>
      <w:r w:rsidRPr="00A038BF">
        <w:rPr>
          <w:rFonts w:asciiTheme="majorBidi" w:hAnsiTheme="majorBidi" w:cstheme="majorBidi"/>
        </w:rPr>
        <w:t>e to the atmosphere per m</w:t>
      </w:r>
      <w:r w:rsidRPr="00A038BF">
        <w:rPr>
          <w:rFonts w:asciiTheme="majorBidi" w:hAnsiTheme="majorBidi" w:cstheme="majorBidi"/>
          <w:vertAlign w:val="superscript"/>
        </w:rPr>
        <w:t xml:space="preserve">3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{"citationItems":[{"id":"ITEM-1","itemData":{"author":[{"dropping-particle":"","family":"Timber","given":"Dowel Laminated","non-dropping-particle":"","parse-names":false,"suffix":""},{"dropping-particle":"","family":"Canada","given":"B C","non-dropping-particle":"","parse-names":false,"suffix":""}],"id":"ITEM-1","issued":{"date-parts":[["0"]]},"title":"E nvironmental P roduct D eclaration DowelLam","type":"article-journal"},"uris":["http://www.mendeley.com/documents/?uuid=d7ccf6a4-6ec3-4a1f-adb4-08017517816e","http://www.mendeley.com/documents/?uuid=f9783e37-8ff4-4342-8949-7ce04c519f4e"]}],"mendeley":{"formattedCitation":"(Timber &amp; Canada, n.d.)","manualFormatting":"(Timber &amp; Canada, 2020)","plainTextFormattedCitation":"(Timber &amp; Canada, n.d.)","previouslyFormattedCitation":"(Timber &amp; Canada, n.d.)"},"properties":{"noteIndex":0},"schema":"https://github.com/citation-style-language/schema/raw/master/csl-citation.json"}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(Timber &amp; Canada, 2020)</w:t>
      </w:r>
      <w:r w:rsidRPr="00A038BF">
        <w:rPr>
          <w:rFonts w:asciiTheme="majorBidi" w:hAnsiTheme="majorBidi" w:cstheme="majorBidi"/>
        </w:rPr>
        <w:fldChar w:fldCharType="end"/>
      </w:r>
      <w:r w:rsidRPr="00A038BF">
        <w:rPr>
          <w:rFonts w:asciiTheme="majorBidi" w:hAnsiTheme="majorBidi" w:cstheme="majorBidi"/>
        </w:rPr>
        <w:t xml:space="preserve">. DLT can be manufactured from out-of-grade wood, creating additional opportunities to increase the use of this renewable material in the construction industry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conbuildmat.2019.03.293","ISSN":"0950-0618","author":[{"dropping-particle":"","family":"Cherry","given":"Rebecca","non-dropping-particle":"","parse-names":false,"suffix":""},{"dropping-particle":"","family":"Manalo","given":"Allan","non-dropping-particle":"","parse-names":false,"suffix":""},{"dropping-particle":"","family":"Karunasena","given":"Warna","non-dropping-particle":"","parse-names":false,"suffix":""},{"dropping-particle":"","family":"Stringer","given":"Geoff","non-dropping-particle":"","parse-names":false,"suffix":""}],"container-title":"Construction and Building Materials","id":"ITEM-1","issued":{"date-parts":[["2019"]]},"page":"858-868","publisher":"Elsevier Ltd","title":"Out-of-grade sawn pine : A state-of-the-art review on challenges and new opportunities in cross laminated timber ( CLT )","type":"article-journal","volume":"211"},"uris":["http://www.mendeley.com/documents/?uuid=fc0440e0-bec4-4f54-81b7-dacbb55819f0"]}],"mendeley":{"formattedCitation":"(Cherry et al., 2019)","plainTextFormattedCitation":"(Cherry et al., 2019)","previouslyFormattedCitation":"(Cherry et al., 2019)"},"properties":{"noteIndex":0},"schema":"https://github.com/citation-style-language/schema/raw/master/csl-citation.json"}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(Cherry et al., 2019)</w:t>
      </w:r>
      <w:r w:rsidRPr="00A038BF">
        <w:rPr>
          <w:rFonts w:asciiTheme="majorBidi" w:hAnsiTheme="majorBidi" w:cstheme="majorBidi"/>
        </w:rPr>
        <w:fldChar w:fldCharType="end"/>
      </w:r>
      <w:r w:rsidRPr="00A038BF">
        <w:rPr>
          <w:rFonts w:asciiTheme="majorBidi" w:hAnsiTheme="majorBidi" w:cstheme="majorBidi"/>
        </w:rPr>
        <w:t xml:space="preserve">. </w:t>
      </w:r>
    </w:p>
    <w:p w14:paraId="6D4DC742" w14:textId="77777777" w:rsidR="00583B74" w:rsidRPr="00A038BF" w:rsidRDefault="00583B74" w:rsidP="00583B74">
      <w:pPr>
        <w:spacing w:line="276" w:lineRule="auto"/>
        <w:ind w:firstLine="720"/>
        <w:jc w:val="both"/>
        <w:rPr>
          <w:rFonts w:asciiTheme="majorBidi" w:hAnsiTheme="majorBidi" w:cstheme="majorBidi"/>
        </w:rPr>
      </w:pPr>
      <w:r w:rsidRPr="00A038BF">
        <w:rPr>
          <w:rFonts w:asciiTheme="majorBidi" w:hAnsiTheme="majorBidi" w:cstheme="majorBidi"/>
        </w:rPr>
        <w:t xml:space="preserve">The main aim of this study is to compare the embodied energy and environmental performance of CLT (manufactured with formaldehyde-free PUR adhesive), NLT, and DLT. To the best of our knowledge, no study has compared the LCA of these three timber products. This research fills the gap by analyzing the LCA and LCC of these different mass timber engineered prefabricated wall panels for mid-rise residential construing buildings. </w:t>
      </w:r>
    </w:p>
    <w:p w14:paraId="4161B5AD" w14:textId="77777777" w:rsidR="00583B74" w:rsidRPr="00A038BF" w:rsidRDefault="00583B74" w:rsidP="001F0E68">
      <w:pPr>
        <w:spacing w:line="276" w:lineRule="auto"/>
        <w:ind w:firstLine="720"/>
        <w:jc w:val="both"/>
        <w:rPr>
          <w:rFonts w:asciiTheme="majorBidi" w:hAnsiTheme="majorBidi" w:cstheme="majorBidi"/>
        </w:rPr>
      </w:pPr>
    </w:p>
    <w:p w14:paraId="659C95C8" w14:textId="77777777" w:rsidR="00FD21DE" w:rsidRPr="00A038BF" w:rsidRDefault="00FD21DE" w:rsidP="00FD21DE">
      <w:pPr>
        <w:pStyle w:val="ListParagraph"/>
        <w:numPr>
          <w:ilvl w:val="0"/>
          <w:numId w:val="3"/>
        </w:numPr>
        <w:spacing w:line="276" w:lineRule="auto"/>
        <w:rPr>
          <w:rFonts w:asciiTheme="majorBidi" w:hAnsiTheme="majorBidi" w:cstheme="majorBidi"/>
          <w:b/>
          <w:bCs/>
        </w:rPr>
      </w:pPr>
      <w:r w:rsidRPr="00A038BF">
        <w:rPr>
          <w:rFonts w:asciiTheme="majorBidi" w:hAnsiTheme="majorBidi" w:cstheme="majorBidi"/>
          <w:b/>
          <w:bCs/>
        </w:rPr>
        <w:t>Method and Materials</w:t>
      </w:r>
    </w:p>
    <w:p w14:paraId="432AF60B" w14:textId="30DEE544" w:rsidR="003A5A40" w:rsidRPr="00A038BF" w:rsidRDefault="00836135" w:rsidP="00E11D69">
      <w:pPr>
        <w:ind w:firstLine="720"/>
        <w:jc w:val="both"/>
        <w:rPr>
          <w:rFonts w:asciiTheme="majorBidi" w:hAnsiTheme="majorBidi" w:cstheme="majorBidi"/>
        </w:rPr>
      </w:pPr>
      <w:r w:rsidRPr="00A038BF">
        <w:rPr>
          <w:rFonts w:asciiTheme="majorBidi" w:hAnsiTheme="majorBidi" w:cstheme="majorBidi"/>
        </w:rPr>
        <w:t>This research methodology is separated into five sections as following: (i) evaluation of life cycle assessment; (ii) estimation of the life cycle embodied energy; ii) evaluation of the overall life cycle cost; (iv) normalizing the previous result using multi-criteria decision making</w:t>
      </w:r>
      <w:r w:rsidR="00E11D69" w:rsidRPr="00A038BF">
        <w:rPr>
          <w:rFonts w:asciiTheme="majorBidi" w:hAnsiTheme="majorBidi" w:cstheme="majorBidi"/>
        </w:rPr>
        <w:t xml:space="preserve"> (MCDM)</w:t>
      </w:r>
      <w:r w:rsidRPr="00A038BF">
        <w:rPr>
          <w:rFonts w:asciiTheme="majorBidi" w:hAnsiTheme="majorBidi" w:cstheme="majorBidi"/>
        </w:rPr>
        <w:t xml:space="preserve">; (v) sensitivity analysis. The LCA was implemented for identical midrise residential buildings for three different mass timber products. </w:t>
      </w:r>
      <w:r w:rsidR="00E11D69" w:rsidRPr="00A038BF">
        <w:rPr>
          <w:rFonts w:asciiTheme="majorBidi" w:hAnsiTheme="majorBidi" w:cstheme="majorBidi"/>
        </w:rPr>
        <w:t xml:space="preserve">Using MCDM to determined the best mass timber among the alternatives has been practiced recently </w:t>
      </w:r>
      <w:r w:rsidR="00E11D69" w:rsidRPr="00A038BF">
        <w:rPr>
          <w:rFonts w:asciiTheme="majorBidi" w:hAnsiTheme="majorBidi" w:cstheme="majorBidi"/>
        </w:rPr>
        <w:fldChar w:fldCharType="begin" w:fldLock="1"/>
      </w:r>
      <w:r w:rsidR="00E11D69" w:rsidRPr="00A038BF">
        <w:rPr>
          <w:rFonts w:asciiTheme="majorBidi" w:hAnsiTheme="majorBidi" w:cstheme="majorBidi"/>
        </w:rPr>
        <w:instrText>ADDIN CSL_CITATION {"citationItems":[{"id":"ITEM-1","itemData":{"DOI":"10.1016/j.buildenv.2021.108112","ISSN":"0360-1323","abstract":"The environmental emissions and energy from construction activity and building materials contributes significantly to a building's sustainability. Previous research dealing with wood or engineering wood's energy requirements compared to reinforced concrete and steel structures has shown that embodied energy and embodied carbon is significantly lower in wood-based construction. This study has assessed the environmental impact and costs of glued laminated timber (GLT) or cross-laminated timber (CLT). Hardwood and softwood variants of both GLT and CLT were considered. We compared the life cycle costs (LCC) of these alternatives to discover the lowest cost. The comparative results indicated that GLT has higher emissions in Global warming potential (GWP), Terrestrial Ecotoxicity (TE), Land Use (LUP), and Ozone layer depletion (OLD), while CLT has higher impact in Human-Toxicity Potential (HTP), Fossil Depletion Potential (FDP). The results indicated that using CLT significantly reduces embodied energy by 40%. However, a comparison of costs showed that CLT is 7% more expensive than GLT. Establishing which material performs best based on environmental and economic criteria thus required further analysis. Thus, the multi-criteria decision making (MCDM) method was applied. This showed that CLT manufactured with softwood is the most sustainable choice among the alternatives considered. This study's findings are important for aggregate level decision making of different wood materials for residential buildings.","author":[{"dropping-particle":"","family":"Balasbaneh","given":"Ali Tighnavard","non-dropping-particle":"","parse-names":false,"suffix":""},{"dropping-particle":"","family":"Sher","given":"Willy","non-dropping-particle":"","parse-names":false,"suffix":""},{"dropping-particle":"","family":"Tighnavard","given":"Ali","non-dropping-particle":"","parse-names":false,"suffix":""},{"dropping-particle":"","family":"Sher","given":"Willy","non-dropping-particle":"","parse-names":false,"suffix":""}],"container-title":"Building and Environment","id":"ITEM-1","issue":"July","issued":{"date-parts":[["2021"]]},"page":"108112","publisher":"Elsevier Ltd","title":"Comparative sustainability evaluation of two engineered wood-based construction materials : Life cycle analysis of CLT versus GLT","type":"article-journal","volume":"204"},"uris":["http://www.mendeley.com/documents/?uuid=61806e06-0b5a-4f14-9b53-12e34acb44a8"]}],"mendeley":{"formattedCitation":"(Balasbaneh et al., 2021)","plainTextFormattedCitation":"(Balasbaneh et al., 2021)","previouslyFormattedCitation":"(Balasbaneh et al., 2021)"},"properties":{"noteIndex":0},"schema":"https://github.com/citation-style-language/schema/raw/master/csl-citation.json"}</w:instrText>
      </w:r>
      <w:r w:rsidR="00E11D69" w:rsidRPr="00A038BF">
        <w:rPr>
          <w:rFonts w:asciiTheme="majorBidi" w:hAnsiTheme="majorBidi" w:cstheme="majorBidi"/>
        </w:rPr>
        <w:fldChar w:fldCharType="separate"/>
      </w:r>
      <w:r w:rsidR="00E11D69" w:rsidRPr="00A038BF">
        <w:rPr>
          <w:rFonts w:asciiTheme="majorBidi" w:hAnsiTheme="majorBidi" w:cstheme="majorBidi"/>
          <w:noProof/>
        </w:rPr>
        <w:t>(Balasbaneh et al., 2021)</w:t>
      </w:r>
      <w:r w:rsidR="00E11D69" w:rsidRPr="00A038BF">
        <w:rPr>
          <w:rFonts w:asciiTheme="majorBidi" w:hAnsiTheme="majorBidi" w:cstheme="majorBidi"/>
        </w:rPr>
        <w:fldChar w:fldCharType="end"/>
      </w:r>
      <w:r w:rsidR="00E11D69" w:rsidRPr="00A038BF">
        <w:rPr>
          <w:rFonts w:asciiTheme="majorBidi" w:hAnsiTheme="majorBidi" w:cstheme="majorBidi"/>
        </w:rPr>
        <w:t>. The current research has followed the proven path for the analysis the best alternative</w:t>
      </w:r>
      <w:r w:rsidR="00E11D69" w:rsidRPr="00A038BF">
        <w:t xml:space="preserve">. </w:t>
      </w:r>
    </w:p>
    <w:p w14:paraId="622DDC69" w14:textId="77777777" w:rsidR="00046463" w:rsidRPr="00A038BF" w:rsidRDefault="00FD21DE" w:rsidP="00046463">
      <w:pPr>
        <w:pStyle w:val="ListParagraph"/>
        <w:numPr>
          <w:ilvl w:val="1"/>
          <w:numId w:val="3"/>
        </w:numPr>
        <w:spacing w:before="240"/>
        <w:rPr>
          <w:rFonts w:asciiTheme="majorBidi" w:hAnsiTheme="majorBidi" w:cstheme="majorBidi"/>
          <w:b/>
          <w:bCs/>
        </w:rPr>
      </w:pPr>
      <w:r w:rsidRPr="00A038BF">
        <w:rPr>
          <w:rFonts w:asciiTheme="majorBidi" w:hAnsiTheme="majorBidi" w:cstheme="majorBidi"/>
          <w:b/>
          <w:bCs/>
        </w:rPr>
        <w:t>Life cycle assessment</w:t>
      </w:r>
    </w:p>
    <w:p w14:paraId="146D8EE0" w14:textId="77777777" w:rsidR="00303A38" w:rsidRPr="00A038BF" w:rsidRDefault="00303A38" w:rsidP="00366457">
      <w:pPr>
        <w:pStyle w:val="ListParagraph"/>
        <w:numPr>
          <w:ilvl w:val="2"/>
          <w:numId w:val="3"/>
        </w:numPr>
        <w:spacing w:after="0"/>
        <w:ind w:hanging="450"/>
        <w:rPr>
          <w:rFonts w:asciiTheme="majorBidi" w:hAnsiTheme="majorBidi" w:cstheme="majorBidi"/>
          <w:b/>
          <w:bCs/>
        </w:rPr>
      </w:pPr>
      <w:r w:rsidRPr="00A038BF">
        <w:rPr>
          <w:rFonts w:asciiTheme="majorBidi" w:hAnsiTheme="majorBidi" w:cstheme="majorBidi"/>
          <w:b/>
          <w:bCs/>
        </w:rPr>
        <w:t>Goal and scope</w:t>
      </w:r>
    </w:p>
    <w:p w14:paraId="4A0EDBF9" w14:textId="332D906A" w:rsidR="004250D4" w:rsidRPr="00A038BF" w:rsidRDefault="003D6D93" w:rsidP="00A2672A">
      <w:pPr>
        <w:spacing w:after="0"/>
        <w:ind w:firstLine="720"/>
        <w:jc w:val="both"/>
        <w:rPr>
          <w:rFonts w:asciiTheme="majorBidi" w:hAnsiTheme="majorBidi" w:cstheme="majorBidi"/>
        </w:rPr>
      </w:pPr>
      <w:r w:rsidRPr="00A038BF">
        <w:rPr>
          <w:rFonts w:asciiTheme="majorBidi" w:hAnsiTheme="majorBidi" w:cstheme="majorBidi"/>
        </w:rPr>
        <w:t xml:space="preserve">LCA is the best-defined method to analyses environmental impacts, and can be applied in a circular economy context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{"citationItems":[{"id":"ITEM-1","itemData":{"DOI":"10.1016/j.jclepro.2015.05.075","ISSN":"09596526","abstract":"There is a need for metrics to analyse complex business models in the circular economy. Life cycle assessment (LCA) currently is the best defined system to analyse the environmental aspects, and is capable to analyse circular systems, Product Service Systems, and systems for recycling. However LCA falls short of analysis of the added value of business models. Since new sustainable business models are part of the transition towards a circular economy, there is a need for combined analyses of value and eco-burden. This paper applies the LCA-based Eco-costs Value Ratio (EVR) Model to analyse potential negative environmental effects of business initiatives on a system level, and to provide a theoretical approach to the design of sustainable business models by means of a three dimensional approach of costs, eco-costs and market value. Two methods are applied for analysis and design: Eco-efficient Value Creation (EVR benchmarking) and the Circular Transition Framework (describing stakeholder activities which are required for the transition towards sustainable business models). The practical case of the analysis, design and implementation of a business model for sustainable water recreation in Friesland (a province in the Netherlands) is used to validate the usefulness of these two LCA-based methods. The conclusion is that the approach of Eco-efficient Value Creation helps to avoid many pitfalls of the design of circular business models (e.g. having a positive result on product level, but having a negative effect on societal level; having a positive effect on the environment but having insufficient customer perceived value to overcome fierce market competition). The Circular Transition Framework reveals pitfalls and opportunities in implementation (e.g. the coordination between business models and governmental policies).","author":[{"dropping-particle":"","family":"Scheepens","given":"A. E.","non-dropping-particle":"","parse-names":false,"suffix":""},{"dropping-particle":"","family":"Vogtländer","given":"J. G.","non-dropping-particle":"","parse-names":false,"suffix":""},{"dropping-particle":"","family":"Brezet","given":"J. C.","non-dropping-particle":"","parse-names":false,"suffix":""}],"container-title":"Journal of Cleaner Production","id":"ITEM-1","issued":{"date-parts":[["2016"]]},"page":"257-268","title":"Two life cycle assessment (LCA) based methods to analyse and design complex (regional) circular economy systems. Case: Making water tourism more sustainable","type":"article-journal","volume":"114"},"uris":["http://www.mendeley.com/documents/?uuid=6aa4a2fa-b8b1-4fd5-bf85-60afbda07424"]}],"mendeley":{"formattedCitation":"(Scheepens et al., 2016)","plainTextFormattedCitation":"(Scheepens et al., 2016)","previouslyFormattedCitation":"(Scheepens et al., 2016)"},"properties":{"noteIndex":0},"schema":"https://github.com/citation-style-language/schema/raw/master/csl-citation.json"}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(Scheepens et al., 2016)</w:t>
      </w:r>
      <w:r w:rsidRPr="00A038BF">
        <w:rPr>
          <w:rFonts w:asciiTheme="majorBidi" w:hAnsiTheme="majorBidi" w:cstheme="majorBidi"/>
        </w:rPr>
        <w:fldChar w:fldCharType="end"/>
      </w:r>
      <w:r w:rsidRPr="00A038BF">
        <w:rPr>
          <w:rFonts w:asciiTheme="majorBidi" w:hAnsiTheme="majorBidi" w:cstheme="majorBidi"/>
        </w:rPr>
        <w:t xml:space="preserve">. </w:t>
      </w:r>
      <w:r w:rsidR="004250D4" w:rsidRPr="00A038BF">
        <w:rPr>
          <w:rFonts w:asciiTheme="majorBidi" w:hAnsiTheme="majorBidi" w:cstheme="majorBidi"/>
        </w:rPr>
        <w:t xml:space="preserve">LCA has been applied </w:t>
      </w:r>
      <w:r w:rsidR="00B929CB" w:rsidRPr="00A038BF">
        <w:rPr>
          <w:rFonts w:asciiTheme="majorBidi" w:hAnsiTheme="majorBidi" w:cstheme="majorBidi"/>
        </w:rPr>
        <w:t>to analyze</w:t>
      </w:r>
      <w:r w:rsidR="004250D4" w:rsidRPr="00A038BF">
        <w:rPr>
          <w:rFonts w:asciiTheme="majorBidi" w:hAnsiTheme="majorBidi" w:cstheme="majorBidi"/>
        </w:rPr>
        <w:t xml:space="preserve"> the sustainability of</w:t>
      </w:r>
      <w:r w:rsidR="00512975" w:rsidRPr="00A038BF">
        <w:rPr>
          <w:rFonts w:asciiTheme="majorBidi" w:hAnsiTheme="majorBidi" w:cstheme="majorBidi"/>
        </w:rPr>
        <w:t xml:space="preserve"> three</w:t>
      </w:r>
      <w:r w:rsidR="004250D4" w:rsidRPr="00A038BF">
        <w:rPr>
          <w:rFonts w:asciiTheme="majorBidi" w:hAnsiTheme="majorBidi" w:cstheme="majorBidi"/>
        </w:rPr>
        <w:t xml:space="preserve"> different mass timber</w:t>
      </w:r>
      <w:r w:rsidR="00DE7420" w:rsidRPr="00A038BF">
        <w:rPr>
          <w:rFonts w:asciiTheme="majorBidi" w:hAnsiTheme="majorBidi" w:cstheme="majorBidi"/>
        </w:rPr>
        <w:t xml:space="preserve"> products when used in </w:t>
      </w:r>
      <w:r w:rsidR="004250D4" w:rsidRPr="00A038BF">
        <w:rPr>
          <w:rFonts w:asciiTheme="majorBidi" w:hAnsiTheme="majorBidi" w:cstheme="majorBidi"/>
        </w:rPr>
        <w:t xml:space="preserve">building wall panels. LCA </w:t>
      </w:r>
      <w:r w:rsidR="00B929CB" w:rsidRPr="00A038BF">
        <w:rPr>
          <w:rFonts w:asciiTheme="majorBidi" w:hAnsiTheme="majorBidi" w:cstheme="majorBidi"/>
        </w:rPr>
        <w:t xml:space="preserve">is </w:t>
      </w:r>
      <w:r w:rsidR="004250D4" w:rsidRPr="00A038BF">
        <w:rPr>
          <w:rFonts w:asciiTheme="majorBidi" w:hAnsiTheme="majorBidi" w:cstheme="majorBidi"/>
        </w:rPr>
        <w:t xml:space="preserve">an approach for evaluating </w:t>
      </w:r>
      <w:r w:rsidR="00DE7420" w:rsidRPr="00A038BF">
        <w:rPr>
          <w:rFonts w:asciiTheme="majorBidi" w:hAnsiTheme="majorBidi" w:cstheme="majorBidi"/>
        </w:rPr>
        <w:t xml:space="preserve">the </w:t>
      </w:r>
      <w:r w:rsidR="004250D4" w:rsidRPr="00A038BF">
        <w:rPr>
          <w:rFonts w:asciiTheme="majorBidi" w:hAnsiTheme="majorBidi" w:cstheme="majorBidi"/>
        </w:rPr>
        <w:t>environmental impact</w:t>
      </w:r>
      <w:r w:rsidR="00B929CB" w:rsidRPr="00A038BF">
        <w:rPr>
          <w:rFonts w:asciiTheme="majorBidi" w:hAnsiTheme="majorBidi" w:cstheme="majorBidi"/>
        </w:rPr>
        <w:t>s of process</w:t>
      </w:r>
      <w:r w:rsidR="00DE7420" w:rsidRPr="00A038BF">
        <w:rPr>
          <w:rFonts w:asciiTheme="majorBidi" w:hAnsiTheme="majorBidi" w:cstheme="majorBidi"/>
        </w:rPr>
        <w:t>es</w:t>
      </w:r>
      <w:r w:rsidR="00B929CB" w:rsidRPr="00A038BF">
        <w:rPr>
          <w:rFonts w:asciiTheme="majorBidi" w:hAnsiTheme="majorBidi" w:cstheme="majorBidi"/>
        </w:rPr>
        <w:t xml:space="preserve"> and product</w:t>
      </w:r>
      <w:r w:rsidR="00DE7420" w:rsidRPr="00A038BF">
        <w:rPr>
          <w:rFonts w:asciiTheme="majorBidi" w:hAnsiTheme="majorBidi" w:cstheme="majorBidi"/>
        </w:rPr>
        <w:t>s</w:t>
      </w:r>
      <w:r w:rsidR="00B929CB" w:rsidRPr="00A038BF">
        <w:rPr>
          <w:rFonts w:asciiTheme="majorBidi" w:hAnsiTheme="majorBidi" w:cstheme="majorBidi"/>
        </w:rPr>
        <w:t xml:space="preserve">, </w:t>
      </w:r>
      <w:r w:rsidR="00DE7420" w:rsidRPr="00A038BF">
        <w:rPr>
          <w:rFonts w:asciiTheme="majorBidi" w:hAnsiTheme="majorBidi" w:cstheme="majorBidi"/>
        </w:rPr>
        <w:t>making it possible</w:t>
      </w:r>
      <w:r w:rsidR="00B929CB" w:rsidRPr="00A038BF">
        <w:rPr>
          <w:rFonts w:asciiTheme="majorBidi" w:hAnsiTheme="majorBidi" w:cstheme="majorBidi"/>
        </w:rPr>
        <w:t xml:space="preserve"> to analyze different stages</w:t>
      </w:r>
      <w:r w:rsidR="004250D4" w:rsidRPr="00A038BF">
        <w:rPr>
          <w:rFonts w:asciiTheme="majorBidi" w:hAnsiTheme="majorBidi" w:cstheme="majorBidi"/>
        </w:rPr>
        <w:t xml:space="preserve"> or </w:t>
      </w:r>
      <w:r w:rsidR="00DE7420" w:rsidRPr="00A038BF">
        <w:rPr>
          <w:rFonts w:asciiTheme="majorBidi" w:hAnsiTheme="majorBidi" w:cstheme="majorBidi"/>
        </w:rPr>
        <w:t xml:space="preserve">the </w:t>
      </w:r>
      <w:r w:rsidR="004250D4" w:rsidRPr="00A038BF">
        <w:rPr>
          <w:rFonts w:asciiTheme="majorBidi" w:hAnsiTheme="majorBidi" w:cstheme="majorBidi"/>
        </w:rPr>
        <w:t>entire life cycle</w:t>
      </w:r>
      <w:r w:rsidR="00DE7420" w:rsidRPr="00A038BF">
        <w:rPr>
          <w:rFonts w:asciiTheme="majorBidi" w:hAnsiTheme="majorBidi" w:cstheme="majorBidi"/>
        </w:rPr>
        <w:t xml:space="preserve"> of buildings</w:t>
      </w:r>
      <w:r w:rsidR="004250D4" w:rsidRPr="00A038BF">
        <w:rPr>
          <w:rFonts w:asciiTheme="majorBidi" w:hAnsiTheme="majorBidi" w:cstheme="majorBidi"/>
        </w:rPr>
        <w:t xml:space="preserve">. </w:t>
      </w:r>
      <w:r w:rsidR="004C54D9" w:rsidRPr="00A038BF">
        <w:rPr>
          <w:rFonts w:asciiTheme="majorBidi" w:hAnsiTheme="majorBidi" w:cstheme="majorBidi"/>
        </w:rPr>
        <w:t xml:space="preserve">LCA </w:t>
      </w:r>
      <w:r w:rsidR="00B929CB" w:rsidRPr="00A038BF">
        <w:rPr>
          <w:rFonts w:asciiTheme="majorBidi" w:hAnsiTheme="majorBidi" w:cstheme="majorBidi"/>
        </w:rPr>
        <w:t xml:space="preserve">is considered an important tool </w:t>
      </w:r>
      <w:r w:rsidR="00DE7420" w:rsidRPr="00A038BF">
        <w:rPr>
          <w:rFonts w:asciiTheme="majorBidi" w:hAnsiTheme="majorBidi" w:cstheme="majorBidi"/>
        </w:rPr>
        <w:t xml:space="preserve">for appraising </w:t>
      </w:r>
      <w:r w:rsidR="00B929CB" w:rsidRPr="00A038BF">
        <w:rPr>
          <w:rFonts w:asciiTheme="majorBidi" w:hAnsiTheme="majorBidi" w:cstheme="majorBidi"/>
        </w:rPr>
        <w:t>the environmental impact of different materials and design proposals</w:t>
      </w:r>
      <w:r w:rsidR="004C54D9" w:rsidRPr="00A038BF">
        <w:rPr>
          <w:rFonts w:asciiTheme="majorBidi" w:hAnsiTheme="majorBidi" w:cstheme="majorBidi"/>
        </w:rPr>
        <w:t xml:space="preserve"> </w:t>
      </w:r>
      <w:r w:rsidR="004C54D9" w:rsidRPr="00A038BF">
        <w:rPr>
          <w:rFonts w:asciiTheme="majorBidi" w:hAnsiTheme="majorBidi" w:cstheme="majorBidi"/>
        </w:rPr>
        <w:fldChar w:fldCharType="begin" w:fldLock="1"/>
      </w:r>
      <w:r w:rsidR="00BD5297" w:rsidRPr="00A038BF">
        <w:rPr>
          <w:rFonts w:asciiTheme="majorBidi" w:hAnsiTheme="majorBidi" w:cstheme="majorBidi"/>
        </w:rPr>
        <w:instrText>ADDIN CSL_CITATION {"citationItems":[{"id":"ITEM-1","itemData":{"DOI":"10.1016/j.autcon.2019.103044","ISSN":"09265805","abstract":"The application of heuristic algorithms with life cycle assessment (LCA) is a promising approach to efficiently optimize the building and minimize the environmental impact even in a very large design space. In this paper, a modular parametric optimization framework combining advanced building modelling, LCA, energy calculation and single- and multi-objective environmental optimization was developed and applied to a multi-apartment house in Hungary. The variables comprise geometry, envelope, fixtures, as well as the heating energy source. The objective is the life cycle environmental impact expressed in terms of the six most common LCA indicators. The results show that a relatively compact shape, large windows to south equipped with shading and very high levels of insulation are optimal from an environmental perspective. It was also proven that focusing only on the embodied or operational impact leads to a suboptimal solution, and the choice of the energy source for the operation of the building has a significant influence on the achievable optimum. Through the optimization, significant environmental savings of 60–80% were achieved compared to the initial design options showing the potential for the application of such methods in architectural design.","author":[{"dropping-particle":"","family":"Kiss","given":"Benedek","non-dropping-particle":"","parse-names":false,"suffix":""},{"dropping-particle":"","family":"Szalay","given":"Zsuzsa","non-dropping-particle":"","parse-names":false,"suffix":""}],"container-title":"Automation in Construction","id":"ITEM-1","issue":"July 2019","issued":{"date-parts":[["2020"]]},"page":"103044","publisher":"Elsevier","title":"Modular approach to multi-objective environmental optimization of buildings","type":"article-journal","volume":"111"},"uris":["http://www.mendeley.com/documents/?uuid=ac7f944a-a4ea-459b-a114-f498ce77b751"]}],"mendeley":{"formattedCitation":"(Kiss &amp; Szalay, 2020)","manualFormatting":"(Kiss &amp; Szalay, 2020","plainTextFormattedCitation":"(Kiss &amp; Szalay, 2020)","previouslyFormattedCitation":"(Kiss &amp; Szalay, 2020)"},"properties":{"noteIndex":0},"schema":"https://github.com/citation-style-language/schema/raw/master/csl-citation.json"}</w:instrText>
      </w:r>
      <w:r w:rsidR="004C54D9" w:rsidRPr="00A038BF">
        <w:rPr>
          <w:rFonts w:asciiTheme="majorBidi" w:hAnsiTheme="majorBidi" w:cstheme="majorBidi"/>
        </w:rPr>
        <w:fldChar w:fldCharType="separate"/>
      </w:r>
      <w:r w:rsidR="004C54D9" w:rsidRPr="00A038BF">
        <w:rPr>
          <w:rFonts w:asciiTheme="majorBidi" w:hAnsiTheme="majorBidi" w:cstheme="majorBidi"/>
          <w:noProof/>
        </w:rPr>
        <w:t>(Kiss &amp; Szalay, 2020</w:t>
      </w:r>
      <w:r w:rsidR="004C54D9" w:rsidRPr="00A038BF">
        <w:rPr>
          <w:rFonts w:asciiTheme="majorBidi" w:hAnsiTheme="majorBidi" w:cstheme="majorBidi"/>
        </w:rPr>
        <w:fldChar w:fldCharType="end"/>
      </w:r>
      <w:r w:rsidR="00BD5297" w:rsidRPr="00A038BF">
        <w:rPr>
          <w:rFonts w:asciiTheme="majorBidi" w:hAnsiTheme="majorBidi" w:cstheme="majorBidi"/>
        </w:rPr>
        <w:t xml:space="preserve">; </w:t>
      </w:r>
      <w:r w:rsidR="004C54D9" w:rsidRPr="00A038BF">
        <w:rPr>
          <w:rFonts w:asciiTheme="majorBidi" w:hAnsiTheme="majorBidi" w:cstheme="majorBidi"/>
        </w:rPr>
        <w:fldChar w:fldCharType="begin" w:fldLock="1"/>
      </w:r>
      <w:r w:rsidR="004C54D9" w:rsidRPr="00A038BF">
        <w:rPr>
          <w:rFonts w:asciiTheme="majorBidi" w:hAnsiTheme="majorBidi" w:cstheme="majorBidi"/>
        </w:rPr>
        <w:instrText>ADDIN CSL_CITATION {"citationItems":[{"id":"ITEM-1","itemData":{"DOI":"10.1007/s11367-016-1065-1","ISSN":"0948-3349","author":[{"dropping-particle":"","family":"Hollberg","given":"Alexander","non-dropping-particle":"","parse-names":false,"suffix":""}],"container-title":"The International Journal of Life Cycle Assessment","id":"ITEM-1","issued":{"date-parts":[["2016"]]},"publisher":"The International Journal of Life Cycle Assessment","title":"LCA in architectural design — a parametric approach","type":"article-journal"},"uris":["http://www.mendeley.com/documents/?uuid=ec839a13-a3f4-4c8f-9dcc-7d23e02fd9bb"]}],"mendeley":{"formattedCitation":"(Hollberg, 2016)","plainTextFormattedCitation":"(Hollberg, 2016)","previouslyFormattedCitation":"(Hollberg, 2016)"},"properties":{"noteIndex":0},"schema":"https://github.com/citation-style-language/schema/raw/master/csl-citation.json"}</w:instrText>
      </w:r>
      <w:r w:rsidR="004C54D9" w:rsidRPr="00A038BF">
        <w:rPr>
          <w:rFonts w:asciiTheme="majorBidi" w:hAnsiTheme="majorBidi" w:cstheme="majorBidi"/>
        </w:rPr>
        <w:fldChar w:fldCharType="end"/>
      </w:r>
      <w:r w:rsidR="00E25965" w:rsidRPr="00A038BF">
        <w:rPr>
          <w:rFonts w:asciiTheme="majorBidi" w:hAnsiTheme="majorBidi" w:cstheme="majorBidi"/>
        </w:rPr>
        <w:t>Hollberg, 2016</w:t>
      </w:r>
      <w:r w:rsidR="00BD5297" w:rsidRPr="00A038BF">
        <w:rPr>
          <w:rFonts w:asciiTheme="majorBidi" w:hAnsiTheme="majorBidi" w:cstheme="majorBidi"/>
        </w:rPr>
        <w:t>)</w:t>
      </w:r>
      <w:r w:rsidR="004C54D9" w:rsidRPr="00A038BF">
        <w:rPr>
          <w:rFonts w:asciiTheme="majorBidi" w:hAnsiTheme="majorBidi" w:cstheme="majorBidi"/>
        </w:rPr>
        <w:t xml:space="preserve">. </w:t>
      </w:r>
      <w:r w:rsidR="004250D4" w:rsidRPr="00A038BF">
        <w:rPr>
          <w:rFonts w:asciiTheme="majorBidi" w:hAnsiTheme="majorBidi" w:cstheme="majorBidi"/>
        </w:rPr>
        <w:t>LCA is based on the relevant standard</w:t>
      </w:r>
      <w:r w:rsidR="00B929CB" w:rsidRPr="00A038BF">
        <w:rPr>
          <w:rFonts w:asciiTheme="majorBidi" w:hAnsiTheme="majorBidi" w:cstheme="majorBidi"/>
        </w:rPr>
        <w:t>s</w:t>
      </w:r>
      <w:r w:rsidR="004250D4" w:rsidRPr="00A038BF">
        <w:rPr>
          <w:rFonts w:asciiTheme="majorBidi" w:hAnsiTheme="majorBidi" w:cstheme="majorBidi"/>
        </w:rPr>
        <w:t xml:space="preserve"> ISO 14044 and ISO 14040 (2006). </w:t>
      </w:r>
      <w:r w:rsidR="006F41F8" w:rsidRPr="00A038BF">
        <w:rPr>
          <w:rFonts w:asciiTheme="majorBidi" w:hAnsiTheme="majorBidi" w:cstheme="majorBidi"/>
        </w:rPr>
        <w:t xml:space="preserve">Case studies </w:t>
      </w:r>
      <w:r w:rsidR="00304CBE" w:rsidRPr="00A038BF">
        <w:rPr>
          <w:rFonts w:asciiTheme="majorBidi" w:hAnsiTheme="majorBidi" w:cstheme="majorBidi"/>
        </w:rPr>
        <w:t xml:space="preserve">in this research </w:t>
      </w:r>
      <w:r w:rsidR="006F41F8" w:rsidRPr="00A038BF">
        <w:rPr>
          <w:rFonts w:asciiTheme="majorBidi" w:hAnsiTheme="majorBidi" w:cstheme="majorBidi"/>
        </w:rPr>
        <w:t>w</w:t>
      </w:r>
      <w:r w:rsidR="00B929CB" w:rsidRPr="00A038BF">
        <w:rPr>
          <w:rFonts w:asciiTheme="majorBidi" w:hAnsiTheme="majorBidi" w:cstheme="majorBidi"/>
        </w:rPr>
        <w:t>ere</w:t>
      </w:r>
      <w:r w:rsidR="006F41F8" w:rsidRPr="00A038BF">
        <w:rPr>
          <w:rFonts w:asciiTheme="majorBidi" w:hAnsiTheme="majorBidi" w:cstheme="majorBidi"/>
        </w:rPr>
        <w:t xml:space="preserve"> modeled running SimaPro v9.1.1 software.</w:t>
      </w:r>
      <w:r w:rsidR="00304CBE" w:rsidRPr="00A038BF">
        <w:rPr>
          <w:rFonts w:asciiTheme="majorBidi" w:hAnsiTheme="majorBidi" w:cstheme="majorBidi"/>
        </w:rPr>
        <w:t xml:space="preserve"> </w:t>
      </w:r>
      <w:r w:rsidR="001175C8" w:rsidRPr="00A038BF">
        <w:rPr>
          <w:rFonts w:asciiTheme="majorBidi" w:hAnsiTheme="majorBidi" w:cstheme="majorBidi"/>
        </w:rPr>
        <w:t xml:space="preserve">The studies </w:t>
      </w:r>
      <w:r w:rsidR="00DE7420" w:rsidRPr="00A038BF">
        <w:rPr>
          <w:rFonts w:asciiTheme="majorBidi" w:hAnsiTheme="majorBidi" w:cstheme="majorBidi"/>
        </w:rPr>
        <w:t xml:space="preserve">were for </w:t>
      </w:r>
      <w:r w:rsidR="001175C8" w:rsidRPr="00A038BF">
        <w:rPr>
          <w:rFonts w:asciiTheme="majorBidi" w:hAnsiTheme="majorBidi" w:cstheme="majorBidi"/>
          <w:shd w:val="clear" w:color="auto" w:fill="FFFFFF"/>
        </w:rPr>
        <w:t xml:space="preserve">Cross-laminated timber (CLT), Nail Laminated Timber (NLT), </w:t>
      </w:r>
      <w:r w:rsidR="001175C8" w:rsidRPr="00A038BF">
        <w:rPr>
          <w:rFonts w:asciiTheme="majorBidi" w:hAnsiTheme="majorBidi" w:cstheme="majorBidi"/>
        </w:rPr>
        <w:t xml:space="preserve">and </w:t>
      </w:r>
      <w:r w:rsidR="001175C8" w:rsidRPr="00A038BF">
        <w:rPr>
          <w:rFonts w:asciiTheme="majorBidi" w:hAnsiTheme="majorBidi" w:cstheme="majorBidi"/>
          <w:shd w:val="clear" w:color="auto" w:fill="FFFFFF"/>
        </w:rPr>
        <w:t>Dowel Laminated Timber (DLT).</w:t>
      </w:r>
      <w:r w:rsidR="001175C8" w:rsidRPr="00A038BF">
        <w:t xml:space="preserve"> </w:t>
      </w:r>
      <w:r w:rsidR="00525BE9" w:rsidRPr="00A038BF">
        <w:rPr>
          <w:rFonts w:asciiTheme="majorBidi" w:hAnsiTheme="majorBidi" w:cstheme="majorBidi"/>
        </w:rPr>
        <w:t>The f</w:t>
      </w:r>
      <w:r w:rsidR="00D5086B" w:rsidRPr="00A038BF">
        <w:rPr>
          <w:rFonts w:asciiTheme="majorBidi" w:hAnsiTheme="majorBidi" w:cstheme="majorBidi"/>
        </w:rPr>
        <w:t>unctional unit</w:t>
      </w:r>
      <w:r w:rsidR="00525BE9" w:rsidRPr="00A038BF">
        <w:rPr>
          <w:rFonts w:asciiTheme="majorBidi" w:hAnsiTheme="majorBidi" w:cstheme="majorBidi"/>
        </w:rPr>
        <w:t xml:space="preserve"> and system boundary need to be clarified to define the goal and scope of any LCA study. </w:t>
      </w:r>
      <w:r w:rsidR="00F17BF5" w:rsidRPr="00A038BF">
        <w:rPr>
          <w:rFonts w:asciiTheme="majorBidi" w:hAnsiTheme="majorBidi" w:cstheme="majorBidi"/>
        </w:rPr>
        <w:t xml:space="preserve">A </w:t>
      </w:r>
      <w:r w:rsidR="00576181" w:rsidRPr="00A038BF">
        <w:rPr>
          <w:rFonts w:asciiTheme="majorBidi" w:hAnsiTheme="majorBidi" w:cstheme="majorBidi"/>
        </w:rPr>
        <w:t xml:space="preserve">functional unit </w:t>
      </w:r>
      <w:r w:rsidR="00F17BF5" w:rsidRPr="00A038BF">
        <w:rPr>
          <w:rFonts w:asciiTheme="majorBidi" w:hAnsiTheme="majorBidi" w:cstheme="majorBidi"/>
        </w:rPr>
        <w:t>needs to be</w:t>
      </w:r>
      <w:r w:rsidR="00576181" w:rsidRPr="00A038BF">
        <w:rPr>
          <w:rFonts w:asciiTheme="majorBidi" w:hAnsiTheme="majorBidi" w:cstheme="majorBidi"/>
        </w:rPr>
        <w:t xml:space="preserve"> defined </w:t>
      </w:r>
      <w:r w:rsidR="00F17BF5" w:rsidRPr="00A038BF">
        <w:rPr>
          <w:rFonts w:asciiTheme="majorBidi" w:hAnsiTheme="majorBidi" w:cstheme="majorBidi"/>
        </w:rPr>
        <w:t>for</w:t>
      </w:r>
      <w:r w:rsidR="00576181" w:rsidRPr="00A038BF">
        <w:rPr>
          <w:rFonts w:asciiTheme="majorBidi" w:hAnsiTheme="majorBidi" w:cstheme="majorBidi"/>
        </w:rPr>
        <w:t xml:space="preserve"> an appropriate comparison between </w:t>
      </w:r>
      <w:r w:rsidR="00F17BF5" w:rsidRPr="00A038BF">
        <w:rPr>
          <w:rFonts w:asciiTheme="majorBidi" w:hAnsiTheme="majorBidi" w:cstheme="majorBidi"/>
        </w:rPr>
        <w:t xml:space="preserve">the </w:t>
      </w:r>
      <w:r w:rsidR="00576181" w:rsidRPr="00A038BF">
        <w:rPr>
          <w:rFonts w:asciiTheme="majorBidi" w:hAnsiTheme="majorBidi" w:cstheme="majorBidi"/>
        </w:rPr>
        <w:t xml:space="preserve">three different mass timbers. In this </w:t>
      </w:r>
      <w:r w:rsidR="00F17BF5" w:rsidRPr="00A038BF">
        <w:rPr>
          <w:rFonts w:asciiTheme="majorBidi" w:hAnsiTheme="majorBidi" w:cstheme="majorBidi"/>
        </w:rPr>
        <w:t>study</w:t>
      </w:r>
      <w:r w:rsidR="00576181" w:rsidRPr="00A038BF">
        <w:rPr>
          <w:rFonts w:asciiTheme="majorBidi" w:hAnsiTheme="majorBidi" w:cstheme="majorBidi"/>
        </w:rPr>
        <w:t xml:space="preserve">, the functional unit was defined as </w:t>
      </w:r>
      <w:r w:rsidR="00A506CC" w:rsidRPr="00A038BF">
        <w:rPr>
          <w:rFonts w:asciiTheme="majorBidi" w:hAnsiTheme="majorBidi" w:cstheme="majorBidi"/>
        </w:rPr>
        <w:t>the building</w:t>
      </w:r>
      <w:r w:rsidR="00F17BF5" w:rsidRPr="00A038BF">
        <w:rPr>
          <w:rFonts w:asciiTheme="majorBidi" w:hAnsiTheme="majorBidi" w:cstheme="majorBidi"/>
        </w:rPr>
        <w:t>’s</w:t>
      </w:r>
      <w:r w:rsidR="00A506CC" w:rsidRPr="00A038BF">
        <w:rPr>
          <w:rFonts w:asciiTheme="majorBidi" w:hAnsiTheme="majorBidi" w:cstheme="majorBidi"/>
        </w:rPr>
        <w:t xml:space="preserve"> living area </w:t>
      </w:r>
      <w:r w:rsidR="00B929CB" w:rsidRPr="00A038BF">
        <w:rPr>
          <w:rFonts w:asciiTheme="majorBidi" w:hAnsiTheme="majorBidi" w:cstheme="majorBidi"/>
        </w:rPr>
        <w:t>for a</w:t>
      </w:r>
      <w:r w:rsidR="00576181" w:rsidRPr="00A038BF">
        <w:rPr>
          <w:rFonts w:asciiTheme="majorBidi" w:hAnsiTheme="majorBidi" w:cstheme="majorBidi"/>
        </w:rPr>
        <w:t xml:space="preserve"> </w:t>
      </w:r>
      <w:r w:rsidR="00857703" w:rsidRPr="00A038BF">
        <w:rPr>
          <w:rFonts w:asciiTheme="majorBidi" w:hAnsiTheme="majorBidi" w:cstheme="majorBidi"/>
        </w:rPr>
        <w:t>double</w:t>
      </w:r>
      <w:r w:rsidR="00687C46" w:rsidRPr="00A038BF">
        <w:rPr>
          <w:rFonts w:asciiTheme="majorBidi" w:hAnsiTheme="majorBidi" w:cstheme="majorBidi"/>
        </w:rPr>
        <w:t>-</w:t>
      </w:r>
      <w:r w:rsidR="00576181" w:rsidRPr="00A038BF">
        <w:rPr>
          <w:rFonts w:asciiTheme="majorBidi" w:hAnsiTheme="majorBidi" w:cstheme="majorBidi"/>
        </w:rPr>
        <w:t>story building with a life span of 50 years</w:t>
      </w:r>
      <w:r w:rsidR="00A506CC" w:rsidRPr="00A038BF">
        <w:rPr>
          <w:rFonts w:asciiTheme="majorBidi" w:hAnsiTheme="majorBidi" w:cstheme="majorBidi"/>
        </w:rPr>
        <w:t xml:space="preserve"> </w:t>
      </w:r>
      <w:r w:rsidR="00265980" w:rsidRPr="00A038BF">
        <w:rPr>
          <w:rFonts w:asciiTheme="majorBidi" w:hAnsiTheme="majorBidi" w:cstheme="majorBidi"/>
        </w:rPr>
        <w:fldChar w:fldCharType="begin" w:fldLock="1"/>
      </w:r>
      <w:r w:rsidR="00193335" w:rsidRPr="00A038BF">
        <w:rPr>
          <w:rFonts w:asciiTheme="majorBidi" w:hAnsiTheme="majorBidi" w:cstheme="majorBidi"/>
        </w:rPr>
        <w:instrText>ADDIN CSL_CITATION {"citationItems":[{"id":"ITEM-1","itemData":{"DOI":"10.1016/j.apenergy.2015.01.023","ISSN":"03062619","abstract":"This paper provides a review on three streams of life cycle studies that have been frequently applied to evaluate the environmental impacts of building construction with a major focus on whether they can be used for decision making. The three streams are Life Cycle Assessment (LCA), Life Cycle Energy Assessment (LCEA) and Life Cycle Carbon Emissions Assessment (LCCO2A). They were compared against their evaluation objectives, methodologies, and findings. Although they share similar objectives in evaluating the environmental impacts over the life cycle of building construction, they show some differences in the major focuses of evaluation and methodologies employed. Generally, it has been revealed that quite consistent results can be derived from the three streams with regard to the relative contribution of different phases of life cycle. However, discrepancies occur among the findings obtained from the three streams when different compositions of fuel mixes are used in power generation, or when the overall impacts are not contributed mostly by greenhouse gases emissions. The use of different functional units in different studies also makes it difficult to compare results with benchmarks or results from previous studies. Besides, there are drawbacks in boundary scoping, methodology framework, data inventory and practices which impair their usefulness as a decision making support tool for sustainable building designs.","author":[{"dropping-particle":"","family":"Chau","given":"C. K.","non-dropping-particle":"","parse-names":false,"suffix":""},{"dropping-particle":"","family":"Leung","given":"T. M.","non-dropping-particle":"","parse-names":false,"suffix":""},{"dropping-particle":"","family":"Ng","given":"W. Y.","non-dropping-particle":"","parse-names":false,"suffix":""}],"container-title":"Applied Energy","id":"ITEM-1","issue":"1","issued":{"date-parts":[["2015"]]},"page":"395-413","title":"A review on life cycle assessment, life cycle energy assessment and life cycle carbon emissions assessment on buildings","type":"article-journal","volume":"143"},"uris":["http://www.mendeley.com/documents/?uuid=203ef41e-d332-418d-bafa-e6a113737c43"]}],"mendeley":{"formattedCitation":"(Chau et al., 2015)","plainTextFormattedCitation":"(Chau et al., 2015)","previouslyFormattedCitation":"(Chau et al., 2015)"},"properties":{"noteIndex":0},"schema":"https://github.com/citation-style-language/schema/raw/master/csl-citation.json"}</w:instrText>
      </w:r>
      <w:r w:rsidR="00265980" w:rsidRPr="00A038BF">
        <w:rPr>
          <w:rFonts w:asciiTheme="majorBidi" w:hAnsiTheme="majorBidi" w:cstheme="majorBidi"/>
        </w:rPr>
        <w:fldChar w:fldCharType="separate"/>
      </w:r>
      <w:r w:rsidR="00265980" w:rsidRPr="00A038BF">
        <w:rPr>
          <w:rFonts w:asciiTheme="majorBidi" w:hAnsiTheme="majorBidi" w:cstheme="majorBidi"/>
          <w:noProof/>
        </w:rPr>
        <w:t>(Chau et al., 2015)</w:t>
      </w:r>
      <w:r w:rsidR="00265980" w:rsidRPr="00A038BF">
        <w:rPr>
          <w:rFonts w:asciiTheme="majorBidi" w:hAnsiTheme="majorBidi" w:cstheme="majorBidi"/>
        </w:rPr>
        <w:fldChar w:fldCharType="end"/>
      </w:r>
      <w:r w:rsidR="00A506CC" w:rsidRPr="00A038BF">
        <w:rPr>
          <w:rFonts w:asciiTheme="majorBidi" w:hAnsiTheme="majorBidi" w:cstheme="majorBidi"/>
        </w:rPr>
        <w:t>.</w:t>
      </w:r>
    </w:p>
    <w:p w14:paraId="3719CCEE" w14:textId="191B4E86" w:rsidR="00F76E3C" w:rsidRPr="00A038BF" w:rsidRDefault="004C16F8" w:rsidP="00211AA9">
      <w:pPr>
        <w:ind w:firstLine="720"/>
        <w:jc w:val="both"/>
        <w:rPr>
          <w:rFonts w:asciiTheme="majorBidi" w:hAnsiTheme="majorBidi" w:cstheme="majorBidi"/>
        </w:rPr>
      </w:pPr>
      <w:r w:rsidRPr="00A038BF">
        <w:rPr>
          <w:rFonts w:asciiTheme="majorBidi" w:hAnsiTheme="majorBidi" w:cstheme="majorBidi"/>
        </w:rPr>
        <w:t>Figure 1 describe</w:t>
      </w:r>
      <w:r w:rsidR="00665F42" w:rsidRPr="00A038BF">
        <w:rPr>
          <w:rFonts w:asciiTheme="majorBidi" w:hAnsiTheme="majorBidi" w:cstheme="majorBidi"/>
        </w:rPr>
        <w:t>s</w:t>
      </w:r>
      <w:r w:rsidRPr="00A038BF">
        <w:rPr>
          <w:rFonts w:asciiTheme="majorBidi" w:hAnsiTheme="majorBidi" w:cstheme="majorBidi"/>
        </w:rPr>
        <w:t xml:space="preserve"> the cradle to grave s</w:t>
      </w:r>
      <w:r w:rsidR="00D5086B" w:rsidRPr="00A038BF">
        <w:rPr>
          <w:rFonts w:asciiTheme="majorBidi" w:hAnsiTheme="majorBidi" w:cstheme="majorBidi"/>
        </w:rPr>
        <w:t xml:space="preserve">ystem </w:t>
      </w:r>
      <w:r w:rsidR="00F17BF5" w:rsidRPr="00A038BF">
        <w:rPr>
          <w:rFonts w:asciiTheme="majorBidi" w:hAnsiTheme="majorBidi" w:cstheme="majorBidi"/>
        </w:rPr>
        <w:t xml:space="preserve">boundaries when </w:t>
      </w:r>
      <w:r w:rsidRPr="00A038BF">
        <w:rPr>
          <w:rFonts w:asciiTheme="majorBidi" w:hAnsiTheme="majorBidi" w:cstheme="majorBidi"/>
        </w:rPr>
        <w:t>evaluating the potential environmental impacts of mass timber buildings.</w:t>
      </w:r>
      <w:r w:rsidR="00F76E3C" w:rsidRPr="00A038BF">
        <w:rPr>
          <w:rFonts w:asciiTheme="majorBidi" w:hAnsiTheme="majorBidi" w:cstheme="majorBidi"/>
        </w:rPr>
        <w:t xml:space="preserve"> </w:t>
      </w:r>
      <w:r w:rsidR="000D001E" w:rsidRPr="00A038BF">
        <w:rPr>
          <w:rFonts w:asciiTheme="majorBidi" w:hAnsiTheme="majorBidi" w:cstheme="majorBidi"/>
        </w:rPr>
        <w:t xml:space="preserve">It consists of </w:t>
      </w:r>
      <w:r w:rsidR="00F17BF5" w:rsidRPr="00A038BF">
        <w:rPr>
          <w:rFonts w:asciiTheme="majorBidi" w:hAnsiTheme="majorBidi" w:cstheme="majorBidi"/>
        </w:rPr>
        <w:t xml:space="preserve">the </w:t>
      </w:r>
      <w:r w:rsidR="000D001E" w:rsidRPr="00A038BF">
        <w:rPr>
          <w:rFonts w:asciiTheme="majorBidi" w:hAnsiTheme="majorBidi" w:cstheme="majorBidi"/>
        </w:rPr>
        <w:t>manufacturing and production stage</w:t>
      </w:r>
      <w:r w:rsidR="00F76E3C" w:rsidRPr="00A038BF">
        <w:rPr>
          <w:rFonts w:asciiTheme="majorBidi" w:hAnsiTheme="majorBidi" w:cstheme="majorBidi"/>
        </w:rPr>
        <w:t xml:space="preserve"> (A1-A3), </w:t>
      </w:r>
      <w:r w:rsidR="000D001E" w:rsidRPr="00A038BF">
        <w:rPr>
          <w:rFonts w:asciiTheme="majorBidi" w:hAnsiTheme="majorBidi" w:cstheme="majorBidi"/>
        </w:rPr>
        <w:t>construction, transport to site and</w:t>
      </w:r>
      <w:r w:rsidR="00F76E3C" w:rsidRPr="00A038BF">
        <w:rPr>
          <w:rFonts w:asciiTheme="majorBidi" w:hAnsiTheme="majorBidi" w:cstheme="majorBidi"/>
        </w:rPr>
        <w:t xml:space="preserve"> </w:t>
      </w:r>
      <w:r w:rsidR="00F17BF5" w:rsidRPr="00A038BF">
        <w:rPr>
          <w:rFonts w:asciiTheme="majorBidi" w:hAnsiTheme="majorBidi" w:cstheme="majorBidi"/>
        </w:rPr>
        <w:t xml:space="preserve">erection </w:t>
      </w:r>
      <w:r w:rsidR="00480869" w:rsidRPr="00A038BF">
        <w:rPr>
          <w:rFonts w:asciiTheme="majorBidi" w:hAnsiTheme="majorBidi" w:cstheme="majorBidi"/>
        </w:rPr>
        <w:t>process</w:t>
      </w:r>
      <w:r w:rsidR="00F76E3C" w:rsidRPr="00A038BF">
        <w:rPr>
          <w:rFonts w:asciiTheme="majorBidi" w:hAnsiTheme="majorBidi" w:cstheme="majorBidi"/>
        </w:rPr>
        <w:t xml:space="preserve"> (A4, A5), maintenance</w:t>
      </w:r>
      <w:r w:rsidR="00211AA9" w:rsidRPr="00A038BF">
        <w:rPr>
          <w:rFonts w:asciiTheme="majorBidi" w:hAnsiTheme="majorBidi" w:cstheme="majorBidi"/>
        </w:rPr>
        <w:t xml:space="preserve"> process</w:t>
      </w:r>
      <w:r w:rsidR="00F76E3C" w:rsidRPr="00A038BF">
        <w:rPr>
          <w:rFonts w:asciiTheme="majorBidi" w:hAnsiTheme="majorBidi" w:cstheme="majorBidi"/>
        </w:rPr>
        <w:t xml:space="preserve"> (B2), </w:t>
      </w:r>
      <w:r w:rsidR="00211AA9" w:rsidRPr="00A038BF">
        <w:rPr>
          <w:rFonts w:asciiTheme="majorBidi" w:hAnsiTheme="majorBidi" w:cstheme="majorBidi"/>
        </w:rPr>
        <w:t>end of life</w:t>
      </w:r>
      <w:r w:rsidR="000D001E" w:rsidRPr="00A038BF">
        <w:rPr>
          <w:rFonts w:asciiTheme="majorBidi" w:hAnsiTheme="majorBidi" w:cstheme="majorBidi"/>
        </w:rPr>
        <w:t xml:space="preserve"> stage</w:t>
      </w:r>
      <w:r w:rsidR="00F17BF5" w:rsidRPr="00A038BF">
        <w:rPr>
          <w:rFonts w:asciiTheme="majorBidi" w:hAnsiTheme="majorBidi" w:cstheme="majorBidi"/>
        </w:rPr>
        <w:t xml:space="preserve"> (</w:t>
      </w:r>
      <w:r w:rsidR="00211AA9" w:rsidRPr="00A038BF">
        <w:rPr>
          <w:rFonts w:asciiTheme="majorBidi" w:hAnsiTheme="majorBidi" w:cstheme="majorBidi"/>
        </w:rPr>
        <w:t>C1, C2, C3</w:t>
      </w:r>
      <w:r w:rsidR="00C30AC5" w:rsidRPr="00A038BF">
        <w:rPr>
          <w:rFonts w:asciiTheme="majorBidi" w:hAnsiTheme="majorBidi" w:cstheme="majorBidi"/>
        </w:rPr>
        <w:t>,</w:t>
      </w:r>
      <w:r w:rsidR="00211AA9" w:rsidRPr="00A038BF">
        <w:rPr>
          <w:rFonts w:asciiTheme="majorBidi" w:hAnsiTheme="majorBidi" w:cstheme="majorBidi"/>
        </w:rPr>
        <w:t xml:space="preserve"> and C4</w:t>
      </w:r>
      <w:r w:rsidR="00F17BF5" w:rsidRPr="00A038BF">
        <w:rPr>
          <w:rFonts w:asciiTheme="majorBidi" w:hAnsiTheme="majorBidi" w:cstheme="majorBidi"/>
        </w:rPr>
        <w:t>)</w:t>
      </w:r>
      <w:r w:rsidR="00211AA9" w:rsidRPr="00A038BF">
        <w:rPr>
          <w:rFonts w:asciiTheme="majorBidi" w:hAnsiTheme="majorBidi" w:cstheme="majorBidi"/>
        </w:rPr>
        <w:t xml:space="preserve"> and finally,</w:t>
      </w:r>
      <w:r w:rsidR="000D001E" w:rsidRPr="00A038BF">
        <w:rPr>
          <w:rFonts w:asciiTheme="majorBidi" w:hAnsiTheme="majorBidi" w:cstheme="majorBidi"/>
        </w:rPr>
        <w:t xml:space="preserve"> reuse, recovery, recycling</w:t>
      </w:r>
      <w:r w:rsidR="00F76E3C" w:rsidRPr="00A038BF">
        <w:rPr>
          <w:rFonts w:asciiTheme="majorBidi" w:hAnsiTheme="majorBidi" w:cstheme="majorBidi"/>
        </w:rPr>
        <w:t>, and the landfill (</w:t>
      </w:r>
      <w:r w:rsidR="000D001E" w:rsidRPr="00A038BF">
        <w:rPr>
          <w:rFonts w:asciiTheme="majorBidi" w:hAnsiTheme="majorBidi" w:cstheme="majorBidi"/>
        </w:rPr>
        <w:t xml:space="preserve">D1, D2, D3, and </w:t>
      </w:r>
      <w:r w:rsidR="00F76E3C" w:rsidRPr="00A038BF">
        <w:rPr>
          <w:rFonts w:asciiTheme="majorBidi" w:hAnsiTheme="majorBidi" w:cstheme="majorBidi"/>
        </w:rPr>
        <w:t xml:space="preserve">D4) based on the EN15804 and EN15978 standards (Committee for Standardization, 2011). Due to limitations in data collection, computation of the total embodied energy includes particular processes (X) </w:t>
      </w:r>
      <w:r w:rsidR="00F17BF5" w:rsidRPr="00A038BF">
        <w:rPr>
          <w:rFonts w:asciiTheme="majorBidi" w:hAnsiTheme="majorBidi" w:cstheme="majorBidi"/>
        </w:rPr>
        <w:t xml:space="preserve">illustrated </w:t>
      </w:r>
      <w:r w:rsidR="00F76E3C" w:rsidRPr="00A038BF">
        <w:rPr>
          <w:rFonts w:asciiTheme="majorBidi" w:hAnsiTheme="majorBidi" w:cstheme="majorBidi"/>
        </w:rPr>
        <w:t>in Figure 1. Life cycle analyses were conducted within the boundaries of the production and construction, maintenance, and End of Life (EOL) stages. However, according to EN15804, EOL is not allocated in D.</w:t>
      </w:r>
    </w:p>
    <w:p w14:paraId="73D78865" w14:textId="77777777" w:rsidR="003C41CA" w:rsidRPr="00A038BF" w:rsidRDefault="003C41CA" w:rsidP="003C41CA">
      <w:pPr>
        <w:spacing w:after="0"/>
        <w:jc w:val="center"/>
        <w:rPr>
          <w:rFonts w:asciiTheme="majorBidi" w:hAnsiTheme="majorBidi" w:cstheme="majorBidi"/>
        </w:rPr>
      </w:pPr>
      <w:r w:rsidRPr="00A038BF">
        <w:rPr>
          <w:rFonts w:asciiTheme="majorBidi" w:hAnsiTheme="majorBidi" w:cstheme="majorBidi"/>
          <w:noProof/>
        </w:rPr>
        <w:drawing>
          <wp:inline distT="0" distB="0" distL="0" distR="0" wp14:anchorId="18AC4BA6" wp14:editId="24DED51B">
            <wp:extent cx="5283430" cy="1693203"/>
            <wp:effectExtent l="0" t="0" r="0" b="2540"/>
            <wp:docPr id="7" name="Picture 7" descr="C:\Users\Ali\Desktop\Screenshot 2021-10-28 133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Screenshot 2021-10-28 133627.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97924" cy="1697848"/>
                    </a:xfrm>
                    <a:prstGeom prst="rect">
                      <a:avLst/>
                    </a:prstGeom>
                    <a:noFill/>
                    <a:ln>
                      <a:noFill/>
                    </a:ln>
                  </pic:spPr>
                </pic:pic>
              </a:graphicData>
            </a:graphic>
          </wp:inline>
        </w:drawing>
      </w:r>
    </w:p>
    <w:p w14:paraId="2E9884E7" w14:textId="77777777" w:rsidR="00303A38" w:rsidRPr="00A038BF" w:rsidRDefault="00303A38" w:rsidP="00580BE8">
      <w:pPr>
        <w:jc w:val="center"/>
        <w:rPr>
          <w:rFonts w:asciiTheme="majorBidi" w:hAnsiTheme="majorBidi" w:cstheme="majorBidi"/>
          <w:sz w:val="18"/>
          <w:szCs w:val="18"/>
        </w:rPr>
      </w:pPr>
      <w:r w:rsidRPr="00A038BF">
        <w:rPr>
          <w:rFonts w:asciiTheme="majorBidi" w:hAnsiTheme="majorBidi" w:cstheme="majorBidi"/>
          <w:sz w:val="18"/>
          <w:szCs w:val="18"/>
        </w:rPr>
        <w:t>Figure 1: life cycle stages (EN 15978 2011).</w:t>
      </w:r>
    </w:p>
    <w:p w14:paraId="2C2F4F49" w14:textId="43A305AD" w:rsidR="00992401" w:rsidRPr="00A038BF" w:rsidRDefault="00C116DD" w:rsidP="00C30AC5">
      <w:pPr>
        <w:ind w:firstLine="720"/>
        <w:jc w:val="both"/>
        <w:rPr>
          <w:rFonts w:asciiTheme="majorBidi" w:hAnsiTheme="majorBidi" w:cstheme="majorBidi"/>
        </w:rPr>
      </w:pPr>
      <w:r w:rsidRPr="00A038BF">
        <w:rPr>
          <w:rFonts w:asciiTheme="majorBidi" w:hAnsiTheme="majorBidi" w:cstheme="majorBidi"/>
        </w:rPr>
        <w:t>EN 15978</w:t>
      </w:r>
      <w:r w:rsidR="00A70056" w:rsidRPr="00A038BF">
        <w:rPr>
          <w:rFonts w:asciiTheme="majorBidi" w:hAnsiTheme="majorBidi" w:cstheme="majorBidi"/>
        </w:rPr>
        <w:t xml:space="preserve"> (2011)</w:t>
      </w:r>
      <w:r w:rsidRPr="00A038BF">
        <w:rPr>
          <w:rFonts w:asciiTheme="majorBidi" w:hAnsiTheme="majorBidi" w:cstheme="majorBidi"/>
        </w:rPr>
        <w:t xml:space="preserve"> has been accepted to define LCA as </w:t>
      </w:r>
      <w:r w:rsidR="006A4A3D" w:rsidRPr="00A038BF">
        <w:rPr>
          <w:rFonts w:asciiTheme="majorBidi" w:hAnsiTheme="majorBidi" w:cstheme="majorBidi"/>
        </w:rPr>
        <w:t xml:space="preserve">a </w:t>
      </w:r>
      <w:r w:rsidRPr="00A038BF">
        <w:rPr>
          <w:rFonts w:asciiTheme="majorBidi" w:hAnsiTheme="majorBidi" w:cstheme="majorBidi"/>
        </w:rPr>
        <w:t>worldwide framework. This framework split</w:t>
      </w:r>
      <w:r w:rsidR="006A4A3D" w:rsidRPr="00A038BF">
        <w:rPr>
          <w:rFonts w:asciiTheme="majorBidi" w:hAnsiTheme="majorBidi" w:cstheme="majorBidi"/>
        </w:rPr>
        <w:t>s</w:t>
      </w:r>
      <w:r w:rsidRPr="00A038BF">
        <w:rPr>
          <w:rFonts w:asciiTheme="majorBidi" w:hAnsiTheme="majorBidi" w:cstheme="majorBidi"/>
        </w:rPr>
        <w:t xml:space="preserve"> the construction stage </w:t>
      </w:r>
      <w:r w:rsidR="003F4F3E" w:rsidRPr="00A038BF">
        <w:rPr>
          <w:rFonts w:asciiTheme="majorBidi" w:hAnsiTheme="majorBidi" w:cstheme="majorBidi"/>
        </w:rPr>
        <w:t>in</w:t>
      </w:r>
      <w:r w:rsidRPr="00A038BF">
        <w:rPr>
          <w:rFonts w:asciiTheme="majorBidi" w:hAnsiTheme="majorBidi" w:cstheme="majorBidi"/>
        </w:rPr>
        <w:t xml:space="preserve">to </w:t>
      </w:r>
      <w:r w:rsidR="003F4F3E" w:rsidRPr="00A038BF">
        <w:rPr>
          <w:rFonts w:asciiTheme="majorBidi" w:hAnsiTheme="majorBidi" w:cstheme="majorBidi"/>
        </w:rPr>
        <w:t xml:space="preserve">multiple </w:t>
      </w:r>
      <w:r w:rsidRPr="00A038BF">
        <w:rPr>
          <w:rFonts w:asciiTheme="majorBidi" w:hAnsiTheme="majorBidi" w:cstheme="majorBidi"/>
        </w:rPr>
        <w:t>sections</w:t>
      </w:r>
      <w:r w:rsidR="00C30AC5" w:rsidRPr="00A038BF">
        <w:rPr>
          <w:rFonts w:asciiTheme="majorBidi" w:hAnsiTheme="majorBidi" w:cstheme="majorBidi"/>
        </w:rPr>
        <w:t>. I</w:t>
      </w:r>
      <w:r w:rsidRPr="00A038BF">
        <w:rPr>
          <w:rFonts w:asciiTheme="majorBidi" w:hAnsiTheme="majorBidi" w:cstheme="majorBidi"/>
        </w:rPr>
        <w:t xml:space="preserve">t is recommended </w:t>
      </w:r>
      <w:r w:rsidR="003F4F3E" w:rsidRPr="00A038BF">
        <w:rPr>
          <w:rFonts w:asciiTheme="majorBidi" w:hAnsiTheme="majorBidi" w:cstheme="majorBidi"/>
        </w:rPr>
        <w:t xml:space="preserve">that </w:t>
      </w:r>
      <w:r w:rsidRPr="00A038BF">
        <w:rPr>
          <w:rFonts w:asciiTheme="majorBidi" w:hAnsiTheme="majorBidi" w:cstheme="majorBidi"/>
        </w:rPr>
        <w:t>the benefits and energy recovery of product</w:t>
      </w:r>
      <w:r w:rsidR="00C30AC5" w:rsidRPr="00A038BF">
        <w:rPr>
          <w:rFonts w:asciiTheme="majorBidi" w:hAnsiTheme="majorBidi" w:cstheme="majorBidi"/>
        </w:rPr>
        <w:t>s</w:t>
      </w:r>
      <w:r w:rsidRPr="00A038BF">
        <w:rPr>
          <w:rFonts w:asciiTheme="majorBidi" w:hAnsiTheme="majorBidi" w:cstheme="majorBidi"/>
        </w:rPr>
        <w:t xml:space="preserve"> and materials </w:t>
      </w:r>
      <w:r w:rsidR="003F4F3E" w:rsidRPr="00A038BF">
        <w:rPr>
          <w:rFonts w:asciiTheme="majorBidi" w:hAnsiTheme="majorBidi" w:cstheme="majorBidi"/>
        </w:rPr>
        <w:t xml:space="preserve">are calculated </w:t>
      </w:r>
      <w:r w:rsidRPr="00A038BF">
        <w:rPr>
          <w:rFonts w:asciiTheme="majorBidi" w:hAnsiTheme="majorBidi" w:cstheme="majorBidi"/>
        </w:rPr>
        <w:t>separate</w:t>
      </w:r>
      <w:r w:rsidR="003F4F3E" w:rsidRPr="00A038BF">
        <w:rPr>
          <w:rFonts w:asciiTheme="majorBidi" w:hAnsiTheme="majorBidi" w:cstheme="majorBidi"/>
        </w:rPr>
        <w:t>ly</w:t>
      </w:r>
      <w:r w:rsidRPr="00A038BF">
        <w:rPr>
          <w:rFonts w:asciiTheme="majorBidi" w:hAnsiTheme="majorBidi" w:cstheme="majorBidi"/>
        </w:rPr>
        <w:t xml:space="preserve">. </w:t>
      </w:r>
      <w:r w:rsidR="0097613B" w:rsidRPr="00A038BF">
        <w:rPr>
          <w:rFonts w:asciiTheme="majorBidi" w:hAnsiTheme="majorBidi" w:cstheme="majorBidi"/>
        </w:rPr>
        <w:t>Thus,</w:t>
      </w:r>
      <w:r w:rsidRPr="00A038BF">
        <w:rPr>
          <w:rFonts w:asciiTheme="majorBidi" w:hAnsiTheme="majorBidi" w:cstheme="majorBidi"/>
        </w:rPr>
        <w:t xml:space="preserve"> the benefit</w:t>
      </w:r>
      <w:r w:rsidR="0097613B" w:rsidRPr="00A038BF">
        <w:rPr>
          <w:rFonts w:asciiTheme="majorBidi" w:hAnsiTheme="majorBidi" w:cstheme="majorBidi"/>
        </w:rPr>
        <w:t>s</w:t>
      </w:r>
      <w:r w:rsidRPr="00A038BF">
        <w:rPr>
          <w:rFonts w:asciiTheme="majorBidi" w:hAnsiTheme="majorBidi" w:cstheme="majorBidi"/>
        </w:rPr>
        <w:t xml:space="preserve"> </w:t>
      </w:r>
      <w:r w:rsidR="003F4F3E" w:rsidRPr="00A038BF">
        <w:rPr>
          <w:rFonts w:asciiTheme="majorBidi" w:hAnsiTheme="majorBidi" w:cstheme="majorBidi"/>
        </w:rPr>
        <w:t>of</w:t>
      </w:r>
      <w:r w:rsidRPr="00A038BF">
        <w:rPr>
          <w:rFonts w:asciiTheme="majorBidi" w:hAnsiTheme="majorBidi" w:cstheme="majorBidi"/>
        </w:rPr>
        <w:t xml:space="preserve"> reuse or recycling can be considered inside the life cycle loop </w:t>
      </w:r>
      <w:r w:rsidR="0097613B" w:rsidRPr="00A038BF">
        <w:rPr>
          <w:rFonts w:asciiTheme="majorBidi" w:hAnsiTheme="majorBidi" w:cstheme="majorBidi"/>
        </w:rPr>
        <w:t>o</w:t>
      </w:r>
      <w:r w:rsidRPr="00A038BF">
        <w:rPr>
          <w:rFonts w:asciiTheme="majorBidi" w:hAnsiTheme="majorBidi" w:cstheme="majorBidi"/>
        </w:rPr>
        <w:t xml:space="preserve">f the building. </w:t>
      </w:r>
      <w:r w:rsidR="008265C8" w:rsidRPr="00A038BF">
        <w:rPr>
          <w:rFonts w:asciiTheme="majorBidi" w:hAnsiTheme="majorBidi" w:cstheme="majorBidi"/>
        </w:rPr>
        <w:t>B</w:t>
      </w:r>
      <w:r w:rsidR="00940393" w:rsidRPr="00A038BF">
        <w:rPr>
          <w:rFonts w:asciiTheme="majorBidi" w:hAnsiTheme="majorBidi" w:cstheme="majorBidi"/>
        </w:rPr>
        <w:t>uilding foundation</w:t>
      </w:r>
      <w:r w:rsidR="003F4F3E" w:rsidRPr="00A038BF">
        <w:rPr>
          <w:rFonts w:asciiTheme="majorBidi" w:hAnsiTheme="majorBidi" w:cstheme="majorBidi"/>
        </w:rPr>
        <w:t>s</w:t>
      </w:r>
      <w:r w:rsidR="00940393" w:rsidRPr="00A038BF">
        <w:rPr>
          <w:rFonts w:asciiTheme="majorBidi" w:hAnsiTheme="majorBidi" w:cstheme="majorBidi"/>
        </w:rPr>
        <w:t>, door</w:t>
      </w:r>
      <w:r w:rsidR="003F4F3E" w:rsidRPr="00A038BF">
        <w:rPr>
          <w:rFonts w:asciiTheme="majorBidi" w:hAnsiTheme="majorBidi" w:cstheme="majorBidi"/>
        </w:rPr>
        <w:t>s</w:t>
      </w:r>
      <w:r w:rsidR="00940393" w:rsidRPr="00A038BF">
        <w:rPr>
          <w:rFonts w:asciiTheme="majorBidi" w:hAnsiTheme="majorBidi" w:cstheme="majorBidi"/>
        </w:rPr>
        <w:t>, windows and other application</w:t>
      </w:r>
      <w:r w:rsidR="00B929CB" w:rsidRPr="00A038BF">
        <w:rPr>
          <w:rFonts w:asciiTheme="majorBidi" w:hAnsiTheme="majorBidi" w:cstheme="majorBidi"/>
        </w:rPr>
        <w:t xml:space="preserve">s such as wiring and piping are not included in </w:t>
      </w:r>
      <w:r w:rsidR="00665F42" w:rsidRPr="00A038BF">
        <w:rPr>
          <w:rFonts w:asciiTheme="majorBidi" w:hAnsiTheme="majorBidi" w:cstheme="majorBidi"/>
        </w:rPr>
        <w:t xml:space="preserve">the </w:t>
      </w:r>
      <w:r w:rsidR="00B929CB" w:rsidRPr="00A038BF">
        <w:rPr>
          <w:rFonts w:asciiTheme="majorBidi" w:hAnsiTheme="majorBidi" w:cstheme="majorBidi"/>
        </w:rPr>
        <w:t xml:space="preserve">LCA </w:t>
      </w:r>
      <w:r w:rsidR="003F4F3E" w:rsidRPr="00A038BF">
        <w:rPr>
          <w:rFonts w:asciiTheme="majorBidi" w:hAnsiTheme="majorBidi" w:cstheme="majorBidi"/>
        </w:rPr>
        <w:t xml:space="preserve">because they have </w:t>
      </w:r>
      <w:r w:rsidR="00B929CB" w:rsidRPr="00A038BF">
        <w:rPr>
          <w:rFonts w:asciiTheme="majorBidi" w:hAnsiTheme="majorBidi" w:cstheme="majorBidi"/>
        </w:rPr>
        <w:t xml:space="preserve">no impact on wall materials. Those functions </w:t>
      </w:r>
      <w:r w:rsidR="003F4F3E" w:rsidRPr="00A038BF">
        <w:rPr>
          <w:rFonts w:asciiTheme="majorBidi" w:hAnsiTheme="majorBidi" w:cstheme="majorBidi"/>
        </w:rPr>
        <w:t xml:space="preserve">are </w:t>
      </w:r>
      <w:r w:rsidR="00B929CB" w:rsidRPr="00A038BF">
        <w:rPr>
          <w:rFonts w:asciiTheme="majorBidi" w:hAnsiTheme="majorBidi" w:cstheme="majorBidi"/>
        </w:rPr>
        <w:t>the</w:t>
      </w:r>
      <w:r w:rsidR="00940393" w:rsidRPr="00A038BF">
        <w:rPr>
          <w:rFonts w:asciiTheme="majorBidi" w:hAnsiTheme="majorBidi" w:cstheme="majorBidi"/>
        </w:rPr>
        <w:t xml:space="preserve"> same for all three case studies. </w:t>
      </w:r>
    </w:p>
    <w:p w14:paraId="2E01744B" w14:textId="77777777" w:rsidR="00FD21DE" w:rsidRPr="00A038BF" w:rsidRDefault="00FD21DE" w:rsidP="00522D4D">
      <w:pPr>
        <w:pStyle w:val="ListParagraph"/>
        <w:numPr>
          <w:ilvl w:val="2"/>
          <w:numId w:val="3"/>
        </w:numPr>
        <w:autoSpaceDE w:val="0"/>
        <w:autoSpaceDN w:val="0"/>
        <w:adjustRightInd w:val="0"/>
        <w:spacing w:before="240" w:line="240" w:lineRule="auto"/>
        <w:jc w:val="both"/>
        <w:rPr>
          <w:rFonts w:asciiTheme="majorBidi" w:hAnsiTheme="majorBidi" w:cstheme="majorBidi"/>
          <w:b/>
          <w:bCs/>
        </w:rPr>
      </w:pPr>
      <w:r w:rsidRPr="00A038BF">
        <w:rPr>
          <w:rFonts w:asciiTheme="majorBidi" w:hAnsiTheme="majorBidi" w:cstheme="majorBidi"/>
          <w:b/>
          <w:bCs/>
        </w:rPr>
        <w:t>Life cycle inventory</w:t>
      </w:r>
    </w:p>
    <w:p w14:paraId="08D733BF" w14:textId="4E6EB546" w:rsidR="001D2A41" w:rsidRPr="00A038BF" w:rsidRDefault="00522D4D" w:rsidP="00C30AC5">
      <w:pPr>
        <w:spacing w:after="0"/>
        <w:ind w:firstLine="720"/>
        <w:jc w:val="both"/>
        <w:rPr>
          <w:rFonts w:asciiTheme="majorBidi" w:hAnsiTheme="majorBidi" w:cstheme="majorBidi"/>
        </w:rPr>
      </w:pPr>
      <w:r w:rsidRPr="00A038BF">
        <w:rPr>
          <w:rFonts w:asciiTheme="majorBidi" w:hAnsiTheme="majorBidi" w:cstheme="majorBidi"/>
        </w:rPr>
        <w:t xml:space="preserve">The second stage of </w:t>
      </w:r>
      <w:r w:rsidR="00B929CB" w:rsidRPr="00A038BF">
        <w:rPr>
          <w:rFonts w:asciiTheme="majorBidi" w:hAnsiTheme="majorBidi" w:cstheme="majorBidi"/>
        </w:rPr>
        <w:t xml:space="preserve">the </w:t>
      </w:r>
      <w:r w:rsidRPr="00A038BF">
        <w:rPr>
          <w:rFonts w:asciiTheme="majorBidi" w:hAnsiTheme="majorBidi" w:cstheme="majorBidi"/>
        </w:rPr>
        <w:t>LCA study relate</w:t>
      </w:r>
      <w:r w:rsidR="000515F8" w:rsidRPr="00A038BF">
        <w:rPr>
          <w:rFonts w:asciiTheme="majorBidi" w:hAnsiTheme="majorBidi" w:cstheme="majorBidi"/>
        </w:rPr>
        <w:t>s</w:t>
      </w:r>
      <w:r w:rsidRPr="00A038BF">
        <w:rPr>
          <w:rFonts w:asciiTheme="majorBidi" w:hAnsiTheme="majorBidi" w:cstheme="majorBidi"/>
        </w:rPr>
        <w:t xml:space="preserve"> to the life cycle inventory (LCI). </w:t>
      </w:r>
      <w:r w:rsidR="00FB56AC" w:rsidRPr="00A038BF">
        <w:rPr>
          <w:rFonts w:asciiTheme="majorBidi" w:hAnsiTheme="majorBidi" w:cstheme="majorBidi"/>
        </w:rPr>
        <w:t xml:space="preserve">LCI </w:t>
      </w:r>
      <w:r w:rsidR="0097613B" w:rsidRPr="00A038BF">
        <w:rPr>
          <w:rFonts w:asciiTheme="majorBidi" w:hAnsiTheme="majorBidi" w:cstheme="majorBidi"/>
        </w:rPr>
        <w:t>incorporates</w:t>
      </w:r>
      <w:r w:rsidR="00FB56AC" w:rsidRPr="00A038BF">
        <w:rPr>
          <w:rFonts w:asciiTheme="majorBidi" w:hAnsiTheme="majorBidi" w:cstheme="majorBidi"/>
        </w:rPr>
        <w:t xml:space="preserve"> </w:t>
      </w:r>
      <w:r w:rsidR="0097613B" w:rsidRPr="00A038BF">
        <w:rPr>
          <w:rFonts w:asciiTheme="majorBidi" w:hAnsiTheme="majorBidi" w:cstheme="majorBidi"/>
        </w:rPr>
        <w:t>quantifying and compiling</w:t>
      </w:r>
      <w:r w:rsidR="00FB56AC" w:rsidRPr="00A038BF">
        <w:rPr>
          <w:rFonts w:asciiTheme="majorBidi" w:hAnsiTheme="majorBidi" w:cstheme="majorBidi"/>
        </w:rPr>
        <w:t xml:space="preserve"> all inputs and outputs of materials and energy for the final product into </w:t>
      </w:r>
      <w:r w:rsidR="0097613B" w:rsidRPr="00A038BF">
        <w:rPr>
          <w:rFonts w:asciiTheme="majorBidi" w:hAnsiTheme="majorBidi" w:cstheme="majorBidi"/>
        </w:rPr>
        <w:t xml:space="preserve">the </w:t>
      </w:r>
      <w:r w:rsidR="00FB56AC" w:rsidRPr="00A038BF">
        <w:rPr>
          <w:rFonts w:asciiTheme="majorBidi" w:hAnsiTheme="majorBidi" w:cstheme="majorBidi"/>
        </w:rPr>
        <w:t xml:space="preserve">system. This phase involved collecting </w:t>
      </w:r>
      <w:r w:rsidR="0097613B" w:rsidRPr="00A038BF">
        <w:rPr>
          <w:rFonts w:asciiTheme="majorBidi" w:hAnsiTheme="majorBidi" w:cstheme="majorBidi"/>
        </w:rPr>
        <w:t>raw materials requirements to construct the buildings and calculati</w:t>
      </w:r>
      <w:r w:rsidR="000515F8" w:rsidRPr="00A038BF">
        <w:rPr>
          <w:rFonts w:asciiTheme="majorBidi" w:hAnsiTheme="majorBidi" w:cstheme="majorBidi"/>
        </w:rPr>
        <w:t>o</w:t>
      </w:r>
      <w:r w:rsidR="0097613B" w:rsidRPr="00A038BF">
        <w:rPr>
          <w:rFonts w:asciiTheme="majorBidi" w:hAnsiTheme="majorBidi" w:cstheme="majorBidi"/>
        </w:rPr>
        <w:t>n</w:t>
      </w:r>
      <w:r w:rsidR="00FB56AC" w:rsidRPr="00A038BF">
        <w:rPr>
          <w:rFonts w:asciiTheme="majorBidi" w:hAnsiTheme="majorBidi" w:cstheme="majorBidi"/>
        </w:rPr>
        <w:t xml:space="preserve"> procedures to quantify relevant output emissions of timber element</w:t>
      </w:r>
      <w:r w:rsidR="0097613B" w:rsidRPr="00A038BF">
        <w:rPr>
          <w:rFonts w:asciiTheme="majorBidi" w:hAnsiTheme="majorBidi" w:cstheme="majorBidi"/>
        </w:rPr>
        <w:t>s</w:t>
      </w:r>
      <w:r w:rsidR="00FB56AC" w:rsidRPr="00A038BF">
        <w:rPr>
          <w:rFonts w:asciiTheme="majorBidi" w:hAnsiTheme="majorBidi" w:cstheme="majorBidi"/>
        </w:rPr>
        <w:t>, timber structure, etc., through the whole life cycle. In parallel</w:t>
      </w:r>
      <w:r w:rsidR="0097613B" w:rsidRPr="00A038BF">
        <w:rPr>
          <w:rFonts w:asciiTheme="majorBidi" w:hAnsiTheme="majorBidi" w:cstheme="majorBidi"/>
        </w:rPr>
        <w:t>,</w:t>
      </w:r>
      <w:r w:rsidR="00FB56AC" w:rsidRPr="00A038BF">
        <w:rPr>
          <w:rFonts w:asciiTheme="majorBidi" w:hAnsiTheme="majorBidi" w:cstheme="majorBidi"/>
        </w:rPr>
        <w:t xml:space="preserve"> the LCI database </w:t>
      </w:r>
      <w:r w:rsidR="000515F8" w:rsidRPr="00A038BF">
        <w:rPr>
          <w:rFonts w:asciiTheme="majorBidi" w:hAnsiTheme="majorBidi" w:cstheme="majorBidi"/>
        </w:rPr>
        <w:t xml:space="preserve">was used </w:t>
      </w:r>
      <w:r w:rsidR="00FB56AC" w:rsidRPr="00A038BF">
        <w:rPr>
          <w:rFonts w:asciiTheme="majorBidi" w:hAnsiTheme="majorBidi" w:cstheme="majorBidi"/>
        </w:rPr>
        <w:t xml:space="preserve">for appraising environmental impacts. In </w:t>
      </w:r>
      <w:r w:rsidR="000515F8" w:rsidRPr="00A038BF">
        <w:rPr>
          <w:rFonts w:asciiTheme="majorBidi" w:hAnsiTheme="majorBidi" w:cstheme="majorBidi"/>
        </w:rPr>
        <w:t>this study</w:t>
      </w:r>
      <w:r w:rsidR="00FB56AC" w:rsidRPr="00A038BF">
        <w:rPr>
          <w:rFonts w:asciiTheme="majorBidi" w:hAnsiTheme="majorBidi" w:cstheme="majorBidi"/>
        </w:rPr>
        <w:t xml:space="preserve">, </w:t>
      </w:r>
      <w:r w:rsidR="000515F8" w:rsidRPr="00A038BF">
        <w:rPr>
          <w:rFonts w:asciiTheme="majorBidi" w:hAnsiTheme="majorBidi" w:cstheme="majorBidi"/>
        </w:rPr>
        <w:t xml:space="preserve">the </w:t>
      </w:r>
      <w:r w:rsidR="00B851B6" w:rsidRPr="00A038BF">
        <w:rPr>
          <w:rFonts w:asciiTheme="majorBidi" w:hAnsiTheme="majorBidi" w:cstheme="majorBidi"/>
        </w:rPr>
        <w:t xml:space="preserve">LCI database Ecoinvent 3.6 was used. </w:t>
      </w:r>
      <w:r w:rsidR="001D2A41" w:rsidRPr="00A038BF">
        <w:rPr>
          <w:rFonts w:asciiTheme="majorBidi" w:hAnsiTheme="majorBidi" w:cstheme="majorBidi"/>
        </w:rPr>
        <w:t>LCI has a significant role in the reliability of the study</w:t>
      </w:r>
      <w:r w:rsidR="00C30AC5" w:rsidRPr="00A038BF">
        <w:rPr>
          <w:rFonts w:asciiTheme="majorBidi" w:hAnsiTheme="majorBidi" w:cstheme="majorBidi"/>
        </w:rPr>
        <w:t>'</w:t>
      </w:r>
      <w:r w:rsidR="001D2A41" w:rsidRPr="00A038BF">
        <w:rPr>
          <w:rFonts w:asciiTheme="majorBidi" w:hAnsiTheme="majorBidi" w:cstheme="majorBidi"/>
        </w:rPr>
        <w:t>s results. LCI emphasi</w:t>
      </w:r>
      <w:r w:rsidR="000515F8" w:rsidRPr="00A038BF">
        <w:rPr>
          <w:rFonts w:asciiTheme="majorBidi" w:hAnsiTheme="majorBidi" w:cstheme="majorBidi"/>
        </w:rPr>
        <w:t>zes</w:t>
      </w:r>
      <w:r w:rsidR="001D2A41" w:rsidRPr="00A038BF">
        <w:rPr>
          <w:rFonts w:asciiTheme="majorBidi" w:hAnsiTheme="majorBidi" w:cstheme="majorBidi"/>
        </w:rPr>
        <w:t xml:space="preserve"> two different stages of data aggregations. Firstly, the primary data specify the characteristics of the product and process system</w:t>
      </w:r>
      <w:r w:rsidR="000515F8" w:rsidRPr="00A038BF">
        <w:rPr>
          <w:rFonts w:asciiTheme="majorBidi" w:hAnsiTheme="majorBidi" w:cstheme="majorBidi"/>
        </w:rPr>
        <w:t>s</w:t>
      </w:r>
      <w:r w:rsidR="001D2A41" w:rsidRPr="00A038BF">
        <w:rPr>
          <w:rFonts w:asciiTheme="majorBidi" w:hAnsiTheme="majorBidi" w:cstheme="majorBidi"/>
        </w:rPr>
        <w:t>. Secondly, the data initially available in the Ecoinvent database is used as background to define the product system. The Ecoinvent database comprises substance</w:t>
      </w:r>
      <w:r w:rsidR="000515F8" w:rsidRPr="00A038BF">
        <w:rPr>
          <w:rFonts w:asciiTheme="majorBidi" w:hAnsiTheme="majorBidi" w:cstheme="majorBidi"/>
        </w:rPr>
        <w:t>s</w:t>
      </w:r>
      <w:r w:rsidR="001D2A41" w:rsidRPr="00A038BF">
        <w:rPr>
          <w:rFonts w:asciiTheme="majorBidi" w:hAnsiTheme="majorBidi" w:cstheme="majorBidi"/>
        </w:rPr>
        <w:t xml:space="preserve"> related to a specific region</w:t>
      </w:r>
      <w:r w:rsidR="00D16385" w:rsidRPr="00A038BF">
        <w:rPr>
          <w:rFonts w:asciiTheme="majorBidi" w:hAnsiTheme="majorBidi" w:cstheme="majorBidi"/>
        </w:rPr>
        <w:t>.</w:t>
      </w:r>
      <w:r w:rsidR="00B929CB" w:rsidRPr="00A038BF">
        <w:rPr>
          <w:rFonts w:asciiTheme="majorBidi" w:hAnsiTheme="majorBidi" w:cstheme="majorBidi"/>
        </w:rPr>
        <w:t xml:space="preserve"> Thus, to avoid misleading</w:t>
      </w:r>
      <w:r w:rsidR="001D2A41" w:rsidRPr="00A038BF">
        <w:rPr>
          <w:rFonts w:asciiTheme="majorBidi" w:hAnsiTheme="majorBidi" w:cstheme="majorBidi"/>
        </w:rPr>
        <w:t xml:space="preserve"> results, this database needs to </w:t>
      </w:r>
      <w:r w:rsidR="000515F8" w:rsidRPr="00A038BF">
        <w:rPr>
          <w:rFonts w:asciiTheme="majorBidi" w:hAnsiTheme="majorBidi" w:cstheme="majorBidi"/>
        </w:rPr>
        <w:t xml:space="preserve">be </w:t>
      </w:r>
      <w:r w:rsidR="001D2A41" w:rsidRPr="00A038BF">
        <w:rPr>
          <w:rFonts w:asciiTheme="majorBidi" w:hAnsiTheme="majorBidi" w:cstheme="majorBidi"/>
        </w:rPr>
        <w:t>adapt</w:t>
      </w:r>
      <w:r w:rsidR="000515F8" w:rsidRPr="00A038BF">
        <w:rPr>
          <w:rFonts w:asciiTheme="majorBidi" w:hAnsiTheme="majorBidi" w:cstheme="majorBidi"/>
        </w:rPr>
        <w:t>ed</w:t>
      </w:r>
      <w:r w:rsidR="001D2A41" w:rsidRPr="00A038BF">
        <w:rPr>
          <w:rFonts w:asciiTheme="majorBidi" w:hAnsiTheme="majorBidi" w:cstheme="majorBidi"/>
        </w:rPr>
        <w:t xml:space="preserve"> to the study region. Therefore, </w:t>
      </w:r>
      <w:r w:rsidR="000515F8" w:rsidRPr="00A038BF">
        <w:rPr>
          <w:rFonts w:asciiTheme="majorBidi" w:hAnsiTheme="majorBidi" w:cstheme="majorBidi"/>
        </w:rPr>
        <w:t xml:space="preserve">the </w:t>
      </w:r>
      <w:r w:rsidR="001D2A41" w:rsidRPr="00A038BF">
        <w:rPr>
          <w:rFonts w:asciiTheme="majorBidi" w:hAnsiTheme="majorBidi" w:cstheme="majorBidi"/>
        </w:rPr>
        <w:t xml:space="preserve">database </w:t>
      </w:r>
      <w:r w:rsidR="000515F8" w:rsidRPr="00A038BF">
        <w:rPr>
          <w:rFonts w:asciiTheme="majorBidi" w:hAnsiTheme="majorBidi" w:cstheme="majorBidi"/>
        </w:rPr>
        <w:t xml:space="preserve">used </w:t>
      </w:r>
      <w:r w:rsidR="001D2A41" w:rsidRPr="00A038BF">
        <w:rPr>
          <w:rFonts w:asciiTheme="majorBidi" w:hAnsiTheme="majorBidi" w:cstheme="majorBidi"/>
        </w:rPr>
        <w:t xml:space="preserve">has been </w:t>
      </w:r>
      <w:r w:rsidR="0065714E" w:rsidRPr="00A038BF">
        <w:rPr>
          <w:rFonts w:asciiTheme="majorBidi" w:hAnsiTheme="majorBidi" w:cstheme="majorBidi"/>
        </w:rPr>
        <w:t xml:space="preserve">callibrated </w:t>
      </w:r>
      <w:r w:rsidR="001D2A41" w:rsidRPr="00A038BF">
        <w:rPr>
          <w:rFonts w:asciiTheme="majorBidi" w:hAnsiTheme="majorBidi" w:cstheme="majorBidi"/>
        </w:rPr>
        <w:t>to Malaysian lo</w:t>
      </w:r>
      <w:r w:rsidR="00C04EE4" w:rsidRPr="00A038BF">
        <w:rPr>
          <w:rFonts w:asciiTheme="majorBidi" w:hAnsiTheme="majorBidi" w:cstheme="majorBidi"/>
        </w:rPr>
        <w:t xml:space="preserve">cal power electricity following </w:t>
      </w:r>
      <w:r w:rsidR="00C04EE4" w:rsidRPr="00A038BF">
        <w:rPr>
          <w:rFonts w:asciiTheme="majorBidi" w:hAnsiTheme="majorBidi" w:cstheme="majorBidi"/>
        </w:rPr>
        <w:fldChar w:fldCharType="begin" w:fldLock="1"/>
      </w:r>
      <w:r w:rsidR="00E25965" w:rsidRPr="00A038BF">
        <w:rPr>
          <w:rFonts w:asciiTheme="majorBidi" w:hAnsiTheme="majorBidi" w:cstheme="majorBidi"/>
        </w:rPr>
        <w:instrText>ADDIN CSL_CITATION {"citationItems":[{"id":"ITEM-1","itemData":{"DOI":"10.1007/s11367-021-01938-6","ISBN":"0123456789","ISSN":"0948-3349","author":[{"dropping-particle":"","family":"Balasbaneh","given":"Ali Tighnavard","non-dropping-particle":"","parse-names":false,"suffix":""},{"dropping-particle":"","family":"Sher","given":"Willy","non-dropping-particle":"","parse-names":false,"suffix":""}],"container-title":"The International Journal of Life Cycle Assessment","id":"ITEM-1","issue":"0123456789","issued":{"date-parts":[["2021"]]},"publisher":"Springer Berlin Heidelberg","title":"Life cycle sustainability assessment analysis of different concrete construction techniques for residential building in Malaysia","type":"article-journal"},"uris":["http://www.mendeley.com/documents/?uuid=f345c937-5140-429b-a798-d2059c48e7cc"]}],"mendeley":{"formattedCitation":"(Ali Tighnavard Balasbaneh &amp; Sher, 2021)","manualFormatting":"(Balasbaneh &amp; Sher, 2021b)","plainTextFormattedCitation":"(Ali Tighnavard Balasbaneh &amp; Sher, 2021)","previouslyFormattedCitation":"(Ali Tighnavard Balasbaneh &amp; Sher, 2021)"},"properties":{"noteIndex":0},"schema":"https://github.com/citation-style-language/schema/raw/master/csl-citation.json"}</w:instrText>
      </w:r>
      <w:r w:rsidR="00C04EE4" w:rsidRPr="00A038BF">
        <w:rPr>
          <w:rFonts w:asciiTheme="majorBidi" w:hAnsiTheme="majorBidi" w:cstheme="majorBidi"/>
        </w:rPr>
        <w:fldChar w:fldCharType="separate"/>
      </w:r>
      <w:r w:rsidR="00C04EE4" w:rsidRPr="00A038BF">
        <w:rPr>
          <w:rFonts w:asciiTheme="majorBidi" w:hAnsiTheme="majorBidi" w:cstheme="majorBidi"/>
          <w:noProof/>
        </w:rPr>
        <w:t>(Balasbaneh &amp; Sher, 2021b)</w:t>
      </w:r>
      <w:r w:rsidR="00C04EE4" w:rsidRPr="00A038BF">
        <w:rPr>
          <w:rFonts w:asciiTheme="majorBidi" w:hAnsiTheme="majorBidi" w:cstheme="majorBidi"/>
        </w:rPr>
        <w:fldChar w:fldCharType="end"/>
      </w:r>
      <w:r w:rsidR="001D2A41" w:rsidRPr="00A038BF">
        <w:rPr>
          <w:rFonts w:asciiTheme="majorBidi" w:hAnsiTheme="majorBidi" w:cstheme="majorBidi"/>
        </w:rPr>
        <w:t xml:space="preserve">. </w:t>
      </w:r>
      <w:r w:rsidR="00D47DFF" w:rsidRPr="00A038BF">
        <w:rPr>
          <w:rFonts w:asciiTheme="majorBidi" w:hAnsiTheme="majorBidi" w:cstheme="majorBidi"/>
        </w:rPr>
        <w:t>The electricity consumption for manufacturing the different mass timber</w:t>
      </w:r>
      <w:r w:rsidR="0065714E" w:rsidRPr="00A038BF">
        <w:rPr>
          <w:rFonts w:asciiTheme="majorBidi" w:hAnsiTheme="majorBidi" w:cstheme="majorBidi"/>
        </w:rPr>
        <w:t xml:space="preserve"> sections</w:t>
      </w:r>
      <w:r w:rsidR="00D47DFF" w:rsidRPr="00A038BF">
        <w:rPr>
          <w:rFonts w:asciiTheme="majorBidi" w:hAnsiTheme="majorBidi" w:cstheme="majorBidi"/>
        </w:rPr>
        <w:t xml:space="preserve"> in </w:t>
      </w:r>
      <w:r w:rsidR="0065714E" w:rsidRPr="00A038BF">
        <w:rPr>
          <w:rFonts w:asciiTheme="majorBidi" w:hAnsiTheme="majorBidi" w:cstheme="majorBidi"/>
        </w:rPr>
        <w:t>the saw</w:t>
      </w:r>
      <w:r w:rsidR="00D47DFF" w:rsidRPr="00A038BF">
        <w:rPr>
          <w:rFonts w:asciiTheme="majorBidi" w:hAnsiTheme="majorBidi" w:cstheme="majorBidi"/>
        </w:rPr>
        <w:t>mill and assembly on</w:t>
      </w:r>
      <w:r w:rsidR="0097613B" w:rsidRPr="00A038BF">
        <w:rPr>
          <w:rFonts w:asciiTheme="majorBidi" w:hAnsiTheme="majorBidi" w:cstheme="majorBidi"/>
        </w:rPr>
        <w:t>-</w:t>
      </w:r>
      <w:r w:rsidR="00D47DFF" w:rsidRPr="00A038BF">
        <w:rPr>
          <w:rFonts w:asciiTheme="majorBidi" w:hAnsiTheme="majorBidi" w:cstheme="majorBidi"/>
        </w:rPr>
        <w:t xml:space="preserve">site has </w:t>
      </w:r>
      <w:r w:rsidR="0097613B" w:rsidRPr="00A038BF">
        <w:rPr>
          <w:rFonts w:asciiTheme="majorBidi" w:hAnsiTheme="majorBidi" w:cstheme="majorBidi"/>
        </w:rPr>
        <w:t xml:space="preserve">been </w:t>
      </w:r>
      <w:r w:rsidR="00D47DFF" w:rsidRPr="00A038BF">
        <w:rPr>
          <w:rFonts w:asciiTheme="majorBidi" w:hAnsiTheme="majorBidi" w:cstheme="majorBidi"/>
        </w:rPr>
        <w:t xml:space="preserve">considered fossil fuel consumption since </w:t>
      </w:r>
      <w:r w:rsidR="0097613B" w:rsidRPr="00A038BF">
        <w:rPr>
          <w:rFonts w:asciiTheme="majorBidi" w:hAnsiTheme="majorBidi" w:cstheme="majorBidi"/>
        </w:rPr>
        <w:t xml:space="preserve">an </w:t>
      </w:r>
      <w:r w:rsidR="00D47DFF" w:rsidRPr="00A038BF">
        <w:rPr>
          <w:rFonts w:asciiTheme="majorBidi" w:hAnsiTheme="majorBidi" w:cstheme="majorBidi"/>
        </w:rPr>
        <w:t xml:space="preserve">average </w:t>
      </w:r>
      <w:r w:rsidR="0097613B" w:rsidRPr="00A038BF">
        <w:rPr>
          <w:rFonts w:asciiTheme="majorBidi" w:hAnsiTheme="majorBidi" w:cstheme="majorBidi"/>
        </w:rPr>
        <w:t xml:space="preserve">of </w:t>
      </w:r>
      <w:r w:rsidR="00D47DFF" w:rsidRPr="00A038BF">
        <w:rPr>
          <w:rFonts w:asciiTheme="majorBidi" w:hAnsiTheme="majorBidi" w:cstheme="majorBidi"/>
        </w:rPr>
        <w:t xml:space="preserve">96% of the national electricity produced in 2019 </w:t>
      </w:r>
      <w:r w:rsidR="0097613B" w:rsidRPr="00A038BF">
        <w:rPr>
          <w:rFonts w:asciiTheme="majorBidi" w:hAnsiTheme="majorBidi" w:cstheme="majorBidi"/>
        </w:rPr>
        <w:t xml:space="preserve">was </w:t>
      </w:r>
      <w:r w:rsidR="00D47DFF" w:rsidRPr="00A038BF">
        <w:rPr>
          <w:rFonts w:asciiTheme="majorBidi" w:hAnsiTheme="majorBidi" w:cstheme="majorBidi"/>
        </w:rPr>
        <w:t xml:space="preserve">produced from coal. </w:t>
      </w:r>
      <w:r w:rsidR="0065714E" w:rsidRPr="00A038BF">
        <w:rPr>
          <w:rFonts w:asciiTheme="majorBidi" w:hAnsiTheme="majorBidi" w:cstheme="majorBidi"/>
        </w:rPr>
        <w:t>Modelling of marginal energy</w:t>
      </w:r>
      <w:r w:rsidR="001D2A41" w:rsidRPr="00A038BF">
        <w:rPr>
          <w:rFonts w:asciiTheme="majorBidi" w:hAnsiTheme="majorBidi" w:cstheme="majorBidi"/>
        </w:rPr>
        <w:t xml:space="preserve"> </w:t>
      </w:r>
      <w:r w:rsidR="0065714E" w:rsidRPr="00A038BF">
        <w:rPr>
          <w:rFonts w:asciiTheme="majorBidi" w:hAnsiTheme="majorBidi" w:cstheme="majorBidi"/>
        </w:rPr>
        <w:t xml:space="preserve">requires </w:t>
      </w:r>
      <w:r w:rsidR="001D2A41" w:rsidRPr="00A038BF">
        <w:rPr>
          <w:rFonts w:asciiTheme="majorBidi" w:hAnsiTheme="majorBidi" w:cstheme="majorBidi"/>
        </w:rPr>
        <w:t xml:space="preserve">careful examination </w:t>
      </w:r>
      <w:r w:rsidR="0065714E" w:rsidRPr="00A038BF">
        <w:rPr>
          <w:rFonts w:asciiTheme="majorBidi" w:hAnsiTheme="majorBidi" w:cstheme="majorBidi"/>
        </w:rPr>
        <w:t xml:space="preserve">and </w:t>
      </w:r>
      <w:r w:rsidR="001D2A41" w:rsidRPr="00A038BF">
        <w:rPr>
          <w:rFonts w:asciiTheme="majorBidi" w:hAnsiTheme="majorBidi" w:cstheme="majorBidi"/>
        </w:rPr>
        <w:t>must avoid inconsistency and incomp</w:t>
      </w:r>
      <w:r w:rsidR="0065714E" w:rsidRPr="00A038BF">
        <w:rPr>
          <w:rFonts w:asciiTheme="majorBidi" w:hAnsiTheme="majorBidi" w:cstheme="majorBidi"/>
        </w:rPr>
        <w:t>lete</w:t>
      </w:r>
      <w:r w:rsidR="001D2A41" w:rsidRPr="00A038BF">
        <w:rPr>
          <w:rFonts w:asciiTheme="majorBidi" w:hAnsiTheme="majorBidi" w:cstheme="majorBidi"/>
        </w:rPr>
        <w:t xml:space="preserve"> assessment</w:t>
      </w:r>
      <w:r w:rsidR="00616ABF" w:rsidRPr="00A038BF">
        <w:rPr>
          <w:rFonts w:asciiTheme="majorBidi" w:hAnsiTheme="majorBidi" w:cstheme="majorBidi"/>
        </w:rPr>
        <w:t>.</w:t>
      </w:r>
      <w:r w:rsidR="001D2A41" w:rsidRPr="00A038BF">
        <w:rPr>
          <w:rFonts w:asciiTheme="majorBidi" w:hAnsiTheme="majorBidi" w:cstheme="majorBidi"/>
        </w:rPr>
        <w:t xml:space="preserve"> </w:t>
      </w:r>
      <w:r w:rsidR="0097613B" w:rsidRPr="00A038BF">
        <w:rPr>
          <w:rFonts w:asciiTheme="majorBidi" w:hAnsiTheme="majorBidi" w:cstheme="majorBidi"/>
        </w:rPr>
        <w:t>P</w:t>
      </w:r>
      <w:r w:rsidR="00CA667A" w:rsidRPr="00A038BF">
        <w:rPr>
          <w:rFonts w:asciiTheme="majorBidi" w:hAnsiTheme="majorBidi" w:cstheme="majorBidi"/>
        </w:rPr>
        <w:t>repar</w:t>
      </w:r>
      <w:r w:rsidR="0065714E" w:rsidRPr="00A038BF">
        <w:rPr>
          <w:rFonts w:asciiTheme="majorBidi" w:hAnsiTheme="majorBidi" w:cstheme="majorBidi"/>
        </w:rPr>
        <w:t xml:space="preserve">ation of </w:t>
      </w:r>
      <w:r w:rsidR="00CA667A" w:rsidRPr="00A038BF">
        <w:rPr>
          <w:rFonts w:asciiTheme="majorBidi" w:hAnsiTheme="majorBidi" w:cstheme="majorBidi"/>
        </w:rPr>
        <w:t xml:space="preserve">raw materials, </w:t>
      </w:r>
      <w:r w:rsidR="0065714E" w:rsidRPr="00A038BF">
        <w:rPr>
          <w:rFonts w:asciiTheme="majorBidi" w:hAnsiTheme="majorBidi" w:cstheme="majorBidi"/>
        </w:rPr>
        <w:t>including</w:t>
      </w:r>
      <w:r w:rsidR="00CA667A" w:rsidRPr="00A038BF">
        <w:rPr>
          <w:rFonts w:asciiTheme="majorBidi" w:hAnsiTheme="majorBidi" w:cstheme="majorBidi"/>
        </w:rPr>
        <w:t xml:space="preserve"> diesel </w:t>
      </w:r>
      <w:r w:rsidR="0065714E" w:rsidRPr="00A038BF">
        <w:rPr>
          <w:rFonts w:asciiTheme="majorBidi" w:hAnsiTheme="majorBidi" w:cstheme="majorBidi"/>
        </w:rPr>
        <w:t xml:space="preserve">used for transportation </w:t>
      </w:r>
      <w:r w:rsidR="00CA667A" w:rsidRPr="00A038BF">
        <w:rPr>
          <w:rFonts w:asciiTheme="majorBidi" w:hAnsiTheme="majorBidi" w:cstheme="majorBidi"/>
        </w:rPr>
        <w:t>and fuel for manufacturing</w:t>
      </w:r>
      <w:r w:rsidR="0065714E" w:rsidRPr="00A038BF">
        <w:rPr>
          <w:rFonts w:asciiTheme="majorBidi" w:hAnsiTheme="majorBidi" w:cstheme="majorBidi"/>
        </w:rPr>
        <w:t xml:space="preserve"> w</w:t>
      </w:r>
      <w:r w:rsidR="00CA667A" w:rsidRPr="00A038BF">
        <w:rPr>
          <w:rFonts w:asciiTheme="majorBidi" w:hAnsiTheme="majorBidi" w:cstheme="majorBidi"/>
        </w:rPr>
        <w:t>as</w:t>
      </w:r>
      <w:r w:rsidR="001D2A41" w:rsidRPr="00A038BF">
        <w:rPr>
          <w:rFonts w:asciiTheme="majorBidi" w:hAnsiTheme="majorBidi" w:cstheme="majorBidi"/>
        </w:rPr>
        <w:t xml:space="preserve"> adjusted </w:t>
      </w:r>
      <w:r w:rsidR="0065714E" w:rsidRPr="00A038BF">
        <w:rPr>
          <w:rFonts w:asciiTheme="majorBidi" w:hAnsiTheme="majorBidi" w:cstheme="majorBidi"/>
        </w:rPr>
        <w:t xml:space="preserve">for </w:t>
      </w:r>
      <w:r w:rsidR="001D2A41" w:rsidRPr="00A038BF">
        <w:rPr>
          <w:rFonts w:asciiTheme="majorBidi" w:hAnsiTheme="majorBidi" w:cstheme="majorBidi"/>
        </w:rPr>
        <w:t>the Malaysian scenario to provide accurate results</w:t>
      </w:r>
      <w:r w:rsidR="00EC6F4B" w:rsidRPr="00A038BF">
        <w:rPr>
          <w:rFonts w:asciiTheme="majorBidi" w:hAnsiTheme="majorBidi" w:cstheme="majorBidi"/>
        </w:rPr>
        <w:t xml:space="preserve"> using mixed </w:t>
      </w:r>
      <w:r w:rsidR="0065714E" w:rsidRPr="00A038BF">
        <w:rPr>
          <w:rFonts w:asciiTheme="majorBidi" w:hAnsiTheme="majorBidi" w:cstheme="majorBidi"/>
        </w:rPr>
        <w:t xml:space="preserve">sources of </w:t>
      </w:r>
      <w:r w:rsidR="00EC6F4B" w:rsidRPr="00A038BF">
        <w:rPr>
          <w:rFonts w:asciiTheme="majorBidi" w:hAnsiTheme="majorBidi" w:cstheme="majorBidi"/>
        </w:rPr>
        <w:t>local power</w:t>
      </w:r>
      <w:r w:rsidR="001D2A41" w:rsidRPr="00A038BF">
        <w:rPr>
          <w:rFonts w:asciiTheme="majorBidi" w:hAnsiTheme="majorBidi" w:cstheme="majorBidi"/>
        </w:rPr>
        <w:t xml:space="preserve">. </w:t>
      </w:r>
    </w:p>
    <w:p w14:paraId="3E79F110" w14:textId="1A48729E" w:rsidR="00BD4EBF" w:rsidRPr="00A038BF" w:rsidRDefault="001D2A41" w:rsidP="00BD4EBF">
      <w:pPr>
        <w:pStyle w:val="Default"/>
        <w:spacing w:before="240" w:after="240" w:line="276" w:lineRule="auto"/>
        <w:ind w:firstLine="720"/>
        <w:jc w:val="both"/>
        <w:rPr>
          <w:color w:val="auto"/>
          <w:sz w:val="22"/>
          <w:szCs w:val="22"/>
        </w:rPr>
      </w:pPr>
      <w:r w:rsidRPr="00A038BF">
        <w:rPr>
          <w:rFonts w:asciiTheme="majorBidi" w:hAnsiTheme="majorBidi" w:cstheme="majorBidi"/>
          <w:color w:val="auto"/>
          <w:sz w:val="22"/>
          <w:szCs w:val="22"/>
        </w:rPr>
        <w:t xml:space="preserve">The consequential LCI modeling principle has been used to assess the LCA </w:t>
      </w:r>
      <w:r w:rsidR="0019209D" w:rsidRPr="00A038BF">
        <w:rPr>
          <w:rFonts w:asciiTheme="majorBidi" w:hAnsiTheme="majorBidi" w:cstheme="majorBidi"/>
          <w:color w:val="auto"/>
          <w:sz w:val="22"/>
          <w:szCs w:val="22"/>
        </w:rPr>
        <w:t xml:space="preserve">studies </w:t>
      </w:r>
      <w:r w:rsidRPr="00A038BF">
        <w:rPr>
          <w:rFonts w:asciiTheme="majorBidi" w:hAnsiTheme="majorBidi" w:cstheme="majorBidi"/>
          <w:color w:val="auto"/>
          <w:sz w:val="22"/>
          <w:szCs w:val="22"/>
        </w:rPr>
        <w:t xml:space="preserve">(Ghose et al., 2017). </w:t>
      </w:r>
      <w:r w:rsidR="008A5B3F" w:rsidRPr="00A038BF">
        <w:rPr>
          <w:rFonts w:asciiTheme="majorBidi" w:hAnsiTheme="majorBidi" w:cstheme="majorBidi"/>
          <w:color w:val="auto"/>
          <w:sz w:val="22"/>
          <w:szCs w:val="22"/>
        </w:rPr>
        <w:t>Various definitions are</w:t>
      </w:r>
      <w:r w:rsidR="0097613B" w:rsidRPr="00A038BF">
        <w:rPr>
          <w:rFonts w:asciiTheme="majorBidi" w:hAnsiTheme="majorBidi" w:cstheme="majorBidi"/>
          <w:color w:val="auto"/>
          <w:sz w:val="22"/>
          <w:szCs w:val="22"/>
        </w:rPr>
        <w:t xml:space="preserve"> </w:t>
      </w:r>
      <w:r w:rsidRPr="00A038BF">
        <w:rPr>
          <w:rFonts w:asciiTheme="majorBidi" w:hAnsiTheme="majorBidi" w:cstheme="majorBidi"/>
          <w:color w:val="auto"/>
          <w:sz w:val="22"/>
          <w:szCs w:val="22"/>
        </w:rPr>
        <w:t>presented in literature for consequential LCI</w:t>
      </w:r>
      <w:r w:rsidR="0097613B" w:rsidRPr="00A038BF">
        <w:rPr>
          <w:rFonts w:asciiTheme="majorBidi" w:hAnsiTheme="majorBidi" w:cstheme="majorBidi"/>
          <w:color w:val="auto"/>
          <w:sz w:val="22"/>
          <w:szCs w:val="22"/>
        </w:rPr>
        <w:t>,</w:t>
      </w:r>
      <w:r w:rsidRPr="00A038BF">
        <w:rPr>
          <w:rFonts w:asciiTheme="majorBidi" w:hAnsiTheme="majorBidi" w:cstheme="majorBidi"/>
          <w:color w:val="auto"/>
          <w:sz w:val="22"/>
          <w:szCs w:val="22"/>
        </w:rPr>
        <w:t xml:space="preserve"> </w:t>
      </w:r>
      <w:r w:rsidR="008A5B3F" w:rsidRPr="00A038BF">
        <w:rPr>
          <w:rFonts w:asciiTheme="majorBidi" w:hAnsiTheme="majorBidi" w:cstheme="majorBidi"/>
          <w:color w:val="auto"/>
          <w:sz w:val="22"/>
          <w:szCs w:val="22"/>
        </w:rPr>
        <w:t>including</w:t>
      </w:r>
      <w:r w:rsidRPr="00A038BF">
        <w:rPr>
          <w:rFonts w:asciiTheme="majorBidi" w:hAnsiTheme="majorBidi" w:cstheme="majorBidi"/>
          <w:color w:val="auto"/>
          <w:sz w:val="22"/>
          <w:szCs w:val="22"/>
        </w:rPr>
        <w:t xml:space="preserve"> </w:t>
      </w:r>
      <w:r w:rsidR="00C30AC5" w:rsidRPr="00A038BF">
        <w:rPr>
          <w:rFonts w:asciiTheme="majorBidi" w:hAnsiTheme="majorBidi" w:cstheme="majorBidi"/>
          <w:color w:val="auto"/>
          <w:sz w:val="22"/>
          <w:szCs w:val="22"/>
        </w:rPr>
        <w:t>"</w:t>
      </w:r>
      <w:r w:rsidRPr="00A038BF">
        <w:rPr>
          <w:rFonts w:asciiTheme="majorBidi" w:hAnsiTheme="majorBidi" w:cstheme="majorBidi"/>
          <w:color w:val="auto"/>
          <w:sz w:val="22"/>
          <w:szCs w:val="22"/>
        </w:rPr>
        <w:t>sy</w:t>
      </w:r>
      <w:r w:rsidR="0097613B" w:rsidRPr="00A038BF">
        <w:rPr>
          <w:rFonts w:asciiTheme="majorBidi" w:hAnsiTheme="majorBidi" w:cstheme="majorBidi"/>
          <w:color w:val="auto"/>
          <w:sz w:val="22"/>
          <w:szCs w:val="22"/>
        </w:rPr>
        <w:t xml:space="preserve">stem modeling approach that </w:t>
      </w:r>
      <w:r w:rsidRPr="00A038BF">
        <w:rPr>
          <w:rFonts w:asciiTheme="majorBidi" w:hAnsiTheme="majorBidi" w:cstheme="majorBidi"/>
          <w:color w:val="auto"/>
          <w:sz w:val="22"/>
          <w:szCs w:val="22"/>
        </w:rPr>
        <w:t>activities in a product system are linked</w:t>
      </w:r>
      <w:r w:rsidR="0097613B" w:rsidRPr="00A038BF">
        <w:rPr>
          <w:rFonts w:asciiTheme="majorBidi" w:hAnsiTheme="majorBidi" w:cstheme="majorBidi"/>
          <w:color w:val="auto"/>
          <w:sz w:val="22"/>
          <w:szCs w:val="22"/>
        </w:rPr>
        <w:t>.</w:t>
      </w:r>
      <w:r w:rsidRPr="00A038BF">
        <w:rPr>
          <w:rFonts w:asciiTheme="majorBidi" w:hAnsiTheme="majorBidi" w:cstheme="majorBidi"/>
          <w:color w:val="auto"/>
          <w:sz w:val="22"/>
          <w:szCs w:val="22"/>
        </w:rPr>
        <w:t xml:space="preserve"> </w:t>
      </w:r>
      <w:r w:rsidR="0097613B" w:rsidRPr="00A038BF">
        <w:rPr>
          <w:rFonts w:asciiTheme="majorBidi" w:hAnsiTheme="majorBidi" w:cstheme="majorBidi"/>
          <w:color w:val="auto"/>
          <w:sz w:val="22"/>
          <w:szCs w:val="22"/>
        </w:rPr>
        <w:t>Thus,</w:t>
      </w:r>
      <w:r w:rsidRPr="00A038BF">
        <w:rPr>
          <w:rFonts w:asciiTheme="majorBidi" w:hAnsiTheme="majorBidi" w:cstheme="majorBidi"/>
          <w:color w:val="auto"/>
          <w:sz w:val="22"/>
          <w:szCs w:val="22"/>
        </w:rPr>
        <w:t xml:space="preserve"> activities are included in the product system to the extent to change as a consequence of in demand for the functional unit.</w:t>
      </w:r>
      <w:r w:rsidR="00C30AC5" w:rsidRPr="00A038BF">
        <w:rPr>
          <w:rFonts w:asciiTheme="majorBidi" w:hAnsiTheme="majorBidi" w:cstheme="majorBidi"/>
          <w:color w:val="auto"/>
          <w:sz w:val="22"/>
          <w:szCs w:val="22"/>
        </w:rPr>
        <w:t>"</w:t>
      </w:r>
      <w:r w:rsidRPr="00A038BF">
        <w:rPr>
          <w:rFonts w:asciiTheme="majorBidi" w:hAnsiTheme="majorBidi" w:cstheme="majorBidi"/>
          <w:color w:val="auto"/>
          <w:sz w:val="22"/>
          <w:szCs w:val="22"/>
        </w:rPr>
        <w:t xml:space="preserve"> Unlike the attributional (cut-off) approach, consequential </w:t>
      </w:r>
      <w:r w:rsidR="0009399A" w:rsidRPr="00A038BF">
        <w:rPr>
          <w:rFonts w:asciiTheme="majorBidi" w:hAnsiTheme="majorBidi" w:cstheme="majorBidi"/>
          <w:color w:val="auto"/>
          <w:sz w:val="22"/>
          <w:szCs w:val="22"/>
        </w:rPr>
        <w:t xml:space="preserve">LCI </w:t>
      </w:r>
      <w:r w:rsidRPr="00A038BF">
        <w:rPr>
          <w:rFonts w:asciiTheme="majorBidi" w:hAnsiTheme="majorBidi" w:cstheme="majorBidi"/>
          <w:color w:val="auto"/>
          <w:sz w:val="22"/>
          <w:szCs w:val="22"/>
        </w:rPr>
        <w:t>capture</w:t>
      </w:r>
      <w:r w:rsidR="0009399A" w:rsidRPr="00A038BF">
        <w:rPr>
          <w:rFonts w:asciiTheme="majorBidi" w:hAnsiTheme="majorBidi" w:cstheme="majorBidi"/>
          <w:color w:val="auto"/>
          <w:sz w:val="22"/>
          <w:szCs w:val="22"/>
        </w:rPr>
        <w:t>s the</w:t>
      </w:r>
      <w:r w:rsidRPr="00A038BF">
        <w:rPr>
          <w:rFonts w:asciiTheme="majorBidi" w:hAnsiTheme="majorBidi" w:cstheme="majorBidi"/>
          <w:color w:val="auto"/>
          <w:sz w:val="22"/>
          <w:szCs w:val="22"/>
        </w:rPr>
        <w:t xml:space="preserve"> consequences of decisions for the future. Consequential </w:t>
      </w:r>
      <w:r w:rsidR="0009399A" w:rsidRPr="00A038BF">
        <w:rPr>
          <w:rFonts w:asciiTheme="majorBidi" w:hAnsiTheme="majorBidi" w:cstheme="majorBidi"/>
          <w:color w:val="auto"/>
          <w:sz w:val="22"/>
          <w:szCs w:val="22"/>
        </w:rPr>
        <w:t xml:space="preserve">LCI </w:t>
      </w:r>
      <w:r w:rsidRPr="00A038BF">
        <w:rPr>
          <w:rFonts w:asciiTheme="majorBidi" w:hAnsiTheme="majorBidi" w:cstheme="majorBidi"/>
          <w:color w:val="auto"/>
          <w:sz w:val="22"/>
          <w:szCs w:val="22"/>
        </w:rPr>
        <w:t xml:space="preserve">addresses multifunctionality by expanding the system </w:t>
      </w:r>
      <w:r w:rsidR="0009399A" w:rsidRPr="00A038BF">
        <w:rPr>
          <w:rFonts w:asciiTheme="majorBidi" w:hAnsiTheme="majorBidi" w:cstheme="majorBidi"/>
          <w:color w:val="auto"/>
          <w:sz w:val="22"/>
          <w:szCs w:val="22"/>
        </w:rPr>
        <w:t xml:space="preserve">boundaries </w:t>
      </w:r>
      <w:r w:rsidRPr="00A038BF">
        <w:rPr>
          <w:rFonts w:asciiTheme="majorBidi" w:hAnsiTheme="majorBidi" w:cstheme="majorBidi"/>
          <w:color w:val="auto"/>
          <w:sz w:val="22"/>
          <w:szCs w:val="22"/>
        </w:rPr>
        <w:t>to avoid normative allocation and include</w:t>
      </w:r>
      <w:r w:rsidR="0009399A" w:rsidRPr="00A038BF">
        <w:rPr>
          <w:rFonts w:asciiTheme="majorBidi" w:hAnsiTheme="majorBidi" w:cstheme="majorBidi"/>
          <w:color w:val="auto"/>
          <w:sz w:val="22"/>
          <w:szCs w:val="22"/>
        </w:rPr>
        <w:t>s</w:t>
      </w:r>
      <w:r w:rsidRPr="00A038BF">
        <w:rPr>
          <w:rFonts w:asciiTheme="majorBidi" w:hAnsiTheme="majorBidi" w:cstheme="majorBidi"/>
          <w:color w:val="auto"/>
          <w:sz w:val="22"/>
          <w:szCs w:val="22"/>
        </w:rPr>
        <w:t xml:space="preserve"> the fate of coproducts in other markets (i.e., displacement). By doing so, the problem of normative allocation is avoided. Thus, the consequential approach include</w:t>
      </w:r>
      <w:r w:rsidR="0009399A" w:rsidRPr="00A038BF">
        <w:rPr>
          <w:rFonts w:asciiTheme="majorBidi" w:hAnsiTheme="majorBidi" w:cstheme="majorBidi"/>
          <w:color w:val="auto"/>
          <w:sz w:val="22"/>
          <w:szCs w:val="22"/>
        </w:rPr>
        <w:t>s</w:t>
      </w:r>
      <w:r w:rsidRPr="00A038BF">
        <w:rPr>
          <w:rFonts w:asciiTheme="majorBidi" w:hAnsiTheme="majorBidi" w:cstheme="majorBidi"/>
          <w:color w:val="auto"/>
          <w:sz w:val="22"/>
          <w:szCs w:val="22"/>
        </w:rPr>
        <w:t xml:space="preserve"> recycling and reuse at the end of the life cycle of products. </w:t>
      </w:r>
      <w:r w:rsidR="00B919B3" w:rsidRPr="00A038BF">
        <w:rPr>
          <w:rFonts w:asciiTheme="majorBidi" w:hAnsiTheme="majorBidi" w:cstheme="majorBidi"/>
          <w:color w:val="auto"/>
          <w:sz w:val="22"/>
          <w:szCs w:val="22"/>
        </w:rPr>
        <w:t>A further challenge is the lack of environment</w:t>
      </w:r>
      <w:r w:rsidR="00596848" w:rsidRPr="00A038BF">
        <w:rPr>
          <w:rFonts w:asciiTheme="majorBidi" w:hAnsiTheme="majorBidi" w:cstheme="majorBidi"/>
          <w:color w:val="auto"/>
          <w:sz w:val="22"/>
          <w:szCs w:val="22"/>
        </w:rPr>
        <w:t xml:space="preserve">al inventory data for these building materials. </w:t>
      </w:r>
      <w:r w:rsidR="00B919B3" w:rsidRPr="00A038BF">
        <w:rPr>
          <w:rFonts w:asciiTheme="majorBidi" w:hAnsiTheme="majorBidi" w:cstheme="majorBidi"/>
          <w:color w:val="auto"/>
          <w:sz w:val="22"/>
          <w:szCs w:val="22"/>
        </w:rPr>
        <w:t xml:space="preserve">The Simapro </w:t>
      </w:r>
      <w:r w:rsidR="000D691E" w:rsidRPr="00A038BF">
        <w:rPr>
          <w:rFonts w:asciiTheme="majorBidi" w:hAnsiTheme="majorBidi" w:cstheme="majorBidi"/>
          <w:color w:val="auto"/>
          <w:sz w:val="22"/>
          <w:szCs w:val="22"/>
        </w:rPr>
        <w:t xml:space="preserve">software </w:t>
      </w:r>
      <w:r w:rsidR="0009399A" w:rsidRPr="00A038BF">
        <w:rPr>
          <w:rFonts w:asciiTheme="majorBidi" w:hAnsiTheme="majorBidi" w:cstheme="majorBidi"/>
          <w:color w:val="auto"/>
          <w:sz w:val="22"/>
          <w:szCs w:val="22"/>
        </w:rPr>
        <w:t xml:space="preserve">lacked </w:t>
      </w:r>
      <w:r w:rsidR="000D691E" w:rsidRPr="00A038BF">
        <w:rPr>
          <w:rFonts w:asciiTheme="majorBidi" w:hAnsiTheme="majorBidi" w:cstheme="majorBidi"/>
          <w:color w:val="auto"/>
          <w:sz w:val="22"/>
          <w:szCs w:val="22"/>
        </w:rPr>
        <w:t xml:space="preserve">relevant inventories for </w:t>
      </w:r>
      <w:r w:rsidR="0009399A" w:rsidRPr="00A038BF">
        <w:rPr>
          <w:rFonts w:asciiTheme="majorBidi" w:hAnsiTheme="majorBidi" w:cstheme="majorBidi"/>
          <w:color w:val="auto"/>
          <w:sz w:val="22"/>
          <w:szCs w:val="22"/>
        </w:rPr>
        <w:t xml:space="preserve">the </w:t>
      </w:r>
      <w:r w:rsidR="000D691E" w:rsidRPr="00A038BF">
        <w:rPr>
          <w:rFonts w:asciiTheme="majorBidi" w:hAnsiTheme="majorBidi" w:cstheme="majorBidi"/>
          <w:color w:val="auto"/>
          <w:sz w:val="22"/>
          <w:szCs w:val="22"/>
        </w:rPr>
        <w:t xml:space="preserve">mass timber </w:t>
      </w:r>
      <w:r w:rsidR="0009399A" w:rsidRPr="00A038BF">
        <w:rPr>
          <w:rFonts w:asciiTheme="majorBidi" w:hAnsiTheme="majorBidi" w:cstheme="majorBidi"/>
          <w:color w:val="auto"/>
          <w:sz w:val="22"/>
          <w:szCs w:val="22"/>
        </w:rPr>
        <w:t>products used in this study</w:t>
      </w:r>
      <w:r w:rsidR="000D691E" w:rsidRPr="00A038BF">
        <w:rPr>
          <w:rFonts w:asciiTheme="majorBidi" w:hAnsiTheme="majorBidi" w:cstheme="majorBidi"/>
          <w:color w:val="auto"/>
          <w:sz w:val="22"/>
          <w:szCs w:val="22"/>
        </w:rPr>
        <w:t xml:space="preserve">. Thus, </w:t>
      </w:r>
      <w:r w:rsidR="0009399A" w:rsidRPr="00A038BF">
        <w:rPr>
          <w:rFonts w:asciiTheme="majorBidi" w:hAnsiTheme="majorBidi" w:cstheme="majorBidi"/>
          <w:color w:val="auto"/>
          <w:sz w:val="22"/>
          <w:szCs w:val="22"/>
        </w:rPr>
        <w:t xml:space="preserve">the </w:t>
      </w:r>
      <w:r w:rsidR="000D691E" w:rsidRPr="00A038BF">
        <w:rPr>
          <w:rFonts w:asciiTheme="majorBidi" w:hAnsiTheme="majorBidi" w:cstheme="majorBidi"/>
          <w:color w:val="auto"/>
          <w:sz w:val="22"/>
          <w:szCs w:val="22"/>
        </w:rPr>
        <w:t xml:space="preserve">pre-stressed laminated timber process: </w:t>
      </w:r>
      <w:r w:rsidR="00C30AC5" w:rsidRPr="00A038BF">
        <w:rPr>
          <w:rFonts w:asciiTheme="majorBidi" w:hAnsiTheme="majorBidi" w:cstheme="majorBidi"/>
          <w:color w:val="auto"/>
          <w:sz w:val="22"/>
          <w:szCs w:val="22"/>
        </w:rPr>
        <w:t>"</w:t>
      </w:r>
      <w:r w:rsidR="000D691E" w:rsidRPr="00A038BF">
        <w:rPr>
          <w:rFonts w:asciiTheme="majorBidi" w:hAnsiTheme="majorBidi" w:cstheme="majorBidi"/>
          <w:color w:val="auto"/>
          <w:sz w:val="22"/>
          <w:szCs w:val="22"/>
        </w:rPr>
        <w:t>Laminated timber element, transversally pre-stressed for outdoor use, at plant/RER U.</w:t>
      </w:r>
      <w:r w:rsidR="00C30AC5" w:rsidRPr="00A038BF">
        <w:rPr>
          <w:rFonts w:asciiTheme="majorBidi" w:hAnsiTheme="majorBidi" w:cstheme="majorBidi"/>
          <w:color w:val="auto"/>
          <w:sz w:val="22"/>
          <w:szCs w:val="22"/>
        </w:rPr>
        <w:t>"</w:t>
      </w:r>
      <w:r w:rsidR="000D691E" w:rsidRPr="00A038BF">
        <w:rPr>
          <w:rFonts w:asciiTheme="majorBidi" w:hAnsiTheme="majorBidi" w:cstheme="majorBidi"/>
          <w:color w:val="auto"/>
          <w:sz w:val="22"/>
          <w:szCs w:val="22"/>
        </w:rPr>
        <w:t xml:space="preserve"> </w:t>
      </w:r>
      <w:r w:rsidR="0009399A" w:rsidRPr="00A038BF">
        <w:rPr>
          <w:rFonts w:asciiTheme="majorBidi" w:hAnsiTheme="majorBidi" w:cstheme="majorBidi"/>
          <w:color w:val="auto"/>
          <w:sz w:val="22"/>
          <w:szCs w:val="22"/>
        </w:rPr>
        <w:t>was ad</w:t>
      </w:r>
      <w:r w:rsidR="000D691E" w:rsidRPr="00A038BF">
        <w:rPr>
          <w:rFonts w:asciiTheme="majorBidi" w:hAnsiTheme="majorBidi" w:cstheme="majorBidi"/>
          <w:color w:val="auto"/>
          <w:sz w:val="22"/>
          <w:szCs w:val="22"/>
        </w:rPr>
        <w:t xml:space="preserve">opted for analysis </w:t>
      </w:r>
      <w:r w:rsidR="0097613B" w:rsidRPr="00A038BF">
        <w:rPr>
          <w:rFonts w:asciiTheme="majorBidi" w:hAnsiTheme="majorBidi" w:cstheme="majorBidi"/>
          <w:color w:val="auto"/>
          <w:sz w:val="22"/>
          <w:szCs w:val="22"/>
        </w:rPr>
        <w:t xml:space="preserve">of </w:t>
      </w:r>
      <w:r w:rsidR="000D691E" w:rsidRPr="00A038BF">
        <w:rPr>
          <w:rFonts w:asciiTheme="majorBidi" w:hAnsiTheme="majorBidi" w:cstheme="majorBidi"/>
          <w:color w:val="auto"/>
          <w:sz w:val="22"/>
          <w:szCs w:val="22"/>
        </w:rPr>
        <w:t xml:space="preserve">the CLT. </w:t>
      </w:r>
      <w:r w:rsidR="007C5BD5" w:rsidRPr="00A038BF">
        <w:rPr>
          <w:rFonts w:asciiTheme="majorBidi" w:hAnsiTheme="majorBidi" w:cstheme="majorBidi"/>
          <w:color w:val="auto"/>
          <w:sz w:val="22"/>
          <w:szCs w:val="22"/>
        </w:rPr>
        <w:t xml:space="preserve">For </w:t>
      </w:r>
      <w:r w:rsidR="007E6D8F" w:rsidRPr="00A038BF">
        <w:rPr>
          <w:rFonts w:asciiTheme="majorBidi" w:hAnsiTheme="majorBidi" w:cstheme="majorBidi"/>
          <w:color w:val="auto"/>
          <w:sz w:val="22"/>
          <w:szCs w:val="22"/>
        </w:rPr>
        <w:t>NLT</w:t>
      </w:r>
      <w:r w:rsidR="007C5BD5" w:rsidRPr="00A038BF">
        <w:rPr>
          <w:rFonts w:asciiTheme="majorBidi" w:hAnsiTheme="majorBidi" w:cstheme="majorBidi"/>
          <w:color w:val="auto"/>
          <w:sz w:val="22"/>
          <w:szCs w:val="22"/>
        </w:rPr>
        <w:t xml:space="preserve"> and </w:t>
      </w:r>
      <w:r w:rsidR="007E6D8F" w:rsidRPr="00A038BF">
        <w:rPr>
          <w:rFonts w:asciiTheme="majorBidi" w:hAnsiTheme="majorBidi" w:cstheme="majorBidi"/>
          <w:color w:val="auto"/>
          <w:sz w:val="22"/>
          <w:szCs w:val="22"/>
        </w:rPr>
        <w:t>DLT</w:t>
      </w:r>
      <w:r w:rsidR="002929D0" w:rsidRPr="00A038BF">
        <w:rPr>
          <w:rFonts w:asciiTheme="majorBidi" w:hAnsiTheme="majorBidi" w:cstheme="majorBidi"/>
          <w:color w:val="auto"/>
          <w:sz w:val="22"/>
          <w:szCs w:val="22"/>
        </w:rPr>
        <w:t>,</w:t>
      </w:r>
      <w:r w:rsidR="007C5BD5" w:rsidRPr="00A038BF">
        <w:rPr>
          <w:rFonts w:asciiTheme="majorBidi" w:hAnsiTheme="majorBidi" w:cstheme="majorBidi"/>
          <w:color w:val="auto"/>
          <w:sz w:val="22"/>
          <w:szCs w:val="22"/>
        </w:rPr>
        <w:t xml:space="preserve"> the </w:t>
      </w:r>
      <w:r w:rsidR="00AE35FE" w:rsidRPr="00A038BF">
        <w:rPr>
          <w:rFonts w:asciiTheme="majorBidi" w:hAnsiTheme="majorBidi" w:cstheme="majorBidi"/>
          <w:color w:val="auto"/>
          <w:sz w:val="22"/>
          <w:szCs w:val="22"/>
        </w:rPr>
        <w:t xml:space="preserve">sawn lumber, softwood, </w:t>
      </w:r>
      <w:r w:rsidR="0009399A" w:rsidRPr="00A038BF">
        <w:rPr>
          <w:rFonts w:asciiTheme="majorBidi" w:hAnsiTheme="majorBidi" w:cstheme="majorBidi"/>
          <w:color w:val="auto"/>
          <w:sz w:val="22"/>
          <w:szCs w:val="22"/>
        </w:rPr>
        <w:t xml:space="preserve">planed kiln </w:t>
      </w:r>
      <w:r w:rsidR="00AE35FE" w:rsidRPr="00A038BF">
        <w:rPr>
          <w:rFonts w:asciiTheme="majorBidi" w:hAnsiTheme="majorBidi" w:cstheme="majorBidi"/>
          <w:color w:val="auto"/>
          <w:sz w:val="22"/>
          <w:szCs w:val="22"/>
        </w:rPr>
        <w:t xml:space="preserve">dried </w:t>
      </w:r>
      <w:r w:rsidR="0097613B" w:rsidRPr="00A038BF">
        <w:rPr>
          <w:rFonts w:asciiTheme="majorBidi" w:hAnsiTheme="majorBidi" w:cstheme="majorBidi"/>
          <w:color w:val="auto"/>
          <w:sz w:val="22"/>
          <w:szCs w:val="22"/>
        </w:rPr>
        <w:t xml:space="preserve">were </w:t>
      </w:r>
      <w:r w:rsidR="00AE35FE" w:rsidRPr="00A038BF">
        <w:rPr>
          <w:rFonts w:asciiTheme="majorBidi" w:hAnsiTheme="majorBidi" w:cstheme="majorBidi"/>
          <w:color w:val="auto"/>
          <w:sz w:val="22"/>
          <w:szCs w:val="22"/>
        </w:rPr>
        <w:t xml:space="preserve">used for assembling the analysis. </w:t>
      </w:r>
      <w:r w:rsidR="00C30AC5" w:rsidRPr="00A038BF">
        <w:rPr>
          <w:rFonts w:asciiTheme="majorBidi" w:hAnsiTheme="majorBidi" w:cstheme="majorBidi"/>
          <w:color w:val="auto"/>
          <w:sz w:val="22"/>
          <w:szCs w:val="22"/>
        </w:rPr>
        <w:t>"</w:t>
      </w:r>
      <w:r w:rsidR="00CA667A" w:rsidRPr="00A038BF">
        <w:rPr>
          <w:rFonts w:asciiTheme="majorBidi" w:hAnsiTheme="majorBidi" w:cstheme="majorBidi"/>
          <w:color w:val="auto"/>
          <w:sz w:val="22"/>
          <w:szCs w:val="22"/>
        </w:rPr>
        <w:t>Steel, low-alloyed</w:t>
      </w:r>
      <w:r w:rsidR="00C30AC5" w:rsidRPr="00A038BF">
        <w:rPr>
          <w:rFonts w:asciiTheme="majorBidi" w:hAnsiTheme="majorBidi" w:cstheme="majorBidi"/>
          <w:color w:val="auto"/>
          <w:sz w:val="22"/>
          <w:szCs w:val="22"/>
        </w:rPr>
        <w:t>"</w:t>
      </w:r>
      <w:r w:rsidR="00CA667A" w:rsidRPr="00A038BF">
        <w:rPr>
          <w:rFonts w:asciiTheme="majorBidi" w:hAnsiTheme="majorBidi" w:cstheme="majorBidi"/>
          <w:color w:val="auto"/>
          <w:sz w:val="22"/>
          <w:szCs w:val="22"/>
        </w:rPr>
        <w:t xml:space="preserve"> has been used for nails inside the NLT panels, and steel drag strap connections are used to attach the panels. </w:t>
      </w:r>
      <w:r w:rsidR="00BD4EBF" w:rsidRPr="00A038BF">
        <w:rPr>
          <w:rFonts w:asciiTheme="majorBidi" w:hAnsiTheme="majorBidi" w:cstheme="majorBidi"/>
          <w:color w:val="auto"/>
          <w:sz w:val="22"/>
          <w:szCs w:val="22"/>
        </w:rPr>
        <w:t>MY-LCID (Life Cycle Inventory Database for Malaysia) was used in the LCI, especially for raw materials such as wood processing, to produce results applicable to Malaysia. Supplementary data were sourced from the Ecoinvent database and adapted to Malaysian conditions by replacing the local electricity mix data set following Horváth and Szalay (2012)</w:t>
      </w:r>
      <w:r w:rsidR="00BD4EBF" w:rsidRPr="00A038BF">
        <w:rPr>
          <w:rFonts w:asciiTheme="majorBidi" w:hAnsiTheme="majorBidi" w:cstheme="majorBidi"/>
          <w:color w:val="auto"/>
          <w:sz w:val="22"/>
          <w:szCs w:val="22"/>
          <w:shd w:val="clear" w:color="auto" w:fill="FFFFFF"/>
        </w:rPr>
        <w:t>.</w:t>
      </w:r>
      <w:r w:rsidR="00BD4EBF" w:rsidRPr="00A038BF">
        <w:rPr>
          <w:rFonts w:asciiTheme="majorBidi" w:hAnsiTheme="majorBidi" w:cstheme="majorBidi"/>
          <w:color w:val="auto"/>
          <w:sz w:val="22"/>
          <w:szCs w:val="22"/>
        </w:rPr>
        <w:t xml:space="preserve"> In this study, 15 MJ/m</w:t>
      </w:r>
      <w:r w:rsidR="00BD4EBF" w:rsidRPr="00A038BF">
        <w:rPr>
          <w:rFonts w:asciiTheme="majorBidi" w:hAnsiTheme="majorBidi" w:cstheme="majorBidi"/>
          <w:color w:val="auto"/>
          <w:sz w:val="22"/>
          <w:szCs w:val="22"/>
          <w:vertAlign w:val="superscript"/>
        </w:rPr>
        <w:t>2</w:t>
      </w:r>
      <w:r w:rsidR="00BD4EBF" w:rsidRPr="00A038BF">
        <w:rPr>
          <w:rFonts w:asciiTheme="majorBidi" w:hAnsiTheme="majorBidi" w:cstheme="majorBidi"/>
          <w:color w:val="auto"/>
          <w:sz w:val="22"/>
          <w:szCs w:val="22"/>
        </w:rPr>
        <w:t xml:space="preserve"> of diesel and 2 kWh/m</w:t>
      </w:r>
      <w:r w:rsidR="00BD4EBF" w:rsidRPr="00A038BF">
        <w:rPr>
          <w:rFonts w:asciiTheme="majorBidi" w:hAnsiTheme="majorBidi" w:cstheme="majorBidi"/>
          <w:color w:val="auto"/>
          <w:sz w:val="22"/>
          <w:szCs w:val="22"/>
          <w:vertAlign w:val="superscript"/>
        </w:rPr>
        <w:t>2</w:t>
      </w:r>
      <w:r w:rsidR="00BD4EBF" w:rsidRPr="00A038BF">
        <w:rPr>
          <w:rFonts w:asciiTheme="majorBidi" w:hAnsiTheme="majorBidi" w:cstheme="majorBidi"/>
          <w:color w:val="auto"/>
          <w:sz w:val="22"/>
          <w:szCs w:val="22"/>
        </w:rPr>
        <w:t xml:space="preserve"> of electricisty were assumed for construction.</w:t>
      </w:r>
    </w:p>
    <w:p w14:paraId="79E6A5DC" w14:textId="77777777" w:rsidR="00316BE5" w:rsidRPr="00A038BF" w:rsidRDefault="00316BE5" w:rsidP="004E78EA">
      <w:pPr>
        <w:pStyle w:val="Default"/>
        <w:spacing w:before="240" w:after="240" w:line="276" w:lineRule="auto"/>
        <w:ind w:firstLine="720"/>
        <w:jc w:val="both"/>
        <w:rPr>
          <w:rFonts w:asciiTheme="majorBidi" w:hAnsiTheme="majorBidi" w:cstheme="majorBidi"/>
          <w:color w:val="auto"/>
        </w:rPr>
      </w:pPr>
    </w:p>
    <w:p w14:paraId="2075DF29" w14:textId="77777777" w:rsidR="00FD21DE" w:rsidRPr="00A038BF" w:rsidRDefault="00FD21DE" w:rsidP="00FD21DE">
      <w:pPr>
        <w:pStyle w:val="ListParagraph"/>
        <w:numPr>
          <w:ilvl w:val="2"/>
          <w:numId w:val="3"/>
        </w:numPr>
        <w:autoSpaceDE w:val="0"/>
        <w:autoSpaceDN w:val="0"/>
        <w:adjustRightInd w:val="0"/>
        <w:spacing w:after="0" w:line="240" w:lineRule="auto"/>
        <w:jc w:val="both"/>
        <w:rPr>
          <w:rFonts w:asciiTheme="majorBidi" w:hAnsiTheme="majorBidi" w:cstheme="majorBidi"/>
          <w:b/>
          <w:bCs/>
        </w:rPr>
      </w:pPr>
      <w:r w:rsidRPr="00A038BF">
        <w:rPr>
          <w:rFonts w:asciiTheme="majorBidi" w:hAnsiTheme="majorBidi" w:cstheme="majorBidi"/>
          <w:b/>
          <w:bCs/>
        </w:rPr>
        <w:t>Life cycle impact assessment</w:t>
      </w:r>
    </w:p>
    <w:p w14:paraId="64FEF3A5" w14:textId="0EF188D0" w:rsidR="008D7D29" w:rsidRPr="00A038BF" w:rsidRDefault="00363392" w:rsidP="007B437B">
      <w:pPr>
        <w:autoSpaceDE w:val="0"/>
        <w:autoSpaceDN w:val="0"/>
        <w:adjustRightInd w:val="0"/>
        <w:spacing w:before="240" w:after="0" w:line="276" w:lineRule="auto"/>
        <w:ind w:firstLine="720"/>
        <w:jc w:val="both"/>
        <w:rPr>
          <w:rFonts w:asciiTheme="majorBidi" w:hAnsiTheme="majorBidi" w:cstheme="majorBidi"/>
        </w:rPr>
      </w:pPr>
      <w:r w:rsidRPr="00A038BF">
        <w:rPr>
          <w:rFonts w:asciiTheme="majorBidi" w:hAnsiTheme="majorBidi" w:cstheme="majorBidi"/>
        </w:rPr>
        <w:t>L</w:t>
      </w:r>
      <w:r w:rsidR="00A7125A" w:rsidRPr="00A038BF">
        <w:rPr>
          <w:rFonts w:asciiTheme="majorBidi" w:hAnsiTheme="majorBidi" w:cstheme="majorBidi"/>
        </w:rPr>
        <w:t>ife cycle impact assessment (</w:t>
      </w:r>
      <w:r w:rsidR="00041BB0" w:rsidRPr="00A038BF">
        <w:rPr>
          <w:rFonts w:asciiTheme="majorBidi" w:hAnsiTheme="majorBidi" w:cstheme="majorBidi"/>
        </w:rPr>
        <w:t>LCIA</w:t>
      </w:r>
      <w:r w:rsidR="00A7125A" w:rsidRPr="00A038BF">
        <w:rPr>
          <w:rFonts w:asciiTheme="majorBidi" w:hAnsiTheme="majorBidi" w:cstheme="majorBidi"/>
        </w:rPr>
        <w:t>)</w:t>
      </w:r>
      <w:r w:rsidR="00041BB0" w:rsidRPr="00A038BF">
        <w:rPr>
          <w:rFonts w:asciiTheme="majorBidi" w:hAnsiTheme="majorBidi" w:cstheme="majorBidi"/>
        </w:rPr>
        <w:t xml:space="preserve"> is the next stage </w:t>
      </w:r>
      <w:r w:rsidRPr="00A038BF">
        <w:rPr>
          <w:rFonts w:asciiTheme="majorBidi" w:hAnsiTheme="majorBidi" w:cstheme="majorBidi"/>
        </w:rPr>
        <w:t xml:space="preserve">in </w:t>
      </w:r>
      <w:r w:rsidR="00C63541" w:rsidRPr="00A038BF">
        <w:rPr>
          <w:rFonts w:asciiTheme="majorBidi" w:hAnsiTheme="majorBidi" w:cstheme="majorBidi"/>
        </w:rPr>
        <w:t>analyzing</w:t>
      </w:r>
      <w:r w:rsidR="00041BB0" w:rsidRPr="00A038BF">
        <w:rPr>
          <w:rFonts w:asciiTheme="majorBidi" w:hAnsiTheme="majorBidi" w:cstheme="majorBidi"/>
        </w:rPr>
        <w:t xml:space="preserve"> different mass timber building</w:t>
      </w:r>
      <w:r w:rsidR="002929D0" w:rsidRPr="00A038BF">
        <w:rPr>
          <w:rFonts w:asciiTheme="majorBidi" w:hAnsiTheme="majorBidi" w:cstheme="majorBidi"/>
        </w:rPr>
        <w:t>s</w:t>
      </w:r>
      <w:r w:rsidR="00041BB0" w:rsidRPr="00A038BF">
        <w:rPr>
          <w:rFonts w:asciiTheme="majorBidi" w:hAnsiTheme="majorBidi" w:cstheme="majorBidi"/>
        </w:rPr>
        <w:t xml:space="preserve">. </w:t>
      </w:r>
      <w:r w:rsidR="009B31DF" w:rsidRPr="00A038BF">
        <w:rPr>
          <w:rFonts w:asciiTheme="majorBidi" w:hAnsiTheme="majorBidi" w:cstheme="majorBidi"/>
        </w:rPr>
        <w:t xml:space="preserve">ReCiPe midpoint has </w:t>
      </w:r>
      <w:r w:rsidR="0097613B" w:rsidRPr="00A038BF">
        <w:rPr>
          <w:rFonts w:asciiTheme="majorBidi" w:hAnsiTheme="majorBidi" w:cstheme="majorBidi"/>
        </w:rPr>
        <w:t xml:space="preserve">been </w:t>
      </w:r>
      <w:r w:rsidR="009B31DF" w:rsidRPr="00A038BF">
        <w:rPr>
          <w:rFonts w:asciiTheme="majorBidi" w:hAnsiTheme="majorBidi" w:cstheme="majorBidi"/>
        </w:rPr>
        <w:t>applied to transfer the LCI result into a specific impact categor</w:t>
      </w:r>
      <w:r w:rsidR="00C30AC5" w:rsidRPr="00A038BF">
        <w:rPr>
          <w:rFonts w:asciiTheme="majorBidi" w:hAnsiTheme="majorBidi" w:cstheme="majorBidi"/>
        </w:rPr>
        <w:t>y</w:t>
      </w:r>
      <w:r w:rsidR="009B31DF" w:rsidRPr="00A038BF">
        <w:rPr>
          <w:rFonts w:asciiTheme="majorBidi" w:hAnsiTheme="majorBidi" w:cstheme="majorBidi"/>
        </w:rPr>
        <w:t xml:space="preserve"> such as global warming potential. </w:t>
      </w:r>
      <w:r w:rsidR="00D06B34" w:rsidRPr="00A038BF">
        <w:rPr>
          <w:rFonts w:asciiTheme="majorBidi" w:hAnsiTheme="majorBidi" w:cstheme="majorBidi"/>
        </w:rPr>
        <w:t>Goedkoop et al. (200</w:t>
      </w:r>
      <w:r w:rsidR="005C01B1" w:rsidRPr="00A038BF">
        <w:rPr>
          <w:rFonts w:asciiTheme="majorBidi" w:hAnsiTheme="majorBidi" w:cstheme="majorBidi"/>
        </w:rPr>
        <w:t>8</w:t>
      </w:r>
      <w:r w:rsidR="00D14DCE" w:rsidRPr="00A038BF">
        <w:rPr>
          <w:rFonts w:asciiTheme="majorBidi" w:hAnsiTheme="majorBidi" w:cstheme="majorBidi"/>
        </w:rPr>
        <w:t xml:space="preserve">) developed </w:t>
      </w:r>
      <w:r w:rsidR="007D4A39" w:rsidRPr="00A038BF">
        <w:rPr>
          <w:rFonts w:asciiTheme="majorBidi" w:hAnsiTheme="majorBidi" w:cstheme="majorBidi"/>
        </w:rPr>
        <w:t xml:space="preserve">a </w:t>
      </w:r>
      <w:r w:rsidR="00A7125A" w:rsidRPr="00A038BF">
        <w:rPr>
          <w:rFonts w:asciiTheme="majorBidi" w:hAnsiTheme="majorBidi" w:cstheme="majorBidi"/>
        </w:rPr>
        <w:t xml:space="preserve">LCIA </w:t>
      </w:r>
      <w:r w:rsidR="00D06B34" w:rsidRPr="00A038BF">
        <w:rPr>
          <w:rFonts w:asciiTheme="majorBidi" w:hAnsiTheme="majorBidi" w:cstheme="majorBidi"/>
        </w:rPr>
        <w:t>method called ReCiPe, which provides harmonized characterization</w:t>
      </w:r>
      <w:r w:rsidR="000B65C4" w:rsidRPr="00A038BF">
        <w:rPr>
          <w:rFonts w:asciiTheme="majorBidi" w:hAnsiTheme="majorBidi" w:cstheme="majorBidi"/>
        </w:rPr>
        <w:t xml:space="preserve"> </w:t>
      </w:r>
      <w:r w:rsidR="00D06B34" w:rsidRPr="00A038BF">
        <w:rPr>
          <w:rFonts w:asciiTheme="majorBidi" w:hAnsiTheme="majorBidi" w:cstheme="majorBidi"/>
        </w:rPr>
        <w:t>factors at midpoint and endpoint levels.</w:t>
      </w:r>
      <w:r w:rsidR="00871805" w:rsidRPr="00A038BF">
        <w:rPr>
          <w:rFonts w:asciiTheme="majorBidi" w:hAnsiTheme="majorBidi" w:cstheme="majorBidi"/>
        </w:rPr>
        <w:t xml:space="preserve"> </w:t>
      </w:r>
      <w:r w:rsidR="007D4A39" w:rsidRPr="00A038BF">
        <w:rPr>
          <w:rFonts w:asciiTheme="majorBidi" w:hAnsiTheme="majorBidi" w:cstheme="majorBidi"/>
        </w:rPr>
        <w:t xml:space="preserve">The characterization </w:t>
      </w:r>
      <w:r w:rsidR="00AD0609" w:rsidRPr="00A038BF">
        <w:rPr>
          <w:rFonts w:asciiTheme="majorBidi" w:hAnsiTheme="majorBidi" w:cstheme="majorBidi"/>
        </w:rPr>
        <w:t xml:space="preserve">factors that </w:t>
      </w:r>
      <w:r w:rsidR="007D4A39" w:rsidRPr="00A038BF">
        <w:rPr>
          <w:rFonts w:asciiTheme="majorBidi" w:hAnsiTheme="majorBidi" w:cstheme="majorBidi"/>
        </w:rPr>
        <w:t>have been selected</w:t>
      </w:r>
      <w:r w:rsidR="00AD0609" w:rsidRPr="00A038BF">
        <w:rPr>
          <w:rFonts w:asciiTheme="majorBidi" w:hAnsiTheme="majorBidi" w:cstheme="majorBidi"/>
        </w:rPr>
        <w:t xml:space="preserve"> for this </w:t>
      </w:r>
      <w:r w:rsidR="00564624" w:rsidRPr="00A038BF">
        <w:rPr>
          <w:rFonts w:asciiTheme="majorBidi" w:hAnsiTheme="majorBidi" w:cstheme="majorBidi"/>
        </w:rPr>
        <w:t>study</w:t>
      </w:r>
      <w:r w:rsidR="00AD0609" w:rsidRPr="00A038BF">
        <w:rPr>
          <w:rFonts w:asciiTheme="majorBidi" w:hAnsiTheme="majorBidi" w:cstheme="majorBidi"/>
        </w:rPr>
        <w:t xml:space="preserve"> are </w:t>
      </w:r>
      <w:r w:rsidR="007D4A39" w:rsidRPr="00A038BF">
        <w:rPr>
          <w:rFonts w:asciiTheme="majorBidi" w:hAnsiTheme="majorBidi" w:cstheme="majorBidi"/>
        </w:rPr>
        <w:t>c</w:t>
      </w:r>
      <w:r w:rsidR="009B31DF" w:rsidRPr="00A038BF">
        <w:rPr>
          <w:rFonts w:asciiTheme="majorBidi" w:hAnsiTheme="majorBidi" w:cstheme="majorBidi"/>
        </w:rPr>
        <w:t xml:space="preserve">limate change and embodied energy. </w:t>
      </w:r>
      <w:r w:rsidR="00AD0609" w:rsidRPr="00A038BF">
        <w:rPr>
          <w:rFonts w:asciiTheme="majorBidi" w:hAnsiTheme="majorBidi" w:cstheme="majorBidi"/>
        </w:rPr>
        <w:t>Th</w:t>
      </w:r>
      <w:r w:rsidR="007D4A39" w:rsidRPr="00A038BF">
        <w:rPr>
          <w:rFonts w:asciiTheme="majorBidi" w:hAnsiTheme="majorBidi" w:cstheme="majorBidi"/>
        </w:rPr>
        <w:t xml:space="preserve">ese </w:t>
      </w:r>
      <w:r w:rsidR="00AD0609" w:rsidRPr="00A038BF">
        <w:rPr>
          <w:rFonts w:asciiTheme="majorBidi" w:hAnsiTheme="majorBidi" w:cstheme="majorBidi"/>
        </w:rPr>
        <w:t xml:space="preserve">factors are representative </w:t>
      </w:r>
      <w:r w:rsidR="002929D0" w:rsidRPr="00A038BF">
        <w:rPr>
          <w:rFonts w:asciiTheme="majorBidi" w:hAnsiTheme="majorBidi" w:cstheme="majorBidi"/>
        </w:rPr>
        <w:t>of</w:t>
      </w:r>
      <w:r w:rsidR="00AD0609" w:rsidRPr="00A038BF">
        <w:rPr>
          <w:rFonts w:asciiTheme="majorBidi" w:hAnsiTheme="majorBidi" w:cstheme="majorBidi"/>
        </w:rPr>
        <w:t xml:space="preserve"> the global scale instead of only </w:t>
      </w:r>
      <w:r w:rsidR="002929D0" w:rsidRPr="00A038BF">
        <w:rPr>
          <w:rFonts w:asciiTheme="majorBidi" w:hAnsiTheme="majorBidi" w:cstheme="majorBidi"/>
        </w:rPr>
        <w:t xml:space="preserve">the </w:t>
      </w:r>
      <w:r w:rsidR="00AD0609" w:rsidRPr="00A038BF">
        <w:rPr>
          <w:rFonts w:asciiTheme="majorBidi" w:hAnsiTheme="majorBidi" w:cstheme="majorBidi"/>
        </w:rPr>
        <w:t xml:space="preserve">European scale. </w:t>
      </w:r>
      <w:r w:rsidR="007D4A39" w:rsidRPr="00A038BF">
        <w:rPr>
          <w:rFonts w:asciiTheme="majorBidi" w:hAnsiTheme="majorBidi" w:cstheme="majorBidi"/>
        </w:rPr>
        <w:t xml:space="preserve">They </w:t>
      </w:r>
      <w:r w:rsidR="00EC4AD5" w:rsidRPr="00A038BF">
        <w:rPr>
          <w:rFonts w:asciiTheme="majorBidi" w:hAnsiTheme="majorBidi" w:cstheme="majorBidi"/>
        </w:rPr>
        <w:t xml:space="preserve">also </w:t>
      </w:r>
      <w:r w:rsidR="007D4A39" w:rsidRPr="00A038BF">
        <w:rPr>
          <w:rFonts w:asciiTheme="majorBidi" w:hAnsiTheme="majorBidi" w:cstheme="majorBidi"/>
        </w:rPr>
        <w:t xml:space="preserve">provide </w:t>
      </w:r>
      <w:r w:rsidR="00EC4AD5" w:rsidRPr="00A038BF">
        <w:rPr>
          <w:rFonts w:asciiTheme="majorBidi" w:hAnsiTheme="majorBidi" w:cstheme="majorBidi"/>
        </w:rPr>
        <w:t>an overview of value choices, i.e.</w:t>
      </w:r>
      <w:r w:rsidR="002929D0" w:rsidRPr="00A038BF">
        <w:rPr>
          <w:rFonts w:asciiTheme="majorBidi" w:hAnsiTheme="majorBidi" w:cstheme="majorBidi"/>
        </w:rPr>
        <w:t>,</w:t>
      </w:r>
      <w:r w:rsidR="00EC4AD5" w:rsidRPr="00A038BF">
        <w:rPr>
          <w:rFonts w:asciiTheme="majorBidi" w:hAnsiTheme="majorBidi" w:cstheme="majorBidi"/>
        </w:rPr>
        <w:t xml:space="preserve"> visions related to environmental decision-making, quantified via clustering into three perspectives as normalization. </w:t>
      </w:r>
      <w:r w:rsidR="00AF5692" w:rsidRPr="00A038BF">
        <w:rPr>
          <w:rFonts w:asciiTheme="majorBidi" w:hAnsiTheme="majorBidi" w:cstheme="majorBidi"/>
        </w:rPr>
        <w:t xml:space="preserve">The normalized results of the LCA comparing the three building types are </w:t>
      </w:r>
      <w:r w:rsidR="009E501C" w:rsidRPr="00A038BF">
        <w:rPr>
          <w:rFonts w:asciiTheme="majorBidi" w:hAnsiTheme="majorBidi" w:cstheme="majorBidi"/>
        </w:rPr>
        <w:t>human health, ecosystem quality</w:t>
      </w:r>
      <w:r w:rsidR="002929D0" w:rsidRPr="00A038BF">
        <w:rPr>
          <w:rFonts w:asciiTheme="majorBidi" w:hAnsiTheme="majorBidi" w:cstheme="majorBidi"/>
        </w:rPr>
        <w:t>,</w:t>
      </w:r>
      <w:r w:rsidR="009E501C" w:rsidRPr="00A038BF">
        <w:rPr>
          <w:rFonts w:asciiTheme="majorBidi" w:hAnsiTheme="majorBidi" w:cstheme="majorBidi"/>
        </w:rPr>
        <w:t xml:space="preserve"> and resources</w:t>
      </w:r>
      <w:r w:rsidR="00AF5692" w:rsidRPr="00A038BF">
        <w:rPr>
          <w:rFonts w:asciiTheme="majorBidi" w:hAnsiTheme="majorBidi" w:cstheme="majorBidi"/>
        </w:rPr>
        <w:t>.</w:t>
      </w:r>
      <w:r w:rsidR="005C3D60" w:rsidRPr="00A038BF">
        <w:rPr>
          <w:rFonts w:asciiTheme="majorBidi" w:hAnsiTheme="majorBidi" w:cstheme="majorBidi"/>
        </w:rPr>
        <w:t xml:space="preserve"> </w:t>
      </w:r>
      <w:r w:rsidR="00C276E9" w:rsidRPr="00A038BF">
        <w:rPr>
          <w:rFonts w:asciiTheme="majorBidi" w:hAnsiTheme="majorBidi" w:cstheme="majorBidi"/>
        </w:rPr>
        <w:t xml:space="preserve">This can </w:t>
      </w:r>
      <w:r w:rsidR="005C3D60" w:rsidRPr="00A038BF">
        <w:rPr>
          <w:rFonts w:asciiTheme="majorBidi" w:hAnsiTheme="majorBidi" w:cstheme="majorBidi"/>
        </w:rPr>
        <w:t>be</w:t>
      </w:r>
      <w:r w:rsidR="00C276E9" w:rsidRPr="00A038BF">
        <w:rPr>
          <w:rFonts w:asciiTheme="majorBidi" w:hAnsiTheme="majorBidi" w:cstheme="majorBidi"/>
        </w:rPr>
        <w:t xml:space="preserve"> seen as a series of effects that create a certain level of damage to a </w:t>
      </w:r>
      <w:r w:rsidR="002929D0" w:rsidRPr="00A038BF">
        <w:rPr>
          <w:rFonts w:asciiTheme="majorBidi" w:hAnsiTheme="majorBidi" w:cstheme="majorBidi"/>
        </w:rPr>
        <w:t>specific</w:t>
      </w:r>
      <w:r w:rsidR="00C276E9" w:rsidRPr="00A038BF">
        <w:rPr>
          <w:rFonts w:asciiTheme="majorBidi" w:hAnsiTheme="majorBidi" w:cstheme="majorBidi"/>
        </w:rPr>
        <w:t xml:space="preserve"> impact category. </w:t>
      </w:r>
      <w:r w:rsidR="001B1F01" w:rsidRPr="00A038BF">
        <w:rPr>
          <w:rFonts w:asciiTheme="majorBidi" w:hAnsiTheme="majorBidi" w:cstheme="majorBidi"/>
        </w:rPr>
        <w:t xml:space="preserve">Each perspective represents a set of choices for issues such as time and the expectation that </w:t>
      </w:r>
      <w:r w:rsidR="007D4A39" w:rsidRPr="00A038BF">
        <w:rPr>
          <w:rFonts w:asciiTheme="majorBidi" w:hAnsiTheme="majorBidi" w:cstheme="majorBidi"/>
        </w:rPr>
        <w:t>appropriate</w:t>
      </w:r>
      <w:r w:rsidR="001B1F01" w:rsidRPr="00A038BF">
        <w:rPr>
          <w:rFonts w:asciiTheme="majorBidi" w:hAnsiTheme="majorBidi" w:cstheme="majorBidi"/>
        </w:rPr>
        <w:t xml:space="preserve"> management or future technology development can avoid future damage. For this impact assessment</w:t>
      </w:r>
      <w:r w:rsidR="00665F42" w:rsidRPr="00A038BF">
        <w:rPr>
          <w:rFonts w:asciiTheme="majorBidi" w:hAnsiTheme="majorBidi" w:cstheme="majorBidi"/>
        </w:rPr>
        <w:t>,</w:t>
      </w:r>
      <w:r w:rsidR="001B1F01" w:rsidRPr="00A038BF">
        <w:rPr>
          <w:rFonts w:asciiTheme="majorBidi" w:hAnsiTheme="majorBidi" w:cstheme="majorBidi"/>
        </w:rPr>
        <w:t xml:space="preserve"> the hierarchi</w:t>
      </w:r>
      <w:r w:rsidR="002929D0" w:rsidRPr="00A038BF">
        <w:rPr>
          <w:rFonts w:asciiTheme="majorBidi" w:hAnsiTheme="majorBidi" w:cstheme="majorBidi"/>
        </w:rPr>
        <w:t>es</w:t>
      </w:r>
      <w:r w:rsidR="00CA667A" w:rsidRPr="00A038BF">
        <w:rPr>
          <w:rFonts w:asciiTheme="majorBidi" w:hAnsiTheme="majorBidi" w:cstheme="majorBidi"/>
        </w:rPr>
        <w:t xml:space="preserve"> perspective was selected. </w:t>
      </w:r>
      <w:r w:rsidR="008D7D29" w:rsidRPr="00A038BF">
        <w:rPr>
          <w:rFonts w:asciiTheme="majorBidi" w:hAnsiTheme="majorBidi" w:cstheme="majorBidi"/>
        </w:rPr>
        <w:t xml:space="preserve">The criteria that </w:t>
      </w:r>
      <w:r w:rsidR="005936E3" w:rsidRPr="00A038BF">
        <w:rPr>
          <w:rFonts w:asciiTheme="majorBidi" w:hAnsiTheme="majorBidi" w:cstheme="majorBidi"/>
        </w:rPr>
        <w:t>were</w:t>
      </w:r>
      <w:r w:rsidR="008D7D29" w:rsidRPr="00A038BF">
        <w:rPr>
          <w:rFonts w:asciiTheme="majorBidi" w:hAnsiTheme="majorBidi" w:cstheme="majorBidi"/>
        </w:rPr>
        <w:t xml:space="preserve"> assess</w:t>
      </w:r>
      <w:r w:rsidR="00C30AC5" w:rsidRPr="00A038BF">
        <w:rPr>
          <w:rFonts w:asciiTheme="majorBidi" w:hAnsiTheme="majorBidi" w:cstheme="majorBidi"/>
        </w:rPr>
        <w:t>ed</w:t>
      </w:r>
      <w:r w:rsidR="008D7D29" w:rsidRPr="00A038BF">
        <w:rPr>
          <w:rFonts w:asciiTheme="majorBidi" w:hAnsiTheme="majorBidi" w:cstheme="majorBidi"/>
        </w:rPr>
        <w:t xml:space="preserve"> are, </w:t>
      </w:r>
      <w:r w:rsidR="007B437B" w:rsidRPr="00A038BF">
        <w:rPr>
          <w:rFonts w:asciiTheme="majorBidi" w:hAnsiTheme="majorBidi" w:cstheme="majorBidi"/>
        </w:rPr>
        <w:t>GWP</w:t>
      </w:r>
      <w:r w:rsidR="008D7D29" w:rsidRPr="00A038BF">
        <w:rPr>
          <w:rFonts w:asciiTheme="majorBidi" w:hAnsiTheme="majorBidi" w:cstheme="majorBidi"/>
        </w:rPr>
        <w:t xml:space="preserve">, </w:t>
      </w:r>
      <w:r w:rsidR="003C5589" w:rsidRPr="00A038BF">
        <w:rPr>
          <w:rFonts w:asciiTheme="majorBidi" w:hAnsiTheme="majorBidi" w:cstheme="majorBidi"/>
        </w:rPr>
        <w:t>Human toxicity Potential (HT</w:t>
      </w:r>
      <w:r w:rsidR="008D7D29" w:rsidRPr="00A038BF">
        <w:rPr>
          <w:rFonts w:asciiTheme="majorBidi" w:hAnsiTheme="majorBidi" w:cstheme="majorBidi"/>
        </w:rPr>
        <w:t>P), Acidification Potential (AP), terrestrial ecotoxicity (TE), and fossil Depletion (FD).</w:t>
      </w:r>
    </w:p>
    <w:p w14:paraId="23D5F349" w14:textId="417F223B" w:rsidR="0038779F" w:rsidRPr="00A038BF" w:rsidRDefault="00247220" w:rsidP="00A2672A">
      <w:pPr>
        <w:spacing w:line="276" w:lineRule="auto"/>
        <w:ind w:firstLine="720"/>
        <w:jc w:val="both"/>
        <w:rPr>
          <w:rFonts w:asciiTheme="majorBidi" w:hAnsiTheme="majorBidi" w:cstheme="majorBidi"/>
        </w:rPr>
      </w:pPr>
      <w:r w:rsidRPr="00A038BF">
        <w:rPr>
          <w:rFonts w:asciiTheme="majorBidi" w:hAnsiTheme="majorBidi" w:cstheme="majorBidi"/>
        </w:rPr>
        <w:t xml:space="preserve">One of the </w:t>
      </w:r>
      <w:r w:rsidR="002929D0" w:rsidRPr="00A038BF">
        <w:rPr>
          <w:rFonts w:asciiTheme="majorBidi" w:hAnsiTheme="majorBidi" w:cstheme="majorBidi"/>
        </w:rPr>
        <w:t>critical</w:t>
      </w:r>
      <w:r w:rsidRPr="00A038BF">
        <w:rPr>
          <w:rFonts w:asciiTheme="majorBidi" w:hAnsiTheme="majorBidi" w:cstheme="majorBidi"/>
        </w:rPr>
        <w:t xml:space="preserve"> sector</w:t>
      </w:r>
      <w:r w:rsidR="002929D0" w:rsidRPr="00A038BF">
        <w:rPr>
          <w:rFonts w:asciiTheme="majorBidi" w:hAnsiTheme="majorBidi" w:cstheme="majorBidi"/>
        </w:rPr>
        <w:t>s</w:t>
      </w:r>
      <w:r w:rsidRPr="00A038BF">
        <w:rPr>
          <w:rFonts w:asciiTheme="majorBidi" w:hAnsiTheme="majorBidi" w:cstheme="majorBidi"/>
        </w:rPr>
        <w:t xml:space="preserve"> of energy demand in </w:t>
      </w:r>
      <w:r w:rsidR="002929D0" w:rsidRPr="00A038BF">
        <w:rPr>
          <w:rFonts w:asciiTheme="majorBidi" w:hAnsiTheme="majorBidi" w:cstheme="majorBidi"/>
        </w:rPr>
        <w:t xml:space="preserve">the </w:t>
      </w:r>
      <w:r w:rsidRPr="00A038BF">
        <w:rPr>
          <w:rFonts w:asciiTheme="majorBidi" w:hAnsiTheme="majorBidi" w:cstheme="majorBidi"/>
        </w:rPr>
        <w:t>construction industry relate</w:t>
      </w:r>
      <w:r w:rsidR="004A11A2" w:rsidRPr="00A038BF">
        <w:rPr>
          <w:rFonts w:asciiTheme="majorBidi" w:hAnsiTheme="majorBidi" w:cstheme="majorBidi"/>
        </w:rPr>
        <w:t>s</w:t>
      </w:r>
      <w:r w:rsidRPr="00A038BF">
        <w:rPr>
          <w:rFonts w:asciiTheme="majorBidi" w:hAnsiTheme="majorBidi" w:cstheme="majorBidi"/>
        </w:rPr>
        <w:t xml:space="preserve"> to embodied </w:t>
      </w:r>
      <w:r w:rsidR="00466516" w:rsidRPr="00A038BF">
        <w:rPr>
          <w:rFonts w:asciiTheme="majorBidi" w:hAnsiTheme="majorBidi" w:cstheme="majorBidi"/>
        </w:rPr>
        <w:t>energy</w:t>
      </w:r>
      <w:r w:rsidR="004A11A2" w:rsidRPr="00A038BF">
        <w:rPr>
          <w:rFonts w:asciiTheme="majorBidi" w:hAnsiTheme="majorBidi" w:cstheme="majorBidi"/>
        </w:rPr>
        <w:t xml:space="preserve">. This </w:t>
      </w:r>
      <w:r w:rsidRPr="00A038BF">
        <w:rPr>
          <w:rFonts w:asciiTheme="majorBidi" w:hAnsiTheme="majorBidi" w:cstheme="majorBidi"/>
        </w:rPr>
        <w:t>contribute</w:t>
      </w:r>
      <w:r w:rsidR="004A11A2" w:rsidRPr="00A038BF">
        <w:rPr>
          <w:rFonts w:asciiTheme="majorBidi" w:hAnsiTheme="majorBidi" w:cstheme="majorBidi"/>
        </w:rPr>
        <w:t>s</w:t>
      </w:r>
      <w:r w:rsidRPr="00A038BF">
        <w:rPr>
          <w:rFonts w:asciiTheme="majorBidi" w:hAnsiTheme="majorBidi" w:cstheme="majorBidi"/>
        </w:rPr>
        <w:t xml:space="preserve"> to the relative energy embodied during the various stages such as production, construction, maintenance (replacement by new materials)</w:t>
      </w:r>
      <w:r w:rsidR="002929D0" w:rsidRPr="00A038BF">
        <w:rPr>
          <w:rFonts w:asciiTheme="majorBidi" w:hAnsiTheme="majorBidi" w:cstheme="majorBidi"/>
        </w:rPr>
        <w:t>,</w:t>
      </w:r>
      <w:r w:rsidRPr="00A038BF">
        <w:rPr>
          <w:rFonts w:asciiTheme="majorBidi" w:hAnsiTheme="majorBidi" w:cstheme="majorBidi"/>
        </w:rPr>
        <w:t xml:space="preserve"> </w:t>
      </w:r>
      <w:r w:rsidR="00466516" w:rsidRPr="00A038BF">
        <w:rPr>
          <w:rFonts w:asciiTheme="majorBidi" w:hAnsiTheme="majorBidi" w:cstheme="majorBidi"/>
        </w:rPr>
        <w:t>and</w:t>
      </w:r>
      <w:r w:rsidRPr="00A038BF">
        <w:rPr>
          <w:rFonts w:asciiTheme="majorBidi" w:hAnsiTheme="majorBidi" w:cstheme="majorBidi"/>
        </w:rPr>
        <w:t xml:space="preserve"> disposal at the </w:t>
      </w:r>
      <w:r w:rsidR="00466516" w:rsidRPr="00A038BF">
        <w:rPr>
          <w:rFonts w:asciiTheme="majorBidi" w:hAnsiTheme="majorBidi" w:cstheme="majorBidi"/>
        </w:rPr>
        <w:t>end of life</w:t>
      </w:r>
      <w:r w:rsidR="00976E61" w:rsidRPr="00A038BF">
        <w:rPr>
          <w:rFonts w:asciiTheme="majorBidi" w:hAnsiTheme="majorBidi" w:cstheme="majorBidi"/>
        </w:rPr>
        <w:t xml:space="preserve"> and i</w:t>
      </w:r>
      <w:r w:rsidR="002929D0" w:rsidRPr="00A038BF">
        <w:rPr>
          <w:rFonts w:asciiTheme="majorBidi" w:hAnsiTheme="majorBidi" w:cstheme="majorBidi"/>
        </w:rPr>
        <w:t>s</w:t>
      </w:r>
      <w:r w:rsidR="00976E61" w:rsidRPr="00A038BF">
        <w:rPr>
          <w:rFonts w:asciiTheme="majorBidi" w:hAnsiTheme="majorBidi" w:cstheme="majorBidi"/>
        </w:rPr>
        <w:t xml:space="preserve"> considered </w:t>
      </w:r>
      <w:r w:rsidR="004A11A2" w:rsidRPr="00A038BF">
        <w:rPr>
          <w:rFonts w:asciiTheme="majorBidi" w:hAnsiTheme="majorBidi" w:cstheme="majorBidi"/>
        </w:rPr>
        <w:t xml:space="preserve">to be </w:t>
      </w:r>
      <w:r w:rsidR="00976E61" w:rsidRPr="00A038BF">
        <w:rPr>
          <w:rFonts w:asciiTheme="majorBidi" w:hAnsiTheme="majorBidi" w:cstheme="majorBidi"/>
        </w:rPr>
        <w:t>up to 50%</w:t>
      </w:r>
      <w:r w:rsidR="004A11A2" w:rsidRPr="00A038BF">
        <w:rPr>
          <w:rFonts w:asciiTheme="majorBidi" w:hAnsiTheme="majorBidi" w:cstheme="majorBidi"/>
        </w:rPr>
        <w:t xml:space="preserve"> </w:t>
      </w:r>
      <w:r w:rsidR="00976E61" w:rsidRPr="00A038BF">
        <w:rPr>
          <w:rFonts w:asciiTheme="majorBidi" w:hAnsiTheme="majorBidi" w:cstheme="majorBidi"/>
        </w:rPr>
        <w:t>of total life cycle energy consumption (Cellura et al 2014)</w:t>
      </w:r>
      <w:r w:rsidR="00466516" w:rsidRPr="00A038BF">
        <w:rPr>
          <w:rFonts w:asciiTheme="majorBidi" w:hAnsiTheme="majorBidi" w:cstheme="majorBidi"/>
        </w:rPr>
        <w:t xml:space="preserve">. </w:t>
      </w:r>
      <w:r w:rsidR="002929D0" w:rsidRPr="00A038BF">
        <w:rPr>
          <w:rFonts w:asciiTheme="majorBidi" w:hAnsiTheme="majorBidi" w:cstheme="majorBidi"/>
        </w:rPr>
        <w:t>Life cycle primary energy demand is only related to embodied energy,</w:t>
      </w:r>
      <w:r w:rsidR="002117EA" w:rsidRPr="00A038BF">
        <w:rPr>
          <w:rFonts w:asciiTheme="majorBidi" w:hAnsiTheme="majorBidi" w:cstheme="majorBidi"/>
        </w:rPr>
        <w:t xml:space="preserve"> which</w:t>
      </w:r>
      <w:r w:rsidR="00A02896" w:rsidRPr="00A038BF">
        <w:rPr>
          <w:rFonts w:asciiTheme="majorBidi" w:hAnsiTheme="majorBidi" w:cstheme="majorBidi"/>
        </w:rPr>
        <w:t xml:space="preserve"> will </w:t>
      </w:r>
      <w:r w:rsidR="002117EA" w:rsidRPr="00A038BF">
        <w:rPr>
          <w:rFonts w:asciiTheme="majorBidi" w:hAnsiTheme="majorBidi" w:cstheme="majorBidi"/>
        </w:rPr>
        <w:t>contribute 100% in future house</w:t>
      </w:r>
      <w:r w:rsidR="00065DDB" w:rsidRPr="00A038BF">
        <w:rPr>
          <w:rFonts w:asciiTheme="majorBidi" w:hAnsiTheme="majorBidi" w:cstheme="majorBidi"/>
        </w:rPr>
        <w:t>s</w:t>
      </w:r>
      <w:r w:rsidR="00A02896" w:rsidRPr="00A038BF">
        <w:rPr>
          <w:rFonts w:asciiTheme="majorBidi" w:hAnsiTheme="majorBidi" w:cstheme="majorBidi"/>
        </w:rPr>
        <w:t xml:space="preserve"> EU (2010)</w:t>
      </w:r>
      <w:r w:rsidR="002117EA" w:rsidRPr="00A038BF">
        <w:rPr>
          <w:rFonts w:asciiTheme="majorBidi" w:hAnsiTheme="majorBidi" w:cstheme="majorBidi"/>
        </w:rPr>
        <w:t xml:space="preserve">. </w:t>
      </w:r>
      <w:r w:rsidR="00CE0CEC" w:rsidRPr="00A038BF">
        <w:rPr>
          <w:rFonts w:asciiTheme="majorBidi" w:hAnsiTheme="majorBidi" w:cstheme="majorBidi"/>
        </w:rPr>
        <w:t xml:space="preserve">Despite </w:t>
      </w:r>
      <w:r w:rsidR="00466516" w:rsidRPr="00A038BF">
        <w:rPr>
          <w:rFonts w:asciiTheme="majorBidi" w:hAnsiTheme="majorBidi" w:cstheme="majorBidi"/>
        </w:rPr>
        <w:t xml:space="preserve">this, </w:t>
      </w:r>
      <w:r w:rsidR="00CE0CEC" w:rsidRPr="00A038BF">
        <w:rPr>
          <w:rFonts w:asciiTheme="majorBidi" w:hAnsiTheme="majorBidi" w:cstheme="majorBidi"/>
        </w:rPr>
        <w:t xml:space="preserve">most </w:t>
      </w:r>
      <w:r w:rsidR="002929D0" w:rsidRPr="00A038BF">
        <w:rPr>
          <w:rFonts w:asciiTheme="majorBidi" w:hAnsiTheme="majorBidi" w:cstheme="majorBidi"/>
        </w:rPr>
        <w:t>building regulations neglect embodied energy (Hollberg, 2016)</w:t>
      </w:r>
      <w:r w:rsidR="00CE0CEC" w:rsidRPr="00A038BF">
        <w:rPr>
          <w:rFonts w:asciiTheme="majorBidi" w:hAnsiTheme="majorBidi" w:cstheme="majorBidi"/>
        </w:rPr>
        <w:t xml:space="preserve">. </w:t>
      </w:r>
      <w:r w:rsidR="00DA4560" w:rsidRPr="00A038BF">
        <w:rPr>
          <w:rFonts w:asciiTheme="majorBidi" w:hAnsiTheme="majorBidi" w:cstheme="majorBidi"/>
        </w:rPr>
        <w:t>A</w:t>
      </w:r>
      <w:r w:rsidR="002117EA" w:rsidRPr="00A038BF">
        <w:rPr>
          <w:rFonts w:asciiTheme="majorBidi" w:hAnsiTheme="majorBidi" w:cstheme="majorBidi"/>
        </w:rPr>
        <w:t>ssess</w:t>
      </w:r>
      <w:r w:rsidR="00DA4560" w:rsidRPr="00A038BF">
        <w:rPr>
          <w:rFonts w:asciiTheme="majorBidi" w:hAnsiTheme="majorBidi" w:cstheme="majorBidi"/>
        </w:rPr>
        <w:t>ment of</w:t>
      </w:r>
      <w:r w:rsidR="002117EA" w:rsidRPr="00A038BF">
        <w:rPr>
          <w:rFonts w:asciiTheme="majorBidi" w:hAnsiTheme="majorBidi" w:cstheme="majorBidi"/>
        </w:rPr>
        <w:t xml:space="preserve"> embodied energy </w:t>
      </w:r>
      <w:r w:rsidR="00DA4560" w:rsidRPr="00A038BF">
        <w:rPr>
          <w:rFonts w:asciiTheme="majorBidi" w:hAnsiTheme="majorBidi" w:cstheme="majorBidi"/>
        </w:rPr>
        <w:t>is</w:t>
      </w:r>
      <w:r w:rsidR="002117EA" w:rsidRPr="00A038BF">
        <w:rPr>
          <w:rFonts w:asciiTheme="majorBidi" w:hAnsiTheme="majorBidi" w:cstheme="majorBidi"/>
        </w:rPr>
        <w:t xml:space="preserve"> vital for </w:t>
      </w:r>
      <w:r w:rsidR="00A02896" w:rsidRPr="00A038BF">
        <w:rPr>
          <w:rFonts w:asciiTheme="majorBidi" w:hAnsiTheme="majorBidi" w:cstheme="majorBidi"/>
        </w:rPr>
        <w:t>f</w:t>
      </w:r>
      <w:r w:rsidR="002117EA" w:rsidRPr="00A038BF">
        <w:rPr>
          <w:rFonts w:asciiTheme="majorBidi" w:hAnsiTheme="majorBidi" w:cstheme="majorBidi"/>
        </w:rPr>
        <w:t xml:space="preserve">uture </w:t>
      </w:r>
      <w:r w:rsidR="00E04170" w:rsidRPr="00A038BF">
        <w:rPr>
          <w:rFonts w:asciiTheme="majorBidi" w:hAnsiTheme="majorBidi" w:cstheme="majorBidi"/>
        </w:rPr>
        <w:t>sustainability</w:t>
      </w:r>
      <w:r w:rsidR="002117EA" w:rsidRPr="00A038BF">
        <w:rPr>
          <w:rFonts w:asciiTheme="majorBidi" w:hAnsiTheme="majorBidi" w:cstheme="majorBidi"/>
        </w:rPr>
        <w:t xml:space="preserve">. </w:t>
      </w:r>
      <w:r w:rsidR="004D5020" w:rsidRPr="00A038BF">
        <w:rPr>
          <w:rFonts w:asciiTheme="majorBidi" w:hAnsiTheme="majorBidi" w:cstheme="majorBidi"/>
        </w:rPr>
        <w:t xml:space="preserve">Since all three case studies </w:t>
      </w:r>
      <w:r w:rsidR="002929D0" w:rsidRPr="00A038BF">
        <w:rPr>
          <w:rFonts w:asciiTheme="majorBidi" w:hAnsiTheme="majorBidi" w:cstheme="majorBidi"/>
        </w:rPr>
        <w:t xml:space="preserve">are </w:t>
      </w:r>
      <w:r w:rsidR="001A5CF8" w:rsidRPr="00A038BF">
        <w:rPr>
          <w:rFonts w:asciiTheme="majorBidi" w:hAnsiTheme="majorBidi" w:cstheme="majorBidi"/>
        </w:rPr>
        <w:t xml:space="preserve">evaluated </w:t>
      </w:r>
      <w:r w:rsidR="002929D0" w:rsidRPr="00A038BF">
        <w:rPr>
          <w:rFonts w:asciiTheme="majorBidi" w:hAnsiTheme="majorBidi" w:cstheme="majorBidi"/>
        </w:rPr>
        <w:t>wooden materials, we assume their operational energy is</w:t>
      </w:r>
      <w:r w:rsidR="00095D81" w:rsidRPr="00A038BF">
        <w:rPr>
          <w:rFonts w:asciiTheme="majorBidi" w:hAnsiTheme="majorBidi" w:cstheme="majorBidi"/>
        </w:rPr>
        <w:t xml:space="preserve"> </w:t>
      </w:r>
      <w:r w:rsidR="002929D0" w:rsidRPr="00A038BF">
        <w:rPr>
          <w:rFonts w:asciiTheme="majorBidi" w:hAnsiTheme="majorBidi" w:cstheme="majorBidi"/>
        </w:rPr>
        <w:t xml:space="preserve">the </w:t>
      </w:r>
      <w:r w:rsidR="004D5020" w:rsidRPr="00A038BF">
        <w:rPr>
          <w:rFonts w:asciiTheme="majorBidi" w:hAnsiTheme="majorBidi" w:cstheme="majorBidi"/>
        </w:rPr>
        <w:t xml:space="preserve">same. Thus, operational energy has not </w:t>
      </w:r>
      <w:r w:rsidR="002929D0" w:rsidRPr="00A038BF">
        <w:rPr>
          <w:rFonts w:asciiTheme="majorBidi" w:hAnsiTheme="majorBidi" w:cstheme="majorBidi"/>
        </w:rPr>
        <w:t xml:space="preserve">been </w:t>
      </w:r>
      <w:r w:rsidR="004D5020" w:rsidRPr="00A038BF">
        <w:rPr>
          <w:rFonts w:asciiTheme="majorBidi" w:hAnsiTheme="majorBidi" w:cstheme="majorBidi"/>
        </w:rPr>
        <w:t xml:space="preserve">considered </w:t>
      </w:r>
      <w:r w:rsidR="001A5CF8" w:rsidRPr="00A038BF">
        <w:rPr>
          <w:rFonts w:asciiTheme="majorBidi" w:hAnsiTheme="majorBidi" w:cstheme="majorBidi"/>
        </w:rPr>
        <w:t>as a</w:t>
      </w:r>
      <w:r w:rsidR="004D5020" w:rsidRPr="00A038BF">
        <w:rPr>
          <w:rFonts w:asciiTheme="majorBidi" w:hAnsiTheme="majorBidi" w:cstheme="majorBidi"/>
        </w:rPr>
        <w:t xml:space="preserve"> system boundary for this </w:t>
      </w:r>
      <w:r w:rsidR="001A5CF8" w:rsidRPr="00A038BF">
        <w:rPr>
          <w:rFonts w:asciiTheme="majorBidi" w:hAnsiTheme="majorBidi" w:cstheme="majorBidi"/>
        </w:rPr>
        <w:t>investigation</w:t>
      </w:r>
      <w:r w:rsidR="004D5020" w:rsidRPr="00A038BF">
        <w:rPr>
          <w:rFonts w:asciiTheme="majorBidi" w:hAnsiTheme="majorBidi" w:cstheme="majorBidi"/>
        </w:rPr>
        <w:t>.</w:t>
      </w:r>
      <w:r w:rsidR="005A2F37" w:rsidRPr="00A038BF">
        <w:rPr>
          <w:rFonts w:asciiTheme="majorBidi" w:hAnsiTheme="majorBidi" w:cstheme="majorBidi"/>
        </w:rPr>
        <w:t xml:space="preserve"> </w:t>
      </w:r>
      <w:r w:rsidR="00F550F8" w:rsidRPr="00A038BF">
        <w:rPr>
          <w:rFonts w:asciiTheme="majorBidi" w:hAnsiTheme="majorBidi" w:cstheme="majorBidi"/>
        </w:rPr>
        <w:t>On</w:t>
      </w:r>
      <w:r w:rsidR="002929D0" w:rsidRPr="00A038BF">
        <w:rPr>
          <w:rFonts w:asciiTheme="majorBidi" w:hAnsiTheme="majorBidi" w:cstheme="majorBidi"/>
        </w:rPr>
        <w:t xml:space="preserve"> the</w:t>
      </w:r>
      <w:r w:rsidR="00F550F8" w:rsidRPr="00A038BF">
        <w:rPr>
          <w:rFonts w:asciiTheme="majorBidi" w:hAnsiTheme="majorBidi" w:cstheme="majorBidi"/>
        </w:rPr>
        <w:t xml:space="preserve"> other hand, the scope of this </w:t>
      </w:r>
      <w:r w:rsidR="001A5CF8" w:rsidRPr="00A038BF">
        <w:rPr>
          <w:rFonts w:asciiTheme="majorBidi" w:hAnsiTheme="majorBidi" w:cstheme="majorBidi"/>
        </w:rPr>
        <w:t xml:space="preserve">study </w:t>
      </w:r>
      <w:r w:rsidR="00F550F8" w:rsidRPr="00A038BF">
        <w:rPr>
          <w:rFonts w:asciiTheme="majorBidi" w:hAnsiTheme="majorBidi" w:cstheme="majorBidi"/>
        </w:rPr>
        <w:t xml:space="preserve">is </w:t>
      </w:r>
      <w:r w:rsidR="001A5CF8" w:rsidRPr="00A038BF">
        <w:rPr>
          <w:rFonts w:asciiTheme="majorBidi" w:hAnsiTheme="majorBidi" w:cstheme="majorBidi"/>
        </w:rPr>
        <w:t xml:space="preserve">to </w:t>
      </w:r>
      <w:r w:rsidR="00F550F8" w:rsidRPr="00A038BF">
        <w:rPr>
          <w:rFonts w:asciiTheme="majorBidi" w:hAnsiTheme="majorBidi" w:cstheme="majorBidi"/>
        </w:rPr>
        <w:t>compar</w:t>
      </w:r>
      <w:r w:rsidR="001A5CF8" w:rsidRPr="00A038BF">
        <w:rPr>
          <w:rFonts w:asciiTheme="majorBidi" w:hAnsiTheme="majorBidi" w:cstheme="majorBidi"/>
        </w:rPr>
        <w:t>e</w:t>
      </w:r>
      <w:r w:rsidR="00F550F8" w:rsidRPr="00A038BF">
        <w:rPr>
          <w:rFonts w:asciiTheme="majorBidi" w:hAnsiTheme="majorBidi" w:cstheme="majorBidi"/>
        </w:rPr>
        <w:t xml:space="preserve"> the three different </w:t>
      </w:r>
      <w:r w:rsidR="0038779F" w:rsidRPr="00A038BF">
        <w:rPr>
          <w:rFonts w:asciiTheme="majorBidi" w:hAnsiTheme="majorBidi" w:cstheme="majorBidi"/>
        </w:rPr>
        <w:t xml:space="preserve">mass </w:t>
      </w:r>
      <w:r w:rsidR="00F550F8" w:rsidRPr="00A038BF">
        <w:rPr>
          <w:rFonts w:asciiTheme="majorBidi" w:hAnsiTheme="majorBidi" w:cstheme="majorBidi"/>
        </w:rPr>
        <w:t xml:space="preserve">timber </w:t>
      </w:r>
      <w:r w:rsidR="001A5CF8" w:rsidRPr="00A038BF">
        <w:rPr>
          <w:rFonts w:asciiTheme="majorBidi" w:hAnsiTheme="majorBidi" w:cstheme="majorBidi"/>
        </w:rPr>
        <w:t xml:space="preserve">structures </w:t>
      </w:r>
      <w:r w:rsidR="00F550F8" w:rsidRPr="00A038BF">
        <w:rPr>
          <w:rFonts w:asciiTheme="majorBidi" w:hAnsiTheme="majorBidi" w:cstheme="majorBidi"/>
        </w:rPr>
        <w:t xml:space="preserve">to </w:t>
      </w:r>
      <w:r w:rsidR="00E36402" w:rsidRPr="00A038BF">
        <w:rPr>
          <w:rFonts w:asciiTheme="majorBidi" w:hAnsiTheme="majorBidi" w:cstheme="majorBidi"/>
        </w:rPr>
        <w:t>r</w:t>
      </w:r>
      <w:r w:rsidR="00F550F8" w:rsidRPr="00A038BF">
        <w:rPr>
          <w:rFonts w:asciiTheme="majorBidi" w:hAnsiTheme="majorBidi" w:cstheme="majorBidi"/>
        </w:rPr>
        <w:t xml:space="preserve">eveal </w:t>
      </w:r>
      <w:r w:rsidR="001A5CF8" w:rsidRPr="00A038BF">
        <w:rPr>
          <w:rFonts w:asciiTheme="majorBidi" w:hAnsiTheme="majorBidi" w:cstheme="majorBidi"/>
        </w:rPr>
        <w:t xml:space="preserve">differences in </w:t>
      </w:r>
      <w:r w:rsidR="00F550F8" w:rsidRPr="00A038BF">
        <w:rPr>
          <w:rFonts w:asciiTheme="majorBidi" w:hAnsiTheme="majorBidi" w:cstheme="majorBidi"/>
        </w:rPr>
        <w:t xml:space="preserve">their </w:t>
      </w:r>
      <w:r w:rsidR="0038779F" w:rsidRPr="00A038BF">
        <w:rPr>
          <w:rFonts w:asciiTheme="majorBidi" w:hAnsiTheme="majorBidi" w:cstheme="majorBidi"/>
        </w:rPr>
        <w:t>energy consumption during manufactur</w:t>
      </w:r>
      <w:r w:rsidR="001A5CF8" w:rsidRPr="00A038BF">
        <w:rPr>
          <w:rFonts w:asciiTheme="majorBidi" w:hAnsiTheme="majorBidi" w:cstheme="majorBidi"/>
        </w:rPr>
        <w:t>e</w:t>
      </w:r>
      <w:r w:rsidR="0038779F" w:rsidRPr="00A038BF">
        <w:rPr>
          <w:rFonts w:asciiTheme="majorBidi" w:hAnsiTheme="majorBidi" w:cstheme="majorBidi"/>
        </w:rPr>
        <w:t xml:space="preserve"> and demolition</w:t>
      </w:r>
      <w:r w:rsidR="00F550F8" w:rsidRPr="00A038BF">
        <w:rPr>
          <w:rFonts w:asciiTheme="majorBidi" w:hAnsiTheme="majorBidi" w:cstheme="majorBidi"/>
        </w:rPr>
        <w:t xml:space="preserve">. </w:t>
      </w:r>
      <w:r w:rsidR="0038779F" w:rsidRPr="00A038BF">
        <w:rPr>
          <w:rFonts w:asciiTheme="majorBidi" w:hAnsiTheme="majorBidi" w:cstheme="majorBidi"/>
        </w:rPr>
        <w:t xml:space="preserve">The LCIA method </w:t>
      </w:r>
      <w:r w:rsidR="001A5CF8" w:rsidRPr="00A038BF">
        <w:rPr>
          <w:rFonts w:asciiTheme="majorBidi" w:hAnsiTheme="majorBidi" w:cstheme="majorBidi"/>
        </w:rPr>
        <w:t xml:space="preserve">used to </w:t>
      </w:r>
      <w:r w:rsidR="0038779F" w:rsidRPr="00A038BF">
        <w:rPr>
          <w:rFonts w:asciiTheme="majorBidi" w:hAnsiTheme="majorBidi" w:cstheme="majorBidi"/>
        </w:rPr>
        <w:t>evaluat</w:t>
      </w:r>
      <w:r w:rsidR="009E275A" w:rsidRPr="00A038BF">
        <w:rPr>
          <w:rFonts w:asciiTheme="majorBidi" w:hAnsiTheme="majorBidi" w:cstheme="majorBidi"/>
        </w:rPr>
        <w:t>e</w:t>
      </w:r>
      <w:r w:rsidR="0038779F" w:rsidRPr="00A038BF">
        <w:rPr>
          <w:rFonts w:asciiTheme="majorBidi" w:hAnsiTheme="majorBidi" w:cstheme="majorBidi"/>
        </w:rPr>
        <w:t xml:space="preserve"> the primary embodied energy is </w:t>
      </w:r>
      <w:r w:rsidR="00EB711B" w:rsidRPr="00A038BF">
        <w:rPr>
          <w:rFonts w:asciiTheme="majorBidi" w:hAnsiTheme="majorBidi" w:cstheme="majorBidi"/>
        </w:rPr>
        <w:t>Cumulative Energy Demand (CED) method 1.04.</w:t>
      </w:r>
      <w:r w:rsidR="0038779F" w:rsidRPr="00A038BF">
        <w:rPr>
          <w:rFonts w:asciiTheme="majorBidi" w:hAnsiTheme="majorBidi" w:cstheme="majorBidi"/>
        </w:rPr>
        <w:t xml:space="preserve"> </w:t>
      </w:r>
      <w:r w:rsidR="009E5AA6" w:rsidRPr="00A038BF">
        <w:rPr>
          <w:rFonts w:asciiTheme="majorBidi" w:hAnsiTheme="majorBidi" w:cstheme="majorBidi"/>
        </w:rPr>
        <w:t>The</w:t>
      </w:r>
      <w:r w:rsidR="0038779F" w:rsidRPr="00A038BF">
        <w:rPr>
          <w:rFonts w:asciiTheme="majorBidi" w:hAnsiTheme="majorBidi" w:cstheme="majorBidi"/>
        </w:rPr>
        <w:t xml:space="preserve"> result </w:t>
      </w:r>
      <w:r w:rsidR="0097613B" w:rsidRPr="00A038BF">
        <w:rPr>
          <w:rFonts w:asciiTheme="majorBidi" w:hAnsiTheme="majorBidi" w:cstheme="majorBidi"/>
        </w:rPr>
        <w:t>is expressed as non-renewable energy based on the Ecoinvent database</w:t>
      </w:r>
      <w:r w:rsidR="0038779F" w:rsidRPr="00A038BF">
        <w:rPr>
          <w:rFonts w:asciiTheme="majorBidi" w:hAnsiTheme="majorBidi" w:cstheme="majorBidi"/>
        </w:rPr>
        <w:t xml:space="preserve"> incorporated into SimaPro software (PRé. 2019) to estimate the energy consumption of product</w:t>
      </w:r>
      <w:r w:rsidR="0097613B" w:rsidRPr="00A038BF">
        <w:rPr>
          <w:rFonts w:asciiTheme="majorBidi" w:hAnsiTheme="majorBidi" w:cstheme="majorBidi"/>
        </w:rPr>
        <w:t>s</w:t>
      </w:r>
      <w:r w:rsidR="0038779F" w:rsidRPr="00A038BF">
        <w:rPr>
          <w:rFonts w:asciiTheme="majorBidi" w:hAnsiTheme="majorBidi" w:cstheme="majorBidi"/>
        </w:rPr>
        <w:t xml:space="preserve"> along</w:t>
      </w:r>
      <w:r w:rsidR="009E275A" w:rsidRPr="00A038BF">
        <w:rPr>
          <w:rFonts w:asciiTheme="majorBidi" w:hAnsiTheme="majorBidi" w:cstheme="majorBidi"/>
        </w:rPr>
        <w:t xml:space="preserve"> with</w:t>
      </w:r>
      <w:r w:rsidR="0038779F" w:rsidRPr="00A038BF">
        <w:rPr>
          <w:rFonts w:asciiTheme="majorBidi" w:hAnsiTheme="majorBidi" w:cstheme="majorBidi"/>
        </w:rPr>
        <w:t xml:space="preserve"> their process </w:t>
      </w:r>
      <w:r w:rsidR="00EB711B" w:rsidRPr="00A038BF">
        <w:rPr>
          <w:rFonts w:asciiTheme="majorBidi" w:hAnsiTheme="majorBidi" w:cstheme="majorBidi"/>
        </w:rPr>
        <w:t xml:space="preserve">(Hischier et al., 2010). </w:t>
      </w:r>
      <w:r w:rsidR="0038779F" w:rsidRPr="00A038BF">
        <w:rPr>
          <w:rFonts w:asciiTheme="majorBidi" w:hAnsiTheme="majorBidi" w:cstheme="majorBidi"/>
        </w:rPr>
        <w:t xml:space="preserve">The CED </w:t>
      </w:r>
      <w:r w:rsidR="009E275A" w:rsidRPr="00A038BF">
        <w:rPr>
          <w:rFonts w:asciiTheme="majorBidi" w:hAnsiTheme="majorBidi" w:cstheme="majorBidi"/>
        </w:rPr>
        <w:t>results are</w:t>
      </w:r>
      <w:r w:rsidR="0097613B" w:rsidRPr="00A038BF">
        <w:rPr>
          <w:rFonts w:asciiTheme="majorBidi" w:hAnsiTheme="majorBidi" w:cstheme="majorBidi"/>
        </w:rPr>
        <w:t xml:space="preserve"> </w:t>
      </w:r>
      <w:r w:rsidR="0038779F" w:rsidRPr="00A038BF">
        <w:rPr>
          <w:rFonts w:asciiTheme="majorBidi" w:hAnsiTheme="majorBidi" w:cstheme="majorBidi"/>
        </w:rPr>
        <w:t xml:space="preserve">expressed </w:t>
      </w:r>
      <w:r w:rsidR="009E275A" w:rsidRPr="00A038BF">
        <w:rPr>
          <w:rFonts w:asciiTheme="majorBidi" w:hAnsiTheme="majorBidi" w:cstheme="majorBidi"/>
        </w:rPr>
        <w:t xml:space="preserve">in </w:t>
      </w:r>
      <w:r w:rsidR="0038779F" w:rsidRPr="00A038BF">
        <w:rPr>
          <w:rFonts w:asciiTheme="majorBidi" w:hAnsiTheme="majorBidi" w:cstheme="majorBidi"/>
        </w:rPr>
        <w:t>megajoules (MJ) unit per Kg.</w:t>
      </w:r>
    </w:p>
    <w:p w14:paraId="61E2F209" w14:textId="77777777" w:rsidR="00F0270C" w:rsidRPr="00A038BF" w:rsidRDefault="00F418C6" w:rsidP="004E78EA">
      <w:pPr>
        <w:pStyle w:val="ListParagraph"/>
        <w:numPr>
          <w:ilvl w:val="1"/>
          <w:numId w:val="3"/>
        </w:numPr>
        <w:spacing w:before="240" w:after="0" w:line="276" w:lineRule="auto"/>
        <w:rPr>
          <w:rFonts w:asciiTheme="majorBidi" w:hAnsiTheme="majorBidi" w:cstheme="majorBidi"/>
          <w:b/>
          <w:bCs/>
        </w:rPr>
      </w:pPr>
      <w:r w:rsidRPr="00A038BF">
        <w:rPr>
          <w:rFonts w:asciiTheme="majorBidi" w:hAnsiTheme="majorBidi" w:cstheme="majorBidi"/>
          <w:b/>
          <w:bCs/>
        </w:rPr>
        <w:t xml:space="preserve">Life cycle cost </w:t>
      </w:r>
    </w:p>
    <w:p w14:paraId="5A6C3E27" w14:textId="78F4CEF7" w:rsidR="00711F0E" w:rsidRPr="00A038BF" w:rsidRDefault="00711F0E" w:rsidP="00C30AC5">
      <w:pPr>
        <w:spacing w:line="276" w:lineRule="auto"/>
        <w:ind w:firstLine="720"/>
        <w:jc w:val="both"/>
        <w:rPr>
          <w:rFonts w:asciiTheme="majorBidi" w:hAnsiTheme="majorBidi" w:cstheme="majorBidi"/>
        </w:rPr>
      </w:pPr>
      <w:r w:rsidRPr="00A038BF">
        <w:rPr>
          <w:rFonts w:asciiTheme="majorBidi" w:hAnsiTheme="majorBidi" w:cstheme="majorBidi"/>
        </w:rPr>
        <w:t xml:space="preserve">Economic assessment or life cycle cost (LCC) is assessed based on the system boundaries of current research. LCC refers to the direct monetary value of services and products included in the case studies. In other words, </w:t>
      </w:r>
      <w:r w:rsidR="00770987" w:rsidRPr="00A038BF">
        <w:rPr>
          <w:rFonts w:asciiTheme="majorBidi" w:hAnsiTheme="majorBidi" w:cstheme="majorBidi"/>
        </w:rPr>
        <w:t xml:space="preserve">it includes </w:t>
      </w:r>
      <w:r w:rsidRPr="00A038BF">
        <w:rPr>
          <w:rFonts w:asciiTheme="majorBidi" w:hAnsiTheme="majorBidi" w:cstheme="majorBidi"/>
        </w:rPr>
        <w:t>all the costs of acquiring materials, workers</w:t>
      </w:r>
      <w:r w:rsidR="00C30AC5" w:rsidRPr="00A038BF">
        <w:rPr>
          <w:rFonts w:asciiTheme="majorBidi" w:hAnsiTheme="majorBidi" w:cstheme="majorBidi"/>
        </w:rPr>
        <w:t>'</w:t>
      </w:r>
      <w:r w:rsidRPr="00A038BF">
        <w:rPr>
          <w:rFonts w:asciiTheme="majorBidi" w:hAnsiTheme="majorBidi" w:cstheme="majorBidi"/>
        </w:rPr>
        <w:t xml:space="preserve"> wages, transportation, and demolition costs (Hunkeler, 2008). The LCC was calculated using an Excel spreadsheet for a life span of 50 years. The data were estimated based on data sourced from the National Construction Cost Centre (CIDB Official Portal) and standard construction costs (Construction Cost Handbook MALAYSIA, 2020) in Malaysian Ringgit (MYR) (ArcadisMalaysia, 2020). This study supersedes other LCC studies as it is based on consequential LCC estimation. The consequential method calculates all building stages encompassed within the system boundaries and the end-of-life costs of materials. The assessment method for the consequential analysis model is different from the attributional and conventional methods. The differences relate to the additional evaluation of the benefits of re-selling waste materials such as steel sheets or steel </w:t>
      </w:r>
      <w:r w:rsidR="00770987" w:rsidRPr="00A038BF">
        <w:rPr>
          <w:rFonts w:asciiTheme="majorBidi" w:hAnsiTheme="majorBidi" w:cstheme="majorBidi"/>
        </w:rPr>
        <w:t xml:space="preserve">reinforcement </w:t>
      </w:r>
      <w:r w:rsidRPr="00A038BF">
        <w:rPr>
          <w:rFonts w:asciiTheme="majorBidi" w:hAnsiTheme="majorBidi" w:cstheme="majorBidi"/>
        </w:rPr>
        <w:t>at the end of the life of the building (Balasbaneh et al., 2018).</w:t>
      </w:r>
    </w:p>
    <w:p w14:paraId="059933D1" w14:textId="0CD1CF17" w:rsidR="00711F0E" w:rsidRPr="00A038BF" w:rsidRDefault="00711F0E" w:rsidP="00711F0E">
      <w:pPr>
        <w:pStyle w:val="ListParagraph"/>
        <w:autoSpaceDE w:val="0"/>
        <w:autoSpaceDN w:val="0"/>
        <w:adjustRightInd w:val="0"/>
        <w:spacing w:after="0" w:line="276" w:lineRule="auto"/>
        <w:ind w:left="90" w:firstLine="630"/>
        <w:jc w:val="both"/>
        <w:rPr>
          <w:rFonts w:asciiTheme="majorBidi" w:hAnsiTheme="majorBidi" w:cstheme="majorBidi"/>
        </w:rPr>
      </w:pPr>
      <w:r w:rsidRPr="00A038BF">
        <w:rPr>
          <w:rFonts w:asciiTheme="majorBidi" w:hAnsiTheme="majorBidi" w:cstheme="majorBidi"/>
        </w:rPr>
        <w:t xml:space="preserve">The first stage of assessing the LCC </w:t>
      </w:r>
      <w:r w:rsidR="00BE7977" w:rsidRPr="00A038BF">
        <w:rPr>
          <w:rFonts w:asciiTheme="majorBidi" w:hAnsiTheme="majorBidi" w:cstheme="majorBidi"/>
        </w:rPr>
        <w:t xml:space="preserve">involves </w:t>
      </w:r>
      <w:r w:rsidRPr="00A038BF">
        <w:rPr>
          <w:rFonts w:asciiTheme="majorBidi" w:hAnsiTheme="majorBidi" w:cstheme="majorBidi"/>
        </w:rPr>
        <w:t>calculat</w:t>
      </w:r>
      <w:r w:rsidR="00BE7977" w:rsidRPr="00A038BF">
        <w:rPr>
          <w:rFonts w:asciiTheme="majorBidi" w:hAnsiTheme="majorBidi" w:cstheme="majorBidi"/>
        </w:rPr>
        <w:t>ing</w:t>
      </w:r>
      <w:r w:rsidRPr="00A038BF">
        <w:rPr>
          <w:rFonts w:asciiTheme="majorBidi" w:hAnsiTheme="majorBidi" w:cstheme="majorBidi"/>
        </w:rPr>
        <w:t xml:space="preserve"> material production costs that incorporate the total cost of raw materials used in construction. The future cost is calculated subsequently. Since the reference time is the current year, the future cost needs to be discounted, as shown in the following equation</w:t>
      </w:r>
      <w:r w:rsidR="00C76CAE" w:rsidRPr="00A038BF">
        <w:rPr>
          <w:rFonts w:asciiTheme="majorBidi" w:hAnsiTheme="majorBidi" w:cstheme="majorBidi"/>
        </w:rPr>
        <w:t xml:space="preserve"> </w:t>
      </w:r>
      <w:r w:rsidR="00C76CAE" w:rsidRPr="00A038BF">
        <w:rPr>
          <w:rFonts w:asciiTheme="majorBidi" w:hAnsiTheme="majorBidi" w:cstheme="majorBidi"/>
          <w:lang w:bidi="fa-IR"/>
        </w:rPr>
        <w:t>1</w:t>
      </w:r>
      <w:r w:rsidRPr="00A038BF">
        <w:rPr>
          <w:rFonts w:asciiTheme="majorBidi" w:hAnsiTheme="majorBidi" w:cstheme="majorBidi"/>
        </w:rPr>
        <w:t xml:space="preserve">. </w:t>
      </w:r>
    </w:p>
    <w:p w14:paraId="61657DA4" w14:textId="77777777" w:rsidR="00711F0E" w:rsidRPr="00A038BF" w:rsidRDefault="00711F0E" w:rsidP="004850FD">
      <w:pPr>
        <w:pStyle w:val="ListParagraph"/>
        <w:autoSpaceDE w:val="0"/>
        <w:autoSpaceDN w:val="0"/>
        <w:adjustRightInd w:val="0"/>
        <w:spacing w:after="0" w:line="276" w:lineRule="auto"/>
        <w:jc w:val="both"/>
        <w:rPr>
          <w:rFonts w:asciiTheme="majorBidi" w:hAnsiTheme="majorBidi" w:cstheme="majorBidi"/>
          <w:b/>
          <w:bCs/>
          <w:i/>
          <w:iCs/>
        </w:rPr>
      </w:pPr>
      <m:oMath>
        <m:r>
          <w:rPr>
            <w:rFonts w:ascii="Cambria Math" w:hAnsi="Cambria Math" w:cstheme="majorBidi"/>
          </w:rPr>
          <m:t>PC+LC+TC+MC=</m:t>
        </m:r>
        <m:d>
          <m:dPr>
            <m:ctrlPr>
              <w:rPr>
                <w:rFonts w:ascii="Cambria Math" w:hAnsi="Cambria Math" w:cstheme="majorBidi"/>
                <w:bCs/>
                <w:i/>
                <w:iCs/>
              </w:rPr>
            </m:ctrlPr>
          </m:dPr>
          <m:e>
            <m:f>
              <m:fPr>
                <m:ctrlPr>
                  <w:rPr>
                    <w:rFonts w:ascii="Cambria Math" w:hAnsi="Cambria Math" w:cstheme="majorBidi"/>
                    <w:bCs/>
                    <w:i/>
                    <w:iCs/>
                  </w:rPr>
                </m:ctrlPr>
              </m:fPr>
              <m:num>
                <m:r>
                  <w:rPr>
                    <w:rFonts w:ascii="Cambria Math" w:hAnsi="Cambria Math" w:cstheme="majorBidi"/>
                  </w:rPr>
                  <m:t>PC</m:t>
                </m:r>
              </m:num>
              <m:den>
                <m:sSup>
                  <m:sSupPr>
                    <m:ctrlPr>
                      <w:rPr>
                        <w:rFonts w:ascii="Cambria Math" w:hAnsi="Cambria Math" w:cstheme="majorBidi"/>
                        <w:bCs/>
                        <w:i/>
                        <w:iCs/>
                      </w:rPr>
                    </m:ctrlPr>
                  </m:sSupPr>
                  <m:e>
                    <m:d>
                      <m:dPr>
                        <m:ctrlPr>
                          <w:rPr>
                            <w:rFonts w:ascii="Cambria Math" w:hAnsi="Cambria Math" w:cstheme="majorBidi"/>
                            <w:bCs/>
                            <w:i/>
                            <w:iCs/>
                          </w:rPr>
                        </m:ctrlPr>
                      </m:dPr>
                      <m:e>
                        <m:r>
                          <w:rPr>
                            <w:rFonts w:ascii="Cambria Math" w:hAnsi="Cambria Math" w:cstheme="majorBidi"/>
                          </w:rPr>
                          <m:t>1+r</m:t>
                        </m:r>
                      </m:e>
                    </m:d>
                  </m:e>
                  <m:sup>
                    <m:r>
                      <w:rPr>
                        <w:rFonts w:ascii="Cambria Math" w:hAnsi="Cambria Math" w:cstheme="majorBidi"/>
                      </w:rPr>
                      <m:t>t</m:t>
                    </m:r>
                  </m:sup>
                </m:sSup>
              </m:den>
            </m:f>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LC</m:t>
                </m:r>
              </m:num>
              <m:den>
                <m:sSup>
                  <m:sSupPr>
                    <m:ctrlPr>
                      <w:rPr>
                        <w:rFonts w:ascii="Cambria Math" w:hAnsi="Cambria Math" w:cstheme="majorBidi"/>
                        <w:bCs/>
                        <w:i/>
                        <w:iCs/>
                      </w:rPr>
                    </m:ctrlPr>
                  </m:sSupPr>
                  <m:e>
                    <m:d>
                      <m:dPr>
                        <m:ctrlPr>
                          <w:rPr>
                            <w:rFonts w:ascii="Cambria Math" w:hAnsi="Cambria Math" w:cstheme="majorBidi"/>
                            <w:bCs/>
                            <w:i/>
                            <w:iCs/>
                          </w:rPr>
                        </m:ctrlPr>
                      </m:dPr>
                      <m:e>
                        <m:r>
                          <w:rPr>
                            <w:rFonts w:ascii="Cambria Math" w:hAnsi="Cambria Math" w:cstheme="majorBidi"/>
                          </w:rPr>
                          <m:t>1+r</m:t>
                        </m:r>
                      </m:e>
                    </m:d>
                  </m:e>
                  <m:sup>
                    <m:r>
                      <w:rPr>
                        <w:rFonts w:ascii="Cambria Math" w:hAnsi="Cambria Math" w:cstheme="majorBidi"/>
                      </w:rPr>
                      <m:t>t</m:t>
                    </m:r>
                  </m:sup>
                </m:sSup>
              </m:den>
            </m:f>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TC</m:t>
                </m:r>
              </m:num>
              <m:den>
                <m:sSup>
                  <m:sSupPr>
                    <m:ctrlPr>
                      <w:rPr>
                        <w:rFonts w:ascii="Cambria Math" w:hAnsi="Cambria Math" w:cstheme="majorBidi"/>
                        <w:bCs/>
                        <w:i/>
                        <w:iCs/>
                      </w:rPr>
                    </m:ctrlPr>
                  </m:sSupPr>
                  <m:e>
                    <m:d>
                      <m:dPr>
                        <m:ctrlPr>
                          <w:rPr>
                            <w:rFonts w:ascii="Cambria Math" w:hAnsi="Cambria Math" w:cstheme="majorBidi"/>
                            <w:bCs/>
                            <w:i/>
                            <w:iCs/>
                          </w:rPr>
                        </m:ctrlPr>
                      </m:dPr>
                      <m:e>
                        <m:r>
                          <w:rPr>
                            <w:rFonts w:ascii="Cambria Math" w:hAnsi="Cambria Math" w:cstheme="majorBidi"/>
                          </w:rPr>
                          <m:t>1+r</m:t>
                        </m:r>
                      </m:e>
                    </m:d>
                  </m:e>
                  <m:sup>
                    <m:r>
                      <w:rPr>
                        <w:rFonts w:ascii="Cambria Math" w:hAnsi="Cambria Math" w:cstheme="majorBidi"/>
                      </w:rPr>
                      <m:t>t</m:t>
                    </m:r>
                  </m:sup>
                </m:sSup>
              </m:den>
            </m:f>
            <m:r>
              <w:rPr>
                <w:rFonts w:ascii="Cambria Math" w:hAnsi="Cambria Math" w:cstheme="majorBidi"/>
              </w:rPr>
              <m:t>+</m:t>
            </m:r>
            <m:f>
              <m:fPr>
                <m:ctrlPr>
                  <w:rPr>
                    <w:rFonts w:ascii="Cambria Math" w:hAnsi="Cambria Math" w:cstheme="majorBidi"/>
                    <w:bCs/>
                    <w:i/>
                    <w:iCs/>
                  </w:rPr>
                </m:ctrlPr>
              </m:fPr>
              <m:num>
                <m:r>
                  <w:rPr>
                    <w:rFonts w:ascii="Cambria Math" w:hAnsi="Cambria Math" w:cstheme="majorBidi"/>
                  </w:rPr>
                  <m:t>MC</m:t>
                </m:r>
              </m:num>
              <m:den>
                <m:sSup>
                  <m:sSupPr>
                    <m:ctrlPr>
                      <w:rPr>
                        <w:rFonts w:ascii="Cambria Math" w:hAnsi="Cambria Math" w:cstheme="majorBidi"/>
                        <w:bCs/>
                        <w:i/>
                        <w:iCs/>
                      </w:rPr>
                    </m:ctrlPr>
                  </m:sSupPr>
                  <m:e>
                    <m:d>
                      <m:dPr>
                        <m:ctrlPr>
                          <w:rPr>
                            <w:rFonts w:ascii="Cambria Math" w:hAnsi="Cambria Math" w:cstheme="majorBidi"/>
                            <w:bCs/>
                            <w:i/>
                            <w:iCs/>
                          </w:rPr>
                        </m:ctrlPr>
                      </m:dPr>
                      <m:e>
                        <m:r>
                          <w:rPr>
                            <w:rFonts w:ascii="Cambria Math" w:hAnsi="Cambria Math" w:cstheme="majorBidi"/>
                          </w:rPr>
                          <m:t>1+r</m:t>
                        </m:r>
                      </m:e>
                    </m:d>
                  </m:e>
                  <m:sup>
                    <m:r>
                      <w:rPr>
                        <w:rFonts w:ascii="Cambria Math" w:hAnsi="Cambria Math" w:cstheme="majorBidi"/>
                      </w:rPr>
                      <m:t>t</m:t>
                    </m:r>
                  </m:sup>
                </m:sSup>
              </m:den>
            </m:f>
          </m:e>
        </m:d>
      </m:oMath>
      <w:r w:rsidRPr="00A038BF">
        <w:rPr>
          <w:rFonts w:asciiTheme="majorBidi" w:eastAsiaTheme="minorEastAsia" w:hAnsiTheme="majorBidi" w:cstheme="majorBidi"/>
          <w:bCs/>
          <w:i/>
          <w:iCs/>
        </w:rPr>
        <w:t xml:space="preserve"> </w:t>
      </w:r>
      <w:r w:rsidR="004850FD" w:rsidRPr="00A038BF">
        <w:rPr>
          <w:rFonts w:asciiTheme="majorBidi" w:eastAsiaTheme="minorEastAsia" w:hAnsiTheme="majorBidi" w:cstheme="majorBidi"/>
          <w:bCs/>
          <w:i/>
          <w:iCs/>
        </w:rPr>
        <w:t xml:space="preserve">                                   </w:t>
      </w:r>
      <w:r w:rsidR="004850FD" w:rsidRPr="00A038BF">
        <w:rPr>
          <w:rFonts w:asciiTheme="majorBidi" w:hAnsiTheme="majorBidi" w:cstheme="majorBidi"/>
        </w:rPr>
        <w:t>Equation (1)</w:t>
      </w:r>
      <w:r w:rsidR="004850FD" w:rsidRPr="00A038BF">
        <w:rPr>
          <w:rFonts w:asciiTheme="majorBidi" w:hAnsiTheme="majorBidi" w:cstheme="majorBidi"/>
          <w:sz w:val="8"/>
          <w:szCs w:val="8"/>
        </w:rPr>
        <w:t xml:space="preserve">                                                                                                                                                </w:t>
      </w:r>
    </w:p>
    <w:p w14:paraId="0D91D692" w14:textId="77777777" w:rsidR="00711F0E" w:rsidRPr="00A038BF" w:rsidRDefault="00711F0E" w:rsidP="00711F0E">
      <w:pPr>
        <w:pStyle w:val="ListParagraph"/>
        <w:autoSpaceDE w:val="0"/>
        <w:autoSpaceDN w:val="0"/>
        <w:adjustRightInd w:val="0"/>
        <w:spacing w:after="0" w:line="276" w:lineRule="auto"/>
        <w:ind w:left="90"/>
        <w:jc w:val="both"/>
        <w:rPr>
          <w:rFonts w:asciiTheme="majorBidi" w:hAnsiTheme="majorBidi" w:cstheme="majorBidi"/>
          <w:b/>
          <w:bCs/>
          <w:i/>
          <w:iCs/>
        </w:rPr>
      </w:pPr>
    </w:p>
    <w:p w14:paraId="2EE15849" w14:textId="2AB48EFF" w:rsidR="00711F0E" w:rsidRPr="00A038BF" w:rsidRDefault="00711F0E" w:rsidP="009734A1">
      <w:pPr>
        <w:spacing w:line="276" w:lineRule="auto"/>
        <w:ind w:firstLine="720"/>
        <w:jc w:val="both"/>
        <w:rPr>
          <w:rFonts w:asciiTheme="majorBidi" w:hAnsiTheme="majorBidi" w:cstheme="majorBidi"/>
        </w:rPr>
      </w:pPr>
      <w:r w:rsidRPr="00A038BF">
        <w:rPr>
          <w:rFonts w:asciiTheme="majorBidi" w:hAnsiTheme="majorBidi" w:cstheme="majorBidi"/>
        </w:rPr>
        <w:t>PC is material production cost, LC is labor cost, TC is transportation cost, and MC is machinery cost</w:t>
      </w:r>
      <w:r w:rsidR="009734A1" w:rsidRPr="00A038BF">
        <w:rPr>
          <w:rFonts w:asciiTheme="majorBidi" w:hAnsiTheme="majorBidi" w:cstheme="majorBidi"/>
        </w:rPr>
        <w:t>, r is the discounting rate and t is the time.</w:t>
      </w:r>
      <w:r w:rsidRPr="00A038BF">
        <w:rPr>
          <w:rFonts w:asciiTheme="majorBidi" w:hAnsiTheme="majorBidi" w:cstheme="majorBidi"/>
        </w:rPr>
        <w:t xml:space="preserve"> Additionally, the benefit of re-selling the materials when a building has reached its end of life has been considered. The assessment of end-of-life costs was evaluated using the equation below. This has a positive impact on the total cost following the consequential method for LCI.  </w:t>
      </w:r>
    </w:p>
    <w:p w14:paraId="1604B9AB" w14:textId="77777777" w:rsidR="00711F0E" w:rsidRPr="00A038BF" w:rsidRDefault="00711F0E" w:rsidP="00711F0E">
      <w:pPr>
        <w:spacing w:line="276" w:lineRule="auto"/>
        <w:ind w:left="810"/>
        <w:rPr>
          <w:rFonts w:asciiTheme="majorBidi" w:hAnsiTheme="majorBidi" w:cstheme="majorBidi"/>
        </w:rPr>
      </w:pPr>
      <m:oMathPara>
        <m:oMathParaPr>
          <m:jc m:val="left"/>
        </m:oMathParaPr>
        <m:oMath>
          <m:r>
            <w:rPr>
              <w:rFonts w:ascii="Cambria Math" w:hAnsi="Cambria Math" w:cstheme="majorBidi"/>
            </w:rPr>
            <m:t>C=</m:t>
          </m:r>
          <m:nary>
            <m:naryPr>
              <m:chr m:val="∑"/>
              <m:limLoc m:val="undOvr"/>
              <m:subHide m:val="1"/>
              <m:supHide m:val="1"/>
              <m:ctrlPr>
                <w:rPr>
                  <w:rFonts w:ascii="Cambria Math" w:hAnsi="Cambria Math" w:cstheme="majorBidi"/>
                  <w:i/>
                </w:rPr>
              </m:ctrlPr>
            </m:naryPr>
            <m:sub/>
            <m:sup/>
            <m:e>
              <m:r>
                <w:rPr>
                  <w:rFonts w:ascii="Cambria Math" w:hAnsi="Cambria Math" w:cstheme="majorBidi"/>
                </w:rPr>
                <m:t>EOF</m:t>
              </m:r>
            </m:e>
          </m:nary>
        </m:oMath>
      </m:oMathPara>
    </w:p>
    <w:p w14:paraId="4E53A418" w14:textId="5FAE5B00" w:rsidR="00711F0E" w:rsidRPr="00A038BF" w:rsidRDefault="00711F0E" w:rsidP="00711F0E">
      <w:pPr>
        <w:autoSpaceDE w:val="0"/>
        <w:autoSpaceDN w:val="0"/>
        <w:adjustRightInd w:val="0"/>
        <w:spacing w:after="0" w:line="276" w:lineRule="auto"/>
        <w:ind w:firstLine="720"/>
        <w:jc w:val="both"/>
        <w:rPr>
          <w:rFonts w:asciiTheme="majorBidi" w:hAnsiTheme="majorBidi" w:cstheme="majorBidi"/>
        </w:rPr>
      </w:pPr>
      <w:r w:rsidRPr="00A038BF">
        <w:rPr>
          <w:rFonts w:asciiTheme="majorBidi" w:hAnsiTheme="majorBidi" w:cstheme="majorBidi"/>
        </w:rPr>
        <w:t xml:space="preserve">EOF is considered the most defining of the end-of-life costs of materials in the future in the equation above. The assumptions made when assessing the LCC in the case </w:t>
      </w:r>
      <w:r w:rsidR="00BE7977" w:rsidRPr="00A038BF">
        <w:rPr>
          <w:rFonts w:asciiTheme="majorBidi" w:hAnsiTheme="majorBidi" w:cstheme="majorBidi"/>
        </w:rPr>
        <w:t xml:space="preserve">studies </w:t>
      </w:r>
      <w:r w:rsidRPr="00A038BF">
        <w:rPr>
          <w:rFonts w:asciiTheme="majorBidi" w:hAnsiTheme="majorBidi" w:cstheme="majorBidi"/>
        </w:rPr>
        <w:t xml:space="preserve">below are as follows. The discount rate was 3.2 % based on the average discount rate for Malaysia (CEIC), and the electricity rate was 38.53 Cent/ kWh (Malaysiakini data). The inflation rate was 3%, following the average Malaysian rate for 2020. </w:t>
      </w:r>
    </w:p>
    <w:p w14:paraId="3EE5F44E" w14:textId="274196CE" w:rsidR="007B437B" w:rsidRPr="00A038BF" w:rsidRDefault="007B437B" w:rsidP="00711F0E">
      <w:pPr>
        <w:autoSpaceDE w:val="0"/>
        <w:autoSpaceDN w:val="0"/>
        <w:adjustRightInd w:val="0"/>
        <w:spacing w:after="0" w:line="276" w:lineRule="auto"/>
        <w:ind w:firstLine="720"/>
        <w:jc w:val="both"/>
        <w:rPr>
          <w:rFonts w:asciiTheme="majorBidi" w:hAnsiTheme="majorBidi" w:cstheme="majorBidi"/>
        </w:rPr>
      </w:pPr>
    </w:p>
    <w:p w14:paraId="6079379B" w14:textId="77777777" w:rsidR="007B437B" w:rsidRPr="00A038BF" w:rsidRDefault="007B437B" w:rsidP="00711F0E">
      <w:pPr>
        <w:autoSpaceDE w:val="0"/>
        <w:autoSpaceDN w:val="0"/>
        <w:adjustRightInd w:val="0"/>
        <w:spacing w:after="0" w:line="276" w:lineRule="auto"/>
        <w:ind w:firstLine="720"/>
        <w:jc w:val="both"/>
        <w:rPr>
          <w:rFonts w:asciiTheme="majorBidi" w:hAnsiTheme="majorBidi" w:cstheme="majorBidi"/>
        </w:rPr>
      </w:pPr>
    </w:p>
    <w:p w14:paraId="79CB17CA" w14:textId="77777777" w:rsidR="00711F0E" w:rsidRPr="00A038BF" w:rsidRDefault="00711F0E" w:rsidP="00C30AC5">
      <w:pPr>
        <w:pStyle w:val="ListParagraph"/>
        <w:numPr>
          <w:ilvl w:val="1"/>
          <w:numId w:val="3"/>
        </w:numPr>
        <w:spacing w:before="240" w:after="0" w:line="276" w:lineRule="auto"/>
        <w:rPr>
          <w:rFonts w:asciiTheme="majorBidi" w:hAnsiTheme="majorBidi" w:cstheme="majorBidi"/>
          <w:b/>
          <w:bCs/>
        </w:rPr>
      </w:pPr>
      <w:r w:rsidRPr="00A038BF">
        <w:rPr>
          <w:rFonts w:asciiTheme="majorBidi" w:hAnsiTheme="majorBidi" w:cstheme="majorBidi"/>
          <w:b/>
          <w:bCs/>
        </w:rPr>
        <w:t>Multi</w:t>
      </w:r>
      <w:r w:rsidR="00C30AC5" w:rsidRPr="00A038BF">
        <w:rPr>
          <w:rFonts w:asciiTheme="majorBidi" w:hAnsiTheme="majorBidi" w:cstheme="majorBidi"/>
          <w:b/>
          <w:bCs/>
        </w:rPr>
        <w:t>-</w:t>
      </w:r>
      <w:r w:rsidRPr="00A038BF">
        <w:rPr>
          <w:rFonts w:asciiTheme="majorBidi" w:hAnsiTheme="majorBidi" w:cstheme="majorBidi"/>
          <w:b/>
          <w:bCs/>
        </w:rPr>
        <w:t>criteria decision making</w:t>
      </w:r>
    </w:p>
    <w:p w14:paraId="7F5C8FDF" w14:textId="5A13FB4D" w:rsidR="00F433FA" w:rsidRPr="00A038BF" w:rsidRDefault="00F433FA" w:rsidP="00D675C5">
      <w:pPr>
        <w:autoSpaceDE w:val="0"/>
        <w:autoSpaceDN w:val="0"/>
        <w:adjustRightInd w:val="0"/>
        <w:spacing w:line="276" w:lineRule="auto"/>
        <w:ind w:firstLine="720"/>
        <w:jc w:val="both"/>
        <w:rPr>
          <w:rFonts w:ascii="MinionPro-Regular" w:hAnsi="MinionPro-Regular" w:cs="MinionPro-Regular"/>
          <w:sz w:val="20"/>
          <w:szCs w:val="20"/>
        </w:rPr>
      </w:pPr>
      <w:r w:rsidRPr="00A038BF">
        <w:rPr>
          <w:rFonts w:asciiTheme="majorBidi" w:hAnsiTheme="majorBidi" w:cstheme="majorBidi"/>
        </w:rPr>
        <w:t xml:space="preserve">An AHP model was implemented to determine the dependency of the result on the case studies and explore the system of values and weights of the criteria (Turskis et al., 2009). In this study, TOPSIS (Technique for Order of Preference by Similarity to </w:t>
      </w:r>
      <w:r w:rsidR="00721C59" w:rsidRPr="00A038BF">
        <w:rPr>
          <w:rFonts w:asciiTheme="majorBidi" w:hAnsiTheme="majorBidi" w:cstheme="majorBidi"/>
        </w:rPr>
        <w:t xml:space="preserve">Ideal Solution) </w:t>
      </w:r>
      <w:r w:rsidR="00076C93" w:rsidRPr="00A038BF">
        <w:rPr>
          <w:rFonts w:asciiTheme="majorBidi" w:hAnsiTheme="majorBidi" w:cstheme="majorBidi"/>
        </w:rPr>
        <w:t xml:space="preserve">was </w:t>
      </w:r>
      <w:r w:rsidR="00721C59" w:rsidRPr="00A038BF">
        <w:rPr>
          <w:rFonts w:asciiTheme="majorBidi" w:hAnsiTheme="majorBidi" w:cstheme="majorBidi"/>
        </w:rPr>
        <w:t>used to</w:t>
      </w:r>
      <w:r w:rsidRPr="00A038BF">
        <w:rPr>
          <w:rFonts w:asciiTheme="majorBidi" w:hAnsiTheme="majorBidi" w:cstheme="majorBidi"/>
        </w:rPr>
        <w:t xml:space="preserve"> characterize the </w:t>
      </w:r>
      <w:r w:rsidR="00076C93" w:rsidRPr="00A038BF">
        <w:rPr>
          <w:rFonts w:asciiTheme="majorBidi" w:hAnsiTheme="majorBidi" w:cstheme="majorBidi"/>
        </w:rPr>
        <w:t xml:space="preserve">most </w:t>
      </w:r>
      <w:r w:rsidR="00ED5F1B" w:rsidRPr="00A038BF">
        <w:rPr>
          <w:rFonts w:asciiTheme="majorBidi" w:hAnsiTheme="majorBidi" w:cstheme="majorBidi"/>
        </w:rPr>
        <w:t xml:space="preserve">appropriate material </w:t>
      </w:r>
      <w:r w:rsidR="00076C93" w:rsidRPr="00A038BF">
        <w:rPr>
          <w:rFonts w:asciiTheme="majorBidi" w:hAnsiTheme="majorBidi" w:cstheme="majorBidi"/>
        </w:rPr>
        <w:t>as</w:t>
      </w:r>
      <w:r w:rsidR="00ED5F1B" w:rsidRPr="00A038BF">
        <w:rPr>
          <w:rFonts w:asciiTheme="majorBidi" w:hAnsiTheme="majorBidi" w:cstheme="majorBidi"/>
        </w:rPr>
        <w:t xml:space="preserve"> the seven</w:t>
      </w:r>
      <w:r w:rsidRPr="00A038BF">
        <w:rPr>
          <w:rFonts w:asciiTheme="majorBidi" w:hAnsiTheme="majorBidi" w:cstheme="majorBidi"/>
        </w:rPr>
        <w:t xml:space="preserve"> parameters used different weights in the construction sector.</w:t>
      </w:r>
      <w:r w:rsidR="00ED5F1B" w:rsidRPr="00A038BF">
        <w:rPr>
          <w:rFonts w:asciiTheme="majorBidi" w:hAnsiTheme="majorBidi" w:cstheme="majorBidi"/>
        </w:rPr>
        <w:t xml:space="preserve"> </w:t>
      </w:r>
      <w:r w:rsidRPr="00A038BF">
        <w:rPr>
          <w:rFonts w:asciiTheme="majorBidi" w:hAnsiTheme="majorBidi" w:cstheme="majorBidi"/>
        </w:rPr>
        <w:t xml:space="preserve">There are sixty experts incorporated from three specific construction sectors: </w:t>
      </w:r>
      <w:r w:rsidR="007B437B" w:rsidRPr="00A038BF">
        <w:rPr>
          <w:rFonts w:asciiTheme="majorBidi" w:hAnsiTheme="majorBidi" w:cstheme="majorBidi"/>
        </w:rPr>
        <w:t xml:space="preserve">designer, industrial engineering, and construction manager </w:t>
      </w:r>
      <w:r w:rsidRPr="00A038BF">
        <w:rPr>
          <w:rFonts w:asciiTheme="majorBidi" w:hAnsiTheme="majorBidi" w:cstheme="majorBidi"/>
        </w:rPr>
        <w:t>who have experience in the renovation sector. The expert</w:t>
      </w:r>
      <w:r w:rsidR="00076C93" w:rsidRPr="00A038BF">
        <w:rPr>
          <w:rFonts w:asciiTheme="majorBidi" w:hAnsiTheme="majorBidi" w:cstheme="majorBidi"/>
        </w:rPr>
        <w:t>s</w:t>
      </w:r>
      <w:r w:rsidRPr="00A038BF">
        <w:rPr>
          <w:rFonts w:asciiTheme="majorBidi" w:hAnsiTheme="majorBidi" w:cstheme="majorBidi"/>
        </w:rPr>
        <w:t xml:space="preserve"> </w:t>
      </w:r>
      <w:r w:rsidR="00076C93" w:rsidRPr="00A038BF">
        <w:rPr>
          <w:rFonts w:asciiTheme="majorBidi" w:hAnsiTheme="majorBidi" w:cstheme="majorBidi"/>
        </w:rPr>
        <w:t xml:space="preserve">needed </w:t>
      </w:r>
      <w:r w:rsidRPr="00A038BF">
        <w:rPr>
          <w:rFonts w:asciiTheme="majorBidi" w:hAnsiTheme="majorBidi" w:cstheme="majorBidi"/>
        </w:rPr>
        <w:t xml:space="preserve">to choose between </w:t>
      </w:r>
      <w:r w:rsidR="00076C93" w:rsidRPr="00A038BF">
        <w:rPr>
          <w:rFonts w:asciiTheme="majorBidi" w:hAnsiTheme="majorBidi" w:cstheme="majorBidi"/>
        </w:rPr>
        <w:t xml:space="preserve">the </w:t>
      </w:r>
      <w:r w:rsidR="007B437B" w:rsidRPr="00A038BF">
        <w:rPr>
          <w:rFonts w:asciiTheme="majorBidi" w:hAnsiTheme="majorBidi" w:cstheme="majorBidi"/>
        </w:rPr>
        <w:t>seven</w:t>
      </w:r>
      <w:r w:rsidRPr="00A038BF">
        <w:rPr>
          <w:rFonts w:asciiTheme="majorBidi" w:hAnsiTheme="majorBidi" w:cstheme="majorBidi"/>
        </w:rPr>
        <w:t xml:space="preserve"> alternatives mentioned above. The questionnaire </w:t>
      </w:r>
      <w:r w:rsidR="00076C93" w:rsidRPr="00A038BF">
        <w:rPr>
          <w:rFonts w:asciiTheme="majorBidi" w:hAnsiTheme="majorBidi" w:cstheme="majorBidi"/>
        </w:rPr>
        <w:t xml:space="preserve">needed </w:t>
      </w:r>
      <w:r w:rsidRPr="00A038BF">
        <w:rPr>
          <w:rFonts w:asciiTheme="majorBidi" w:hAnsiTheme="majorBidi" w:cstheme="majorBidi"/>
        </w:rPr>
        <w:t xml:space="preserve">to be </w:t>
      </w:r>
      <w:r w:rsidR="00076C93" w:rsidRPr="00A038BF">
        <w:rPr>
          <w:rFonts w:asciiTheme="majorBidi" w:hAnsiTheme="majorBidi" w:cstheme="majorBidi"/>
        </w:rPr>
        <w:t>completed</w:t>
      </w:r>
      <w:r w:rsidRPr="00A038BF">
        <w:rPr>
          <w:rFonts w:asciiTheme="majorBidi" w:hAnsiTheme="majorBidi" w:cstheme="majorBidi"/>
        </w:rPr>
        <w:t xml:space="preserve"> by experts by giving weightings to their priorities. The</w:t>
      </w:r>
      <w:r w:rsidR="00076C93" w:rsidRPr="00A038BF">
        <w:rPr>
          <w:rFonts w:asciiTheme="majorBidi" w:hAnsiTheme="majorBidi" w:cstheme="majorBidi"/>
        </w:rPr>
        <w:t>ir</w:t>
      </w:r>
      <w:r w:rsidRPr="00A038BF">
        <w:rPr>
          <w:rFonts w:asciiTheme="majorBidi" w:hAnsiTheme="majorBidi" w:cstheme="majorBidi"/>
        </w:rPr>
        <w:t xml:space="preserve"> response</w:t>
      </w:r>
      <w:r w:rsidR="00076C93" w:rsidRPr="00A038BF">
        <w:rPr>
          <w:rFonts w:asciiTheme="majorBidi" w:hAnsiTheme="majorBidi" w:cstheme="majorBidi"/>
        </w:rPr>
        <w:t>s</w:t>
      </w:r>
      <w:r w:rsidRPr="00A038BF">
        <w:rPr>
          <w:rFonts w:asciiTheme="majorBidi" w:hAnsiTheme="majorBidi" w:cstheme="majorBidi"/>
        </w:rPr>
        <w:t xml:space="preserve"> </w:t>
      </w:r>
      <w:r w:rsidR="00076C93" w:rsidRPr="00A038BF">
        <w:rPr>
          <w:rFonts w:asciiTheme="majorBidi" w:hAnsiTheme="majorBidi" w:cstheme="majorBidi"/>
        </w:rPr>
        <w:t>were</w:t>
      </w:r>
      <w:r w:rsidRPr="00A038BF">
        <w:rPr>
          <w:rFonts w:asciiTheme="majorBidi" w:hAnsiTheme="majorBidi" w:cstheme="majorBidi"/>
        </w:rPr>
        <w:t xml:space="preserve"> analyzed </w:t>
      </w:r>
      <w:r w:rsidR="00076C93" w:rsidRPr="00A038BF">
        <w:rPr>
          <w:rFonts w:asciiTheme="majorBidi" w:hAnsiTheme="majorBidi" w:cstheme="majorBidi"/>
        </w:rPr>
        <w:t xml:space="preserve">using </w:t>
      </w:r>
      <w:r w:rsidRPr="00A038BF">
        <w:rPr>
          <w:rFonts w:asciiTheme="majorBidi" w:hAnsiTheme="majorBidi" w:cstheme="majorBidi"/>
        </w:rPr>
        <w:t>the Analytic Hierarchy Process (AHP) method, an essential tool for solving the problem.</w:t>
      </w:r>
      <w:r w:rsidR="00D675C5" w:rsidRPr="00A038BF">
        <w:rPr>
          <w:rFonts w:asciiTheme="majorBidi" w:hAnsiTheme="majorBidi" w:cstheme="majorBidi"/>
        </w:rPr>
        <w:t xml:space="preserve"> As we know, the AHP is used to derive the weights of criteria when they are independent and outer dependent by the upper-level criteria.</w:t>
      </w:r>
      <w:r w:rsidRPr="00A038BF">
        <w:rPr>
          <w:rFonts w:asciiTheme="majorBidi" w:hAnsiTheme="majorBidi" w:cstheme="majorBidi"/>
        </w:rPr>
        <w:t xml:space="preserve"> The comparisons were made </w:t>
      </w:r>
      <w:r w:rsidR="00995F31" w:rsidRPr="00A038BF">
        <w:rPr>
          <w:rFonts w:asciiTheme="majorBidi" w:hAnsiTheme="majorBidi" w:cstheme="majorBidi"/>
        </w:rPr>
        <w:t>using</w:t>
      </w:r>
      <w:r w:rsidRPr="00A038BF">
        <w:rPr>
          <w:rFonts w:asciiTheme="majorBidi" w:hAnsiTheme="majorBidi" w:cstheme="majorBidi"/>
        </w:rPr>
        <w:t xml:space="preserve"> a scale of outright discernment that indicates how much one component </w:t>
      </w:r>
      <w:r w:rsidR="007B437B" w:rsidRPr="00A038BF">
        <w:rPr>
          <w:rFonts w:asciiTheme="majorBidi" w:hAnsiTheme="majorBidi" w:cstheme="majorBidi"/>
        </w:rPr>
        <w:t>outweigh</w:t>
      </w:r>
      <w:r w:rsidRPr="00A038BF">
        <w:rPr>
          <w:rFonts w:asciiTheme="majorBidi" w:hAnsiTheme="majorBidi" w:cstheme="majorBidi"/>
        </w:rPr>
        <w:t xml:space="preserve"> another </w:t>
      </w:r>
      <w:r w:rsidR="00995F31" w:rsidRPr="00A038BF">
        <w:rPr>
          <w:rFonts w:asciiTheme="majorBidi" w:hAnsiTheme="majorBidi" w:cstheme="majorBidi"/>
        </w:rPr>
        <w:t xml:space="preserve">for </w:t>
      </w:r>
      <w:r w:rsidRPr="00A038BF">
        <w:rPr>
          <w:rFonts w:asciiTheme="majorBidi" w:hAnsiTheme="majorBidi" w:cstheme="majorBidi"/>
        </w:rPr>
        <w:t>a given attribute (Saaty, 2008).</w:t>
      </w:r>
      <w:r w:rsidR="00D675C5" w:rsidRPr="00A038BF">
        <w:rPr>
          <w:rFonts w:asciiTheme="majorBidi" w:hAnsiTheme="majorBidi" w:cstheme="majorBidi"/>
        </w:rPr>
        <w:t xml:space="preserve"> AHP is used to identify the global relative importance weights for different sustainability criteria and rank different alternative mass timber building systems.</w:t>
      </w:r>
      <w:r w:rsidRPr="00A038BF">
        <w:rPr>
          <w:rFonts w:asciiTheme="majorBidi" w:hAnsiTheme="majorBidi" w:cstheme="majorBidi"/>
        </w:rPr>
        <w:t xml:space="preserve"> The criteria and their corresponding weights (W) need to be placed in the pairwise comparison matrix</w:t>
      </w:r>
      <w:r w:rsidR="00995F31" w:rsidRPr="00A038BF">
        <w:rPr>
          <w:rFonts w:asciiTheme="majorBidi" w:hAnsiTheme="majorBidi" w:cstheme="majorBidi"/>
        </w:rPr>
        <w:t xml:space="preserve">, </w:t>
      </w:r>
      <w:r w:rsidRPr="00A038BF">
        <w:rPr>
          <w:rFonts w:asciiTheme="majorBidi" w:hAnsiTheme="majorBidi" w:cstheme="majorBidi"/>
        </w:rPr>
        <w:t xml:space="preserve">in line with Saaty (2008): </w:t>
      </w:r>
      <w:r w:rsidR="008714C5" w:rsidRPr="00A038BF">
        <w:rPr>
          <w:rFonts w:asciiTheme="majorBidi" w:eastAsia="Times New Roman" w:hAnsiTheme="majorBidi" w:cstheme="majorBidi"/>
        </w:rPr>
        <w:t xml:space="preserve">GWP </w:t>
      </w:r>
      <w:r w:rsidR="008714C5" w:rsidRPr="00A038BF">
        <w:rPr>
          <w:rFonts w:asciiTheme="majorBidi" w:hAnsiTheme="majorBidi" w:cstheme="majorBidi"/>
        </w:rPr>
        <w:t>(Y1),</w:t>
      </w:r>
      <w:r w:rsidR="008714C5" w:rsidRPr="00A038BF">
        <w:rPr>
          <w:rFonts w:asciiTheme="majorBidi" w:eastAsia="Times New Roman" w:hAnsiTheme="majorBidi" w:cstheme="majorBidi"/>
        </w:rPr>
        <w:t xml:space="preserve"> ODP </w:t>
      </w:r>
      <w:r w:rsidR="008714C5" w:rsidRPr="00A038BF">
        <w:rPr>
          <w:rFonts w:asciiTheme="majorBidi" w:hAnsiTheme="majorBidi" w:cstheme="majorBidi"/>
        </w:rPr>
        <w:t>(Y2)</w:t>
      </w:r>
      <w:r w:rsidR="008714C5" w:rsidRPr="00A038BF">
        <w:rPr>
          <w:rFonts w:asciiTheme="majorBidi" w:eastAsia="Times New Roman" w:hAnsiTheme="majorBidi" w:cstheme="majorBidi"/>
        </w:rPr>
        <w:t xml:space="preserve">, AP </w:t>
      </w:r>
      <w:r w:rsidR="008714C5" w:rsidRPr="00A038BF">
        <w:rPr>
          <w:rFonts w:asciiTheme="majorBidi" w:hAnsiTheme="majorBidi" w:cstheme="majorBidi"/>
        </w:rPr>
        <w:t>(Y3)</w:t>
      </w:r>
      <w:r w:rsidR="008714C5" w:rsidRPr="00A038BF">
        <w:rPr>
          <w:rFonts w:asciiTheme="majorBidi" w:eastAsia="Times New Roman" w:hAnsiTheme="majorBidi" w:cstheme="majorBidi"/>
        </w:rPr>
        <w:t xml:space="preserve">, TE </w:t>
      </w:r>
      <w:r w:rsidR="008714C5" w:rsidRPr="00A038BF">
        <w:rPr>
          <w:rFonts w:asciiTheme="majorBidi" w:hAnsiTheme="majorBidi" w:cstheme="majorBidi"/>
        </w:rPr>
        <w:t>(Y4)</w:t>
      </w:r>
      <w:r w:rsidR="008714C5" w:rsidRPr="00A038BF">
        <w:rPr>
          <w:rFonts w:asciiTheme="majorBidi" w:eastAsia="Times New Roman" w:hAnsiTheme="majorBidi" w:cstheme="majorBidi"/>
        </w:rPr>
        <w:t xml:space="preserve">, FD </w:t>
      </w:r>
      <w:r w:rsidR="008714C5" w:rsidRPr="00A038BF">
        <w:rPr>
          <w:rFonts w:asciiTheme="majorBidi" w:hAnsiTheme="majorBidi" w:cstheme="majorBidi"/>
        </w:rPr>
        <w:t>(Y5)</w:t>
      </w:r>
      <w:r w:rsidR="008714C5" w:rsidRPr="00A038BF">
        <w:rPr>
          <w:rFonts w:asciiTheme="majorBidi" w:eastAsia="Times New Roman" w:hAnsiTheme="majorBidi" w:cstheme="majorBidi"/>
        </w:rPr>
        <w:t xml:space="preserve">, </w:t>
      </w:r>
      <w:r w:rsidR="008714C5" w:rsidRPr="00A038BF">
        <w:rPr>
          <w:rFonts w:asciiTheme="majorBidi" w:hAnsiTheme="majorBidi" w:cstheme="majorBidi"/>
        </w:rPr>
        <w:t>Embodied energy (Y6</w:t>
      </w:r>
      <w:r w:rsidRPr="00A038BF">
        <w:rPr>
          <w:rFonts w:asciiTheme="majorBidi" w:hAnsiTheme="majorBidi" w:cstheme="majorBidi"/>
        </w:rPr>
        <w:t xml:space="preserve">), </w:t>
      </w:r>
      <w:r w:rsidR="008714C5" w:rsidRPr="00A038BF">
        <w:rPr>
          <w:rFonts w:asciiTheme="majorBidi" w:hAnsiTheme="majorBidi" w:cstheme="majorBidi"/>
        </w:rPr>
        <w:t>and LCC (Y7</w:t>
      </w:r>
      <w:r w:rsidR="0073037B" w:rsidRPr="00A038BF">
        <w:rPr>
          <w:rFonts w:asciiTheme="majorBidi" w:hAnsiTheme="majorBidi" w:cstheme="majorBidi"/>
        </w:rPr>
        <w:t>). Table 1</w:t>
      </w:r>
      <w:r w:rsidRPr="00A038BF">
        <w:rPr>
          <w:rFonts w:asciiTheme="majorBidi" w:hAnsiTheme="majorBidi" w:cstheme="majorBidi"/>
        </w:rPr>
        <w:t xml:space="preserve"> illustrates the pairwise comparison matrix.</w:t>
      </w:r>
      <w:r w:rsidRPr="00A038BF">
        <w:rPr>
          <w:rFonts w:asciiTheme="majorBidi" w:hAnsiTheme="majorBidi" w:cstheme="majorBidi"/>
          <w:strike/>
          <w:u w:val="single"/>
        </w:rPr>
        <w:t xml:space="preserve"> </w:t>
      </w:r>
    </w:p>
    <w:p w14:paraId="1D086902" w14:textId="0099F292" w:rsidR="00F433FA" w:rsidRPr="00A038BF" w:rsidRDefault="0073037B" w:rsidP="00F433FA">
      <w:pPr>
        <w:autoSpaceDE w:val="0"/>
        <w:autoSpaceDN w:val="0"/>
        <w:adjustRightInd w:val="0"/>
        <w:spacing w:after="0" w:line="276" w:lineRule="auto"/>
        <w:ind w:left="900" w:firstLine="720"/>
        <w:rPr>
          <w:rFonts w:asciiTheme="majorBidi" w:hAnsiTheme="majorBidi" w:cstheme="majorBidi"/>
          <w:sz w:val="18"/>
          <w:szCs w:val="18"/>
        </w:rPr>
      </w:pPr>
      <w:r w:rsidRPr="00A038BF">
        <w:rPr>
          <w:rFonts w:asciiTheme="majorBidi" w:hAnsiTheme="majorBidi" w:cstheme="majorBidi"/>
          <w:sz w:val="18"/>
          <w:szCs w:val="18"/>
        </w:rPr>
        <w:t>Table 1</w:t>
      </w:r>
      <w:r w:rsidR="00F433FA" w:rsidRPr="00A038BF">
        <w:rPr>
          <w:rFonts w:asciiTheme="majorBidi" w:hAnsiTheme="majorBidi" w:cstheme="majorBidi"/>
          <w:sz w:val="18"/>
          <w:szCs w:val="18"/>
        </w:rPr>
        <w:t xml:space="preserve">. Comparison matrix </w:t>
      </w:r>
    </w:p>
    <w:p w14:paraId="66B1231A" w14:textId="77777777" w:rsidR="00580BE8" w:rsidRPr="00A038BF" w:rsidRDefault="00580BE8" w:rsidP="00580BE8">
      <w:pPr>
        <w:autoSpaceDE w:val="0"/>
        <w:autoSpaceDN w:val="0"/>
        <w:adjustRightInd w:val="0"/>
        <w:spacing w:after="0" w:line="276" w:lineRule="auto"/>
        <w:ind w:left="90"/>
        <w:jc w:val="center"/>
        <w:rPr>
          <w:rFonts w:asciiTheme="majorBidi" w:hAnsiTheme="majorBidi" w:cstheme="majorBidi"/>
        </w:rPr>
      </w:pPr>
      <w:r w:rsidRPr="00A038BF">
        <w:rPr>
          <w:rFonts w:asciiTheme="majorBidi" w:hAnsiTheme="majorBidi" w:cstheme="majorBidi"/>
          <w:noProof/>
        </w:rPr>
        <w:drawing>
          <wp:inline distT="0" distB="0" distL="0" distR="0" wp14:anchorId="13A23052" wp14:editId="50248684">
            <wp:extent cx="4167601" cy="1274142"/>
            <wp:effectExtent l="0" t="0" r="4445" b="2540"/>
            <wp:docPr id="12" name="Picture 12" descr="C:\Users\Ali\Desktop\Screenshot 2021-10-29 1117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li\Desktop\Screenshot 2021-10-29 11174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6579" cy="1289116"/>
                    </a:xfrm>
                    <a:prstGeom prst="rect">
                      <a:avLst/>
                    </a:prstGeom>
                    <a:noFill/>
                    <a:ln>
                      <a:noFill/>
                    </a:ln>
                  </pic:spPr>
                </pic:pic>
              </a:graphicData>
            </a:graphic>
          </wp:inline>
        </w:drawing>
      </w:r>
    </w:p>
    <w:p w14:paraId="349C912F" w14:textId="1015EAD9" w:rsidR="00F433FA" w:rsidRPr="00A038BF" w:rsidRDefault="00F433FA" w:rsidP="00781A81">
      <w:pPr>
        <w:autoSpaceDE w:val="0"/>
        <w:autoSpaceDN w:val="0"/>
        <w:adjustRightInd w:val="0"/>
        <w:spacing w:before="240" w:line="276" w:lineRule="auto"/>
        <w:ind w:firstLine="720"/>
        <w:jc w:val="both"/>
        <w:rPr>
          <w:rFonts w:asciiTheme="majorBidi" w:hAnsiTheme="majorBidi" w:cstheme="majorBidi"/>
        </w:rPr>
      </w:pPr>
      <w:r w:rsidRPr="00A038BF">
        <w:rPr>
          <w:rFonts w:asciiTheme="majorBidi" w:hAnsiTheme="majorBidi" w:cstheme="majorBidi"/>
        </w:rPr>
        <w:t xml:space="preserve">Since </w:t>
      </w:r>
      <w:r w:rsidR="005521FB" w:rsidRPr="00A038BF">
        <w:rPr>
          <w:rFonts w:asciiTheme="majorBidi" w:hAnsiTheme="majorBidi" w:cstheme="majorBidi"/>
        </w:rPr>
        <w:t xml:space="preserve">the importance of </w:t>
      </w:r>
      <w:r w:rsidRPr="00A038BF">
        <w:rPr>
          <w:rFonts w:asciiTheme="majorBidi" w:hAnsiTheme="majorBidi" w:cstheme="majorBidi"/>
        </w:rPr>
        <w:t xml:space="preserve">each criterion </w:t>
      </w:r>
      <w:r w:rsidR="005521FB" w:rsidRPr="00A038BF">
        <w:rPr>
          <w:rFonts w:asciiTheme="majorBidi" w:hAnsiTheme="majorBidi" w:cstheme="majorBidi"/>
        </w:rPr>
        <w:t xml:space="preserve">is </w:t>
      </w:r>
      <w:r w:rsidRPr="00A038BF">
        <w:rPr>
          <w:rFonts w:asciiTheme="majorBidi" w:hAnsiTheme="majorBidi" w:cstheme="majorBidi"/>
        </w:rPr>
        <w:t xml:space="preserve">different and </w:t>
      </w:r>
      <w:r w:rsidR="005521FB" w:rsidRPr="00A038BF">
        <w:rPr>
          <w:rFonts w:asciiTheme="majorBidi" w:hAnsiTheme="majorBidi" w:cstheme="majorBidi"/>
        </w:rPr>
        <w:t xml:space="preserve">has a </w:t>
      </w:r>
      <w:r w:rsidRPr="00A038BF">
        <w:rPr>
          <w:rFonts w:asciiTheme="majorBidi" w:hAnsiTheme="majorBidi" w:cstheme="majorBidi"/>
        </w:rPr>
        <w:t xml:space="preserve">distinctive value, </w:t>
      </w:r>
      <w:r w:rsidR="005521FB" w:rsidRPr="00A038BF">
        <w:rPr>
          <w:rFonts w:asciiTheme="majorBidi" w:hAnsiTheme="majorBidi" w:cstheme="majorBidi"/>
        </w:rPr>
        <w:t>analysis of expert opinion</w:t>
      </w:r>
      <w:r w:rsidRPr="00A038BF">
        <w:rPr>
          <w:rFonts w:asciiTheme="majorBidi" w:hAnsiTheme="majorBidi" w:cstheme="majorBidi"/>
        </w:rPr>
        <w:t xml:space="preserve"> </w:t>
      </w:r>
      <w:r w:rsidR="005521FB" w:rsidRPr="00A038BF">
        <w:rPr>
          <w:rFonts w:asciiTheme="majorBidi" w:hAnsiTheme="majorBidi" w:cstheme="majorBidi"/>
        </w:rPr>
        <w:t>using</w:t>
      </w:r>
      <w:r w:rsidRPr="00A038BF">
        <w:rPr>
          <w:rFonts w:asciiTheme="majorBidi" w:hAnsiTheme="majorBidi" w:cstheme="majorBidi"/>
        </w:rPr>
        <w:t xml:space="preserve"> the AHP method </w:t>
      </w:r>
      <w:r w:rsidR="00721C59" w:rsidRPr="00A038BF">
        <w:rPr>
          <w:rFonts w:asciiTheme="majorBidi" w:hAnsiTheme="majorBidi" w:cstheme="majorBidi"/>
        </w:rPr>
        <w:t xml:space="preserve">involves </w:t>
      </w:r>
      <w:r w:rsidR="005521FB" w:rsidRPr="00A038BF">
        <w:rPr>
          <w:rFonts w:asciiTheme="majorBidi" w:hAnsiTheme="majorBidi" w:cstheme="majorBidi"/>
        </w:rPr>
        <w:t>the allocation of</w:t>
      </w:r>
      <w:r w:rsidR="00781A81" w:rsidRPr="00A038BF">
        <w:rPr>
          <w:rFonts w:asciiTheme="majorBidi" w:hAnsiTheme="majorBidi" w:cstheme="majorBidi"/>
        </w:rPr>
        <w:t xml:space="preserve"> weights</w:t>
      </w:r>
      <w:r w:rsidRPr="00A038BF">
        <w:rPr>
          <w:rFonts w:asciiTheme="majorBidi" w:hAnsiTheme="majorBidi" w:cstheme="majorBidi"/>
        </w:rPr>
        <w:t xml:space="preserve"> to </w:t>
      </w:r>
      <w:r w:rsidR="005521FB" w:rsidRPr="00A038BF">
        <w:rPr>
          <w:rFonts w:asciiTheme="majorBidi" w:hAnsiTheme="majorBidi" w:cstheme="majorBidi"/>
        </w:rPr>
        <w:t xml:space="preserve">highlight </w:t>
      </w:r>
      <w:r w:rsidRPr="00A038BF">
        <w:rPr>
          <w:rFonts w:asciiTheme="majorBidi" w:hAnsiTheme="majorBidi" w:cstheme="majorBidi"/>
        </w:rPr>
        <w:t xml:space="preserve">the </w:t>
      </w:r>
      <w:r w:rsidR="00781A81" w:rsidRPr="00A038BF">
        <w:rPr>
          <w:rFonts w:asciiTheme="majorBidi" w:hAnsiTheme="majorBidi" w:cstheme="majorBidi"/>
        </w:rPr>
        <w:t>significanc</w:t>
      </w:r>
      <w:r w:rsidR="005521FB" w:rsidRPr="00A038BF">
        <w:rPr>
          <w:rFonts w:asciiTheme="majorBidi" w:hAnsiTheme="majorBidi" w:cstheme="majorBidi"/>
        </w:rPr>
        <w:t>e</w:t>
      </w:r>
      <w:r w:rsidRPr="00A038BF">
        <w:rPr>
          <w:rFonts w:asciiTheme="majorBidi" w:hAnsiTheme="majorBidi" w:cstheme="majorBidi"/>
        </w:rPr>
        <w:t xml:space="preserve"> of each criterion. To </w:t>
      </w:r>
      <w:r w:rsidR="005521FB" w:rsidRPr="00A038BF">
        <w:rPr>
          <w:rFonts w:asciiTheme="majorBidi" w:hAnsiTheme="majorBidi" w:cstheme="majorBidi"/>
        </w:rPr>
        <w:t xml:space="preserve">determine </w:t>
      </w:r>
      <w:r w:rsidRPr="00A038BF">
        <w:rPr>
          <w:rFonts w:asciiTheme="majorBidi" w:hAnsiTheme="majorBidi" w:cstheme="majorBidi"/>
        </w:rPr>
        <w:t>the weight</w:t>
      </w:r>
      <w:r w:rsidR="00781A81" w:rsidRPr="00A038BF">
        <w:rPr>
          <w:rFonts w:asciiTheme="majorBidi" w:hAnsiTheme="majorBidi" w:cstheme="majorBidi"/>
        </w:rPr>
        <w:t xml:space="preserve"> for differ</w:t>
      </w:r>
      <w:r w:rsidR="005521FB" w:rsidRPr="00A038BF">
        <w:rPr>
          <w:rFonts w:asciiTheme="majorBidi" w:hAnsiTheme="majorBidi" w:cstheme="majorBidi"/>
        </w:rPr>
        <w:t>e</w:t>
      </w:r>
      <w:r w:rsidR="00781A81" w:rsidRPr="00A038BF">
        <w:rPr>
          <w:rFonts w:asciiTheme="majorBidi" w:hAnsiTheme="majorBidi" w:cstheme="majorBidi"/>
        </w:rPr>
        <w:t>nt</w:t>
      </w:r>
      <w:r w:rsidRPr="00A038BF">
        <w:rPr>
          <w:rFonts w:asciiTheme="majorBidi" w:hAnsiTheme="majorBidi" w:cstheme="majorBidi"/>
        </w:rPr>
        <w:t xml:space="preserve"> criteria </w:t>
      </w:r>
      <w:r w:rsidR="005521FB" w:rsidRPr="00A038BF">
        <w:rPr>
          <w:rFonts w:asciiTheme="majorBidi" w:hAnsiTheme="majorBidi" w:cstheme="majorBidi"/>
        </w:rPr>
        <w:t xml:space="preserve">for </w:t>
      </w:r>
      <w:r w:rsidRPr="00A038BF">
        <w:rPr>
          <w:rFonts w:asciiTheme="majorBidi" w:hAnsiTheme="majorBidi" w:cstheme="majorBidi"/>
        </w:rPr>
        <w:t xml:space="preserve">each of the </w:t>
      </w:r>
      <w:r w:rsidR="00781A81" w:rsidRPr="00A038BF">
        <w:rPr>
          <w:rFonts w:asciiTheme="majorBidi" w:hAnsiTheme="majorBidi" w:cstheme="majorBidi"/>
        </w:rPr>
        <w:t>seven</w:t>
      </w:r>
      <w:r w:rsidRPr="00A038BF">
        <w:rPr>
          <w:rFonts w:asciiTheme="majorBidi" w:hAnsiTheme="majorBidi" w:cstheme="majorBidi"/>
        </w:rPr>
        <w:t xml:space="preserve"> different scales, three different </w:t>
      </w:r>
      <w:r w:rsidR="005521FB" w:rsidRPr="00A038BF">
        <w:rPr>
          <w:rFonts w:asciiTheme="majorBidi" w:hAnsiTheme="majorBidi" w:cstheme="majorBidi"/>
        </w:rPr>
        <w:t xml:space="preserve">categories </w:t>
      </w:r>
      <w:r w:rsidRPr="00A038BF">
        <w:rPr>
          <w:rFonts w:asciiTheme="majorBidi" w:hAnsiTheme="majorBidi" w:cstheme="majorBidi"/>
        </w:rPr>
        <w:t xml:space="preserve">of expert were selected (based on the AHP technique and Saaty's evaluation). The experts were design engineers, </w:t>
      </w:r>
      <w:r w:rsidR="00781A81" w:rsidRPr="00A038BF">
        <w:rPr>
          <w:rFonts w:asciiTheme="majorBidi" w:hAnsiTheme="majorBidi" w:cstheme="majorBidi"/>
        </w:rPr>
        <w:t>designer</w:t>
      </w:r>
      <w:r w:rsidR="005521FB" w:rsidRPr="00A038BF">
        <w:rPr>
          <w:rFonts w:asciiTheme="majorBidi" w:hAnsiTheme="majorBidi" w:cstheme="majorBidi"/>
        </w:rPr>
        <w:t>s</w:t>
      </w:r>
      <w:r w:rsidRPr="00A038BF">
        <w:rPr>
          <w:rFonts w:asciiTheme="majorBidi" w:hAnsiTheme="majorBidi" w:cstheme="majorBidi"/>
        </w:rPr>
        <w:t xml:space="preserve">, and construction managers who </w:t>
      </w:r>
      <w:r w:rsidR="005521FB" w:rsidRPr="00A038BF">
        <w:rPr>
          <w:rFonts w:asciiTheme="majorBidi" w:hAnsiTheme="majorBidi" w:cstheme="majorBidi"/>
        </w:rPr>
        <w:t xml:space="preserve">worked </w:t>
      </w:r>
      <w:r w:rsidR="00781A81" w:rsidRPr="00A038BF">
        <w:rPr>
          <w:rFonts w:asciiTheme="majorBidi" w:hAnsiTheme="majorBidi" w:cstheme="majorBidi"/>
        </w:rPr>
        <w:t xml:space="preserve">and cooperated in </w:t>
      </w:r>
      <w:r w:rsidR="005521FB" w:rsidRPr="00A038BF">
        <w:rPr>
          <w:rFonts w:asciiTheme="majorBidi" w:hAnsiTheme="majorBidi" w:cstheme="majorBidi"/>
        </w:rPr>
        <w:t xml:space="preserve">the </w:t>
      </w:r>
      <w:r w:rsidR="00781A81" w:rsidRPr="00A038BF">
        <w:rPr>
          <w:rFonts w:asciiTheme="majorBidi" w:hAnsiTheme="majorBidi" w:cstheme="majorBidi"/>
        </w:rPr>
        <w:t xml:space="preserve">timber industry. </w:t>
      </w:r>
      <w:r w:rsidRPr="00A038BF">
        <w:rPr>
          <w:rFonts w:asciiTheme="majorBidi" w:hAnsiTheme="majorBidi" w:cstheme="majorBidi"/>
        </w:rPr>
        <w:t xml:space="preserve">The purpose of the survey was to investigate which of the four different scales and their related weightings might </w:t>
      </w:r>
      <w:r w:rsidR="005521FB" w:rsidRPr="00A038BF">
        <w:rPr>
          <w:rFonts w:asciiTheme="majorBidi" w:hAnsiTheme="majorBidi" w:cstheme="majorBidi"/>
        </w:rPr>
        <w:t>influence</w:t>
      </w:r>
      <w:r w:rsidRPr="00A038BF">
        <w:rPr>
          <w:rFonts w:asciiTheme="majorBidi" w:hAnsiTheme="majorBidi" w:cstheme="majorBidi"/>
        </w:rPr>
        <w:t xml:space="preserve"> MCDM outcomes. The relative significance scale ranged from one to nine (the most extreme). It is worth mentioning that the computed Consistency Ratio (CR) must be not more than 0.1 to ensure the consistency of the comparison framework. </w:t>
      </w:r>
    </w:p>
    <w:p w14:paraId="757A91C3" w14:textId="08B59AE3" w:rsidR="00F433FA" w:rsidRPr="00A038BF" w:rsidRDefault="005521FB" w:rsidP="00F433FA">
      <w:pPr>
        <w:autoSpaceDE w:val="0"/>
        <w:autoSpaceDN w:val="0"/>
        <w:adjustRightInd w:val="0"/>
        <w:spacing w:after="0" w:line="276" w:lineRule="auto"/>
        <w:ind w:firstLine="720"/>
        <w:jc w:val="both"/>
        <w:rPr>
          <w:rFonts w:asciiTheme="majorBidi" w:hAnsiTheme="majorBidi" w:cstheme="majorBidi"/>
        </w:rPr>
      </w:pPr>
      <w:r w:rsidRPr="00A038BF">
        <w:rPr>
          <w:rFonts w:asciiTheme="majorBidi" w:hAnsiTheme="majorBidi" w:cstheme="majorBidi"/>
        </w:rPr>
        <w:t xml:space="preserve">The </w:t>
      </w:r>
      <w:r w:rsidR="00F433FA" w:rsidRPr="00A038BF">
        <w:rPr>
          <w:rFonts w:asciiTheme="majorBidi" w:hAnsiTheme="majorBidi" w:cstheme="majorBidi"/>
        </w:rPr>
        <w:t xml:space="preserve">TOPSIS method </w:t>
      </w:r>
      <w:r w:rsidRPr="00A038BF">
        <w:rPr>
          <w:rFonts w:asciiTheme="majorBidi" w:hAnsiTheme="majorBidi" w:cstheme="majorBidi"/>
        </w:rPr>
        <w:t xml:space="preserve">was </w:t>
      </w:r>
      <w:r w:rsidR="00F433FA" w:rsidRPr="00A038BF">
        <w:rPr>
          <w:rFonts w:asciiTheme="majorBidi" w:hAnsiTheme="majorBidi" w:cstheme="majorBidi"/>
        </w:rPr>
        <w:t xml:space="preserve">developed to define the concept of </w:t>
      </w:r>
      <w:r w:rsidRPr="00A038BF">
        <w:rPr>
          <w:rFonts w:asciiTheme="majorBidi" w:hAnsiTheme="majorBidi" w:cstheme="majorBidi"/>
        </w:rPr>
        <w:t>suitable</w:t>
      </w:r>
      <w:r w:rsidR="00F433FA" w:rsidRPr="00A038BF">
        <w:rPr>
          <w:rFonts w:asciiTheme="majorBidi" w:hAnsiTheme="majorBidi" w:cstheme="majorBidi"/>
        </w:rPr>
        <w:t xml:space="preserve"> alternatives when faced with a complicated decision. </w:t>
      </w:r>
      <w:r w:rsidRPr="00A038BF">
        <w:rPr>
          <w:rFonts w:asciiTheme="majorBidi" w:hAnsiTheme="majorBidi" w:cstheme="majorBidi"/>
        </w:rPr>
        <w:t>C</w:t>
      </w:r>
      <w:r w:rsidR="00F433FA" w:rsidRPr="00A038BF">
        <w:rPr>
          <w:rFonts w:asciiTheme="majorBidi" w:hAnsiTheme="majorBidi" w:cstheme="majorBidi"/>
        </w:rPr>
        <w:t xml:space="preserve">hoosing </w:t>
      </w:r>
      <w:r w:rsidRPr="00A038BF">
        <w:rPr>
          <w:rFonts w:asciiTheme="majorBidi" w:hAnsiTheme="majorBidi" w:cstheme="majorBidi"/>
        </w:rPr>
        <w:t xml:space="preserve">a </w:t>
      </w:r>
      <w:r w:rsidR="00F433FA" w:rsidRPr="00A038BF">
        <w:rPr>
          <w:rFonts w:asciiTheme="majorBidi" w:hAnsiTheme="majorBidi" w:cstheme="majorBidi"/>
        </w:rPr>
        <w:t xml:space="preserve">process or product needs to be based on the shortest distance considering the positive ideal solution. On the other hand, the alternative should </w:t>
      </w:r>
      <w:r w:rsidRPr="00A038BF">
        <w:rPr>
          <w:rFonts w:asciiTheme="majorBidi" w:hAnsiTheme="majorBidi" w:cstheme="majorBidi"/>
        </w:rPr>
        <w:t>be</w:t>
      </w:r>
      <w:r w:rsidR="00F433FA" w:rsidRPr="00A038BF">
        <w:rPr>
          <w:rFonts w:asciiTheme="majorBidi" w:hAnsiTheme="majorBidi" w:cstheme="majorBidi"/>
        </w:rPr>
        <w:t xml:space="preserve"> f</w:t>
      </w:r>
      <w:r w:rsidRPr="00A038BF">
        <w:rPr>
          <w:rFonts w:asciiTheme="majorBidi" w:hAnsiTheme="majorBidi" w:cstheme="majorBidi"/>
        </w:rPr>
        <w:t>u</w:t>
      </w:r>
      <w:r w:rsidR="00F433FA" w:rsidRPr="00A038BF">
        <w:rPr>
          <w:rFonts w:asciiTheme="majorBidi" w:hAnsiTheme="majorBidi" w:cstheme="majorBidi"/>
        </w:rPr>
        <w:t>rthe</w:t>
      </w:r>
      <w:r w:rsidRPr="00A038BF">
        <w:rPr>
          <w:rFonts w:asciiTheme="majorBidi" w:hAnsiTheme="majorBidi" w:cstheme="majorBidi"/>
        </w:rPr>
        <w:t>re</w:t>
      </w:r>
      <w:r w:rsidR="00F433FA" w:rsidRPr="00A038BF">
        <w:rPr>
          <w:rFonts w:asciiTheme="majorBidi" w:hAnsiTheme="majorBidi" w:cstheme="majorBidi"/>
        </w:rPr>
        <w:t xml:space="preserve">st from the negative ideal solution to solve the decision-making process. The TOPSIS method followed the following six steps. The first step is to normalize the decision matrix to calculate </w:t>
      </w: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ij</m:t>
            </m:r>
          </m:sub>
        </m:sSub>
      </m:oMath>
      <w:r w:rsidR="00C30AC5" w:rsidRPr="00A038BF">
        <w:rPr>
          <w:rFonts w:asciiTheme="majorBidi" w:eastAsiaTheme="minorEastAsia" w:hAnsiTheme="majorBidi" w:cstheme="majorBidi"/>
        </w:rPr>
        <w:t>f</w:t>
      </w:r>
      <w:r w:rsidR="00F433FA" w:rsidRPr="00A038BF">
        <w:rPr>
          <w:rFonts w:asciiTheme="majorBidi" w:eastAsiaTheme="minorEastAsia" w:hAnsiTheme="majorBidi" w:cstheme="majorBidi"/>
        </w:rPr>
        <w:t xml:space="preserve">ollowing equation 2. </w:t>
      </w:r>
    </w:p>
    <w:p w14:paraId="7A36CFEF" w14:textId="77777777" w:rsidR="00F433FA" w:rsidRPr="00A038BF" w:rsidRDefault="008E67B0" w:rsidP="00F433FA">
      <w:pPr>
        <w:tabs>
          <w:tab w:val="left" w:pos="7830"/>
        </w:tabs>
        <w:ind w:left="540"/>
      </w:pPr>
      <m:oMath>
        <m:sSub>
          <m:sSubPr>
            <m:ctrlPr>
              <w:rPr>
                <w:rFonts w:ascii="Cambria Math" w:hAnsi="Cambria Math" w:cstheme="majorBidi"/>
                <w:i/>
              </w:rPr>
            </m:ctrlPr>
          </m:sSubPr>
          <m:e>
            <m:r>
              <w:rPr>
                <w:rFonts w:ascii="Cambria Math" w:hAnsi="Cambria Math" w:cstheme="majorBidi"/>
              </w:rPr>
              <m:t>r</m:t>
            </m:r>
          </m:e>
          <m:sub>
            <m:r>
              <w:rPr>
                <w:rFonts w:ascii="Cambria Math" w:hAnsi="Cambria Math" w:cstheme="majorBidi"/>
              </w:rPr>
              <m:t>ij</m:t>
            </m:r>
          </m:sub>
        </m:sSub>
        <m:r>
          <w:rPr>
            <w:rFonts w:ascii="Cambria Math" w:eastAsiaTheme="minorEastAsia" w:hAnsi="Cambria Math"/>
          </w:rPr>
          <m:t>=</m:t>
        </m:r>
        <m:f>
          <m:fPr>
            <m:ctrlPr>
              <w:rPr>
                <w:rFonts w:ascii="Cambria Math" w:eastAsiaTheme="minorEastAsia" w:hAnsi="Cambria Math"/>
              </w:rPr>
            </m:ctrlPr>
          </m:fPr>
          <m:num>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num>
          <m:den>
            <m:nary>
              <m:naryPr>
                <m:chr m:val="∑"/>
                <m:limLoc m:val="undOvr"/>
                <m:ctrlPr>
                  <w:rPr>
                    <w:rFonts w:ascii="Cambria Math" w:hAnsi="Cambria Math" w:cstheme="majorBidi"/>
                    <w:i/>
                  </w:rPr>
                </m:ctrlPr>
              </m:naryPr>
              <m:sub>
                <m:r>
                  <w:rPr>
                    <w:rFonts w:ascii="Cambria Math" w:hAnsi="Cambria Math" w:cstheme="majorBidi"/>
                  </w:rPr>
                  <m:t>i=1</m:t>
                </m:r>
              </m:sub>
              <m:sup>
                <m:r>
                  <w:rPr>
                    <w:rFonts w:ascii="Cambria Math" w:hAnsi="Cambria Math" w:cstheme="majorBidi"/>
                  </w:rPr>
                  <m:t>n</m:t>
                </m:r>
              </m:sup>
              <m:e>
                <m:sSubSup>
                  <m:sSubSupPr>
                    <m:ctrlPr>
                      <w:rPr>
                        <w:rFonts w:ascii="Cambria Math" w:hAnsi="Cambria Math" w:cstheme="majorBidi"/>
                        <w:i/>
                      </w:rPr>
                    </m:ctrlPr>
                  </m:sSubSupPr>
                  <m:e>
                    <m:r>
                      <w:rPr>
                        <w:rFonts w:ascii="Cambria Math" w:hAnsi="Cambria Math" w:cstheme="majorBidi"/>
                      </w:rPr>
                      <m:t>X</m:t>
                    </m:r>
                  </m:e>
                  <m:sub>
                    <m:r>
                      <w:rPr>
                        <w:rFonts w:ascii="Cambria Math" w:hAnsi="Cambria Math" w:cstheme="majorBidi"/>
                      </w:rPr>
                      <m:t>ij</m:t>
                    </m:r>
                  </m:sub>
                  <m:sup>
                    <m:r>
                      <w:rPr>
                        <w:rFonts w:ascii="Cambria Math" w:hAnsi="Cambria Math" w:cstheme="majorBidi"/>
                      </w:rPr>
                      <m:t>2</m:t>
                    </m:r>
                  </m:sup>
                </m:sSubSup>
              </m:e>
            </m:nary>
          </m:den>
        </m:f>
      </m:oMath>
      <w:r w:rsidR="00F433FA" w:rsidRPr="00A038BF">
        <w:t xml:space="preserve">                                                                                                                     </w:t>
      </w:r>
      <w:r w:rsidR="00F433FA" w:rsidRPr="00A038BF">
        <w:rPr>
          <w:rFonts w:asciiTheme="majorBidi" w:hAnsiTheme="majorBidi" w:cstheme="majorBidi"/>
          <w:sz w:val="8"/>
          <w:szCs w:val="8"/>
        </w:rPr>
        <w:t xml:space="preserve">                 </w:t>
      </w:r>
      <w:r w:rsidR="00F433FA" w:rsidRPr="00A038BF">
        <w:rPr>
          <w:rFonts w:asciiTheme="majorBidi" w:hAnsiTheme="majorBidi" w:cstheme="majorBidi"/>
        </w:rPr>
        <w:t>Equation (2)</w:t>
      </w:r>
      <w:r w:rsidR="00F433FA" w:rsidRPr="00A038BF">
        <w:rPr>
          <w:rFonts w:asciiTheme="majorBidi" w:hAnsiTheme="majorBidi" w:cstheme="majorBidi"/>
          <w:sz w:val="8"/>
          <w:szCs w:val="8"/>
        </w:rPr>
        <w:t xml:space="preserve">                                                                                                                                                </w:t>
      </w:r>
    </w:p>
    <w:p w14:paraId="23D40BD2" w14:textId="7115D89D" w:rsidR="00F433FA" w:rsidRPr="00A038BF" w:rsidRDefault="00F433FA" w:rsidP="00E93B9A">
      <w:pPr>
        <w:autoSpaceDE w:val="0"/>
        <w:autoSpaceDN w:val="0"/>
        <w:adjustRightInd w:val="0"/>
        <w:spacing w:after="0" w:line="240" w:lineRule="auto"/>
        <w:rPr>
          <w:rFonts w:asciiTheme="majorBidi" w:hAnsiTheme="majorBidi" w:cstheme="majorBidi"/>
        </w:rPr>
      </w:pPr>
      <w:r w:rsidRPr="00A038BF">
        <w:rPr>
          <w:rFonts w:asciiTheme="majorBidi" w:hAnsiTheme="majorBidi" w:cstheme="majorBidi"/>
        </w:rPr>
        <w:t xml:space="preserve">In this stage, the weighting described previously </w:t>
      </w:r>
      <w:r w:rsidR="005521FB" w:rsidRPr="00A038BF">
        <w:rPr>
          <w:rFonts w:asciiTheme="majorBidi" w:hAnsiTheme="majorBidi" w:cstheme="majorBidi"/>
        </w:rPr>
        <w:t>is</w:t>
      </w:r>
      <w:r w:rsidRPr="00A038BF">
        <w:rPr>
          <w:rFonts w:asciiTheme="majorBidi" w:hAnsiTheme="majorBidi" w:cstheme="majorBidi"/>
        </w:rPr>
        <w:t xml:space="preserve"> </w:t>
      </w:r>
      <w:r w:rsidR="00E93B9A" w:rsidRPr="00A038BF">
        <w:rPr>
          <w:rFonts w:asciiTheme="majorBidi" w:hAnsiTheme="majorBidi" w:cstheme="majorBidi"/>
        </w:rPr>
        <w:t>multiplied</w:t>
      </w:r>
      <w:r w:rsidRPr="00A038BF">
        <w:rPr>
          <w:rFonts w:asciiTheme="majorBidi" w:hAnsiTheme="majorBidi" w:cstheme="majorBidi"/>
        </w:rPr>
        <w:t xml:space="preserve"> </w:t>
      </w:r>
      <w:r w:rsidR="00E93B9A" w:rsidRPr="00A038BF">
        <w:rPr>
          <w:rFonts w:asciiTheme="majorBidi" w:hAnsiTheme="majorBidi" w:cstheme="majorBidi"/>
        </w:rPr>
        <w:t>by the weight of this criterion</w:t>
      </w:r>
      <w:r w:rsidRPr="00A038BF">
        <w:rPr>
          <w:rFonts w:asciiTheme="majorBidi" w:hAnsiTheme="majorBidi" w:cstheme="majorBidi"/>
        </w:rPr>
        <w:t xml:space="preserve">. The weighted normalized value </w:t>
      </w: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oMath>
      <w:r w:rsidRPr="00A038BF">
        <w:rPr>
          <w:rFonts w:asciiTheme="majorBidi" w:hAnsiTheme="majorBidi" w:cstheme="majorBidi"/>
        </w:rPr>
        <w:t xml:space="preserve"> is calculated using equation 3. </w:t>
      </w:r>
    </w:p>
    <w:p w14:paraId="18D644D8" w14:textId="77777777" w:rsidR="00E93B9A" w:rsidRPr="00A038BF" w:rsidRDefault="00E93B9A" w:rsidP="00F433FA">
      <w:pPr>
        <w:autoSpaceDE w:val="0"/>
        <w:autoSpaceDN w:val="0"/>
        <w:adjustRightInd w:val="0"/>
        <w:spacing w:after="0" w:line="240" w:lineRule="auto"/>
        <w:rPr>
          <w:rFonts w:asciiTheme="majorBidi" w:hAnsiTheme="majorBidi" w:cstheme="majorBidi"/>
        </w:rPr>
      </w:pPr>
    </w:p>
    <w:p w14:paraId="6F1BC5DE" w14:textId="77777777" w:rsidR="00F433FA" w:rsidRPr="00A038BF" w:rsidRDefault="008E67B0" w:rsidP="00F433FA">
      <w:pPr>
        <w:autoSpaceDE w:val="0"/>
        <w:autoSpaceDN w:val="0"/>
        <w:adjustRightInd w:val="0"/>
        <w:spacing w:after="0" w:line="240" w:lineRule="auto"/>
        <w:ind w:left="540"/>
        <w:rPr>
          <w:rFonts w:asciiTheme="majorBidi" w:hAnsiTheme="majorBidi" w:cstheme="majorBidi"/>
        </w:rPr>
      </w:pPr>
      <m:oMath>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r>
          <w:rPr>
            <w:rFonts w:ascii="Cambria Math" w:hAnsi="Cambria Math" w:cstheme="majorBidi"/>
          </w:rPr>
          <m:t>=</m:t>
        </m:r>
        <m:sSub>
          <m:sSubPr>
            <m:ctrlPr>
              <w:rPr>
                <w:rFonts w:ascii="Cambria Math" w:hAnsi="Cambria Math" w:cstheme="majorBidi"/>
                <w:i/>
              </w:rPr>
            </m:ctrlPr>
          </m:sSubPr>
          <m:e>
            <m:r>
              <w:rPr>
                <w:rFonts w:ascii="Cambria Math" w:hAnsi="Cambria Math" w:cstheme="majorBidi"/>
              </w:rPr>
              <m:t>X</m:t>
            </m:r>
          </m:e>
          <m:sub>
            <m:r>
              <w:rPr>
                <w:rFonts w:ascii="Cambria Math" w:hAnsi="Cambria Math" w:cstheme="majorBidi"/>
              </w:rPr>
              <m:t>ij</m:t>
            </m:r>
          </m:sub>
        </m:sSub>
        <m:r>
          <w:rPr>
            <w:rFonts w:ascii="Cambria Math" w:hAnsi="Cambria Math" w:cstheme="majorBidi"/>
          </w:rPr>
          <m:t xml:space="preserve"> * </m:t>
        </m:r>
        <m:sSub>
          <m:sSubPr>
            <m:ctrlPr>
              <w:rPr>
                <w:rFonts w:ascii="Cambria Math" w:hAnsi="Cambria Math" w:cstheme="majorBidi"/>
                <w:i/>
              </w:rPr>
            </m:ctrlPr>
          </m:sSubPr>
          <m:e>
            <m:r>
              <w:rPr>
                <w:rFonts w:ascii="Cambria Math" w:hAnsi="Cambria Math" w:cstheme="majorBidi"/>
              </w:rPr>
              <m:t>W</m:t>
            </m:r>
          </m:e>
          <m:sub>
            <m:r>
              <w:rPr>
                <w:rFonts w:ascii="Cambria Math" w:hAnsi="Cambria Math" w:cstheme="majorBidi"/>
              </w:rPr>
              <m:t>j</m:t>
            </m:r>
          </m:sub>
        </m:sSub>
      </m:oMath>
      <w:r w:rsidR="00F433FA" w:rsidRPr="00A038BF">
        <w:rPr>
          <w:rFonts w:asciiTheme="majorBidi" w:hAnsiTheme="majorBidi" w:cstheme="majorBidi"/>
        </w:rPr>
        <w:t xml:space="preserve">                                                                                                           Equation (3)</w:t>
      </w:r>
    </w:p>
    <w:p w14:paraId="1782C6B8" w14:textId="77777777" w:rsidR="00BF1079" w:rsidRPr="00A038BF" w:rsidRDefault="00BF1079" w:rsidP="00F433FA">
      <w:pPr>
        <w:autoSpaceDE w:val="0"/>
        <w:autoSpaceDN w:val="0"/>
        <w:adjustRightInd w:val="0"/>
        <w:spacing w:after="0" w:line="240" w:lineRule="auto"/>
        <w:ind w:left="540"/>
        <w:rPr>
          <w:rFonts w:asciiTheme="majorBidi" w:hAnsiTheme="majorBidi" w:cstheme="majorBidi"/>
        </w:rPr>
      </w:pPr>
    </w:p>
    <w:p w14:paraId="0F0E3812" w14:textId="77777777" w:rsidR="00F433FA" w:rsidRPr="00A038BF" w:rsidRDefault="00F433FA" w:rsidP="00F433FA">
      <w:pPr>
        <w:autoSpaceDE w:val="0"/>
        <w:autoSpaceDN w:val="0"/>
        <w:adjustRightInd w:val="0"/>
        <w:spacing w:after="0" w:line="240" w:lineRule="auto"/>
        <w:ind w:left="540"/>
        <w:rPr>
          <w:rFonts w:asciiTheme="majorBidi" w:hAnsiTheme="majorBidi" w:cstheme="majorBidi"/>
        </w:rPr>
      </w:pPr>
    </w:p>
    <w:p w14:paraId="2F89B8FF" w14:textId="588FDFB0" w:rsidR="00F433FA" w:rsidRPr="00A038BF" w:rsidRDefault="00F433FA" w:rsidP="00F433FA">
      <w:pPr>
        <w:autoSpaceDE w:val="0"/>
        <w:autoSpaceDN w:val="0"/>
        <w:adjustRightInd w:val="0"/>
        <w:spacing w:after="0" w:line="240" w:lineRule="auto"/>
        <w:rPr>
          <w:rFonts w:asciiTheme="majorBidi" w:hAnsiTheme="majorBidi" w:cstheme="majorBidi"/>
        </w:rPr>
      </w:pPr>
      <w:r w:rsidRPr="00A038BF">
        <w:rPr>
          <w:rFonts w:asciiTheme="majorBidi" w:hAnsiTheme="majorBidi" w:cstheme="majorBidi"/>
        </w:rPr>
        <w:t xml:space="preserve">In the next step, the negative ideal solution </w:t>
      </w:r>
      <m:oMath>
        <m:d>
          <m:dPr>
            <m:ctrlPr>
              <w:rPr>
                <w:rFonts w:ascii="Cambria Math" w:hAnsi="Cambria Math" w:cstheme="majorBidi"/>
                <w:i/>
              </w:rPr>
            </m:ctrlPr>
          </m:dPr>
          <m:e>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e>
        </m:d>
        <m:r>
          <m:rPr>
            <m:sty m:val="p"/>
          </m:rPr>
          <w:rPr>
            <w:rFonts w:ascii="Cambria Math" w:hAnsi="Cambria Math" w:cstheme="majorBidi"/>
          </w:rPr>
          <m:t xml:space="preserve"> is determined </m:t>
        </m:r>
      </m:oMath>
      <w:r w:rsidRPr="00A038BF">
        <w:rPr>
          <w:rFonts w:asciiTheme="majorBidi" w:hAnsiTheme="majorBidi" w:cstheme="majorBidi"/>
        </w:rPr>
        <w:t>and positive ideal solution</w:t>
      </w:r>
      <m:oMath>
        <m:r>
          <w:rPr>
            <w:rFonts w:ascii="Cambria Math" w:hAnsi="Cambria Math" w:cstheme="majorBidi"/>
          </w:rPr>
          <m:t xml:space="preserve"> </m:t>
        </m:r>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r>
          <w:rPr>
            <w:rFonts w:ascii="Cambria Math" w:hAnsi="Cambria Math" w:cstheme="majorBidi"/>
          </w:rPr>
          <m:t>)</m:t>
        </m:r>
      </m:oMath>
      <w:r w:rsidRPr="00A038BF">
        <w:rPr>
          <w:rFonts w:asciiTheme="majorBidi" w:hAnsiTheme="majorBidi" w:cstheme="majorBidi"/>
        </w:rPr>
        <w:t xml:space="preserve"> using equation 4.</w:t>
      </w:r>
    </w:p>
    <w:p w14:paraId="518AD9CA" w14:textId="77777777" w:rsidR="00F433FA" w:rsidRPr="00A038BF" w:rsidRDefault="00F433FA" w:rsidP="00F433FA">
      <w:pPr>
        <w:autoSpaceDE w:val="0"/>
        <w:autoSpaceDN w:val="0"/>
        <w:adjustRightInd w:val="0"/>
        <w:spacing w:after="0" w:line="240" w:lineRule="auto"/>
        <w:rPr>
          <w:rFonts w:asciiTheme="majorBidi" w:hAnsiTheme="majorBidi" w:cstheme="majorBidi"/>
        </w:rPr>
      </w:pPr>
    </w:p>
    <w:p w14:paraId="56D1FB57" w14:textId="77777777" w:rsidR="00F433FA" w:rsidRPr="00A038BF" w:rsidRDefault="008E67B0" w:rsidP="00F433FA">
      <w:pPr>
        <w:autoSpaceDE w:val="0"/>
        <w:autoSpaceDN w:val="0"/>
        <w:adjustRightInd w:val="0"/>
        <w:spacing w:after="0" w:line="240" w:lineRule="auto"/>
        <w:ind w:left="540"/>
        <w:rPr>
          <w:rFonts w:asciiTheme="majorBidi" w:hAnsiTheme="majorBidi" w:cstheme="majorBidi"/>
        </w:rPr>
      </w:pPr>
      <m:oMath>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r>
          <w:rPr>
            <w:rFonts w:ascii="Cambria Math" w:hAnsi="Cambria Math" w:cstheme="majorBidi"/>
          </w:rPr>
          <m:t>=</m:t>
        </m:r>
        <m:d>
          <m:dPr>
            <m:begChr m:val="{"/>
            <m:endChr m:val="}"/>
            <m:ctrlPr>
              <w:rPr>
                <w:rFonts w:ascii="Cambria Math" w:hAnsi="Cambria Math" w:cstheme="majorBidi"/>
                <w:i/>
              </w:rPr>
            </m:ctrlPr>
          </m:dPr>
          <m:e>
            <m:d>
              <m:dPr>
                <m:ctrlPr>
                  <w:rPr>
                    <w:rFonts w:ascii="Cambria Math" w:hAnsi="Cambria Math" w:cstheme="majorBidi"/>
                    <w:i/>
                  </w:rPr>
                </m:ctrlPr>
              </m:dPr>
              <m:e>
                <m:r>
                  <w:rPr>
                    <w:rFonts w:ascii="Cambria Math" w:hAnsi="Cambria Math" w:cstheme="majorBidi"/>
                  </w:rPr>
                  <m:t xml:space="preserve">max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d>
                  <m:dPr>
                    <m:begChr m:val="|"/>
                    <m:endChr m:val=""/>
                    <m:ctrlPr>
                      <w:rPr>
                        <w:rFonts w:ascii="Cambria Math" w:hAnsi="Cambria Math" w:cstheme="majorBidi"/>
                        <w:i/>
                      </w:rPr>
                    </m:ctrlPr>
                  </m:dPr>
                  <m:e>
                    <m:r>
                      <w:rPr>
                        <w:rFonts w:ascii="Cambria Math" w:hAnsi="Cambria Math" w:cstheme="majorBidi"/>
                      </w:rPr>
                      <m:t>j</m:t>
                    </m:r>
                  </m:e>
                </m:d>
                <m:r>
                  <w:rPr>
                    <w:rFonts w:ascii="Cambria Math" w:hAnsi="Cambria Math" w:cstheme="majorBidi"/>
                  </w:rPr>
                  <m:t>ϵJ</m:t>
                </m:r>
              </m:e>
            </m:d>
          </m:e>
          <m:e>
            <m:r>
              <w:rPr>
                <w:rFonts w:ascii="Cambria Math" w:hAnsi="Cambria Math" w:cstheme="majorBidi"/>
              </w:rPr>
              <m:t>i=1,…,m</m:t>
            </m:r>
          </m:e>
        </m:d>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1</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n</m:t>
            </m:r>
          </m:sub>
          <m:sup>
            <m:r>
              <w:rPr>
                <w:rFonts w:ascii="Cambria Math" w:hAnsi="Cambria Math" w:cstheme="majorBidi"/>
              </w:rPr>
              <m:t>+</m:t>
            </m:r>
          </m:sup>
        </m:sSubSup>
        <m:r>
          <w:rPr>
            <w:rFonts w:ascii="Cambria Math" w:hAnsi="Cambria Math" w:cstheme="majorBidi"/>
          </w:rPr>
          <m:t xml:space="preserve">} </m:t>
        </m:r>
      </m:oMath>
      <w:r w:rsidR="00F433FA" w:rsidRPr="00A038BF">
        <w:rPr>
          <w:rFonts w:asciiTheme="majorBidi" w:eastAsiaTheme="minorEastAsia" w:hAnsiTheme="majorBidi" w:cstheme="majorBidi"/>
        </w:rPr>
        <w:t xml:space="preserve">                                                  </w:t>
      </w:r>
      <w:r w:rsidR="00F433FA" w:rsidRPr="00A038BF">
        <w:rPr>
          <w:rFonts w:asciiTheme="majorBidi" w:hAnsiTheme="majorBidi" w:cstheme="majorBidi"/>
        </w:rPr>
        <w:t>Equation (4)</w:t>
      </w:r>
    </w:p>
    <w:p w14:paraId="50A41418" w14:textId="77777777" w:rsidR="00F433FA" w:rsidRPr="00A038BF" w:rsidRDefault="008E67B0" w:rsidP="00F433FA">
      <w:pPr>
        <w:autoSpaceDE w:val="0"/>
        <w:autoSpaceDN w:val="0"/>
        <w:adjustRightInd w:val="0"/>
        <w:spacing w:after="0" w:line="240" w:lineRule="auto"/>
        <w:ind w:left="540"/>
        <w:rPr>
          <w:rFonts w:asciiTheme="majorBidi" w:eastAsiaTheme="minorEastAsia" w:hAnsiTheme="majorBidi" w:cstheme="majorBidi"/>
        </w:rPr>
      </w:pPr>
      <m:oMathPara>
        <m:oMathParaPr>
          <m:jc m:val="left"/>
        </m:oMathParaPr>
        <m:oMath>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r>
            <w:rPr>
              <w:rFonts w:ascii="Cambria Math" w:hAnsi="Cambria Math" w:cstheme="majorBidi"/>
            </w:rPr>
            <m:t>=</m:t>
          </m:r>
          <m:d>
            <m:dPr>
              <m:begChr m:val="{"/>
              <m:endChr m:val="}"/>
              <m:ctrlPr>
                <w:rPr>
                  <w:rFonts w:ascii="Cambria Math" w:hAnsi="Cambria Math" w:cstheme="majorBidi"/>
                  <w:i/>
                </w:rPr>
              </m:ctrlPr>
            </m:dPr>
            <m:e>
              <m:d>
                <m:dPr>
                  <m:ctrlPr>
                    <w:rPr>
                      <w:rFonts w:ascii="Cambria Math" w:hAnsi="Cambria Math" w:cstheme="majorBidi"/>
                      <w:i/>
                    </w:rPr>
                  </m:ctrlPr>
                </m:dPr>
                <m:e>
                  <m:r>
                    <w:rPr>
                      <w:rFonts w:ascii="Cambria Math" w:hAnsi="Cambria Math" w:cstheme="majorBidi"/>
                    </w:rPr>
                    <m:t xml:space="preserve">min </m:t>
                  </m:r>
                  <m:sSub>
                    <m:sSubPr>
                      <m:ctrlPr>
                        <w:rPr>
                          <w:rFonts w:ascii="Cambria Math" w:hAnsi="Cambria Math" w:cstheme="majorBidi"/>
                          <w:i/>
                        </w:rPr>
                      </m:ctrlPr>
                    </m:sSubPr>
                    <m:e>
                      <m:r>
                        <w:rPr>
                          <w:rFonts w:ascii="Cambria Math" w:hAnsi="Cambria Math" w:cstheme="majorBidi"/>
                        </w:rPr>
                        <m:t>v</m:t>
                      </m:r>
                    </m:e>
                    <m:sub>
                      <m:r>
                        <w:rPr>
                          <w:rFonts w:ascii="Cambria Math" w:hAnsi="Cambria Math" w:cstheme="majorBidi"/>
                        </w:rPr>
                        <m:t>ij</m:t>
                      </m:r>
                    </m:sub>
                  </m:sSub>
                  <m:d>
                    <m:dPr>
                      <m:begChr m:val="|"/>
                      <m:endChr m:val=""/>
                      <m:ctrlPr>
                        <w:rPr>
                          <w:rFonts w:ascii="Cambria Math" w:hAnsi="Cambria Math" w:cstheme="majorBidi"/>
                          <w:i/>
                        </w:rPr>
                      </m:ctrlPr>
                    </m:dPr>
                    <m:e>
                      <m:r>
                        <w:rPr>
                          <w:rFonts w:ascii="Cambria Math" w:hAnsi="Cambria Math" w:cstheme="majorBidi"/>
                        </w:rPr>
                        <m:t>j</m:t>
                      </m:r>
                    </m:e>
                  </m:d>
                  <m:r>
                    <w:rPr>
                      <w:rFonts w:ascii="Cambria Math" w:hAnsi="Cambria Math" w:cstheme="majorBidi"/>
                    </w:rPr>
                    <m:t>ϵJ</m:t>
                  </m:r>
                </m:e>
              </m:d>
            </m:e>
            <m:e>
              <m:r>
                <w:rPr>
                  <w:rFonts w:ascii="Cambria Math" w:hAnsi="Cambria Math" w:cstheme="majorBidi"/>
                </w:rPr>
                <m:t>i=1,…,m</m:t>
              </m:r>
            </m:e>
          </m:d>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1</m:t>
              </m:r>
            </m:sub>
            <m:sup>
              <m:r>
                <w:rPr>
                  <w:rFonts w:ascii="Cambria Math" w:hAnsi="Cambria Math" w:cstheme="majorBidi"/>
                </w:rPr>
                <m:t>-</m:t>
              </m:r>
            </m:sup>
          </m:sSubSup>
          <m:r>
            <w:rPr>
              <w:rFonts w:ascii="Cambria Math" w:hAnsi="Cambria Math" w:cstheme="majorBidi"/>
            </w:rPr>
            <m:t>,…,</m:t>
          </m:r>
          <m:sSubSup>
            <m:sSubSupPr>
              <m:ctrlPr>
                <w:rPr>
                  <w:rFonts w:ascii="Cambria Math" w:hAnsi="Cambria Math" w:cstheme="majorBidi"/>
                  <w:i/>
                </w:rPr>
              </m:ctrlPr>
            </m:sSubSupPr>
            <m:e>
              <m:r>
                <w:rPr>
                  <w:rFonts w:ascii="Cambria Math" w:hAnsi="Cambria Math" w:cstheme="majorBidi"/>
                </w:rPr>
                <m:t>v</m:t>
              </m:r>
            </m:e>
            <m:sub>
              <m:r>
                <w:rPr>
                  <w:rFonts w:ascii="Cambria Math" w:hAnsi="Cambria Math" w:cstheme="majorBidi"/>
                </w:rPr>
                <m:t>n</m:t>
              </m:r>
            </m:sub>
            <m:sup>
              <m:r>
                <w:rPr>
                  <w:rFonts w:ascii="Cambria Math" w:hAnsi="Cambria Math" w:cstheme="majorBidi"/>
                </w:rPr>
                <m:t>-</m:t>
              </m:r>
            </m:sup>
          </m:sSubSup>
          <m:r>
            <w:rPr>
              <w:rFonts w:ascii="Cambria Math" w:hAnsi="Cambria Math" w:cstheme="majorBidi"/>
            </w:rPr>
            <m:t>}</m:t>
          </m:r>
        </m:oMath>
      </m:oMathPara>
    </w:p>
    <w:p w14:paraId="41A3AE3E" w14:textId="77777777" w:rsidR="00BF1079" w:rsidRPr="00A038BF" w:rsidRDefault="00BF1079" w:rsidP="00F433FA">
      <w:pPr>
        <w:autoSpaceDE w:val="0"/>
        <w:autoSpaceDN w:val="0"/>
        <w:adjustRightInd w:val="0"/>
        <w:spacing w:after="0" w:line="240" w:lineRule="auto"/>
        <w:ind w:left="540"/>
        <w:rPr>
          <w:rFonts w:asciiTheme="majorBidi" w:hAnsiTheme="majorBidi" w:cstheme="majorBidi"/>
        </w:rPr>
      </w:pPr>
    </w:p>
    <w:p w14:paraId="3F604BFA" w14:textId="77777777" w:rsidR="00F433FA" w:rsidRPr="00A038BF" w:rsidRDefault="00F433FA" w:rsidP="00F433FA">
      <w:pPr>
        <w:autoSpaceDE w:val="0"/>
        <w:autoSpaceDN w:val="0"/>
        <w:adjustRightInd w:val="0"/>
        <w:spacing w:after="0" w:line="240" w:lineRule="auto"/>
        <w:rPr>
          <w:rFonts w:asciiTheme="majorBidi" w:eastAsiaTheme="minorEastAsia" w:hAnsiTheme="majorBidi" w:cstheme="majorBidi"/>
        </w:rPr>
      </w:pPr>
    </w:p>
    <w:p w14:paraId="6C4F8C49" w14:textId="0B339FC3" w:rsidR="00F433FA" w:rsidRPr="00A038BF" w:rsidRDefault="00F433FA" w:rsidP="005107B7">
      <w:pPr>
        <w:autoSpaceDE w:val="0"/>
        <w:autoSpaceDN w:val="0"/>
        <w:adjustRightInd w:val="0"/>
        <w:spacing w:after="0" w:line="240" w:lineRule="auto"/>
        <w:rPr>
          <w:rFonts w:asciiTheme="majorBidi" w:hAnsiTheme="majorBidi" w:cstheme="majorBidi"/>
        </w:rPr>
      </w:pPr>
      <w:r w:rsidRPr="00A038BF">
        <w:rPr>
          <w:rFonts w:asciiTheme="majorBidi" w:hAnsiTheme="majorBidi" w:cstheme="majorBidi"/>
        </w:rPr>
        <w:t xml:space="preserve">Nest, the distance between alternative and positive and negative ideal solutions </w:t>
      </w:r>
      <w:r w:rsidR="00B26FCE" w:rsidRPr="00A038BF">
        <w:rPr>
          <w:rFonts w:asciiTheme="majorBidi" w:hAnsiTheme="majorBidi" w:cstheme="majorBidi"/>
        </w:rPr>
        <w:t xml:space="preserve">is computed </w:t>
      </w:r>
      <w:r w:rsidRPr="00A038BF">
        <w:rPr>
          <w:rFonts w:asciiTheme="majorBidi" w:hAnsiTheme="majorBidi" w:cstheme="majorBidi"/>
        </w:rPr>
        <w:t>using equations (5) &amp; (6). The separation measures are based on Euclidean distance,</w:t>
      </w:r>
      <m:oMath>
        <m:sSubSup>
          <m:sSubSupPr>
            <m:ctrlPr>
              <w:rPr>
                <w:rFonts w:ascii="Cambria Math" w:hAnsi="Cambria Math" w:cstheme="majorBidi"/>
                <w:i/>
              </w:rPr>
            </m:ctrlPr>
          </m:sSubSupPr>
          <m:e>
            <m:r>
              <w:rPr>
                <w:rFonts w:ascii="Cambria Math" w:hAnsi="Cambria Math" w:cstheme="majorBidi"/>
              </w:rPr>
              <m:t xml:space="preserve"> S</m:t>
            </m:r>
          </m:e>
          <m:sub>
            <m:r>
              <w:rPr>
                <w:rFonts w:ascii="Cambria Math" w:hAnsi="Cambria Math" w:cstheme="majorBidi"/>
              </w:rPr>
              <m:t>i</m:t>
            </m:r>
          </m:sub>
          <m:sup>
            <m:r>
              <w:rPr>
                <w:rFonts w:ascii="Cambria Math" w:hAnsi="Cambria Math" w:cstheme="majorBidi"/>
              </w:rPr>
              <m:t>+</m:t>
            </m:r>
          </m:sup>
        </m:sSubSup>
      </m:oMath>
      <w:r w:rsidRPr="00A038BF">
        <w:rPr>
          <w:rFonts w:asciiTheme="majorBidi" w:hAnsiTheme="majorBidi" w:cstheme="majorBidi"/>
        </w:rPr>
        <w:t xml:space="preserve"> and</w:t>
      </w:r>
      <m:oMath>
        <m:sSubSup>
          <m:sSubSupPr>
            <m:ctrlPr>
              <w:rPr>
                <w:rFonts w:ascii="Cambria Math" w:hAnsi="Cambria Math" w:cstheme="majorBidi"/>
                <w:i/>
              </w:rPr>
            </m:ctrlPr>
          </m:sSubSupPr>
          <m:e>
            <m:r>
              <w:rPr>
                <w:rFonts w:ascii="Cambria Math" w:hAnsi="Cambria Math" w:cstheme="majorBidi"/>
              </w:rPr>
              <m:t xml:space="preserve"> S</m:t>
            </m:r>
          </m:e>
          <m:sub>
            <m:r>
              <w:rPr>
                <w:rFonts w:ascii="Cambria Math" w:hAnsi="Cambria Math" w:cstheme="majorBidi"/>
              </w:rPr>
              <m:t>i</m:t>
            </m:r>
          </m:sub>
          <m:sup>
            <m:r>
              <w:rPr>
                <w:rFonts w:ascii="Cambria Math" w:hAnsi="Cambria Math" w:cstheme="majorBidi"/>
              </w:rPr>
              <m:t>-</m:t>
            </m:r>
          </m:sup>
        </m:sSubSup>
      </m:oMath>
      <w:r w:rsidR="00737656" w:rsidRPr="00A038BF">
        <w:rPr>
          <w:rFonts w:asciiTheme="majorBidi" w:hAnsiTheme="majorBidi" w:cstheme="majorBidi"/>
        </w:rPr>
        <w:t>of</w:t>
      </w:r>
      <w:r w:rsidR="005107B7" w:rsidRPr="00A038BF">
        <w:rPr>
          <w:rFonts w:asciiTheme="majorBidi" w:hAnsiTheme="majorBidi" w:cstheme="majorBidi"/>
        </w:rPr>
        <w:t xml:space="preserve"> each alternative from the</w:t>
      </w:r>
      <w:r w:rsidRPr="00A038BF">
        <w:rPr>
          <w:rFonts w:asciiTheme="majorBidi" w:hAnsiTheme="majorBidi" w:cstheme="majorBidi"/>
        </w:rPr>
        <w:t xml:space="preserve"> negative-ideal </w:t>
      </w:r>
      <w:r w:rsidR="005107B7" w:rsidRPr="00A038BF">
        <w:rPr>
          <w:rFonts w:asciiTheme="majorBidi" w:hAnsiTheme="majorBidi" w:cstheme="majorBidi"/>
        </w:rPr>
        <w:t xml:space="preserve">and positive-ideal </w:t>
      </w:r>
      <w:r w:rsidRPr="00A038BF">
        <w:rPr>
          <w:rFonts w:asciiTheme="majorBidi" w:hAnsiTheme="majorBidi" w:cstheme="majorBidi"/>
        </w:rPr>
        <w:t>solutions, respectively.</w:t>
      </w:r>
    </w:p>
    <w:p w14:paraId="42C5BDE3" w14:textId="77777777" w:rsidR="00F433FA" w:rsidRPr="00A038BF" w:rsidRDefault="00F433FA" w:rsidP="00F433FA">
      <w:pPr>
        <w:autoSpaceDE w:val="0"/>
        <w:autoSpaceDN w:val="0"/>
        <w:adjustRightInd w:val="0"/>
        <w:spacing w:after="0" w:line="240" w:lineRule="auto"/>
        <w:rPr>
          <w:rFonts w:asciiTheme="majorBidi" w:hAnsiTheme="majorBidi" w:cstheme="majorBidi"/>
        </w:rPr>
      </w:pPr>
    </w:p>
    <w:p w14:paraId="37128090" w14:textId="77777777" w:rsidR="00F433FA" w:rsidRPr="00A038BF" w:rsidRDefault="008E67B0" w:rsidP="00F433FA">
      <w:pPr>
        <w:autoSpaceDE w:val="0"/>
        <w:autoSpaceDN w:val="0"/>
        <w:adjustRightInd w:val="0"/>
        <w:spacing w:after="0" w:line="240" w:lineRule="auto"/>
        <w:ind w:left="540"/>
        <w:rPr>
          <w:rFonts w:asciiTheme="majorBidi" w:hAnsiTheme="majorBidi" w:cstheme="majorBidi"/>
        </w:rPr>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sSup>
          <m:sSupPr>
            <m:ctrlPr>
              <w:rPr>
                <w:rFonts w:ascii="Cambria Math" w:hAnsi="Cambria Math"/>
                <w:i/>
              </w:rPr>
            </m:ctrlPr>
          </m:sSupPr>
          <m:e>
            <m:r>
              <w:rPr>
                <w:rFonts w:ascii="Cambria Math" w:hAnsi="Cambria Math"/>
              </w:rPr>
              <m:t>=[</m:t>
            </m:r>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m:t>
                    </m:r>
                  </m:sup>
                </m:sSubSup>
                <m:r>
                  <w:rPr>
                    <w:rFonts w:ascii="Cambria Math" w:hAnsi="Cambria Math"/>
                  </w:rPr>
                  <m:t>)</m:t>
                </m:r>
              </m:e>
              <m:sup>
                <m:r>
                  <w:rPr>
                    <w:rFonts w:ascii="Cambria Math" w:hAnsi="Cambria Math"/>
                  </w:rPr>
                  <m:t>2</m:t>
                </m:r>
              </m:sup>
            </m:sSup>
            <m:r>
              <w:rPr>
                <w:rFonts w:ascii="Cambria Math" w:hAnsi="Cambria Math"/>
              </w:rPr>
              <m:t xml:space="preserve"> ]</m:t>
            </m:r>
          </m:e>
          <m:sup>
            <m:r>
              <w:rPr>
                <w:rFonts w:ascii="Cambria Math" w:hAnsi="Cambria Math"/>
              </w:rPr>
              <m:t>0.5</m:t>
            </m:r>
          </m:sup>
        </m:sSup>
      </m:oMath>
      <w:r w:rsidR="00F433FA" w:rsidRPr="00A038BF">
        <w:rPr>
          <w:rFonts w:asciiTheme="majorBidi" w:hAnsiTheme="majorBidi" w:cstheme="majorBidi"/>
        </w:rPr>
        <w:t xml:space="preserve">                                                                                      </w:t>
      </w:r>
      <w:r w:rsidR="00F433FA" w:rsidRPr="00A038BF">
        <w:rPr>
          <w:rFonts w:asciiTheme="majorBidi" w:hAnsiTheme="majorBidi" w:cstheme="majorBidi"/>
          <w:sz w:val="8"/>
          <w:szCs w:val="8"/>
        </w:rPr>
        <w:t xml:space="preserve">   </w:t>
      </w:r>
      <w:r w:rsidR="00F433FA" w:rsidRPr="00A038BF">
        <w:rPr>
          <w:rFonts w:asciiTheme="majorBidi" w:hAnsiTheme="majorBidi" w:cstheme="majorBidi"/>
        </w:rPr>
        <w:t>Equation (5)</w:t>
      </w:r>
    </w:p>
    <w:p w14:paraId="5BDAD8A5" w14:textId="77777777" w:rsidR="00F433FA" w:rsidRPr="00A038BF" w:rsidRDefault="008E67B0" w:rsidP="00F433FA">
      <w:pPr>
        <w:tabs>
          <w:tab w:val="left" w:pos="7920"/>
        </w:tabs>
        <w:ind w:left="540"/>
        <w:rPr>
          <w:rFonts w:asciiTheme="majorBidi" w:hAnsiTheme="majorBidi" w:cstheme="majorBidi"/>
        </w:rPr>
      </w:pPr>
      <m:oMath>
        <m:sSubSup>
          <m:sSubSupPr>
            <m:ctrlPr>
              <w:rPr>
                <w:rFonts w:ascii="Cambria Math" w:hAnsi="Cambria Math"/>
                <w:i/>
              </w:rPr>
            </m:ctrlPr>
          </m:sSubSupPr>
          <m:e>
            <m:r>
              <w:rPr>
                <w:rFonts w:ascii="Cambria Math" w:hAnsi="Cambria Math"/>
              </w:rPr>
              <m:t>S</m:t>
            </m:r>
          </m:e>
          <m:sub>
            <m:r>
              <w:rPr>
                <w:rFonts w:ascii="Cambria Math" w:hAnsi="Cambria Math"/>
              </w:rPr>
              <m:t>i</m:t>
            </m:r>
          </m:sub>
          <m:sup>
            <m:r>
              <w:rPr>
                <w:rFonts w:ascii="Cambria Math" w:hAnsi="Cambria Math"/>
              </w:rPr>
              <m:t>-</m:t>
            </m:r>
          </m:sup>
        </m:sSubSup>
        <m:sSup>
          <m:sSupPr>
            <m:ctrlPr>
              <w:rPr>
                <w:rFonts w:ascii="Cambria Math" w:hAnsi="Cambria Math"/>
                <w:i/>
              </w:rPr>
            </m:ctrlPr>
          </m:sSupPr>
          <m:e>
            <m:r>
              <w:rPr>
                <w:rFonts w:ascii="Cambria Math" w:hAnsi="Cambria Math"/>
              </w:rPr>
              <m:t>=[</m:t>
            </m:r>
            <m:sSup>
              <m:sSupPr>
                <m:ctrlPr>
                  <w:rPr>
                    <w:rFonts w:ascii="Cambria Math" w:hAnsi="Cambria Math"/>
                    <w:i/>
                  </w:rPr>
                </m:ctrlPr>
              </m:sSupPr>
              <m:e>
                <m:nary>
                  <m:naryPr>
                    <m:chr m:val="∑"/>
                    <m:limLoc m:val="undOvr"/>
                    <m:ctrlPr>
                      <w:rPr>
                        <w:rFonts w:ascii="Cambria Math" w:hAnsi="Cambria Math"/>
                        <w:i/>
                      </w:rPr>
                    </m:ctrlPr>
                  </m:naryPr>
                  <m:sub>
                    <m:r>
                      <w:rPr>
                        <w:rFonts w:ascii="Cambria Math" w:hAnsi="Cambria Math"/>
                      </w:rPr>
                      <m:t>j=1</m:t>
                    </m:r>
                  </m:sub>
                  <m:sup>
                    <m:r>
                      <w:rPr>
                        <w:rFonts w:ascii="Cambria Math" w:hAnsi="Cambria Math"/>
                      </w:rPr>
                      <m:t>m</m:t>
                    </m:r>
                  </m:sup>
                  <m:e>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ij</m:t>
                        </m:r>
                      </m:sub>
                    </m:sSub>
                  </m:e>
                </m:nary>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j</m:t>
                    </m:r>
                  </m:sub>
                  <m:sup>
                    <m:r>
                      <w:rPr>
                        <w:rFonts w:ascii="Cambria Math" w:hAnsi="Cambria Math"/>
                      </w:rPr>
                      <m:t>-</m:t>
                    </m:r>
                  </m:sup>
                </m:sSubSup>
                <m:r>
                  <w:rPr>
                    <w:rFonts w:ascii="Cambria Math" w:hAnsi="Cambria Math"/>
                  </w:rPr>
                  <m:t>)</m:t>
                </m:r>
              </m:e>
              <m:sup>
                <m:r>
                  <w:rPr>
                    <w:rFonts w:ascii="Cambria Math" w:hAnsi="Cambria Math"/>
                  </w:rPr>
                  <m:t>2</m:t>
                </m:r>
              </m:sup>
            </m:sSup>
            <m:r>
              <w:rPr>
                <w:rFonts w:ascii="Cambria Math" w:hAnsi="Cambria Math"/>
              </w:rPr>
              <m:t xml:space="preserve"> ]</m:t>
            </m:r>
          </m:e>
          <m:sup>
            <m:r>
              <w:rPr>
                <w:rFonts w:ascii="Cambria Math" w:hAnsi="Cambria Math"/>
              </w:rPr>
              <m:t>0.5</m:t>
            </m:r>
          </m:sup>
        </m:sSup>
      </m:oMath>
      <w:r w:rsidR="00F433FA" w:rsidRPr="00A038BF">
        <w:rPr>
          <w:rFonts w:asciiTheme="majorBidi" w:hAnsiTheme="majorBidi" w:cstheme="majorBidi"/>
          <w:sz w:val="8"/>
          <w:szCs w:val="8"/>
        </w:rPr>
        <w:t xml:space="preserve">                                                                                                                                                                                                                                                </w:t>
      </w:r>
      <w:r w:rsidR="00F433FA" w:rsidRPr="00A038BF">
        <w:rPr>
          <w:rFonts w:asciiTheme="majorBidi" w:hAnsiTheme="majorBidi" w:cstheme="majorBidi"/>
        </w:rPr>
        <w:t>Equation (6)</w:t>
      </w:r>
    </w:p>
    <w:p w14:paraId="75B624F4" w14:textId="77777777" w:rsidR="00BF1079" w:rsidRPr="00A038BF" w:rsidRDefault="00BF1079" w:rsidP="00F433FA">
      <w:pPr>
        <w:tabs>
          <w:tab w:val="left" w:pos="7920"/>
        </w:tabs>
        <w:ind w:left="540"/>
        <w:rPr>
          <w:rFonts w:asciiTheme="majorBidi" w:hAnsiTheme="majorBidi" w:cstheme="majorBidi"/>
        </w:rPr>
      </w:pPr>
    </w:p>
    <w:p w14:paraId="67B49DDF" w14:textId="77777777" w:rsidR="00F433FA" w:rsidRPr="00A038BF" w:rsidRDefault="008E67B0" w:rsidP="003300F2">
      <w:pPr>
        <w:tabs>
          <w:tab w:val="left" w:pos="7920"/>
        </w:tabs>
        <w:rPr>
          <w:rFonts w:asciiTheme="majorBidi" w:hAnsiTheme="majorBidi" w:cstheme="majorBidi"/>
        </w:rPr>
      </w:pPr>
      <m:oMath>
        <m:sSub>
          <m:sSubPr>
            <m:ctrlPr>
              <w:rPr>
                <w:rFonts w:ascii="Cambria Math" w:hAnsi="Cambria Math" w:cstheme="majorBidi"/>
                <w:noProof/>
                <w:sz w:val="24"/>
                <w:szCs w:val="24"/>
              </w:rPr>
            </m:ctrlPr>
          </m:sSubPr>
          <m:e>
            <m:r>
              <w:rPr>
                <w:rFonts w:ascii="Cambria Math" w:hAnsi="Cambria Math" w:cstheme="majorBidi"/>
                <w:noProof/>
                <w:sz w:val="24"/>
                <w:szCs w:val="24"/>
              </w:rPr>
              <m:t>P</m:t>
            </m:r>
          </m:e>
          <m:sub>
            <m:r>
              <w:rPr>
                <w:rFonts w:ascii="Cambria Math" w:hAnsi="Cambria Math" w:cstheme="majorBidi"/>
                <w:noProof/>
                <w:sz w:val="24"/>
                <w:szCs w:val="24"/>
              </w:rPr>
              <m:t>i</m:t>
            </m:r>
          </m:sub>
        </m:sSub>
        <m:r>
          <w:rPr>
            <w:rFonts w:ascii="Cambria Math" w:hAnsi="Cambria Math" w:cstheme="majorBidi"/>
            <w:noProof/>
            <w:sz w:val="24"/>
            <w:szCs w:val="24"/>
          </w:rPr>
          <m:t xml:space="preserve"> </m:t>
        </m:r>
      </m:oMath>
      <w:r w:rsidR="003300F2" w:rsidRPr="00A038BF">
        <w:rPr>
          <w:rFonts w:asciiTheme="majorBidi" w:hAnsiTheme="majorBidi" w:cstheme="majorBidi"/>
        </w:rPr>
        <w:t>Calculate the relative closeness of each alternative</w:t>
      </w:r>
      <w:r w:rsidR="00F433FA" w:rsidRPr="00A038BF">
        <w:rPr>
          <w:rFonts w:asciiTheme="majorBidi" w:hAnsiTheme="majorBidi" w:cstheme="majorBidi"/>
        </w:rPr>
        <w:t xml:space="preserve"> using equation (7).</w:t>
      </w:r>
    </w:p>
    <w:p w14:paraId="17197052" w14:textId="77777777" w:rsidR="00F433FA" w:rsidRPr="00A038BF" w:rsidRDefault="00F433FA" w:rsidP="00F433FA">
      <w:pPr>
        <w:autoSpaceDE w:val="0"/>
        <w:autoSpaceDN w:val="0"/>
        <w:adjustRightInd w:val="0"/>
        <w:spacing w:after="0" w:line="240" w:lineRule="auto"/>
        <w:rPr>
          <w:rFonts w:asciiTheme="majorBidi" w:hAnsiTheme="majorBidi" w:cstheme="majorBidi"/>
        </w:rPr>
      </w:pPr>
    </w:p>
    <w:p w14:paraId="45F6BA61" w14:textId="77777777" w:rsidR="00F433FA" w:rsidRPr="00A038BF" w:rsidRDefault="008E67B0" w:rsidP="00F433FA">
      <w:pPr>
        <w:ind w:left="540"/>
        <w:rPr>
          <w:rFonts w:asciiTheme="majorBidi" w:hAnsiTheme="majorBidi" w:cstheme="majorBidi"/>
        </w:rPr>
      </w:pPr>
      <m:oMath>
        <m:sSub>
          <m:sSubPr>
            <m:ctrlPr>
              <w:rPr>
                <w:rFonts w:ascii="Cambria Math" w:hAnsi="Cambria Math" w:cstheme="majorBidi"/>
                <w:noProof/>
                <w:sz w:val="24"/>
                <w:szCs w:val="24"/>
              </w:rPr>
            </m:ctrlPr>
          </m:sSubPr>
          <m:e>
            <m:r>
              <w:rPr>
                <w:rFonts w:ascii="Cambria Math" w:hAnsi="Cambria Math" w:cstheme="majorBidi"/>
                <w:noProof/>
                <w:sz w:val="24"/>
                <w:szCs w:val="24"/>
              </w:rPr>
              <m:t>P</m:t>
            </m:r>
          </m:e>
          <m:sub>
            <m:r>
              <w:rPr>
                <w:rFonts w:ascii="Cambria Math" w:hAnsi="Cambria Math" w:cstheme="majorBidi"/>
                <w:noProof/>
                <w:sz w:val="24"/>
                <w:szCs w:val="24"/>
              </w:rPr>
              <m:t>i</m:t>
            </m:r>
          </m:sub>
        </m:sSub>
        <m:r>
          <w:rPr>
            <w:rFonts w:ascii="Cambria Math" w:hAnsi="Cambria Math" w:cstheme="majorBidi"/>
            <w:noProof/>
            <w:sz w:val="24"/>
            <w:szCs w:val="24"/>
          </w:rPr>
          <m:t>=</m:t>
        </m:r>
        <m:f>
          <m:fPr>
            <m:ctrlPr>
              <w:rPr>
                <w:rFonts w:ascii="Cambria Math" w:hAnsi="Cambria Math" w:cstheme="majorBidi"/>
                <w:noProof/>
                <w:sz w:val="24"/>
                <w:szCs w:val="24"/>
              </w:rPr>
            </m:ctrlPr>
          </m:fPr>
          <m:num>
            <m:sSubSup>
              <m:sSubSupPr>
                <m:ctrlPr>
                  <w:rPr>
                    <w:rFonts w:ascii="Cambria Math" w:hAnsi="Cambria Math" w:cstheme="majorBidi"/>
                    <w:i/>
                    <w:noProof/>
                    <w:sz w:val="24"/>
                    <w:szCs w:val="24"/>
                  </w:rPr>
                </m:ctrlPr>
              </m:sSubSupPr>
              <m:e>
                <m:r>
                  <w:rPr>
                    <w:rFonts w:ascii="Cambria Math" w:hAnsi="Cambria Math" w:cstheme="majorBidi"/>
                    <w:noProof/>
                    <w:sz w:val="24"/>
                    <w:szCs w:val="24"/>
                  </w:rPr>
                  <m:t>S</m:t>
                </m:r>
              </m:e>
              <m:sub>
                <m:r>
                  <w:rPr>
                    <w:rFonts w:ascii="Cambria Math" w:hAnsi="Cambria Math" w:cstheme="majorBidi"/>
                    <w:noProof/>
                    <w:sz w:val="24"/>
                    <w:szCs w:val="24"/>
                  </w:rPr>
                  <m:t>i</m:t>
                </m:r>
              </m:sub>
              <m:sup>
                <m:r>
                  <w:rPr>
                    <w:rFonts w:ascii="Cambria Math" w:hAnsi="Cambria Math" w:cstheme="majorBidi"/>
                    <w:noProof/>
                    <w:sz w:val="24"/>
                    <w:szCs w:val="24"/>
                  </w:rPr>
                  <m:t>-</m:t>
                </m:r>
              </m:sup>
            </m:sSubSup>
          </m:num>
          <m:den>
            <m:sSubSup>
              <m:sSubSupPr>
                <m:ctrlPr>
                  <w:rPr>
                    <w:rFonts w:ascii="Cambria Math" w:hAnsi="Cambria Math" w:cstheme="majorBidi"/>
                    <w:i/>
                    <w:noProof/>
                    <w:sz w:val="24"/>
                    <w:szCs w:val="24"/>
                  </w:rPr>
                </m:ctrlPr>
              </m:sSubSupPr>
              <m:e>
                <m:r>
                  <w:rPr>
                    <w:rFonts w:ascii="Cambria Math" w:hAnsi="Cambria Math" w:cstheme="majorBidi"/>
                    <w:noProof/>
                    <w:sz w:val="24"/>
                    <w:szCs w:val="24"/>
                  </w:rPr>
                  <m:t>S</m:t>
                </m:r>
              </m:e>
              <m:sub>
                <m:r>
                  <w:rPr>
                    <w:rFonts w:ascii="Cambria Math" w:hAnsi="Cambria Math" w:cstheme="majorBidi"/>
                    <w:noProof/>
                    <w:sz w:val="24"/>
                    <w:szCs w:val="24"/>
                  </w:rPr>
                  <m:t>i</m:t>
                </m:r>
              </m:sub>
              <m:sup>
                <m:r>
                  <w:rPr>
                    <w:rFonts w:ascii="Cambria Math" w:hAnsi="Cambria Math" w:cstheme="majorBidi"/>
                    <w:noProof/>
                    <w:sz w:val="24"/>
                    <w:szCs w:val="24"/>
                  </w:rPr>
                  <m:t>+</m:t>
                </m:r>
              </m:sup>
            </m:sSubSup>
            <m:r>
              <w:rPr>
                <w:rFonts w:ascii="Cambria Math" w:hAnsi="Cambria Math" w:cstheme="majorBidi"/>
                <w:noProof/>
                <w:sz w:val="24"/>
                <w:szCs w:val="24"/>
              </w:rPr>
              <m:t>+</m:t>
            </m:r>
            <m:sSubSup>
              <m:sSubSupPr>
                <m:ctrlPr>
                  <w:rPr>
                    <w:rFonts w:ascii="Cambria Math" w:hAnsi="Cambria Math" w:cstheme="majorBidi"/>
                    <w:i/>
                    <w:noProof/>
                    <w:sz w:val="24"/>
                    <w:szCs w:val="24"/>
                  </w:rPr>
                </m:ctrlPr>
              </m:sSubSupPr>
              <m:e>
                <m:r>
                  <w:rPr>
                    <w:rFonts w:ascii="Cambria Math" w:hAnsi="Cambria Math" w:cstheme="majorBidi"/>
                    <w:noProof/>
                    <w:sz w:val="24"/>
                    <w:szCs w:val="24"/>
                  </w:rPr>
                  <m:t>S</m:t>
                </m:r>
              </m:e>
              <m:sub>
                <m:r>
                  <w:rPr>
                    <w:rFonts w:ascii="Cambria Math" w:hAnsi="Cambria Math" w:cstheme="majorBidi"/>
                    <w:noProof/>
                    <w:sz w:val="24"/>
                    <w:szCs w:val="24"/>
                  </w:rPr>
                  <m:t>i</m:t>
                </m:r>
              </m:sub>
              <m:sup>
                <m:r>
                  <w:rPr>
                    <w:rFonts w:ascii="Cambria Math" w:hAnsi="Cambria Math" w:cstheme="majorBidi"/>
                    <w:noProof/>
                    <w:sz w:val="24"/>
                    <w:szCs w:val="24"/>
                  </w:rPr>
                  <m:t>-</m:t>
                </m:r>
              </m:sup>
            </m:sSubSup>
          </m:den>
        </m:f>
      </m:oMath>
      <w:r w:rsidR="00F433FA" w:rsidRPr="00A038BF">
        <w:rPr>
          <w:sz w:val="52"/>
          <w:szCs w:val="52"/>
        </w:rPr>
        <w:t xml:space="preserve">                                                     </w:t>
      </w:r>
      <w:r w:rsidR="00F433FA" w:rsidRPr="00A038BF">
        <w:rPr>
          <w:rFonts w:asciiTheme="majorBidi" w:hAnsiTheme="majorBidi" w:cstheme="majorBidi"/>
        </w:rPr>
        <w:t>Equation (7)</w:t>
      </w:r>
    </w:p>
    <w:p w14:paraId="2558E4BF" w14:textId="56849F94" w:rsidR="00781A81" w:rsidRPr="00A038BF" w:rsidRDefault="00F433FA" w:rsidP="004D25EE">
      <w:pPr>
        <w:spacing w:line="240" w:lineRule="auto"/>
        <w:ind w:firstLine="720"/>
        <w:jc w:val="both"/>
        <w:rPr>
          <w:rFonts w:asciiTheme="majorBidi" w:hAnsiTheme="majorBidi" w:cstheme="majorBidi"/>
        </w:rPr>
      </w:pPr>
      <w:r w:rsidRPr="00A038BF">
        <w:rPr>
          <w:rFonts w:asciiTheme="majorBidi" w:hAnsiTheme="majorBidi" w:cstheme="majorBidi"/>
        </w:rPr>
        <w:t xml:space="preserve">The larger </w:t>
      </w:r>
      <w:r w:rsidR="00C30AC5" w:rsidRPr="00A038BF">
        <w:rPr>
          <w:rFonts w:asciiTheme="majorBidi" w:hAnsiTheme="majorBidi" w:cstheme="majorBidi"/>
        </w:rPr>
        <w:t xml:space="preserve">the </w:t>
      </w:r>
      <w:r w:rsidR="00741416" w:rsidRPr="00A038BF">
        <w:rPr>
          <w:rFonts w:asciiTheme="majorBidi" w:hAnsiTheme="majorBidi" w:cstheme="majorBidi"/>
        </w:rPr>
        <w:t>relative closeness value</w:t>
      </w:r>
      <w:r w:rsidR="006F1BDF" w:rsidRPr="00A038BF">
        <w:rPr>
          <w:rFonts w:asciiTheme="majorBidi" w:hAnsiTheme="majorBidi" w:cstheme="majorBidi"/>
        </w:rPr>
        <w:t>,</w:t>
      </w:r>
      <w:r w:rsidRPr="00A038BF">
        <w:rPr>
          <w:rFonts w:asciiTheme="majorBidi" w:hAnsiTheme="majorBidi" w:cstheme="majorBidi"/>
        </w:rPr>
        <w:t xml:space="preserve"> the better the </w:t>
      </w:r>
      <w:r w:rsidR="00741416" w:rsidRPr="00A038BF">
        <w:rPr>
          <w:rFonts w:asciiTheme="majorBidi" w:hAnsiTheme="majorBidi" w:cstheme="majorBidi"/>
        </w:rPr>
        <w:t>performance</w:t>
      </w:r>
      <w:r w:rsidR="004D25EE" w:rsidRPr="00A038BF">
        <w:rPr>
          <w:rFonts w:asciiTheme="majorBidi" w:hAnsiTheme="majorBidi" w:cstheme="majorBidi"/>
        </w:rPr>
        <w:t xml:space="preserve"> of the alternative.</w:t>
      </w:r>
      <w:r w:rsidRPr="00A038BF">
        <w:rPr>
          <w:rFonts w:asciiTheme="majorBidi" w:hAnsiTheme="majorBidi" w:cstheme="majorBidi"/>
        </w:rPr>
        <w:t xml:space="preserve"> </w:t>
      </w:r>
      <w:r w:rsidR="00781A81" w:rsidRPr="00A038BF">
        <w:rPr>
          <w:rFonts w:asciiTheme="majorBidi" w:hAnsiTheme="majorBidi" w:cstheme="majorBidi"/>
        </w:rPr>
        <w:t>The ranking order of</w:t>
      </w:r>
      <m:oMath>
        <m:sSub>
          <m:sSubPr>
            <m:ctrlPr>
              <w:rPr>
                <w:rFonts w:ascii="Cambria Math" w:hAnsi="Cambria Math" w:cstheme="majorBidi"/>
                <w:noProof/>
              </w:rPr>
            </m:ctrlPr>
          </m:sSubPr>
          <m:e>
            <m:r>
              <w:rPr>
                <w:rFonts w:ascii="Cambria Math" w:hAnsi="Cambria Math" w:cstheme="majorBidi"/>
                <w:noProof/>
              </w:rPr>
              <m:t xml:space="preserve"> P</m:t>
            </m:r>
          </m:e>
          <m:sub>
            <m:r>
              <w:rPr>
                <w:rFonts w:ascii="Cambria Math" w:hAnsi="Cambria Math" w:cstheme="majorBidi"/>
                <w:noProof/>
              </w:rPr>
              <m:t>i</m:t>
            </m:r>
          </m:sub>
        </m:sSub>
      </m:oMath>
      <w:r w:rsidR="00781A81" w:rsidRPr="00A038BF">
        <w:rPr>
          <w:rFonts w:asciiTheme="majorBidi" w:hAnsiTheme="majorBidi" w:cstheme="majorBidi"/>
        </w:rPr>
        <w:t xml:space="preserve"> for different mass timber will be between 0 to 1</w:t>
      </w:r>
      <w:r w:rsidR="006F1BDF" w:rsidRPr="00A038BF">
        <w:rPr>
          <w:rFonts w:asciiTheme="majorBidi" w:hAnsiTheme="majorBidi" w:cstheme="majorBidi"/>
        </w:rPr>
        <w:t>,</w:t>
      </w:r>
      <w:r w:rsidR="00781A81" w:rsidRPr="00A038BF">
        <w:rPr>
          <w:rFonts w:asciiTheme="majorBidi" w:hAnsiTheme="majorBidi" w:cstheme="majorBidi"/>
        </w:rPr>
        <w:t xml:space="preserve"> and the case study closest to one will be determined as the best choice. </w:t>
      </w:r>
    </w:p>
    <w:p w14:paraId="2B92916A" w14:textId="24EEA95C" w:rsidR="00741416" w:rsidRPr="00A038BF" w:rsidRDefault="00741416" w:rsidP="00741416">
      <w:pPr>
        <w:spacing w:line="240" w:lineRule="auto"/>
        <w:ind w:firstLine="720"/>
        <w:rPr>
          <w:rFonts w:asciiTheme="majorBidi" w:hAnsiTheme="majorBidi" w:cstheme="majorBidi"/>
        </w:rPr>
      </w:pPr>
    </w:p>
    <w:p w14:paraId="72E3EC89" w14:textId="77777777" w:rsidR="00067B6E" w:rsidRPr="00A038BF" w:rsidRDefault="00067B6E" w:rsidP="00741416">
      <w:pPr>
        <w:spacing w:line="240" w:lineRule="auto"/>
        <w:ind w:firstLine="720"/>
        <w:rPr>
          <w:rFonts w:asciiTheme="majorBidi" w:hAnsiTheme="majorBidi" w:cstheme="majorBidi"/>
        </w:rPr>
      </w:pPr>
    </w:p>
    <w:p w14:paraId="30E158CA" w14:textId="77777777" w:rsidR="00FD21DE" w:rsidRPr="00A038BF" w:rsidRDefault="00FD21DE" w:rsidP="00FD21DE">
      <w:pPr>
        <w:pStyle w:val="ListParagraph"/>
        <w:numPr>
          <w:ilvl w:val="1"/>
          <w:numId w:val="3"/>
        </w:numPr>
        <w:spacing w:line="276" w:lineRule="auto"/>
        <w:rPr>
          <w:rFonts w:asciiTheme="majorBidi" w:hAnsiTheme="majorBidi" w:cstheme="majorBidi"/>
          <w:b/>
          <w:bCs/>
        </w:rPr>
      </w:pPr>
      <w:r w:rsidRPr="00A038BF">
        <w:rPr>
          <w:rFonts w:asciiTheme="majorBidi" w:hAnsiTheme="majorBidi" w:cstheme="majorBidi"/>
          <w:b/>
          <w:bCs/>
        </w:rPr>
        <w:t xml:space="preserve">Case study building </w:t>
      </w:r>
    </w:p>
    <w:p w14:paraId="50180996" w14:textId="48CDADAB" w:rsidR="00F009ED" w:rsidRPr="00A038BF" w:rsidRDefault="00561043" w:rsidP="00680936">
      <w:pPr>
        <w:spacing w:after="0" w:line="276" w:lineRule="auto"/>
        <w:ind w:firstLine="720"/>
        <w:jc w:val="both"/>
        <w:rPr>
          <w:rFonts w:asciiTheme="majorBidi" w:hAnsiTheme="majorBidi" w:cstheme="majorBidi"/>
        </w:rPr>
      </w:pPr>
      <w:r w:rsidRPr="00A038BF">
        <w:rPr>
          <w:rFonts w:asciiTheme="majorBidi" w:hAnsiTheme="majorBidi" w:cstheme="majorBidi"/>
        </w:rPr>
        <w:t xml:space="preserve">The case study </w:t>
      </w:r>
      <w:r w:rsidR="00A56130" w:rsidRPr="00A038BF">
        <w:rPr>
          <w:rFonts w:asciiTheme="majorBidi" w:hAnsiTheme="majorBidi" w:cstheme="majorBidi"/>
        </w:rPr>
        <w:t>used</w:t>
      </w:r>
      <w:r w:rsidRPr="00A038BF">
        <w:rPr>
          <w:rFonts w:asciiTheme="majorBidi" w:hAnsiTheme="majorBidi" w:cstheme="majorBidi"/>
        </w:rPr>
        <w:t xml:space="preserve"> is a hypothetical </w:t>
      </w:r>
      <w:r w:rsidR="008069B8" w:rsidRPr="00A038BF">
        <w:rPr>
          <w:rFonts w:asciiTheme="majorBidi" w:hAnsiTheme="majorBidi" w:cstheme="majorBidi"/>
        </w:rPr>
        <w:t>double</w:t>
      </w:r>
      <w:r w:rsidR="002929D0" w:rsidRPr="00A038BF">
        <w:rPr>
          <w:rFonts w:asciiTheme="majorBidi" w:hAnsiTheme="majorBidi" w:cstheme="majorBidi"/>
        </w:rPr>
        <w:t>-</w:t>
      </w:r>
      <w:r w:rsidRPr="00A038BF">
        <w:rPr>
          <w:rFonts w:asciiTheme="majorBidi" w:hAnsiTheme="majorBidi" w:cstheme="majorBidi"/>
        </w:rPr>
        <w:t xml:space="preserve">story building located in </w:t>
      </w:r>
      <w:r w:rsidR="00815493" w:rsidRPr="00A038BF">
        <w:rPr>
          <w:rFonts w:asciiTheme="majorBidi" w:hAnsiTheme="majorBidi" w:cstheme="majorBidi"/>
        </w:rPr>
        <w:t>K</w:t>
      </w:r>
      <w:r w:rsidRPr="00A038BF">
        <w:rPr>
          <w:rFonts w:asciiTheme="majorBidi" w:hAnsiTheme="majorBidi" w:cstheme="majorBidi"/>
        </w:rPr>
        <w:t xml:space="preserve">uala </w:t>
      </w:r>
      <w:r w:rsidR="00815493" w:rsidRPr="00A038BF">
        <w:rPr>
          <w:rFonts w:asciiTheme="majorBidi" w:hAnsiTheme="majorBidi" w:cstheme="majorBidi"/>
        </w:rPr>
        <w:t>L</w:t>
      </w:r>
      <w:r w:rsidRPr="00A038BF">
        <w:rPr>
          <w:rFonts w:asciiTheme="majorBidi" w:hAnsiTheme="majorBidi" w:cstheme="majorBidi"/>
        </w:rPr>
        <w:t>umpur, Malaysia</w:t>
      </w:r>
      <w:r w:rsidR="00A56130" w:rsidRPr="00A038BF">
        <w:rPr>
          <w:rFonts w:asciiTheme="majorBidi" w:hAnsiTheme="majorBidi" w:cstheme="majorBidi"/>
        </w:rPr>
        <w:t>. Its area is</w:t>
      </w:r>
      <w:r w:rsidR="00286E8A" w:rsidRPr="00A038BF">
        <w:rPr>
          <w:rFonts w:asciiTheme="majorBidi" w:hAnsiTheme="majorBidi" w:cstheme="majorBidi"/>
        </w:rPr>
        <w:t xml:space="preserve"> 112 M</w:t>
      </w:r>
      <w:r w:rsidR="00286E8A" w:rsidRPr="00A038BF">
        <w:rPr>
          <w:rFonts w:asciiTheme="majorBidi" w:hAnsiTheme="majorBidi" w:cstheme="majorBidi"/>
          <w:vertAlign w:val="superscript"/>
        </w:rPr>
        <w:t>2</w:t>
      </w:r>
      <w:r w:rsidR="00665F42" w:rsidRPr="00A038BF">
        <w:rPr>
          <w:rFonts w:asciiTheme="majorBidi" w:hAnsiTheme="majorBidi" w:cstheme="majorBidi"/>
        </w:rPr>
        <w:t>,</w:t>
      </w:r>
      <w:r w:rsidR="00BA556A" w:rsidRPr="00A038BF">
        <w:rPr>
          <w:rFonts w:asciiTheme="majorBidi" w:hAnsiTheme="majorBidi" w:cstheme="majorBidi"/>
        </w:rPr>
        <w:t xml:space="preserve"> </w:t>
      </w:r>
      <w:r w:rsidR="003D274E" w:rsidRPr="00A038BF">
        <w:rPr>
          <w:rFonts w:asciiTheme="majorBidi" w:hAnsiTheme="majorBidi" w:cstheme="majorBidi"/>
        </w:rPr>
        <w:t xml:space="preserve">as shown in </w:t>
      </w:r>
      <w:r w:rsidR="0068489F" w:rsidRPr="00A038BF">
        <w:rPr>
          <w:rFonts w:asciiTheme="majorBidi" w:hAnsiTheme="majorBidi" w:cstheme="majorBidi"/>
        </w:rPr>
        <w:t>figure 2</w:t>
      </w:r>
      <w:r w:rsidRPr="00A038BF">
        <w:rPr>
          <w:rFonts w:asciiTheme="majorBidi" w:hAnsiTheme="majorBidi" w:cstheme="majorBidi"/>
        </w:rPr>
        <w:t xml:space="preserve">. </w:t>
      </w:r>
      <w:r w:rsidR="00C90D23" w:rsidRPr="00A038BF">
        <w:rPr>
          <w:rFonts w:asciiTheme="majorBidi" w:hAnsiTheme="majorBidi" w:cstheme="majorBidi"/>
        </w:rPr>
        <w:t xml:space="preserve">NLT, DLT, and CLT </w:t>
      </w:r>
      <w:r w:rsidR="00A56130" w:rsidRPr="00A038BF">
        <w:rPr>
          <w:rFonts w:asciiTheme="majorBidi" w:hAnsiTheme="majorBidi" w:cstheme="majorBidi"/>
        </w:rPr>
        <w:t xml:space="preserve">were </w:t>
      </w:r>
      <w:r w:rsidR="00C90D23" w:rsidRPr="00A038BF">
        <w:rPr>
          <w:rFonts w:asciiTheme="majorBidi" w:hAnsiTheme="majorBidi" w:cstheme="majorBidi"/>
        </w:rPr>
        <w:t xml:space="preserve">used for </w:t>
      </w:r>
      <w:r w:rsidR="009E3AD9" w:rsidRPr="00A038BF">
        <w:rPr>
          <w:rFonts w:asciiTheme="majorBidi" w:hAnsiTheme="majorBidi" w:cstheme="majorBidi"/>
        </w:rPr>
        <w:t xml:space="preserve">wall panels and </w:t>
      </w:r>
      <w:r w:rsidR="00C90D23" w:rsidRPr="00A038BF">
        <w:rPr>
          <w:rFonts w:asciiTheme="majorBidi" w:hAnsiTheme="majorBidi" w:cstheme="majorBidi"/>
        </w:rPr>
        <w:t>floor</w:t>
      </w:r>
      <w:r w:rsidR="002929D0" w:rsidRPr="00A038BF">
        <w:rPr>
          <w:rFonts w:asciiTheme="majorBidi" w:hAnsiTheme="majorBidi" w:cstheme="majorBidi"/>
        </w:rPr>
        <w:t>s, allowing large-sized</w:t>
      </w:r>
      <w:r w:rsidR="00C90D23" w:rsidRPr="00A038BF">
        <w:rPr>
          <w:rFonts w:asciiTheme="majorBidi" w:hAnsiTheme="majorBidi" w:cstheme="majorBidi"/>
        </w:rPr>
        <w:t xml:space="preserve"> building elements to be </w:t>
      </w:r>
      <w:r w:rsidR="00F73651" w:rsidRPr="00A038BF">
        <w:rPr>
          <w:rFonts w:asciiTheme="majorBidi" w:hAnsiTheme="majorBidi" w:cstheme="majorBidi"/>
        </w:rPr>
        <w:t>installed quickly in panel form</w:t>
      </w:r>
      <w:r w:rsidR="00C90D23" w:rsidRPr="00A038BF">
        <w:rPr>
          <w:rFonts w:asciiTheme="majorBidi" w:hAnsiTheme="majorBidi" w:cstheme="majorBidi"/>
        </w:rPr>
        <w:t xml:space="preserve"> </w:t>
      </w:r>
      <w:r w:rsidR="00C90D23" w:rsidRPr="00A038BF">
        <w:rPr>
          <w:rFonts w:asciiTheme="majorBidi" w:hAnsiTheme="majorBidi" w:cstheme="majorBidi"/>
        </w:rPr>
        <w:fldChar w:fldCharType="begin" w:fldLock="1"/>
      </w:r>
      <w:r w:rsidR="00C90D23" w:rsidRPr="00A038BF">
        <w:rPr>
          <w:rFonts w:asciiTheme="majorBidi" w:hAnsiTheme="majorBidi" w:cstheme="majorBidi"/>
        </w:rPr>
        <w:instrText>ADDIN CSL_CITATION {"citationItems":[{"id":"ITEM-1","itemData":{"DOI":"10.1016/j.istruc.2020.03.060","ISSN":"23520124","abstract":"The aim of this study is to quantify and compare the environmental impact from cradle-to-gate of different systems for building floor rehabilitation. The Life Cycle Assessment (LCA) method was used for the evaluation of the potential environmental impact of the production of each floor system in eight categories and a monetisation method was used for the weighting of the results and for their expression into one single indicator. Five functionally equivalent (from a structural standpoint) systems were assessed, including: (i) traditional solutions, such as timber floors and reinforced concrete (RC) slabs; (ii) less conventional solutions, such as beam-and-block and steel–concrete composite slab systems; and (iii) an innovative glass fibre reinforced polymer (GFRP) sandwich panel system. The environmental impacts of these systems are compared in this paper for the first time. It was found out that timber is the most environmentally friendly solution, since it presents the lowest total values in all environmental impact categories (under 1% of the impact of the solution with highest impact in each category, RC or GFRP), except for primary renewable energy consumption, for which the RC solution presents the least consumption. On the other hand, it was found out that: the steel–concrete composite floor is the least environmentally friendly solution in abiotic resource depletion; the RC solution is the least performing option in terms of global warming potential and ozone depletion potential; and the GFRP system presents the worst behaviour in five environmental impact categories – non-renewable energy consumption, photochemical ozone formation potential, acidification potential, eutrophication potential and Eco-costs. However, if the most important inefficiencies identified during the production of the latter floor system are at least partly amended, its impacts would be substantially reduced, particularly regarding the Eco-costs indicator, which considers four environmental categories at once – in that case, the RC solution would become the worst solution and GFRP sandwich panels would have an aggregated result of 80% of the RC. The final part of the paper presents a qualitative assessment of the gate-to-grave performance of the different solutions.","author":[{"dropping-particle":"","family":"Demertzi","given":"M.","non-dropping-particle":"","parse-names":false,"suffix":""},{"dropping-particle":"","family":"Silvestre","given":"J.","non-dropping-particle":"","parse-names":false,"suffix":""},{"dropping-particle":"","family":"Garrido","given":"M.","non-dropping-particle":"","parse-names":false,"suffix":""},{"dropping-particle":"","family":"Correia","given":"J. R.","non-dropping-particle":"","parse-names":false,"suffix":""},{"dropping-particle":"","family":"Durão","given":"V.","non-dropping-particle":"","parse-names":false,"suffix":""},{"dropping-particle":"","family":"Proença","given":"M.","non-dropping-particle":"","parse-names":false,"suffix":""}],"container-title":"Structures","id":"ITEM-1","issue":"March","issued":{"date-parts":[["2020"]]},"page":"237-246","publisher":"Elsevier","title":"Life cycle assessment of alternative building floor rehabilitation systems","type":"article-journal","volume":"26"},"uris":["http://www.mendeley.com/documents/?uuid=6e678845-4b3b-40f5-bb51-95ec87bc2c56"]}],"mendeley":{"formattedCitation":"(Demertzi et al., 2020)","plainTextFormattedCitation":"(Demertzi et al., 2020)","previouslyFormattedCitation":"(Demertzi et al., 2020)"},"properties":{"noteIndex":0},"schema":"https://github.com/citation-style-language/schema/raw/master/csl-citation.json"}</w:instrText>
      </w:r>
      <w:r w:rsidR="00C90D23" w:rsidRPr="00A038BF">
        <w:rPr>
          <w:rFonts w:asciiTheme="majorBidi" w:hAnsiTheme="majorBidi" w:cstheme="majorBidi"/>
        </w:rPr>
        <w:fldChar w:fldCharType="separate"/>
      </w:r>
      <w:r w:rsidR="00C90D23" w:rsidRPr="00A038BF">
        <w:rPr>
          <w:rFonts w:asciiTheme="majorBidi" w:hAnsiTheme="majorBidi" w:cstheme="majorBidi"/>
          <w:noProof/>
        </w:rPr>
        <w:t>(Demertzi et al., 2020)</w:t>
      </w:r>
      <w:r w:rsidR="00C90D23" w:rsidRPr="00A038BF">
        <w:rPr>
          <w:rFonts w:asciiTheme="majorBidi" w:hAnsiTheme="majorBidi" w:cstheme="majorBidi"/>
        </w:rPr>
        <w:fldChar w:fldCharType="end"/>
      </w:r>
      <w:r w:rsidR="00F73651" w:rsidRPr="00A038BF">
        <w:rPr>
          <w:rFonts w:asciiTheme="majorBidi" w:hAnsiTheme="majorBidi" w:cstheme="majorBidi"/>
        </w:rPr>
        <w:t>.</w:t>
      </w:r>
      <w:r w:rsidR="009E3AD9" w:rsidRPr="00A038BF">
        <w:rPr>
          <w:rFonts w:asciiTheme="majorBidi" w:hAnsiTheme="majorBidi" w:cstheme="majorBidi"/>
        </w:rPr>
        <w:t xml:space="preserve"> </w:t>
      </w:r>
      <w:r w:rsidR="004012C8" w:rsidRPr="00A038BF">
        <w:rPr>
          <w:rFonts w:asciiTheme="majorBidi" w:hAnsiTheme="majorBidi" w:cstheme="majorBidi"/>
        </w:rPr>
        <w:t>The market for NLT, DLT, and CLT</w:t>
      </w:r>
      <w:r w:rsidR="0049386E" w:rsidRPr="00A038BF">
        <w:rPr>
          <w:rFonts w:asciiTheme="majorBidi" w:hAnsiTheme="majorBidi" w:cstheme="majorBidi"/>
        </w:rPr>
        <w:t xml:space="preserve"> as </w:t>
      </w:r>
      <w:r w:rsidR="00A56130" w:rsidRPr="00A038BF">
        <w:rPr>
          <w:rFonts w:asciiTheme="majorBidi" w:hAnsiTheme="majorBidi" w:cstheme="majorBidi"/>
        </w:rPr>
        <w:t xml:space="preserve">a </w:t>
      </w:r>
      <w:r w:rsidR="0049386E" w:rsidRPr="00A038BF">
        <w:rPr>
          <w:rFonts w:asciiTheme="majorBidi" w:hAnsiTheme="majorBidi" w:cstheme="majorBidi"/>
        </w:rPr>
        <w:t xml:space="preserve">building material is still limited in many countries </w:t>
      </w:r>
      <w:r w:rsidR="00A56130" w:rsidRPr="00A038BF">
        <w:rPr>
          <w:rFonts w:asciiTheme="majorBidi" w:hAnsiTheme="majorBidi" w:cstheme="majorBidi"/>
        </w:rPr>
        <w:t>including</w:t>
      </w:r>
      <w:r w:rsidR="0049386E" w:rsidRPr="00A038BF">
        <w:rPr>
          <w:rFonts w:asciiTheme="majorBidi" w:hAnsiTheme="majorBidi" w:cstheme="majorBidi"/>
        </w:rPr>
        <w:t xml:space="preserve"> Asia at present. </w:t>
      </w:r>
      <w:r w:rsidR="004012C8" w:rsidRPr="00A038BF">
        <w:rPr>
          <w:rFonts w:asciiTheme="majorBidi" w:hAnsiTheme="majorBidi" w:cstheme="majorBidi"/>
        </w:rPr>
        <w:t xml:space="preserve">Thus, there is no specific design standard for mass timber in Malaysia. In </w:t>
      </w:r>
      <w:r w:rsidR="003C643B" w:rsidRPr="00A038BF">
        <w:rPr>
          <w:rFonts w:asciiTheme="majorBidi" w:hAnsiTheme="majorBidi" w:cstheme="majorBidi"/>
        </w:rPr>
        <w:t xml:space="preserve">this </w:t>
      </w:r>
      <w:r w:rsidR="00CA33A1" w:rsidRPr="00A038BF">
        <w:rPr>
          <w:rFonts w:asciiTheme="majorBidi" w:hAnsiTheme="majorBidi" w:cstheme="majorBidi"/>
        </w:rPr>
        <w:t>research</w:t>
      </w:r>
      <w:r w:rsidR="004012C8" w:rsidRPr="00A038BF">
        <w:rPr>
          <w:rFonts w:asciiTheme="majorBidi" w:hAnsiTheme="majorBidi" w:cstheme="majorBidi"/>
        </w:rPr>
        <w:t>, Eurocode 5 and relevant documents (European Committee for Standardization (CEN)</w:t>
      </w:r>
      <w:r w:rsidR="0064142F" w:rsidRPr="00A038BF">
        <w:rPr>
          <w:rFonts w:asciiTheme="majorBidi" w:hAnsiTheme="majorBidi" w:cstheme="majorBidi"/>
        </w:rPr>
        <w:t>)</w:t>
      </w:r>
      <w:r w:rsidR="004012C8" w:rsidRPr="00A038BF">
        <w:rPr>
          <w:rFonts w:asciiTheme="majorBidi" w:hAnsiTheme="majorBidi" w:cstheme="majorBidi"/>
        </w:rPr>
        <w:t xml:space="preserve"> </w:t>
      </w:r>
      <w:r w:rsidR="003C643B" w:rsidRPr="00A038BF">
        <w:rPr>
          <w:rFonts w:asciiTheme="majorBidi" w:hAnsiTheme="majorBidi" w:cstheme="majorBidi"/>
        </w:rPr>
        <w:t xml:space="preserve">were </w:t>
      </w:r>
      <w:r w:rsidR="004012C8" w:rsidRPr="00A038BF">
        <w:rPr>
          <w:rFonts w:asciiTheme="majorBidi" w:hAnsiTheme="majorBidi" w:cstheme="majorBidi"/>
        </w:rPr>
        <w:t xml:space="preserve">adopted as the design standards for </w:t>
      </w:r>
      <w:r w:rsidR="00CA33A1" w:rsidRPr="00A038BF">
        <w:rPr>
          <w:rFonts w:asciiTheme="majorBidi" w:hAnsiTheme="majorBidi" w:cstheme="majorBidi"/>
        </w:rPr>
        <w:t>timber mass</w:t>
      </w:r>
      <w:r w:rsidR="004012C8" w:rsidRPr="00A038BF">
        <w:rPr>
          <w:rFonts w:asciiTheme="majorBidi" w:hAnsiTheme="majorBidi" w:cstheme="majorBidi"/>
        </w:rPr>
        <w:t xml:space="preserve"> structures. </w:t>
      </w:r>
      <w:r w:rsidR="006310D0" w:rsidRPr="00A038BF">
        <w:rPr>
          <w:rFonts w:asciiTheme="majorBidi" w:hAnsiTheme="majorBidi" w:cstheme="majorBidi"/>
        </w:rPr>
        <w:t>Mass</w:t>
      </w:r>
      <w:r w:rsidR="00F73651" w:rsidRPr="00A038BF">
        <w:rPr>
          <w:rFonts w:asciiTheme="majorBidi" w:hAnsiTheme="majorBidi" w:cstheme="majorBidi"/>
        </w:rPr>
        <w:t xml:space="preserve"> </w:t>
      </w:r>
      <w:r w:rsidR="00BC25C8" w:rsidRPr="00A038BF">
        <w:rPr>
          <w:rFonts w:asciiTheme="majorBidi" w:hAnsiTheme="majorBidi" w:cstheme="majorBidi"/>
        </w:rPr>
        <w:t>timber</w:t>
      </w:r>
      <w:r w:rsidR="00F73651" w:rsidRPr="00A038BF">
        <w:rPr>
          <w:rFonts w:asciiTheme="majorBidi" w:hAnsiTheme="majorBidi" w:cstheme="majorBidi"/>
        </w:rPr>
        <w:t xml:space="preserve"> panels </w:t>
      </w:r>
      <w:r w:rsidR="002929D0" w:rsidRPr="00A038BF">
        <w:rPr>
          <w:rFonts w:asciiTheme="majorBidi" w:hAnsiTheme="majorBidi" w:cstheme="majorBidi"/>
        </w:rPr>
        <w:t>are</w:t>
      </w:r>
      <w:r w:rsidR="00F73651" w:rsidRPr="00A038BF">
        <w:rPr>
          <w:rFonts w:asciiTheme="majorBidi" w:hAnsiTheme="majorBidi" w:cstheme="majorBidi"/>
        </w:rPr>
        <w:t xml:space="preserve"> manufactur</w:t>
      </w:r>
      <w:r w:rsidR="0064142F" w:rsidRPr="00A038BF">
        <w:rPr>
          <w:rFonts w:asciiTheme="majorBidi" w:hAnsiTheme="majorBidi" w:cstheme="majorBidi"/>
        </w:rPr>
        <w:t>ed from</w:t>
      </w:r>
      <w:r w:rsidR="00F73651" w:rsidRPr="00A038BF">
        <w:rPr>
          <w:rFonts w:asciiTheme="majorBidi" w:hAnsiTheme="majorBidi" w:cstheme="majorBidi"/>
        </w:rPr>
        <w:t xml:space="preserve"> wood veneers in </w:t>
      </w:r>
      <w:r w:rsidR="0064142F" w:rsidRPr="00A038BF">
        <w:rPr>
          <w:rFonts w:asciiTheme="majorBidi" w:hAnsiTheme="majorBidi" w:cstheme="majorBidi"/>
        </w:rPr>
        <w:t xml:space="preserve">a </w:t>
      </w:r>
      <w:r w:rsidR="00F73651" w:rsidRPr="00A038BF">
        <w:rPr>
          <w:rFonts w:asciiTheme="majorBidi" w:hAnsiTheme="majorBidi" w:cstheme="majorBidi"/>
        </w:rPr>
        <w:t xml:space="preserve">factory </w:t>
      </w:r>
      <w:r w:rsidR="0064142F" w:rsidRPr="00A038BF">
        <w:rPr>
          <w:rFonts w:asciiTheme="majorBidi" w:hAnsiTheme="majorBidi" w:cstheme="majorBidi"/>
        </w:rPr>
        <w:t>and may</w:t>
      </w:r>
      <w:r w:rsidR="00F73651" w:rsidRPr="00A038BF">
        <w:rPr>
          <w:rFonts w:asciiTheme="majorBidi" w:hAnsiTheme="majorBidi" w:cstheme="majorBidi"/>
        </w:rPr>
        <w:t xml:space="preserve"> be use</w:t>
      </w:r>
      <w:r w:rsidR="002929D0" w:rsidRPr="00A038BF">
        <w:rPr>
          <w:rFonts w:asciiTheme="majorBidi" w:hAnsiTheme="majorBidi" w:cstheme="majorBidi"/>
        </w:rPr>
        <w:t>d</w:t>
      </w:r>
      <w:r w:rsidR="00F73651" w:rsidRPr="00A038BF">
        <w:rPr>
          <w:rFonts w:asciiTheme="majorBidi" w:hAnsiTheme="majorBidi" w:cstheme="majorBidi"/>
        </w:rPr>
        <w:t xml:space="preserve"> instead of solid timber. </w:t>
      </w:r>
      <w:r w:rsidR="002F6E31" w:rsidRPr="00A038BF">
        <w:rPr>
          <w:rFonts w:asciiTheme="majorBidi" w:hAnsiTheme="majorBidi" w:cstheme="majorBidi"/>
        </w:rPr>
        <w:t>Various manufactur</w:t>
      </w:r>
      <w:r w:rsidR="0064142F" w:rsidRPr="00A038BF">
        <w:rPr>
          <w:rFonts w:asciiTheme="majorBidi" w:hAnsiTheme="majorBidi" w:cstheme="majorBidi"/>
        </w:rPr>
        <w:t>ing methods were used for</w:t>
      </w:r>
      <w:r w:rsidR="002F6E31" w:rsidRPr="00A038BF">
        <w:rPr>
          <w:rFonts w:asciiTheme="majorBidi" w:hAnsiTheme="majorBidi" w:cstheme="majorBidi"/>
        </w:rPr>
        <w:t xml:space="preserve"> the three specimens in this study</w:t>
      </w:r>
      <w:r w:rsidR="006310D0" w:rsidRPr="00A038BF">
        <w:rPr>
          <w:rFonts w:asciiTheme="majorBidi" w:hAnsiTheme="majorBidi" w:cstheme="majorBidi"/>
        </w:rPr>
        <w:t xml:space="preserve">. </w:t>
      </w:r>
      <w:r w:rsidR="0064142F" w:rsidRPr="00A038BF">
        <w:rPr>
          <w:rFonts w:asciiTheme="majorBidi" w:hAnsiTheme="majorBidi" w:cstheme="majorBidi"/>
        </w:rPr>
        <w:t>U</w:t>
      </w:r>
      <w:r w:rsidR="000F18F3" w:rsidRPr="00A038BF">
        <w:rPr>
          <w:rFonts w:asciiTheme="majorBidi" w:hAnsiTheme="majorBidi" w:cstheme="majorBidi"/>
        </w:rPr>
        <w:t>nlike other engineering wood</w:t>
      </w:r>
      <w:r w:rsidR="0064142F" w:rsidRPr="00A038BF">
        <w:rPr>
          <w:rFonts w:asciiTheme="majorBidi" w:hAnsiTheme="majorBidi" w:cstheme="majorBidi"/>
        </w:rPr>
        <w:t>s</w:t>
      </w:r>
      <w:r w:rsidR="000F18F3" w:rsidRPr="00A038BF">
        <w:rPr>
          <w:rFonts w:asciiTheme="majorBidi" w:hAnsiTheme="majorBidi" w:cstheme="majorBidi"/>
        </w:rPr>
        <w:t xml:space="preserve"> such as </w:t>
      </w:r>
      <w:r w:rsidR="0078230C" w:rsidRPr="00A038BF">
        <w:rPr>
          <w:rFonts w:asciiTheme="majorBidi" w:hAnsiTheme="majorBidi" w:cstheme="majorBidi"/>
        </w:rPr>
        <w:t>glued laminated timber (</w:t>
      </w:r>
      <w:r w:rsidR="000F18F3" w:rsidRPr="00A038BF">
        <w:rPr>
          <w:rFonts w:asciiTheme="majorBidi" w:hAnsiTheme="majorBidi" w:cstheme="majorBidi"/>
        </w:rPr>
        <w:t>GLT</w:t>
      </w:r>
      <w:r w:rsidR="0078230C" w:rsidRPr="00A038BF">
        <w:rPr>
          <w:rFonts w:asciiTheme="majorBidi" w:hAnsiTheme="majorBidi" w:cstheme="majorBidi"/>
        </w:rPr>
        <w:t>)</w:t>
      </w:r>
      <w:r w:rsidR="000F18F3" w:rsidRPr="00A038BF">
        <w:rPr>
          <w:rFonts w:asciiTheme="majorBidi" w:hAnsiTheme="majorBidi" w:cstheme="majorBidi"/>
        </w:rPr>
        <w:t xml:space="preserve"> or </w:t>
      </w:r>
      <w:r w:rsidR="0078230C" w:rsidRPr="00A038BF">
        <w:rPr>
          <w:rFonts w:asciiTheme="majorBidi" w:hAnsiTheme="majorBidi" w:cstheme="majorBidi"/>
        </w:rPr>
        <w:t>Parallel-strand lumber (P</w:t>
      </w:r>
      <w:r w:rsidR="000F18F3" w:rsidRPr="00A038BF">
        <w:rPr>
          <w:rFonts w:asciiTheme="majorBidi" w:hAnsiTheme="majorBidi" w:cstheme="majorBidi"/>
        </w:rPr>
        <w:t>SL</w:t>
      </w:r>
      <w:r w:rsidR="0078230C" w:rsidRPr="00A038BF">
        <w:rPr>
          <w:rFonts w:asciiTheme="majorBidi" w:hAnsiTheme="majorBidi" w:cstheme="majorBidi"/>
        </w:rPr>
        <w:t>)</w:t>
      </w:r>
      <w:r w:rsidR="00BB7EB9" w:rsidRPr="00A038BF">
        <w:rPr>
          <w:rFonts w:asciiTheme="majorBidi" w:hAnsiTheme="majorBidi" w:cstheme="majorBidi"/>
        </w:rPr>
        <w:t xml:space="preserve"> that </w:t>
      </w:r>
      <w:r w:rsidR="0064142F" w:rsidRPr="00A038BF">
        <w:rPr>
          <w:rFonts w:asciiTheme="majorBidi" w:hAnsiTheme="majorBidi" w:cstheme="majorBidi"/>
        </w:rPr>
        <w:t xml:space="preserve">are used </w:t>
      </w:r>
      <w:r w:rsidR="00BB7EB9" w:rsidRPr="00A038BF">
        <w:rPr>
          <w:rFonts w:asciiTheme="majorBidi" w:hAnsiTheme="majorBidi" w:cstheme="majorBidi"/>
        </w:rPr>
        <w:t xml:space="preserve">as </w:t>
      </w:r>
      <w:r w:rsidR="00665F42" w:rsidRPr="00A038BF">
        <w:rPr>
          <w:rFonts w:asciiTheme="majorBidi" w:hAnsiTheme="majorBidi" w:cstheme="majorBidi"/>
        </w:rPr>
        <w:t>p</w:t>
      </w:r>
      <w:r w:rsidR="00BB7EB9" w:rsidRPr="00A038BF">
        <w:rPr>
          <w:rFonts w:asciiTheme="majorBidi" w:hAnsiTheme="majorBidi" w:cstheme="majorBidi"/>
        </w:rPr>
        <w:t>ost</w:t>
      </w:r>
      <w:r w:rsidR="0064142F" w:rsidRPr="00A038BF">
        <w:rPr>
          <w:rFonts w:asciiTheme="majorBidi" w:hAnsiTheme="majorBidi" w:cstheme="majorBidi"/>
        </w:rPr>
        <w:t>s</w:t>
      </w:r>
      <w:r w:rsidR="00BB7EB9" w:rsidRPr="00A038BF">
        <w:rPr>
          <w:rFonts w:asciiTheme="majorBidi" w:hAnsiTheme="majorBidi" w:cstheme="majorBidi"/>
        </w:rPr>
        <w:t xml:space="preserve"> and beam</w:t>
      </w:r>
      <w:r w:rsidR="0064142F" w:rsidRPr="00A038BF">
        <w:rPr>
          <w:rFonts w:asciiTheme="majorBidi" w:hAnsiTheme="majorBidi" w:cstheme="majorBidi"/>
        </w:rPr>
        <w:t>s</w:t>
      </w:r>
      <w:r w:rsidR="00782ADB" w:rsidRPr="00A038BF">
        <w:rPr>
          <w:rFonts w:asciiTheme="majorBidi" w:hAnsiTheme="majorBidi" w:cstheme="majorBidi"/>
        </w:rPr>
        <w:t xml:space="preserve"> </w:t>
      </w:r>
      <w:r w:rsidR="00193335" w:rsidRPr="00A038BF">
        <w:rPr>
          <w:rFonts w:asciiTheme="majorBidi" w:hAnsiTheme="majorBidi" w:cstheme="majorBidi"/>
        </w:rPr>
        <w:fldChar w:fldCharType="begin" w:fldLock="1"/>
      </w:r>
      <w:r w:rsidR="00B424ED" w:rsidRPr="00A038BF">
        <w:rPr>
          <w:rFonts w:asciiTheme="majorBidi" w:hAnsiTheme="majorBidi" w:cstheme="majorBidi"/>
        </w:rPr>
        <w:instrText>ADDIN CSL_CITATION {"citationItems":[{"id":"ITEM-1","itemData":{"abstract":"The development of this primer commenced shortly after the 2018 launch of the Mass Timber Institute (MTI) centered at the University of Toronto. Funding for this publication was generously provided by the Ontario Ministry of Natural Resources and Forestry. Although numerous jurisdictions have established design guides for tall mass timber buildings, architects and engineers often do not have access to the specialized building science knowledge required to deliver well performing mass timber buildings. MTI worked collaboratively with industry, design professionals, academia, researchers and code experts to develop the scope and content of this mass timber building science primer. Although provincially funded, the broader Canadian context underlying this publication was viewed as the most appropriate means of advancing Ontario’s nascent mass timber building industry. This publication also extends beyond Canada and is based on universally applicable principles of building science and how these principles may be used anywhere in all aspects of mass timber building technology. Specifically, these guidelines were developed to guide stakeholders in selecting and implementing appropriate building science practices and protocols to ensure the acceptable life cycle performance of mass timber buildings. It is essential that each representative stakeholder, developer/owner, architect/engineer, supplier, constructor, wood erector, building official, insurer, and facility manager, understand these principles and how to apply them during the design, procurement, construction and in-service phases before embarking on a mass timber building project.","author":[{"dropping-particle":"","family":"Kesik","given":"Ted","non-dropping-particle":"","parse-names":false,"suffix":""},{"dropping-particle":"","family":"Martin","given":"Rosemary","non-dropping-particle":"","parse-names":false,"suffix":""}],"id":"ITEM-1","issued":{"date-parts":[["2021"]]},"title":"Mass Timber Building Science Primer","type":"article-journal"},"uris":["http://www.mendeley.com/documents/?uuid=b6e81386-b4c3-4625-a765-c9013804a881"]}],"mendeley":{"formattedCitation":"(Kesik &amp; Martin, 2021)","plainTextFormattedCitation":"(Kesik &amp; Martin, 2021)","previouslyFormattedCitation":"(Kesik &amp; Martin, 2021)"},"properties":{"noteIndex":0},"schema":"https://github.com/citation-style-language/schema/raw/master/csl-citation.json"}</w:instrText>
      </w:r>
      <w:r w:rsidR="00193335" w:rsidRPr="00A038BF">
        <w:rPr>
          <w:rFonts w:asciiTheme="majorBidi" w:hAnsiTheme="majorBidi" w:cstheme="majorBidi"/>
        </w:rPr>
        <w:fldChar w:fldCharType="separate"/>
      </w:r>
      <w:r w:rsidR="00193335" w:rsidRPr="00A038BF">
        <w:rPr>
          <w:rFonts w:asciiTheme="majorBidi" w:hAnsiTheme="majorBidi" w:cstheme="majorBidi"/>
          <w:noProof/>
        </w:rPr>
        <w:t>(Kesik &amp; Martin, 2021)</w:t>
      </w:r>
      <w:r w:rsidR="00193335" w:rsidRPr="00A038BF">
        <w:rPr>
          <w:rFonts w:asciiTheme="majorBidi" w:hAnsiTheme="majorBidi" w:cstheme="majorBidi"/>
        </w:rPr>
        <w:fldChar w:fldCharType="end"/>
      </w:r>
      <w:r w:rsidR="000F18F3" w:rsidRPr="00A038BF">
        <w:rPr>
          <w:rFonts w:asciiTheme="majorBidi" w:hAnsiTheme="majorBidi" w:cstheme="majorBidi"/>
        </w:rPr>
        <w:t>, all mass timbers in this study are us</w:t>
      </w:r>
      <w:r w:rsidR="00C30AC5" w:rsidRPr="00A038BF">
        <w:rPr>
          <w:rFonts w:asciiTheme="majorBidi" w:hAnsiTheme="majorBidi" w:cstheme="majorBidi"/>
        </w:rPr>
        <w:t>ed</w:t>
      </w:r>
      <w:r w:rsidR="000F18F3" w:rsidRPr="00A038BF">
        <w:rPr>
          <w:rFonts w:asciiTheme="majorBidi" w:hAnsiTheme="majorBidi" w:cstheme="majorBidi"/>
        </w:rPr>
        <w:t xml:space="preserve"> as wall panels</w:t>
      </w:r>
      <w:r w:rsidR="00782ADB" w:rsidRPr="00A038BF">
        <w:rPr>
          <w:rFonts w:asciiTheme="majorBidi" w:hAnsiTheme="majorBidi" w:cstheme="majorBidi"/>
        </w:rPr>
        <w:t xml:space="preserve"> and </w:t>
      </w:r>
      <w:r w:rsidR="00710C73" w:rsidRPr="00A038BF">
        <w:rPr>
          <w:rFonts w:asciiTheme="majorBidi" w:hAnsiTheme="majorBidi" w:cstheme="majorBidi"/>
        </w:rPr>
        <w:t>frame</w:t>
      </w:r>
      <w:r w:rsidR="0064142F" w:rsidRPr="00A038BF">
        <w:rPr>
          <w:rFonts w:asciiTheme="majorBidi" w:hAnsiTheme="majorBidi" w:cstheme="majorBidi"/>
        </w:rPr>
        <w:t>s</w:t>
      </w:r>
      <w:r w:rsidR="00710C73" w:rsidRPr="00A038BF">
        <w:rPr>
          <w:rFonts w:asciiTheme="majorBidi" w:hAnsiTheme="majorBidi" w:cstheme="majorBidi"/>
        </w:rPr>
        <w:t xml:space="preserve"> </w:t>
      </w:r>
      <w:r w:rsidR="0005768D" w:rsidRPr="00A038BF">
        <w:rPr>
          <w:rFonts w:asciiTheme="majorBidi" w:hAnsiTheme="majorBidi" w:cstheme="majorBidi"/>
        </w:rPr>
        <w:t xml:space="preserve">using </w:t>
      </w:r>
      <w:r w:rsidR="00665F42" w:rsidRPr="00A038BF">
        <w:rPr>
          <w:rFonts w:asciiTheme="majorBidi" w:hAnsiTheme="majorBidi" w:cstheme="majorBidi"/>
        </w:rPr>
        <w:t>s</w:t>
      </w:r>
      <w:r w:rsidR="0005768D" w:rsidRPr="00A038BF">
        <w:rPr>
          <w:rFonts w:asciiTheme="majorBidi" w:hAnsiTheme="majorBidi" w:cstheme="majorBidi"/>
        </w:rPr>
        <w:t>oftwood</w:t>
      </w:r>
      <w:r w:rsidR="009D5A26" w:rsidRPr="00A038BF">
        <w:rPr>
          <w:rFonts w:asciiTheme="majorBidi" w:hAnsiTheme="majorBidi" w:cstheme="majorBidi"/>
        </w:rPr>
        <w:t xml:space="preserve">. </w:t>
      </w:r>
      <w:r w:rsidR="00444427" w:rsidRPr="00A038BF">
        <w:rPr>
          <w:rFonts w:asciiTheme="majorBidi" w:hAnsiTheme="majorBidi" w:cstheme="majorBidi"/>
        </w:rPr>
        <w:t xml:space="preserve">The construction practice </w:t>
      </w:r>
      <w:r w:rsidR="0064142F" w:rsidRPr="00A038BF">
        <w:rPr>
          <w:rFonts w:asciiTheme="majorBidi" w:hAnsiTheme="majorBidi" w:cstheme="majorBidi"/>
        </w:rPr>
        <w:t>was</w:t>
      </w:r>
      <w:r w:rsidR="00444427" w:rsidRPr="00A038BF">
        <w:rPr>
          <w:rFonts w:asciiTheme="majorBidi" w:hAnsiTheme="majorBidi" w:cstheme="majorBidi"/>
        </w:rPr>
        <w:t xml:space="preserve"> considered </w:t>
      </w:r>
      <w:r w:rsidR="0064142F" w:rsidRPr="00A038BF">
        <w:rPr>
          <w:rFonts w:asciiTheme="majorBidi" w:hAnsiTheme="majorBidi" w:cstheme="majorBidi"/>
        </w:rPr>
        <w:t xml:space="preserve">to be </w:t>
      </w:r>
      <w:r w:rsidR="00444427" w:rsidRPr="00A038BF">
        <w:rPr>
          <w:rFonts w:asciiTheme="majorBidi" w:hAnsiTheme="majorBidi" w:cstheme="majorBidi"/>
        </w:rPr>
        <w:t xml:space="preserve">prefabricated </w:t>
      </w:r>
      <w:r w:rsidR="002A0CD3" w:rsidRPr="00A038BF">
        <w:rPr>
          <w:rFonts w:asciiTheme="majorBidi" w:hAnsiTheme="majorBidi" w:cstheme="majorBidi"/>
        </w:rPr>
        <w:t xml:space="preserve">panel </w:t>
      </w:r>
      <w:r w:rsidR="00444427" w:rsidRPr="00A038BF">
        <w:rPr>
          <w:rFonts w:asciiTheme="majorBidi" w:hAnsiTheme="majorBidi" w:cstheme="majorBidi"/>
        </w:rPr>
        <w:t>components</w:t>
      </w:r>
      <w:r w:rsidR="002A0CD3" w:rsidRPr="00A038BF">
        <w:rPr>
          <w:rFonts w:asciiTheme="majorBidi" w:hAnsiTheme="majorBidi" w:cstheme="majorBidi"/>
        </w:rPr>
        <w:t xml:space="preserve"> transfer</w:t>
      </w:r>
      <w:r w:rsidR="00C30AC5" w:rsidRPr="00A038BF">
        <w:rPr>
          <w:rFonts w:asciiTheme="majorBidi" w:hAnsiTheme="majorBidi" w:cstheme="majorBidi"/>
        </w:rPr>
        <w:t>red</w:t>
      </w:r>
      <w:r w:rsidR="002A0CD3" w:rsidRPr="00A038BF">
        <w:rPr>
          <w:rFonts w:asciiTheme="majorBidi" w:hAnsiTheme="majorBidi" w:cstheme="majorBidi"/>
        </w:rPr>
        <w:t xml:space="preserve"> to site</w:t>
      </w:r>
      <w:r w:rsidR="00444427" w:rsidRPr="00A038BF">
        <w:rPr>
          <w:rFonts w:asciiTheme="majorBidi" w:hAnsiTheme="majorBidi" w:cstheme="majorBidi"/>
        </w:rPr>
        <w:t>.</w:t>
      </w:r>
      <w:r w:rsidR="002A0CD3" w:rsidRPr="00A038BF">
        <w:rPr>
          <w:rFonts w:asciiTheme="majorBidi" w:hAnsiTheme="majorBidi" w:cstheme="majorBidi"/>
        </w:rPr>
        <w:t xml:space="preserve"> </w:t>
      </w:r>
      <w:r w:rsidR="0064142F" w:rsidRPr="00A038BF">
        <w:rPr>
          <w:rFonts w:asciiTheme="majorBidi" w:hAnsiTheme="majorBidi" w:cstheme="majorBidi"/>
        </w:rPr>
        <w:t>The NLT and DLT panels were manufactured by either n</w:t>
      </w:r>
      <w:r w:rsidR="00F009ED" w:rsidRPr="00A038BF">
        <w:rPr>
          <w:rFonts w:asciiTheme="majorBidi" w:hAnsiTheme="majorBidi" w:cstheme="majorBidi"/>
        </w:rPr>
        <w:t>ail-joint</w:t>
      </w:r>
      <w:r w:rsidR="0064142F" w:rsidRPr="00A038BF">
        <w:rPr>
          <w:rFonts w:asciiTheme="majorBidi" w:hAnsiTheme="majorBidi" w:cstheme="majorBidi"/>
        </w:rPr>
        <w:t>ing</w:t>
      </w:r>
      <w:r w:rsidR="00F009ED" w:rsidRPr="00A038BF">
        <w:rPr>
          <w:rFonts w:asciiTheme="majorBidi" w:hAnsiTheme="majorBidi" w:cstheme="majorBidi"/>
        </w:rPr>
        <w:t xml:space="preserve"> </w:t>
      </w:r>
      <w:r w:rsidR="000F2C5B" w:rsidRPr="00A038BF">
        <w:rPr>
          <w:rFonts w:asciiTheme="majorBidi" w:hAnsiTheme="majorBidi" w:cstheme="majorBidi"/>
        </w:rPr>
        <w:t xml:space="preserve">(for NLT) </w:t>
      </w:r>
      <w:r w:rsidR="0064142F" w:rsidRPr="00A038BF">
        <w:rPr>
          <w:rFonts w:asciiTheme="majorBidi" w:hAnsiTheme="majorBidi" w:cstheme="majorBidi"/>
        </w:rPr>
        <w:t xml:space="preserve">or </w:t>
      </w:r>
      <w:r w:rsidR="00F009ED" w:rsidRPr="00A038BF">
        <w:rPr>
          <w:rFonts w:asciiTheme="majorBidi" w:hAnsiTheme="majorBidi" w:cstheme="majorBidi"/>
        </w:rPr>
        <w:t>dowel-joint</w:t>
      </w:r>
      <w:r w:rsidR="0064142F" w:rsidRPr="00A038BF">
        <w:rPr>
          <w:rFonts w:asciiTheme="majorBidi" w:hAnsiTheme="majorBidi" w:cstheme="majorBidi"/>
        </w:rPr>
        <w:t>ing</w:t>
      </w:r>
      <w:r w:rsidR="000F2C5B" w:rsidRPr="00A038BF">
        <w:rPr>
          <w:rFonts w:asciiTheme="majorBidi" w:hAnsiTheme="majorBidi" w:cstheme="majorBidi"/>
        </w:rPr>
        <w:t xml:space="preserve"> (for DLT)</w:t>
      </w:r>
      <w:r w:rsidR="000F2C5B" w:rsidRPr="00A038BF" w:rsidDel="0064142F">
        <w:rPr>
          <w:rFonts w:asciiTheme="majorBidi" w:hAnsiTheme="majorBidi" w:cstheme="majorBidi"/>
        </w:rPr>
        <w:t xml:space="preserve"> </w:t>
      </w:r>
      <w:r w:rsidR="00F009ED" w:rsidRPr="00A038BF">
        <w:rPr>
          <w:rFonts w:asciiTheme="majorBidi" w:hAnsiTheme="majorBidi" w:cstheme="majorBidi"/>
        </w:rPr>
        <w:t xml:space="preserve"> planks </w:t>
      </w:r>
      <w:r w:rsidR="000F2C5B" w:rsidRPr="00A038BF">
        <w:rPr>
          <w:rFonts w:asciiTheme="majorBidi" w:hAnsiTheme="majorBidi" w:cstheme="majorBidi"/>
        </w:rPr>
        <w:t>together</w:t>
      </w:r>
      <w:r w:rsidR="0064142F" w:rsidRPr="00A038BF">
        <w:rPr>
          <w:rFonts w:asciiTheme="majorBidi" w:hAnsiTheme="majorBidi" w:cstheme="majorBidi"/>
        </w:rPr>
        <w:t>. T</w:t>
      </w:r>
      <w:r w:rsidR="00F009ED" w:rsidRPr="00A038BF">
        <w:rPr>
          <w:rFonts w:asciiTheme="majorBidi" w:hAnsiTheme="majorBidi" w:cstheme="majorBidi"/>
        </w:rPr>
        <w:t xml:space="preserve">he wood grain of all planks </w:t>
      </w:r>
      <w:r w:rsidR="0064142F" w:rsidRPr="00A038BF">
        <w:rPr>
          <w:rFonts w:asciiTheme="majorBidi" w:hAnsiTheme="majorBidi" w:cstheme="majorBidi"/>
        </w:rPr>
        <w:t xml:space="preserve">was </w:t>
      </w:r>
      <w:r w:rsidR="00F009ED" w:rsidRPr="00A038BF">
        <w:rPr>
          <w:rFonts w:asciiTheme="majorBidi" w:hAnsiTheme="majorBidi" w:cstheme="majorBidi"/>
        </w:rPr>
        <w:t xml:space="preserve">aligned in the same direction. CLT </w:t>
      </w:r>
      <w:r w:rsidR="000F2C5B" w:rsidRPr="00A038BF">
        <w:rPr>
          <w:rFonts w:asciiTheme="majorBidi" w:hAnsiTheme="majorBidi" w:cstheme="majorBidi"/>
        </w:rPr>
        <w:t xml:space="preserve">was </w:t>
      </w:r>
      <w:r w:rsidR="00F009ED" w:rsidRPr="00A038BF">
        <w:rPr>
          <w:rFonts w:asciiTheme="majorBidi" w:hAnsiTheme="majorBidi" w:cstheme="majorBidi"/>
        </w:rPr>
        <w:t>manufactur</w:t>
      </w:r>
      <w:r w:rsidR="00C30AC5" w:rsidRPr="00A038BF">
        <w:rPr>
          <w:rFonts w:asciiTheme="majorBidi" w:hAnsiTheme="majorBidi" w:cstheme="majorBidi"/>
        </w:rPr>
        <w:t>ed</w:t>
      </w:r>
      <w:r w:rsidR="00F009ED" w:rsidRPr="00A038BF">
        <w:rPr>
          <w:rFonts w:asciiTheme="majorBidi" w:hAnsiTheme="majorBidi" w:cstheme="majorBidi"/>
        </w:rPr>
        <w:t xml:space="preserve"> by edge-gluing lumber planks with the wood grain of planks aligned in different direction</w:t>
      </w:r>
      <w:r w:rsidR="002929D0" w:rsidRPr="00A038BF">
        <w:rPr>
          <w:rFonts w:asciiTheme="majorBidi" w:hAnsiTheme="majorBidi" w:cstheme="majorBidi"/>
        </w:rPr>
        <w:t>s</w:t>
      </w:r>
      <w:r w:rsidR="00F009ED" w:rsidRPr="00A038BF">
        <w:rPr>
          <w:rFonts w:asciiTheme="majorBidi" w:hAnsiTheme="majorBidi" w:cstheme="majorBidi"/>
        </w:rPr>
        <w:t xml:space="preserve"> in each layer (5 layers)</w:t>
      </w:r>
      <w:r w:rsidR="006C78E0" w:rsidRPr="00A038BF">
        <w:rPr>
          <w:rFonts w:asciiTheme="majorBidi" w:hAnsiTheme="majorBidi" w:cstheme="majorBidi"/>
        </w:rPr>
        <w:t xml:space="preserve"> </w:t>
      </w:r>
      <w:r w:rsidR="006C78E0" w:rsidRPr="00A038BF">
        <w:rPr>
          <w:rFonts w:asciiTheme="majorBidi" w:hAnsiTheme="majorBidi" w:cstheme="majorBidi"/>
        </w:rPr>
        <w:fldChar w:fldCharType="begin" w:fldLock="1"/>
      </w:r>
      <w:r w:rsidR="00C8324B" w:rsidRPr="00A038BF">
        <w:rPr>
          <w:rFonts w:asciiTheme="majorBidi" w:hAnsiTheme="majorBidi" w:cstheme="majorBidi"/>
        </w:rPr>
        <w:instrText>ADDIN CSL_CITATION {"citationItems":[{"id":"ITEM-1","itemData":{"DOI":"10.3390/buildings8100142","abstract":"Cross-laminated timber (CLT) possesses both good shape stability and possible two-way force transfer ability due to its crosswise lamination. However, the transverse layers in CLT are prone to rolling shear failure under an out-of-plane load. An innovative multi-layer composite laminated panel (CLP) was developed by combining structural composite lumber (SCL) and dimension lumber to overcome the rolling shear failure while maintaining the high mechanical performance and aesthetic appearance of natural wood. The mechanical properties of 5-layer CLP that consisted of laminated strand lumber (LSL) and dimension lumber with different layups were evaluated by both static and modal tests. The results showed that the shear resistance, bending stiffness, and moment resistance of CLP were up to 143%, 43%, and 87% higher than their counterparts of regular CLT, respectively. The failure modes observed in both shear and bending tests indicated that the use of LSL in transverse layers could eliminate the potential rolling shear failure in CLT. With the lamination properties from components tests as inputs, the validity of shear analogy method was assessed by test results. The mechanical properties can be well predicted by shear analogy method except for the bending moment resistance of CLP and CLT with either rolling failure in the cross layer or tension failure in the bottom layer.","author":[{"dropping-particle":"","family":"Niederwestberg","given":"Jan","non-dropping-particle":"","parse-names":false,"suffix":""},{"dropping-particle":"","family":"Zhou","given":"Jianhui","non-dropping-particle":"","parse-names":false,"suffix":""},{"dropping-particle":"","family":"Chui","given":"Ying-hei","non-dropping-particle":"","parse-names":false,"suffix":""}],"id":"ITEM-1","issued":{"date-parts":[["2018"]]},"page":"1-13","title":"Mechanical Properties of Innovative, Multi-Layer Composite Laminated Panels","type":"article-journal"},"uris":["http://www.mendeley.com/documents/?uuid=0cb084ee-130c-454d-81fb-50d95b198b5b"]}],"mendeley":{"formattedCitation":"(Niederwestberg et al., 2018)","plainTextFormattedCitation":"(Niederwestberg et al., 2018)","previouslyFormattedCitation":"(Niederwestberg et al., 2018)"},"properties":{"noteIndex":0},"schema":"https://github.com/citation-style-language/schema/raw/master/csl-citation.json"}</w:instrText>
      </w:r>
      <w:r w:rsidR="006C78E0" w:rsidRPr="00A038BF">
        <w:rPr>
          <w:rFonts w:asciiTheme="majorBidi" w:hAnsiTheme="majorBidi" w:cstheme="majorBidi"/>
        </w:rPr>
        <w:fldChar w:fldCharType="separate"/>
      </w:r>
      <w:r w:rsidR="006C78E0" w:rsidRPr="00A038BF">
        <w:rPr>
          <w:rFonts w:asciiTheme="majorBidi" w:hAnsiTheme="majorBidi" w:cstheme="majorBidi"/>
          <w:noProof/>
        </w:rPr>
        <w:t>(Niederwestberg et al., 2018)</w:t>
      </w:r>
      <w:r w:rsidR="006C78E0" w:rsidRPr="00A038BF">
        <w:rPr>
          <w:rFonts w:asciiTheme="majorBidi" w:hAnsiTheme="majorBidi" w:cstheme="majorBidi"/>
        </w:rPr>
        <w:fldChar w:fldCharType="end"/>
      </w:r>
      <w:r w:rsidR="00F009ED" w:rsidRPr="00A038BF">
        <w:rPr>
          <w:rFonts w:asciiTheme="majorBidi" w:hAnsiTheme="majorBidi" w:cstheme="majorBidi"/>
        </w:rPr>
        <w:t xml:space="preserve">. </w:t>
      </w:r>
    </w:p>
    <w:p w14:paraId="45348EEB" w14:textId="311866BC" w:rsidR="00411BA1" w:rsidRPr="00A038BF" w:rsidRDefault="00411BA1" w:rsidP="007502C0">
      <w:pPr>
        <w:spacing w:after="0" w:line="276" w:lineRule="auto"/>
        <w:ind w:firstLine="720"/>
        <w:jc w:val="both"/>
        <w:rPr>
          <w:rFonts w:asciiTheme="majorBidi" w:hAnsiTheme="majorBidi" w:cstheme="majorBidi"/>
        </w:rPr>
      </w:pPr>
      <w:r w:rsidRPr="00A038BF">
        <w:rPr>
          <w:rFonts w:asciiTheme="majorBidi" w:hAnsiTheme="majorBidi" w:cstheme="majorBidi"/>
        </w:rPr>
        <w:t xml:space="preserve">The first option </w:t>
      </w:r>
      <w:r w:rsidR="00DA2C66" w:rsidRPr="00A038BF">
        <w:rPr>
          <w:rFonts w:asciiTheme="majorBidi" w:hAnsiTheme="majorBidi" w:cstheme="majorBidi"/>
        </w:rPr>
        <w:t>to be considered wa</w:t>
      </w:r>
      <w:r w:rsidRPr="00A038BF">
        <w:rPr>
          <w:rFonts w:asciiTheme="majorBidi" w:hAnsiTheme="majorBidi" w:cstheme="majorBidi"/>
        </w:rPr>
        <w:t xml:space="preserve">s CLT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{"citationItems":[{"id":"ITEM-1","itemData":{"author":[{"dropping-particle":"","family":"Chaudhary","given":"Abhishek","non-dropping-particle":"","parse-names":false,"suffix":""}],"id":"ITEM-1","issue":"June","issued":{"date-parts":[["2015"]]},"title":"Life cycle assessment of adhesives used in wood constructions Life cycle assessment ( LCA ) of adhesives used in wood constructions","type":"article-journal"},"uris":["http://www.mendeley.com/documents/?uuid=cf6e72cf-8db8-4063-827f-774f0b27954b"]}],"mendeley":{"formattedCitation":"(Chaudhary, 2015)","plainTextFormattedCitation":"(Chaudhary, 2015)","previouslyFormattedCitation":"(Chaudhary, 2015)"},"properties":{"noteIndex":0},"schema":"https://github.com/citation-style-language/schema/raw/master/csl-citation.json"}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(Chaudhary, 2015)</w:t>
      </w:r>
      <w:r w:rsidRPr="00A038BF">
        <w:rPr>
          <w:rFonts w:asciiTheme="majorBidi" w:hAnsiTheme="majorBidi" w:cstheme="majorBidi"/>
        </w:rPr>
        <w:fldChar w:fldCharType="end"/>
      </w:r>
      <w:r w:rsidR="00DA2C66" w:rsidRPr="00A038BF">
        <w:rPr>
          <w:rFonts w:asciiTheme="majorBidi" w:hAnsiTheme="majorBidi" w:cstheme="majorBidi"/>
        </w:rPr>
        <w:t>. A</w:t>
      </w:r>
      <w:r w:rsidR="002929D0" w:rsidRPr="00A038BF">
        <w:rPr>
          <w:rFonts w:asciiTheme="majorBidi" w:hAnsiTheme="majorBidi" w:cstheme="majorBidi"/>
        </w:rPr>
        <w:t xml:space="preserve">dhesive </w:t>
      </w:r>
      <w:r w:rsidR="00DA2C66" w:rsidRPr="00A038BF">
        <w:rPr>
          <w:rFonts w:asciiTheme="majorBidi" w:hAnsiTheme="majorBidi" w:cstheme="majorBidi"/>
        </w:rPr>
        <w:t xml:space="preserve">is </w:t>
      </w:r>
      <w:r w:rsidR="002929D0" w:rsidRPr="00A038BF">
        <w:rPr>
          <w:rFonts w:asciiTheme="majorBidi" w:hAnsiTheme="majorBidi" w:cstheme="majorBidi"/>
        </w:rPr>
        <w:t xml:space="preserve">applied </w:t>
      </w:r>
      <w:r w:rsidR="00DA2C66" w:rsidRPr="00A038BF">
        <w:rPr>
          <w:rFonts w:asciiTheme="majorBidi" w:hAnsiTheme="majorBidi" w:cstheme="majorBidi"/>
        </w:rPr>
        <w:t>to planks</w:t>
      </w:r>
      <w:r w:rsidR="002929D0" w:rsidRPr="00A038BF">
        <w:rPr>
          <w:rFonts w:asciiTheme="majorBidi" w:hAnsiTheme="majorBidi" w:cstheme="majorBidi"/>
        </w:rPr>
        <w:t xml:space="preserve">, </w:t>
      </w:r>
      <w:r w:rsidR="00DA2C66" w:rsidRPr="00A038BF">
        <w:rPr>
          <w:rFonts w:asciiTheme="majorBidi" w:hAnsiTheme="majorBidi" w:cstheme="majorBidi"/>
        </w:rPr>
        <w:t>and these</w:t>
      </w:r>
      <w:r w:rsidR="002929D0" w:rsidRPr="00A038BF">
        <w:rPr>
          <w:rFonts w:asciiTheme="majorBidi" w:hAnsiTheme="majorBidi" w:cstheme="majorBidi"/>
        </w:rPr>
        <w:t xml:space="preserve"> </w:t>
      </w:r>
      <w:r w:rsidR="00DA2C66" w:rsidRPr="00A038BF">
        <w:rPr>
          <w:rFonts w:asciiTheme="majorBidi" w:hAnsiTheme="majorBidi" w:cstheme="majorBidi"/>
        </w:rPr>
        <w:t xml:space="preserve">are then </w:t>
      </w:r>
      <w:r w:rsidRPr="00A038BF">
        <w:rPr>
          <w:rFonts w:asciiTheme="majorBidi" w:hAnsiTheme="majorBidi" w:cstheme="majorBidi"/>
        </w:rPr>
        <w:t>pressed together</w:t>
      </w:r>
      <w:r w:rsidR="00DA2C66" w:rsidRPr="00A038BF">
        <w:rPr>
          <w:rFonts w:asciiTheme="majorBidi" w:hAnsiTheme="majorBidi" w:cstheme="majorBidi"/>
        </w:rPr>
        <w:t xml:space="preserve"> </w:t>
      </w:r>
      <w:r w:rsidRPr="00A038BF">
        <w:rPr>
          <w:rFonts w:asciiTheme="majorBidi" w:hAnsiTheme="majorBidi" w:cstheme="majorBidi"/>
        </w:rPr>
        <w:t xml:space="preserve">and cut </w:t>
      </w:r>
      <w:r w:rsidR="00DA2C66" w:rsidRPr="00A038BF">
        <w:rPr>
          <w:rFonts w:asciiTheme="majorBidi" w:hAnsiTheme="majorBidi" w:cstheme="majorBidi"/>
        </w:rPr>
        <w:t xml:space="preserve">to </w:t>
      </w:r>
      <w:r w:rsidRPr="00A038BF">
        <w:rPr>
          <w:rFonts w:asciiTheme="majorBidi" w:hAnsiTheme="majorBidi" w:cstheme="majorBidi"/>
        </w:rPr>
        <w:t xml:space="preserve">size. The adhesive used </w:t>
      </w:r>
      <w:r w:rsidR="00DA2C66" w:rsidRPr="00A038BF">
        <w:rPr>
          <w:rFonts w:asciiTheme="majorBidi" w:hAnsiTheme="majorBidi" w:cstheme="majorBidi"/>
        </w:rPr>
        <w:t xml:space="preserve">is </w:t>
      </w:r>
      <w:r w:rsidRPr="00A038BF">
        <w:rPr>
          <w:rFonts w:asciiTheme="majorBidi" w:hAnsiTheme="majorBidi" w:cstheme="majorBidi"/>
        </w:rPr>
        <w:t>polyurethane</w:t>
      </w:r>
      <w:r w:rsidR="00DA2C66" w:rsidRPr="00A038BF">
        <w:rPr>
          <w:rFonts w:asciiTheme="majorBidi" w:hAnsiTheme="majorBidi" w:cstheme="majorBidi"/>
        </w:rPr>
        <w:t xml:space="preserve"> and is</w:t>
      </w:r>
      <w:r w:rsidRPr="00A038BF">
        <w:rPr>
          <w:rFonts w:asciiTheme="majorBidi" w:hAnsiTheme="majorBidi" w:cstheme="majorBidi"/>
        </w:rPr>
        <w:t xml:space="preserve"> formaldehyde-free. </w:t>
      </w:r>
      <w:r w:rsidR="00DA2C66" w:rsidRPr="00A038BF">
        <w:rPr>
          <w:rFonts w:asciiTheme="majorBidi" w:hAnsiTheme="majorBidi" w:cstheme="majorBidi"/>
        </w:rPr>
        <w:t xml:space="preserve">As mentioned above, </w:t>
      </w:r>
      <w:r w:rsidRPr="00A038BF">
        <w:rPr>
          <w:rFonts w:asciiTheme="majorBidi" w:hAnsiTheme="majorBidi" w:cstheme="majorBidi"/>
        </w:rPr>
        <w:t xml:space="preserve">CLT is </w:t>
      </w:r>
      <w:r w:rsidR="002929D0" w:rsidRPr="00A038BF">
        <w:rPr>
          <w:rFonts w:asciiTheme="majorBidi" w:hAnsiTheme="majorBidi" w:cstheme="majorBidi"/>
        </w:rPr>
        <w:t>gener</w:t>
      </w:r>
      <w:r w:rsidRPr="00A038BF">
        <w:rPr>
          <w:rFonts w:asciiTheme="majorBidi" w:hAnsiTheme="majorBidi" w:cstheme="majorBidi"/>
        </w:rPr>
        <w:t xml:space="preserve">ally manufactured </w:t>
      </w:r>
      <w:r w:rsidR="00DA2C66" w:rsidRPr="00A038BF">
        <w:rPr>
          <w:rFonts w:asciiTheme="majorBidi" w:hAnsiTheme="majorBidi" w:cstheme="majorBidi"/>
        </w:rPr>
        <w:t xml:space="preserve">using </w:t>
      </w:r>
      <w:r w:rsidRPr="00A038BF">
        <w:rPr>
          <w:rFonts w:asciiTheme="majorBidi" w:hAnsiTheme="majorBidi" w:cstheme="majorBidi"/>
        </w:rPr>
        <w:t xml:space="preserve">five layers </w:t>
      </w:r>
      <w:r w:rsidR="00DA2C66" w:rsidRPr="00A038BF">
        <w:rPr>
          <w:rFonts w:asciiTheme="majorBidi" w:hAnsiTheme="majorBidi" w:cstheme="majorBidi"/>
        </w:rPr>
        <w:t xml:space="preserve">of wood </w:t>
      </w:r>
      <w:r w:rsidR="00E87395" w:rsidRPr="00A038BF">
        <w:rPr>
          <w:rFonts w:asciiTheme="majorBidi" w:hAnsiTheme="majorBidi" w:cstheme="majorBidi"/>
        </w:rPr>
        <w:t xml:space="preserve">with the grain </w:t>
      </w:r>
      <w:r w:rsidR="00DA2C66" w:rsidRPr="00A038BF">
        <w:rPr>
          <w:rFonts w:asciiTheme="majorBidi" w:hAnsiTheme="majorBidi" w:cstheme="majorBidi"/>
        </w:rPr>
        <w:t>oriented</w:t>
      </w:r>
      <w:r w:rsidR="00E87395" w:rsidRPr="00A038BF">
        <w:rPr>
          <w:rFonts w:asciiTheme="majorBidi" w:hAnsiTheme="majorBidi" w:cstheme="majorBidi"/>
        </w:rPr>
        <w:t xml:space="preserve"> in 90 degrees to adjacent layers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{"citationItems":[{"id":"ITEM-1","itemData":{"DOI":"10.1007/s00107-017-1202-y","ISBN":"0123456789","ISSN":"1436736X","abstract":"Cross laminated timber (CLT) is usually comprised of multiple timber layers having alternating grain directions. Because individual boards are glued on their faces between layers, but usually not glued on their edges within layers, those edges define “precracks” in the composite. When exposed to differential thermal and moisture expansion after installation, CLT, like all cross-laminated composites, is prone to formation of “additional cracks”. Confidant CLT design must be able to account for changes in CLT properties during life of a structure caused by such additional cracks. By extending variational mechanics methods for aerospace composites, this paper provides analytical solutions for all in-plane mechanical, thermal expansion, and moisture expansion properties of a three-layer CLT panel. By using the three-layer solution to evaluate effective layer properties as a function of the number of cracks, the analysis can be extended to in-plane mechanical, out-of-plane bending, and expansion properties for CLT panels with any number or arrangement of layers. Some sample calculations are provided along with comments on limitations of the approximations and needs for future work.","author":[{"dropping-particle":"","family":"Nairn","given":"John A.","non-dropping-particle":"","parse-names":false,"suffix":""}],"container-title":"European Journal of Wood and Wood Products","id":"ITEM-1","issue":"6","issued":{"date-parts":[["2017"]]},"page":"973-983","publisher":"Springer Berlin Heidelberg","title":"Cross laminated timber properties including effects of non-glued edges and additional cracks","type":"article-journal","volume":"75"},"uris":["http://www.mendeley.com/documents/?uuid=8b75437f-98ef-43a5-9b76-049cb7dc64aa"]}],"mendeley":{"formattedCitation":"(Nairn, 2017)","plainTextFormattedCitation":"(Nairn, 2017)","previouslyFormattedCitation":"(Nairn, 2017)"},"properties":{"noteIndex":0},"schema":"https://github.com/citation-style-language/schema/raw/master/csl-citation.json"}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(Nairn, 2017)</w:t>
      </w:r>
      <w:r w:rsidRPr="00A038BF">
        <w:rPr>
          <w:rFonts w:asciiTheme="majorBidi" w:hAnsiTheme="majorBidi" w:cstheme="majorBidi"/>
        </w:rPr>
        <w:fldChar w:fldCharType="end"/>
      </w:r>
      <w:r w:rsidRPr="00A038BF">
        <w:rPr>
          <w:rFonts w:asciiTheme="majorBidi" w:hAnsiTheme="majorBidi" w:cstheme="majorBidi"/>
        </w:rPr>
        <w:t>. The glue is applied automatically over the entire surface</w:t>
      </w:r>
      <w:r w:rsidR="00E87395" w:rsidRPr="00A038BF">
        <w:rPr>
          <w:rFonts w:asciiTheme="majorBidi" w:hAnsiTheme="majorBidi" w:cstheme="majorBidi"/>
        </w:rPr>
        <w:t xml:space="preserve"> of each plank</w:t>
      </w:r>
      <w:r w:rsidRPr="00A038BF">
        <w:rPr>
          <w:rFonts w:asciiTheme="majorBidi" w:hAnsiTheme="majorBidi" w:cstheme="majorBidi"/>
        </w:rPr>
        <w:t xml:space="preserve"> </w:t>
      </w:r>
      <w:r w:rsidR="00E87395" w:rsidRPr="00A038BF">
        <w:rPr>
          <w:rFonts w:asciiTheme="majorBidi" w:hAnsiTheme="majorBidi" w:cstheme="majorBidi"/>
        </w:rPr>
        <w:t>at a rate of</w:t>
      </w:r>
      <w:r w:rsidRPr="00A038BF">
        <w:rPr>
          <w:rFonts w:asciiTheme="majorBidi" w:hAnsiTheme="majorBidi" w:cstheme="majorBidi"/>
        </w:rPr>
        <w:t xml:space="preserve"> 0.2 </w:t>
      </w:r>
      <w:r w:rsidRPr="00680936">
        <w:rPr>
          <w:rFonts w:asciiTheme="majorBidi" w:hAnsiTheme="majorBidi" w:cstheme="majorBidi"/>
          <w:color w:val="00B050"/>
        </w:rPr>
        <w:t>kg/m²</w:t>
      </w:r>
      <w:r w:rsidRPr="00A038BF">
        <w:rPr>
          <w:rFonts w:asciiTheme="majorBidi" w:hAnsiTheme="majorBidi" w:cstheme="majorBidi"/>
        </w:rPr>
        <w:t xml:space="preserve">. A very high-quality level of adhesion is achieved </w:t>
      </w:r>
      <w:r w:rsidR="002929D0" w:rsidRPr="00A038BF">
        <w:rPr>
          <w:rFonts w:asciiTheme="majorBidi" w:hAnsiTheme="majorBidi" w:cstheme="majorBidi"/>
        </w:rPr>
        <w:t>due to</w:t>
      </w:r>
      <w:r w:rsidRPr="00A038BF">
        <w:rPr>
          <w:rFonts w:asciiTheme="majorBidi" w:hAnsiTheme="majorBidi" w:cstheme="majorBidi"/>
        </w:rPr>
        <w:t xml:space="preserve"> the high press</w:t>
      </w:r>
      <w:r w:rsidR="00E87395" w:rsidRPr="00A038BF">
        <w:rPr>
          <w:rFonts w:asciiTheme="majorBidi" w:hAnsiTheme="majorBidi" w:cstheme="majorBidi"/>
        </w:rPr>
        <w:t>ure</w:t>
      </w:r>
      <w:r w:rsidRPr="00A038BF">
        <w:rPr>
          <w:rFonts w:asciiTheme="majorBidi" w:hAnsiTheme="majorBidi" w:cstheme="majorBidi"/>
        </w:rPr>
        <w:t xml:space="preserve"> </w:t>
      </w:r>
      <w:r w:rsidR="00E87395" w:rsidRPr="00A038BF">
        <w:rPr>
          <w:rFonts w:asciiTheme="majorBidi" w:hAnsiTheme="majorBidi" w:cstheme="majorBidi"/>
        </w:rPr>
        <w:t>applied (</w:t>
      </w:r>
      <w:r w:rsidRPr="00A038BF">
        <w:rPr>
          <w:rFonts w:asciiTheme="majorBidi" w:hAnsiTheme="majorBidi" w:cstheme="majorBidi"/>
        </w:rPr>
        <w:t xml:space="preserve">6 </w:t>
      </w:r>
      <w:r w:rsidRPr="00AD6D1C">
        <w:rPr>
          <w:rFonts w:asciiTheme="majorBidi" w:hAnsiTheme="majorBidi" w:cstheme="majorBidi"/>
          <w:color w:val="00B050"/>
        </w:rPr>
        <w:t>kg/cm²</w:t>
      </w:r>
      <w:r w:rsidR="00E87395" w:rsidRPr="00A038BF">
        <w:rPr>
          <w:rFonts w:asciiTheme="majorBidi" w:hAnsiTheme="majorBidi" w:cstheme="majorBidi"/>
        </w:rPr>
        <w:t>)</w:t>
      </w:r>
      <w:r w:rsidRPr="00A038BF">
        <w:rPr>
          <w:rFonts w:asciiTheme="majorBidi" w:hAnsiTheme="majorBidi" w:cstheme="majorBidi"/>
        </w:rPr>
        <w:t xml:space="preserve">. The density of CLT </w:t>
      </w:r>
      <w:r w:rsidR="00E87395" w:rsidRPr="00A038BF">
        <w:rPr>
          <w:rFonts w:asciiTheme="majorBidi" w:hAnsiTheme="majorBidi" w:cstheme="majorBidi"/>
        </w:rPr>
        <w:t>wa</w:t>
      </w:r>
      <w:r w:rsidRPr="00A038BF">
        <w:rPr>
          <w:rFonts w:asciiTheme="majorBidi" w:hAnsiTheme="majorBidi" w:cstheme="majorBidi"/>
        </w:rPr>
        <w:t>s considered as 5</w:t>
      </w:r>
      <w:r w:rsidR="007502C0">
        <w:rPr>
          <w:rFonts w:asciiTheme="majorBidi" w:hAnsiTheme="majorBidi" w:cstheme="majorBidi"/>
        </w:rPr>
        <w:t>1</w:t>
      </w:r>
      <w:r w:rsidRPr="00A038BF">
        <w:rPr>
          <w:rFonts w:asciiTheme="majorBidi" w:hAnsiTheme="majorBidi" w:cstheme="majorBidi"/>
        </w:rPr>
        <w:t xml:space="preserve">0 </w:t>
      </w:r>
      <w:r w:rsidRPr="005F7E79">
        <w:rPr>
          <w:rFonts w:asciiTheme="majorBidi" w:hAnsiTheme="majorBidi" w:cstheme="majorBidi"/>
          <w:color w:val="00B050"/>
        </w:rPr>
        <w:t xml:space="preserve">kg/m³. </w:t>
      </w:r>
      <w:r w:rsidRPr="00A038BF">
        <w:rPr>
          <w:rFonts w:asciiTheme="majorBidi" w:hAnsiTheme="majorBidi" w:cstheme="majorBidi"/>
        </w:rPr>
        <w:t xml:space="preserve">Therefore, the mass of a typical CLT wall panel of 180 mm thickness is 90 </w:t>
      </w:r>
      <w:r w:rsidRPr="00680936">
        <w:rPr>
          <w:rFonts w:asciiTheme="majorBidi" w:hAnsiTheme="majorBidi" w:cstheme="majorBidi"/>
          <w:color w:val="00B050"/>
        </w:rPr>
        <w:t>kg/m</w:t>
      </w:r>
      <w:r w:rsidRPr="00680936">
        <w:rPr>
          <w:rFonts w:asciiTheme="majorBidi" w:hAnsiTheme="majorBidi" w:cstheme="majorBidi"/>
          <w:color w:val="00B050"/>
          <w:vertAlign w:val="superscript"/>
        </w:rPr>
        <w:t>2</w:t>
      </w:r>
      <w:r w:rsidRPr="00A038BF">
        <w:rPr>
          <w:rFonts w:asciiTheme="majorBidi" w:hAnsiTheme="majorBidi" w:cstheme="majorBidi"/>
        </w:rPr>
        <w:t xml:space="preserve">. </w:t>
      </w:r>
    </w:p>
    <w:p w14:paraId="0C5B9588" w14:textId="373E8841" w:rsidR="007B5A71" w:rsidRPr="00A038BF" w:rsidRDefault="0051023E" w:rsidP="00067B6E">
      <w:pPr>
        <w:spacing w:after="0" w:line="276" w:lineRule="auto"/>
        <w:jc w:val="center"/>
        <w:rPr>
          <w:rFonts w:asciiTheme="majorBidi" w:hAnsiTheme="majorBidi" w:cstheme="majorBidi"/>
        </w:rPr>
      </w:pPr>
      <w:r w:rsidRPr="00A038BF">
        <w:rPr>
          <w:noProof/>
        </w:rPr>
        <w:drawing>
          <wp:inline distT="0" distB="0" distL="0" distR="0" wp14:anchorId="0569976C" wp14:editId="3ADAB245">
            <wp:extent cx="5723466" cy="3268703"/>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736171" cy="3275959"/>
                    </a:xfrm>
                    <a:prstGeom prst="rect">
                      <a:avLst/>
                    </a:prstGeom>
                  </pic:spPr>
                </pic:pic>
              </a:graphicData>
            </a:graphic>
          </wp:inline>
        </w:drawing>
      </w:r>
    </w:p>
    <w:p w14:paraId="308432D0" w14:textId="77777777" w:rsidR="0068489F" w:rsidRPr="00A038BF" w:rsidRDefault="0068489F" w:rsidP="0068489F">
      <w:pPr>
        <w:jc w:val="center"/>
        <w:rPr>
          <w:rFonts w:asciiTheme="majorBidi" w:hAnsiTheme="majorBidi" w:cstheme="majorBidi"/>
          <w:sz w:val="20"/>
          <w:szCs w:val="20"/>
          <w:rtl/>
        </w:rPr>
      </w:pPr>
      <w:r w:rsidRPr="00A038BF">
        <w:rPr>
          <w:rFonts w:asciiTheme="majorBidi" w:hAnsiTheme="majorBidi" w:cstheme="majorBidi"/>
          <w:sz w:val="20"/>
          <w:szCs w:val="20"/>
        </w:rPr>
        <w:t>Figure 2, schematic design of double story building</w:t>
      </w:r>
    </w:p>
    <w:p w14:paraId="5A9E1613" w14:textId="7CE1BF92" w:rsidR="00637C8E" w:rsidRPr="00A038BF" w:rsidRDefault="00711B3B" w:rsidP="0097613B">
      <w:pPr>
        <w:spacing w:before="240" w:line="276" w:lineRule="auto"/>
        <w:ind w:firstLine="720"/>
        <w:jc w:val="both"/>
        <w:rPr>
          <w:rFonts w:asciiTheme="majorBidi" w:hAnsiTheme="majorBidi" w:cstheme="majorBidi"/>
          <w:rtl/>
        </w:rPr>
      </w:pPr>
      <w:r w:rsidRPr="00A038BF">
        <w:rPr>
          <w:rFonts w:asciiTheme="majorBidi" w:hAnsiTheme="majorBidi" w:cstheme="majorBidi"/>
        </w:rPr>
        <w:t xml:space="preserve">The other two specimens </w:t>
      </w:r>
      <w:r w:rsidR="00E87395" w:rsidRPr="00A038BF">
        <w:rPr>
          <w:rFonts w:asciiTheme="majorBidi" w:hAnsiTheme="majorBidi" w:cstheme="majorBidi"/>
        </w:rPr>
        <w:t xml:space="preserve">were </w:t>
      </w:r>
      <w:r w:rsidRPr="00A038BF">
        <w:rPr>
          <w:rFonts w:asciiTheme="majorBidi" w:hAnsiTheme="majorBidi" w:cstheme="majorBidi"/>
        </w:rPr>
        <w:t>non-glued mass timber</w:t>
      </w:r>
      <w:r w:rsidR="00E87395" w:rsidRPr="00A038BF">
        <w:rPr>
          <w:rFonts w:asciiTheme="majorBidi" w:hAnsiTheme="majorBidi" w:cstheme="majorBidi"/>
        </w:rPr>
        <w:t>. They</w:t>
      </w:r>
      <w:r w:rsidRPr="00A038BF">
        <w:rPr>
          <w:rFonts w:asciiTheme="majorBidi" w:hAnsiTheme="majorBidi" w:cstheme="majorBidi"/>
        </w:rPr>
        <w:t xml:space="preserve"> include</w:t>
      </w:r>
      <w:r w:rsidR="00E87395" w:rsidRPr="00A038BF">
        <w:rPr>
          <w:rFonts w:asciiTheme="majorBidi" w:hAnsiTheme="majorBidi" w:cstheme="majorBidi"/>
        </w:rPr>
        <w:t>d</w:t>
      </w:r>
      <w:r w:rsidR="000F14FE" w:rsidRPr="00A038BF">
        <w:rPr>
          <w:rFonts w:asciiTheme="majorBidi" w:hAnsiTheme="majorBidi" w:cstheme="majorBidi"/>
        </w:rPr>
        <w:t xml:space="preserve"> nail-laminated timber (NLT)</w:t>
      </w:r>
      <w:r w:rsidR="00E87395" w:rsidRPr="00A038BF">
        <w:rPr>
          <w:rFonts w:asciiTheme="majorBidi" w:hAnsiTheme="majorBidi" w:cstheme="majorBidi"/>
        </w:rPr>
        <w:t xml:space="preserve"> and dowel-laminated timber (DLT)</w:t>
      </w:r>
      <w:r w:rsidR="006310D0" w:rsidRPr="00A038BF">
        <w:rPr>
          <w:rFonts w:asciiTheme="majorBidi" w:hAnsiTheme="majorBidi" w:cstheme="majorBidi"/>
        </w:rPr>
        <w:t xml:space="preserve">. The main </w:t>
      </w:r>
      <w:r w:rsidR="00074031" w:rsidRPr="00A038BF">
        <w:rPr>
          <w:rFonts w:asciiTheme="majorBidi" w:hAnsiTheme="majorBidi" w:cstheme="majorBidi"/>
        </w:rPr>
        <w:t>differences</w:t>
      </w:r>
      <w:r w:rsidR="006310D0" w:rsidRPr="00A038BF">
        <w:rPr>
          <w:rFonts w:asciiTheme="majorBidi" w:hAnsiTheme="majorBidi" w:cstheme="majorBidi"/>
        </w:rPr>
        <w:t xml:space="preserve"> between these two mass timber</w:t>
      </w:r>
      <w:r w:rsidR="00E87395" w:rsidRPr="00A038BF">
        <w:rPr>
          <w:rFonts w:asciiTheme="majorBidi" w:hAnsiTheme="majorBidi" w:cstheme="majorBidi"/>
        </w:rPr>
        <w:t xml:space="preserve"> products</w:t>
      </w:r>
      <w:r w:rsidR="006310D0" w:rsidRPr="00A038BF">
        <w:rPr>
          <w:rFonts w:asciiTheme="majorBidi" w:hAnsiTheme="majorBidi" w:cstheme="majorBidi"/>
        </w:rPr>
        <w:t xml:space="preserve"> </w:t>
      </w:r>
      <w:r w:rsidR="00E87395" w:rsidRPr="00A038BF">
        <w:rPr>
          <w:rFonts w:asciiTheme="majorBidi" w:hAnsiTheme="majorBidi" w:cstheme="majorBidi"/>
        </w:rPr>
        <w:t xml:space="preserve">relate to </w:t>
      </w:r>
      <w:r w:rsidRPr="00A038BF">
        <w:rPr>
          <w:rFonts w:asciiTheme="majorBidi" w:hAnsiTheme="majorBidi" w:cstheme="majorBidi"/>
        </w:rPr>
        <w:t>detail</w:t>
      </w:r>
      <w:r w:rsidR="00E87395" w:rsidRPr="00A038BF">
        <w:rPr>
          <w:rFonts w:asciiTheme="majorBidi" w:hAnsiTheme="majorBidi" w:cstheme="majorBidi"/>
        </w:rPr>
        <w:t>s</w:t>
      </w:r>
      <w:r w:rsidRPr="00A038BF">
        <w:rPr>
          <w:rFonts w:asciiTheme="majorBidi" w:hAnsiTheme="majorBidi" w:cstheme="majorBidi"/>
        </w:rPr>
        <w:t xml:space="preserve"> and </w:t>
      </w:r>
      <w:r w:rsidR="00E87395" w:rsidRPr="00A038BF">
        <w:rPr>
          <w:rFonts w:asciiTheme="majorBidi" w:hAnsiTheme="majorBidi" w:cstheme="majorBidi"/>
        </w:rPr>
        <w:t xml:space="preserve">the </w:t>
      </w:r>
      <w:r w:rsidRPr="00A038BF">
        <w:rPr>
          <w:rFonts w:asciiTheme="majorBidi" w:hAnsiTheme="majorBidi" w:cstheme="majorBidi"/>
        </w:rPr>
        <w:t>materials used</w:t>
      </w:r>
      <w:r w:rsidR="006310D0" w:rsidRPr="00A038BF">
        <w:rPr>
          <w:rFonts w:asciiTheme="majorBidi" w:hAnsiTheme="majorBidi" w:cstheme="majorBidi"/>
        </w:rPr>
        <w:t xml:space="preserve"> in their </w:t>
      </w:r>
      <w:r w:rsidR="00074031" w:rsidRPr="00A038BF">
        <w:rPr>
          <w:rFonts w:asciiTheme="majorBidi" w:hAnsiTheme="majorBidi" w:cstheme="majorBidi"/>
        </w:rPr>
        <w:t>manufactur</w:t>
      </w:r>
      <w:r w:rsidR="00E87395" w:rsidRPr="00A038BF">
        <w:rPr>
          <w:rFonts w:asciiTheme="majorBidi" w:hAnsiTheme="majorBidi" w:cstheme="majorBidi"/>
        </w:rPr>
        <w:t>e</w:t>
      </w:r>
      <w:r w:rsidR="006310D0" w:rsidRPr="00A038BF">
        <w:rPr>
          <w:rFonts w:asciiTheme="majorBidi" w:hAnsiTheme="majorBidi" w:cstheme="majorBidi"/>
        </w:rPr>
        <w:t xml:space="preserve">. </w:t>
      </w:r>
      <w:r w:rsidR="004A03F3" w:rsidRPr="00A038BF">
        <w:rPr>
          <w:rFonts w:asciiTheme="majorBidi" w:hAnsiTheme="majorBidi" w:cstheme="majorBidi"/>
        </w:rPr>
        <w:t xml:space="preserve">NLT is created by fastening individual pieces of solid sawn lumber stacked on edge into one structural element with nails. </w:t>
      </w:r>
      <w:r w:rsidR="004917C5" w:rsidRPr="00A038BF">
        <w:rPr>
          <w:rFonts w:asciiTheme="majorBidi" w:hAnsiTheme="majorBidi" w:cstheme="majorBidi"/>
        </w:rPr>
        <w:t xml:space="preserve">NLT </w:t>
      </w:r>
      <w:r w:rsidR="00D14DCE" w:rsidRPr="00A038BF">
        <w:rPr>
          <w:rFonts w:asciiTheme="majorBidi" w:hAnsiTheme="majorBidi" w:cstheme="majorBidi"/>
        </w:rPr>
        <w:t>creates</w:t>
      </w:r>
      <w:r w:rsidR="002370E6" w:rsidRPr="00A038BF">
        <w:rPr>
          <w:rFonts w:asciiTheme="majorBidi" w:hAnsiTheme="majorBidi" w:cstheme="majorBidi"/>
        </w:rPr>
        <w:t xml:space="preserve"> monolithic slab panels that support </w:t>
      </w:r>
      <w:r w:rsidRPr="00A038BF">
        <w:rPr>
          <w:rFonts w:asciiTheme="majorBidi" w:hAnsiTheme="majorBidi" w:cstheme="majorBidi"/>
        </w:rPr>
        <w:t>various</w:t>
      </w:r>
      <w:r w:rsidR="002370E6" w:rsidRPr="00A038BF">
        <w:rPr>
          <w:rFonts w:asciiTheme="majorBidi" w:hAnsiTheme="majorBidi" w:cstheme="majorBidi"/>
        </w:rPr>
        <w:t xml:space="preserve"> structural and design needs</w:t>
      </w:r>
      <w:r w:rsidR="00BE7CB6" w:rsidRPr="00A038BF">
        <w:rPr>
          <w:rFonts w:asciiTheme="majorBidi" w:hAnsiTheme="majorBidi" w:cstheme="majorBidi"/>
        </w:rPr>
        <w:t xml:space="preserve"> </w:t>
      </w:r>
      <w:r w:rsidR="00BE7CB6" w:rsidRPr="00A038BF">
        <w:rPr>
          <w:rFonts w:asciiTheme="majorBidi" w:hAnsiTheme="majorBidi" w:cstheme="majorBidi"/>
        </w:rPr>
        <w:fldChar w:fldCharType="begin" w:fldLock="1"/>
      </w:r>
      <w:r w:rsidR="00BE7CB6" w:rsidRPr="00A038BF">
        <w:rPr>
          <w:rFonts w:asciiTheme="majorBidi" w:hAnsiTheme="majorBidi" w:cstheme="majorBidi"/>
        </w:rPr>
        <w:instrText>ADDIN CSL_CITATION {"citationItems":[{"id":"ITEM-1","itemData":{"abstract":"electronically downloaded for personal or internal professional use only and without charge from the website: rethinkwood.com. No part of this published Work may be reproduced, published, or transmitted for commercial purposes in any form or by any means, electronic, mechanical, photocopying, recording, or otherwise, whether or not in translated form, without the prior written permission of the Binational Softwood Lumber Council. The information contained in this Work represents current research results and technical information made available from many sources, including researchers, manufacturers, and design professionals. The information has been reviewed by professionals in wood design including architects, design engineers, and wood product manufacturers. While every reasonable effort has been made to ensure the accuracy of the information presented, as well as to assure that the information reflects the state-of-the-art, none of the above-mentioned parties make any warranty, express or implied, or assume any legal liability or responsibility for the use, application of, and/or reference to opinions, findings, conclusions, or recommendations included in this published work, nor assume any responsibility for the accuracy or completeness of the information or its fitness for any particular purpose. This published Work is designed to provide accurate and authoritative information but is not intended to provide professional advice. Users are responsible for exercising professional knowledge and judgement in the application of the information.","author":[{"dropping-particle":"","family":"Rebecca Holt, Tanya Luthi","given":"Carla Dickof","non-dropping-particle":"","parse-names":false,"suffix":""}],"id":"ITEM-1","issued":{"date-parts":[["2018"]]},"page":"142","title":"Nail-Laminated Timber Design &amp; Constr uction Guide I","type":"article-journal"},"uris":["http://www.mendeley.com/documents/?uuid=9c2a55e4-4f53-4111-8b98-c2e3cc799291"]}],"mendeley":{"formattedCitation":"(Rebecca Holt, Tanya Luthi, 2018)","plainTextFormattedCitation":"(Rebecca Holt, Tanya Luthi, 2018)","previouslyFormattedCitation":"(Rebecca Holt, Tanya Luthi, 2018)"},"properties":{"noteIndex":0},"schema":"https://github.com/citation-style-language/schema/raw/master/csl-citation.json"}</w:instrText>
      </w:r>
      <w:r w:rsidR="00BE7CB6" w:rsidRPr="00A038BF">
        <w:rPr>
          <w:rFonts w:asciiTheme="majorBidi" w:hAnsiTheme="majorBidi" w:cstheme="majorBidi"/>
        </w:rPr>
        <w:fldChar w:fldCharType="separate"/>
      </w:r>
      <w:r w:rsidR="00BE7CB6" w:rsidRPr="00A038BF">
        <w:rPr>
          <w:rFonts w:asciiTheme="majorBidi" w:hAnsiTheme="majorBidi" w:cstheme="majorBidi"/>
          <w:noProof/>
        </w:rPr>
        <w:t>(Rebecca Holt, Tanya Luthi, 2018)</w:t>
      </w:r>
      <w:r w:rsidR="00BE7CB6" w:rsidRPr="00A038BF">
        <w:rPr>
          <w:rFonts w:asciiTheme="majorBidi" w:hAnsiTheme="majorBidi" w:cstheme="majorBidi"/>
        </w:rPr>
        <w:fldChar w:fldCharType="end"/>
      </w:r>
      <w:r w:rsidR="002370E6" w:rsidRPr="00A038BF">
        <w:rPr>
          <w:rFonts w:asciiTheme="majorBidi" w:hAnsiTheme="majorBidi" w:cstheme="majorBidi"/>
        </w:rPr>
        <w:t xml:space="preserve">. </w:t>
      </w:r>
      <w:r w:rsidR="00B6420C" w:rsidRPr="00A038BF">
        <w:rPr>
          <w:rFonts w:asciiTheme="majorBidi" w:hAnsiTheme="majorBidi" w:cstheme="majorBidi"/>
        </w:rPr>
        <w:t xml:space="preserve">Firstly, wood </w:t>
      </w:r>
      <w:r w:rsidR="00E87395" w:rsidRPr="00A038BF">
        <w:rPr>
          <w:rFonts w:asciiTheme="majorBidi" w:hAnsiTheme="majorBidi" w:cstheme="majorBidi"/>
        </w:rPr>
        <w:t xml:space="preserve">is transferred </w:t>
      </w:r>
      <w:r w:rsidR="00B6420C" w:rsidRPr="00A038BF">
        <w:rPr>
          <w:rFonts w:asciiTheme="majorBidi" w:hAnsiTheme="majorBidi" w:cstheme="majorBidi"/>
        </w:rPr>
        <w:t xml:space="preserve">by truck to the </w:t>
      </w:r>
      <w:r w:rsidR="00E87395" w:rsidRPr="00A038BF">
        <w:rPr>
          <w:rFonts w:asciiTheme="majorBidi" w:hAnsiTheme="majorBidi" w:cstheme="majorBidi"/>
        </w:rPr>
        <w:t>saw</w:t>
      </w:r>
      <w:r w:rsidR="00B6420C" w:rsidRPr="00A038BF">
        <w:rPr>
          <w:rFonts w:asciiTheme="majorBidi" w:hAnsiTheme="majorBidi" w:cstheme="majorBidi"/>
        </w:rPr>
        <w:t>mill</w:t>
      </w:r>
      <w:r w:rsidRPr="00A038BF">
        <w:rPr>
          <w:rFonts w:asciiTheme="majorBidi" w:hAnsiTheme="majorBidi" w:cstheme="majorBidi"/>
        </w:rPr>
        <w:t>,</w:t>
      </w:r>
      <w:r w:rsidR="00B6420C" w:rsidRPr="00A038BF">
        <w:rPr>
          <w:rFonts w:asciiTheme="majorBidi" w:hAnsiTheme="majorBidi" w:cstheme="majorBidi"/>
        </w:rPr>
        <w:t xml:space="preserve"> </w:t>
      </w:r>
      <w:r w:rsidR="00E87395" w:rsidRPr="00A038BF">
        <w:rPr>
          <w:rFonts w:asciiTheme="majorBidi" w:hAnsiTheme="majorBidi" w:cstheme="majorBidi"/>
        </w:rPr>
        <w:t>where it is</w:t>
      </w:r>
      <w:r w:rsidRPr="00A038BF">
        <w:rPr>
          <w:rFonts w:asciiTheme="majorBidi" w:hAnsiTheme="majorBidi" w:cstheme="majorBidi"/>
        </w:rPr>
        <w:t xml:space="preserve"> trimm</w:t>
      </w:r>
      <w:r w:rsidR="00E87395" w:rsidRPr="00A038BF">
        <w:rPr>
          <w:rFonts w:asciiTheme="majorBidi" w:hAnsiTheme="majorBidi" w:cstheme="majorBidi"/>
        </w:rPr>
        <w:t>ed</w:t>
      </w:r>
      <w:r w:rsidRPr="00A038BF">
        <w:rPr>
          <w:rFonts w:asciiTheme="majorBidi" w:hAnsiTheme="majorBidi" w:cstheme="majorBidi"/>
        </w:rPr>
        <w:t>, dr</w:t>
      </w:r>
      <w:r w:rsidR="00E87395" w:rsidRPr="00A038BF">
        <w:rPr>
          <w:rFonts w:asciiTheme="majorBidi" w:hAnsiTheme="majorBidi" w:cstheme="majorBidi"/>
        </w:rPr>
        <w:t>ied</w:t>
      </w:r>
      <w:r w:rsidRPr="00A038BF">
        <w:rPr>
          <w:rFonts w:asciiTheme="majorBidi" w:hAnsiTheme="majorBidi" w:cstheme="majorBidi"/>
        </w:rPr>
        <w:t>, and grad</w:t>
      </w:r>
      <w:r w:rsidR="00E87395" w:rsidRPr="00A038BF">
        <w:rPr>
          <w:rFonts w:asciiTheme="majorBidi" w:hAnsiTheme="majorBidi" w:cstheme="majorBidi"/>
        </w:rPr>
        <w:t>ed. S</w:t>
      </w:r>
      <w:r w:rsidR="00B6420C" w:rsidRPr="00A038BF">
        <w:rPr>
          <w:rFonts w:asciiTheme="majorBidi" w:hAnsiTheme="majorBidi" w:cstheme="majorBidi"/>
        </w:rPr>
        <w:t>econdly, th</w:t>
      </w:r>
      <w:r w:rsidR="00E87395" w:rsidRPr="00A038BF">
        <w:rPr>
          <w:rFonts w:asciiTheme="majorBidi" w:hAnsiTheme="majorBidi" w:cstheme="majorBidi"/>
        </w:rPr>
        <w:t xml:space="preserve">e timber </w:t>
      </w:r>
      <w:r w:rsidR="00C30AC5" w:rsidRPr="00A038BF">
        <w:rPr>
          <w:rFonts w:asciiTheme="majorBidi" w:hAnsiTheme="majorBidi" w:cstheme="majorBidi"/>
        </w:rPr>
        <w:t xml:space="preserve">is </w:t>
      </w:r>
      <w:r w:rsidR="00B6420C" w:rsidRPr="00A038BF">
        <w:rPr>
          <w:rFonts w:asciiTheme="majorBidi" w:hAnsiTheme="majorBidi" w:cstheme="majorBidi"/>
        </w:rPr>
        <w:t xml:space="preserve">transfer to </w:t>
      </w:r>
      <w:r w:rsidR="00E87395" w:rsidRPr="00A038BF">
        <w:rPr>
          <w:rFonts w:asciiTheme="majorBidi" w:hAnsiTheme="majorBidi" w:cstheme="majorBidi"/>
        </w:rPr>
        <w:t xml:space="preserve">a </w:t>
      </w:r>
      <w:r w:rsidR="00B6420C" w:rsidRPr="00A038BF">
        <w:rPr>
          <w:rFonts w:asciiTheme="majorBidi" w:hAnsiTheme="majorBidi" w:cstheme="majorBidi"/>
        </w:rPr>
        <w:t xml:space="preserve">factory </w:t>
      </w:r>
      <w:r w:rsidR="00E87395" w:rsidRPr="00A038BF">
        <w:rPr>
          <w:rFonts w:asciiTheme="majorBidi" w:hAnsiTheme="majorBidi" w:cstheme="majorBidi"/>
        </w:rPr>
        <w:t xml:space="preserve">to be </w:t>
      </w:r>
      <w:r w:rsidR="00B6420C" w:rsidRPr="00A038BF">
        <w:rPr>
          <w:rFonts w:asciiTheme="majorBidi" w:hAnsiTheme="majorBidi" w:cstheme="majorBidi"/>
        </w:rPr>
        <w:t>manufactur</w:t>
      </w:r>
      <w:r w:rsidR="00E87395" w:rsidRPr="00A038BF">
        <w:rPr>
          <w:rFonts w:asciiTheme="majorBidi" w:hAnsiTheme="majorBidi" w:cstheme="majorBidi"/>
        </w:rPr>
        <w:t>ed</w:t>
      </w:r>
      <w:r w:rsidR="00B6420C" w:rsidRPr="00A038BF">
        <w:rPr>
          <w:rFonts w:asciiTheme="majorBidi" w:hAnsiTheme="majorBidi" w:cstheme="majorBidi"/>
        </w:rPr>
        <w:t xml:space="preserve"> </w:t>
      </w:r>
      <w:r w:rsidR="00E87395" w:rsidRPr="00A038BF">
        <w:rPr>
          <w:rFonts w:asciiTheme="majorBidi" w:hAnsiTheme="majorBidi" w:cstheme="majorBidi"/>
        </w:rPr>
        <w:t xml:space="preserve">into </w:t>
      </w:r>
      <w:r w:rsidR="00B6420C" w:rsidRPr="00A038BF">
        <w:rPr>
          <w:rFonts w:asciiTheme="majorBidi" w:hAnsiTheme="majorBidi" w:cstheme="majorBidi"/>
        </w:rPr>
        <w:t xml:space="preserve">NLT. </w:t>
      </w:r>
      <w:r w:rsidR="004F7830" w:rsidRPr="00A038BF">
        <w:rPr>
          <w:rFonts w:asciiTheme="majorBidi" w:hAnsiTheme="majorBidi" w:cstheme="majorBidi"/>
        </w:rPr>
        <w:t>Th</w:t>
      </w:r>
      <w:r w:rsidR="00DA119D" w:rsidRPr="00A038BF">
        <w:rPr>
          <w:rFonts w:asciiTheme="majorBidi" w:hAnsiTheme="majorBidi" w:cstheme="majorBidi"/>
        </w:rPr>
        <w:t>is is achieved</w:t>
      </w:r>
      <w:r w:rsidR="004F7830" w:rsidRPr="00A038BF">
        <w:rPr>
          <w:rFonts w:asciiTheme="majorBidi" w:hAnsiTheme="majorBidi" w:cstheme="majorBidi"/>
        </w:rPr>
        <w:t xml:space="preserve"> by </w:t>
      </w:r>
      <w:r w:rsidR="00B6420C" w:rsidRPr="00A038BF">
        <w:rPr>
          <w:rFonts w:asciiTheme="majorBidi" w:hAnsiTheme="majorBidi" w:cstheme="majorBidi"/>
        </w:rPr>
        <w:t>attaching each layer</w:t>
      </w:r>
      <w:r w:rsidR="00DA119D" w:rsidRPr="00A038BF">
        <w:rPr>
          <w:rFonts w:asciiTheme="majorBidi" w:hAnsiTheme="majorBidi" w:cstheme="majorBidi"/>
        </w:rPr>
        <w:t xml:space="preserve"> of wood to the next one</w:t>
      </w:r>
      <w:r w:rsidR="00B6420C" w:rsidRPr="00A038BF">
        <w:rPr>
          <w:rFonts w:asciiTheme="majorBidi" w:hAnsiTheme="majorBidi" w:cstheme="majorBidi"/>
        </w:rPr>
        <w:t xml:space="preserve"> using nail</w:t>
      </w:r>
      <w:r w:rsidR="00DA119D" w:rsidRPr="00A038BF">
        <w:rPr>
          <w:rFonts w:asciiTheme="majorBidi" w:hAnsiTheme="majorBidi" w:cstheme="majorBidi"/>
        </w:rPr>
        <w:t>s</w:t>
      </w:r>
      <w:r w:rsidR="00B6420C" w:rsidRPr="00A038BF">
        <w:rPr>
          <w:rFonts w:asciiTheme="majorBidi" w:hAnsiTheme="majorBidi" w:cstheme="majorBidi"/>
        </w:rPr>
        <w:t xml:space="preserve">. </w:t>
      </w:r>
      <w:r w:rsidR="00D77115" w:rsidRPr="00A038BF">
        <w:rPr>
          <w:rFonts w:asciiTheme="majorBidi" w:hAnsiTheme="majorBidi" w:cstheme="majorBidi"/>
        </w:rPr>
        <w:t>This results in</w:t>
      </w:r>
      <w:r w:rsidR="004A03F3" w:rsidRPr="00A038BF">
        <w:rPr>
          <w:rFonts w:asciiTheme="majorBidi" w:hAnsiTheme="majorBidi" w:cstheme="majorBidi"/>
        </w:rPr>
        <w:t xml:space="preserve"> </w:t>
      </w:r>
      <w:r w:rsidRPr="00A038BF">
        <w:rPr>
          <w:rFonts w:asciiTheme="majorBidi" w:hAnsiTheme="majorBidi" w:cstheme="majorBidi"/>
        </w:rPr>
        <w:t xml:space="preserve">a solid mechanical structural element </w:t>
      </w:r>
      <w:r w:rsidR="004A03F3" w:rsidRPr="00A038BF">
        <w:rPr>
          <w:rFonts w:asciiTheme="majorBidi" w:hAnsiTheme="majorBidi" w:cstheme="majorBidi"/>
        </w:rPr>
        <w:fldChar w:fldCharType="begin" w:fldLock="1"/>
      </w:r>
      <w:r w:rsidR="006C78E0" w:rsidRPr="00A038BF">
        <w:rPr>
          <w:rFonts w:asciiTheme="majorBidi" w:hAnsiTheme="majorBidi" w:cstheme="majorBidi"/>
        </w:rPr>
        <w:instrText>ADDIN CSL_CITATION {"citationItems":[{"id":"ITEM-1","itemData":{"abstract":"electronically downloaded for personal or internal professional use only and without charge from the website: rethinkwood.com. No part of this published Work may be reproduced, published, or transmitted for commercial purposes in any form or by any means, electronic, mechanical, photocopying, recording, or otherwise, whether or not in translated form, without the prior written permission of the Binational Softwood Lumber Council. The information contained in this Work represents current research results and technical information made available from many sources, including researchers, manufacturers, and design professionals. The information has been reviewed by professionals in wood design including architects, design engineers, and wood product manufacturers. While every reasonable effort has been made to ensure the accuracy of the information presented, as well as to assure that the information reflects the state-of-the-art, none of the above-mentioned parties make any warranty, express or implied, or assume any legal liability or responsibility for the use, application of, and/or reference to opinions, findings, conclusions, or recommendations included in this published work, nor assume any responsibility for the accuracy or completeness of the information or its fitness for any particular purpose. This published Work is designed to provide accurate and authoritative information but is not intended to provide professional advice. Users are responsible for exercising professional knowledge and judgement in the application of the information.","author":[{"dropping-particle":"","family":"Rebecca Holt, Tanya Luthi","given":"Carla Dickof","non-dropping-particle":"","parse-names":false,"suffix":""}],"id":"ITEM-1","issued":{"date-parts":[["2018"]]},"page":"142","title":"Nail-Laminated Timber Design &amp; Constr uction Guide I","type":"article-journal"},"uris":["http://www.mendeley.com/documents/?uuid=9c2a55e4-4f53-4111-8b98-c2e3cc799291"]}],"mendeley":{"formattedCitation":"(Rebecca Holt, Tanya Luthi, 2018)","plainTextFormattedCitation":"(Rebecca Holt, Tanya Luthi, 2018)","previouslyFormattedCitation":"(Rebecca Holt, Tanya Luthi, 2018)"},"properties":{"noteIndex":0},"schema":"https://github.com/citation-style-language/schema/raw/master/csl-citation.json"}</w:instrText>
      </w:r>
      <w:r w:rsidR="004A03F3" w:rsidRPr="00A038BF">
        <w:rPr>
          <w:rFonts w:asciiTheme="majorBidi" w:hAnsiTheme="majorBidi" w:cstheme="majorBidi"/>
        </w:rPr>
        <w:fldChar w:fldCharType="separate"/>
      </w:r>
      <w:r w:rsidR="004A03F3" w:rsidRPr="00A038BF">
        <w:rPr>
          <w:rFonts w:asciiTheme="majorBidi" w:hAnsiTheme="majorBidi" w:cstheme="majorBidi"/>
          <w:noProof/>
        </w:rPr>
        <w:t>(Rebecca Holt, Tanya Luthi, 2018)</w:t>
      </w:r>
      <w:r w:rsidR="004A03F3" w:rsidRPr="00A038BF">
        <w:rPr>
          <w:rFonts w:asciiTheme="majorBidi" w:hAnsiTheme="majorBidi" w:cstheme="majorBidi"/>
        </w:rPr>
        <w:fldChar w:fldCharType="end"/>
      </w:r>
      <w:r w:rsidR="004A03F3" w:rsidRPr="00A038BF">
        <w:rPr>
          <w:rFonts w:asciiTheme="majorBidi" w:hAnsiTheme="majorBidi" w:cstheme="majorBidi"/>
        </w:rPr>
        <w:t xml:space="preserve">. </w:t>
      </w:r>
      <w:r w:rsidR="00E83B07" w:rsidRPr="00A038BF">
        <w:rPr>
          <w:rFonts w:asciiTheme="majorBidi" w:hAnsiTheme="majorBidi" w:cstheme="majorBidi"/>
        </w:rPr>
        <w:t xml:space="preserve"> </w:t>
      </w:r>
      <w:r w:rsidR="00776C56" w:rsidRPr="00A038BF">
        <w:rPr>
          <w:rFonts w:asciiTheme="majorBidi" w:hAnsiTheme="majorBidi" w:cstheme="majorBidi"/>
        </w:rPr>
        <w:t xml:space="preserve">Each timber </w:t>
      </w:r>
      <w:r w:rsidR="00D77115" w:rsidRPr="00A038BF">
        <w:rPr>
          <w:rFonts w:asciiTheme="majorBidi" w:hAnsiTheme="majorBidi" w:cstheme="majorBidi"/>
        </w:rPr>
        <w:t>layer</w:t>
      </w:r>
      <w:r w:rsidR="00776C56" w:rsidRPr="00A038BF">
        <w:rPr>
          <w:rFonts w:asciiTheme="majorBidi" w:hAnsiTheme="majorBidi" w:cstheme="majorBidi"/>
        </w:rPr>
        <w:t xml:space="preserve"> is attached </w:t>
      </w:r>
      <w:r w:rsidR="00BE4B39" w:rsidRPr="00A038BF">
        <w:rPr>
          <w:rFonts w:asciiTheme="majorBidi" w:hAnsiTheme="majorBidi" w:cstheme="majorBidi"/>
        </w:rPr>
        <w:t xml:space="preserve">by rows of 100 mm nails. </w:t>
      </w:r>
      <w:r w:rsidR="00D77115" w:rsidRPr="00A038BF">
        <w:rPr>
          <w:rFonts w:asciiTheme="majorBidi" w:hAnsiTheme="majorBidi" w:cstheme="majorBidi"/>
        </w:rPr>
        <w:t>O</w:t>
      </w:r>
      <w:r w:rsidR="002F6E31" w:rsidRPr="00A038BF">
        <w:rPr>
          <w:rFonts w:asciiTheme="majorBidi" w:hAnsiTheme="majorBidi" w:cstheme="majorBidi"/>
        </w:rPr>
        <w:t xml:space="preserve">n average of 100 nails </w:t>
      </w:r>
      <w:r w:rsidR="00D77115" w:rsidRPr="00A038BF">
        <w:rPr>
          <w:rFonts w:asciiTheme="majorBidi" w:hAnsiTheme="majorBidi" w:cstheme="majorBidi"/>
        </w:rPr>
        <w:t xml:space="preserve">are </w:t>
      </w:r>
      <w:r w:rsidR="00BE4B39" w:rsidRPr="00A038BF">
        <w:rPr>
          <w:rFonts w:asciiTheme="majorBidi" w:hAnsiTheme="majorBidi" w:cstheme="majorBidi"/>
        </w:rPr>
        <w:t>needed in each M</w:t>
      </w:r>
      <w:r w:rsidR="00BE4B39" w:rsidRPr="00A038BF">
        <w:rPr>
          <w:rFonts w:asciiTheme="majorBidi" w:hAnsiTheme="majorBidi" w:cstheme="majorBidi"/>
          <w:vertAlign w:val="superscript"/>
        </w:rPr>
        <w:t>2</w:t>
      </w:r>
      <w:r w:rsidR="00BE4B39" w:rsidRPr="00A038BF">
        <w:rPr>
          <w:rFonts w:asciiTheme="majorBidi" w:hAnsiTheme="majorBidi" w:cstheme="majorBidi"/>
        </w:rPr>
        <w:t xml:space="preserve"> of panel with </w:t>
      </w:r>
      <w:r w:rsidRPr="00A038BF">
        <w:rPr>
          <w:rFonts w:asciiTheme="majorBidi" w:hAnsiTheme="majorBidi" w:cstheme="majorBidi"/>
        </w:rPr>
        <w:t xml:space="preserve">a </w:t>
      </w:r>
      <w:r w:rsidR="00BE4B39" w:rsidRPr="00A038BF">
        <w:rPr>
          <w:rFonts w:asciiTheme="majorBidi" w:hAnsiTheme="majorBidi" w:cstheme="majorBidi"/>
        </w:rPr>
        <w:t xml:space="preserve">specific weight of 1.56 </w:t>
      </w:r>
      <w:r w:rsidR="00BE4B39" w:rsidRPr="00680936">
        <w:rPr>
          <w:rFonts w:asciiTheme="majorBidi" w:hAnsiTheme="majorBidi" w:cstheme="majorBidi"/>
          <w:color w:val="00B050"/>
        </w:rPr>
        <w:t>kg/m</w:t>
      </w:r>
      <w:r w:rsidR="00BE4B39" w:rsidRPr="00680936">
        <w:rPr>
          <w:rFonts w:asciiTheme="majorBidi" w:hAnsiTheme="majorBidi" w:cstheme="majorBidi"/>
          <w:color w:val="00B050"/>
          <w:vertAlign w:val="superscript"/>
        </w:rPr>
        <w:t>2</w:t>
      </w:r>
      <w:r w:rsidR="00BE4B39" w:rsidRPr="00A038BF">
        <w:rPr>
          <w:rFonts w:asciiTheme="majorBidi" w:hAnsiTheme="majorBidi" w:cstheme="majorBidi"/>
        </w:rPr>
        <w:t xml:space="preserve">. </w:t>
      </w:r>
      <w:r w:rsidR="00776C56" w:rsidRPr="00A038BF">
        <w:rPr>
          <w:rFonts w:asciiTheme="majorBidi" w:hAnsiTheme="majorBidi" w:cstheme="majorBidi"/>
        </w:rPr>
        <w:t>The physical</w:t>
      </w:r>
      <w:r w:rsidR="005C28F4" w:rsidRPr="00A038BF">
        <w:rPr>
          <w:rFonts w:asciiTheme="majorBidi" w:hAnsiTheme="majorBidi" w:cstheme="majorBidi"/>
        </w:rPr>
        <w:t xml:space="preserve"> properties of </w:t>
      </w:r>
      <w:r w:rsidR="00D77115" w:rsidRPr="00A038BF">
        <w:rPr>
          <w:rFonts w:asciiTheme="majorBidi" w:hAnsiTheme="majorBidi" w:cstheme="majorBidi"/>
        </w:rPr>
        <w:t xml:space="preserve">the </w:t>
      </w:r>
      <w:r w:rsidR="005C28F4" w:rsidRPr="00A038BF">
        <w:rPr>
          <w:rFonts w:asciiTheme="majorBidi" w:hAnsiTheme="majorBidi" w:cstheme="majorBidi"/>
        </w:rPr>
        <w:t xml:space="preserve">NLT panels </w:t>
      </w:r>
      <w:r w:rsidRPr="00A038BF">
        <w:rPr>
          <w:rFonts w:asciiTheme="majorBidi" w:hAnsiTheme="majorBidi" w:cstheme="majorBidi"/>
        </w:rPr>
        <w:t>are</w:t>
      </w:r>
      <w:r w:rsidR="005C28F4" w:rsidRPr="00A038BF">
        <w:rPr>
          <w:rFonts w:asciiTheme="majorBidi" w:hAnsiTheme="majorBidi" w:cstheme="majorBidi"/>
        </w:rPr>
        <w:t xml:space="preserve"> 184</w:t>
      </w:r>
      <w:r w:rsidR="00776C56" w:rsidRPr="00A038BF">
        <w:rPr>
          <w:rFonts w:asciiTheme="majorBidi" w:hAnsiTheme="majorBidi" w:cstheme="majorBidi"/>
        </w:rPr>
        <w:t xml:space="preserve"> mm thick </w:t>
      </w:r>
      <w:r w:rsidR="00D77115" w:rsidRPr="00A038BF">
        <w:rPr>
          <w:rFonts w:asciiTheme="majorBidi" w:hAnsiTheme="majorBidi" w:cstheme="majorBidi"/>
        </w:rPr>
        <w:t xml:space="preserve">and </w:t>
      </w:r>
      <w:r w:rsidR="00776C56" w:rsidRPr="00A038BF">
        <w:rPr>
          <w:rFonts w:asciiTheme="majorBidi" w:hAnsiTheme="majorBidi" w:cstheme="majorBidi"/>
        </w:rPr>
        <w:t xml:space="preserve">weight </w:t>
      </w:r>
      <w:r w:rsidR="008308BE">
        <w:rPr>
          <w:rFonts w:asciiTheme="majorBidi" w:hAnsiTheme="majorBidi" w:cstheme="majorBidi"/>
        </w:rPr>
        <w:t>105</w:t>
      </w:r>
      <w:r w:rsidR="005C28F4" w:rsidRPr="00A038BF">
        <w:rPr>
          <w:rFonts w:asciiTheme="majorBidi" w:hAnsiTheme="majorBidi" w:cstheme="majorBidi"/>
        </w:rPr>
        <w:t xml:space="preserve"> </w:t>
      </w:r>
      <w:r w:rsidR="005C28F4" w:rsidRPr="00680936">
        <w:rPr>
          <w:rFonts w:asciiTheme="majorBidi" w:hAnsiTheme="majorBidi" w:cstheme="majorBidi"/>
          <w:color w:val="00B050"/>
        </w:rPr>
        <w:t>kg/m</w:t>
      </w:r>
      <w:r w:rsidR="005C28F4" w:rsidRPr="00680936">
        <w:rPr>
          <w:rFonts w:asciiTheme="majorBidi" w:hAnsiTheme="majorBidi" w:cstheme="majorBidi"/>
          <w:color w:val="00B050"/>
          <w:vertAlign w:val="superscript"/>
        </w:rPr>
        <w:t>2</w:t>
      </w:r>
      <w:r w:rsidR="005C28F4" w:rsidRPr="00A038BF">
        <w:rPr>
          <w:rFonts w:asciiTheme="majorBidi" w:hAnsiTheme="majorBidi" w:cstheme="majorBidi"/>
        </w:rPr>
        <w:t xml:space="preserve"> </w:t>
      </w:r>
      <w:r w:rsidR="00C8324B" w:rsidRPr="00A038BF">
        <w:rPr>
          <w:rFonts w:asciiTheme="majorBidi" w:hAnsiTheme="majorBidi" w:cstheme="majorBidi"/>
        </w:rPr>
        <w:fldChar w:fldCharType="begin" w:fldLock="1"/>
      </w:r>
      <w:r w:rsidR="007E6D8F" w:rsidRPr="00A038BF">
        <w:rPr>
          <w:rFonts w:asciiTheme="majorBidi" w:hAnsiTheme="majorBidi" w:cstheme="majorBidi"/>
        </w:rPr>
        <w:instrText>ADDIN CSL_CITATION {"citationItems":[{"id":"ITEM-1","itemData":{"author":[{"dropping-particle":"","family":"Mahn","given":"Jeffrey","non-dropping-particle":"","parse-names":false,"suffix":""},{"dropping-particle":"","family":"Quirt","given":"David","non-dropping-particle":"","parse-names":false,"suffix":""},{"dropping-particle":"","family":"Hoeller","given":"Christoph","non-dropping-particle":"","parse-names":false,"suffix":""},{"dropping-particle":"","family":"Mueller-trapet","given":"Markus","non-dropping-particle":"","parse-names":false,"suffix":""}],"id":"ITEM-1","issued":{"date-parts":[["0"]]},"title":"Addendum to RR-335 : Sound Transmission through Nail-Laminated Timber ( NLT ) Assemblies","type":"article-journal"},"uris":["http://www.mendeley.com/documents/?uuid=a0927325-77cb-4683-9500-0d7c41ebb77a"]}],"mendeley":{"formattedCitation":"(Mahn et al., n.d.)","manualFormatting":"(Mahn et al., 2018)","plainTextFormattedCitation":"(Mahn et al., n.d.)","previouslyFormattedCitation":"(Mahn et al., n.d.)"},"properties":{"noteIndex":0},"schema":"https://github.com/citation-style-language/schema/raw/master/csl-citation.json"}</w:instrText>
      </w:r>
      <w:r w:rsidR="00C8324B" w:rsidRPr="00A038BF">
        <w:rPr>
          <w:rFonts w:asciiTheme="majorBidi" w:hAnsiTheme="majorBidi" w:cstheme="majorBidi"/>
        </w:rPr>
        <w:fldChar w:fldCharType="separate"/>
      </w:r>
      <w:r w:rsidR="00C8324B" w:rsidRPr="00A038BF">
        <w:rPr>
          <w:rFonts w:asciiTheme="majorBidi" w:hAnsiTheme="majorBidi" w:cstheme="majorBidi"/>
          <w:noProof/>
        </w:rPr>
        <w:t>(Mahn et al., 2018)</w:t>
      </w:r>
      <w:r w:rsidR="00C8324B" w:rsidRPr="00A038BF">
        <w:rPr>
          <w:rFonts w:asciiTheme="majorBidi" w:hAnsiTheme="majorBidi" w:cstheme="majorBidi"/>
        </w:rPr>
        <w:fldChar w:fldCharType="end"/>
      </w:r>
      <w:r w:rsidR="00776C56" w:rsidRPr="00A038BF">
        <w:rPr>
          <w:rFonts w:asciiTheme="majorBidi" w:hAnsiTheme="majorBidi" w:cstheme="majorBidi"/>
        </w:rPr>
        <w:t xml:space="preserve">. </w:t>
      </w:r>
      <w:r w:rsidR="002805D7" w:rsidRPr="00A038BF">
        <w:rPr>
          <w:rFonts w:asciiTheme="majorBidi" w:hAnsiTheme="majorBidi" w:cstheme="majorBidi"/>
        </w:rPr>
        <w:t xml:space="preserve">The density of NLT </w:t>
      </w:r>
      <w:r w:rsidR="00D77115" w:rsidRPr="00A038BF">
        <w:rPr>
          <w:rFonts w:asciiTheme="majorBidi" w:hAnsiTheme="majorBidi" w:cstheme="majorBidi"/>
        </w:rPr>
        <w:t xml:space="preserve">was </w:t>
      </w:r>
      <w:r w:rsidR="002805D7" w:rsidRPr="00A038BF">
        <w:rPr>
          <w:rFonts w:asciiTheme="majorBidi" w:hAnsiTheme="majorBidi" w:cstheme="majorBidi"/>
        </w:rPr>
        <w:t xml:space="preserve">considered as </w:t>
      </w:r>
      <w:r w:rsidR="00E127C3" w:rsidRPr="00A038BF">
        <w:rPr>
          <w:rFonts w:asciiTheme="majorBidi" w:hAnsiTheme="majorBidi" w:cstheme="majorBidi"/>
        </w:rPr>
        <w:t>570</w:t>
      </w:r>
      <w:r w:rsidR="002805D7" w:rsidRPr="00A038BF">
        <w:rPr>
          <w:rFonts w:asciiTheme="majorBidi" w:hAnsiTheme="majorBidi" w:cstheme="majorBidi"/>
        </w:rPr>
        <w:t xml:space="preserve"> </w:t>
      </w:r>
      <w:r w:rsidR="002805D7" w:rsidRPr="00680936">
        <w:rPr>
          <w:rFonts w:asciiTheme="majorBidi" w:hAnsiTheme="majorBidi" w:cstheme="majorBidi"/>
          <w:color w:val="00B050"/>
        </w:rPr>
        <w:t>kg/m³</w:t>
      </w:r>
      <w:r w:rsidR="002805D7" w:rsidRPr="00A038BF">
        <w:rPr>
          <w:rFonts w:asciiTheme="majorBidi" w:hAnsiTheme="majorBidi" w:cstheme="majorBidi"/>
        </w:rPr>
        <w:t>.</w:t>
      </w:r>
      <w:r w:rsidR="00637C8E" w:rsidRPr="00A038BF">
        <w:rPr>
          <w:rFonts w:asciiTheme="majorBidi" w:hAnsiTheme="majorBidi" w:cstheme="majorBidi"/>
        </w:rPr>
        <w:t xml:space="preserve">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7"/>
        <w:gridCol w:w="5886"/>
      </w:tblGrid>
      <w:tr w:rsidR="00A038BF" w:rsidRPr="00A038BF" w14:paraId="4891F7F0" w14:textId="77777777" w:rsidTr="0018374A">
        <w:trPr>
          <w:trHeight w:val="1300"/>
          <w:jc w:val="center"/>
        </w:trPr>
        <w:tc>
          <w:tcPr>
            <w:tcW w:w="487" w:type="dxa"/>
          </w:tcPr>
          <w:p w14:paraId="0CE800B4"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rFonts w:asciiTheme="majorBidi" w:hAnsiTheme="majorBidi" w:cstheme="majorBidi"/>
              </w:rPr>
              <w:t>A)</w:t>
            </w:r>
          </w:p>
        </w:tc>
        <w:tc>
          <w:tcPr>
            <w:tcW w:w="5437" w:type="dxa"/>
          </w:tcPr>
          <w:p w14:paraId="3B6FBC27"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noProof/>
              </w:rPr>
              <w:drawing>
                <wp:inline distT="0" distB="0" distL="0" distR="0" wp14:anchorId="72C21242" wp14:editId="5DCCE171">
                  <wp:extent cx="3595255" cy="1142865"/>
                  <wp:effectExtent l="0" t="0" r="5715" b="63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538" b="30190"/>
                          <a:stretch/>
                        </pic:blipFill>
                        <pic:spPr bwMode="auto">
                          <a:xfrm>
                            <a:off x="0" y="0"/>
                            <a:ext cx="3639288" cy="115686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38BF" w:rsidRPr="00A038BF" w14:paraId="37F96137" w14:textId="77777777" w:rsidTr="0018374A">
        <w:trPr>
          <w:trHeight w:val="1514"/>
          <w:jc w:val="center"/>
        </w:trPr>
        <w:tc>
          <w:tcPr>
            <w:tcW w:w="487" w:type="dxa"/>
          </w:tcPr>
          <w:p w14:paraId="22E18EE0"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rFonts w:asciiTheme="majorBidi" w:hAnsiTheme="majorBidi" w:cstheme="majorBidi"/>
              </w:rPr>
              <w:t>B)</w:t>
            </w:r>
          </w:p>
        </w:tc>
        <w:tc>
          <w:tcPr>
            <w:tcW w:w="5437" w:type="dxa"/>
          </w:tcPr>
          <w:p w14:paraId="4232F54D"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noProof/>
              </w:rPr>
              <w:drawing>
                <wp:inline distT="0" distB="0" distL="0" distR="0" wp14:anchorId="2629206E" wp14:editId="2F6AA807">
                  <wp:extent cx="3456709" cy="1431928"/>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t="16955" b="17310"/>
                          <a:stretch/>
                        </pic:blipFill>
                        <pic:spPr bwMode="auto">
                          <a:xfrm>
                            <a:off x="0" y="0"/>
                            <a:ext cx="3508275" cy="145328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038BF" w:rsidRPr="00A038BF" w14:paraId="7DEFAA00" w14:textId="77777777" w:rsidTr="0018374A">
        <w:trPr>
          <w:trHeight w:val="1578"/>
          <w:jc w:val="center"/>
        </w:trPr>
        <w:tc>
          <w:tcPr>
            <w:tcW w:w="487" w:type="dxa"/>
          </w:tcPr>
          <w:p w14:paraId="75135770"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rFonts w:asciiTheme="majorBidi" w:hAnsiTheme="majorBidi" w:cstheme="majorBidi"/>
              </w:rPr>
              <w:t>C)</w:t>
            </w:r>
          </w:p>
        </w:tc>
        <w:tc>
          <w:tcPr>
            <w:tcW w:w="5437" w:type="dxa"/>
          </w:tcPr>
          <w:p w14:paraId="020E6970" w14:textId="77777777" w:rsidR="0087692B" w:rsidRPr="00A038BF" w:rsidRDefault="0087692B" w:rsidP="0087692B">
            <w:pPr>
              <w:tabs>
                <w:tab w:val="left" w:pos="7020"/>
              </w:tabs>
              <w:spacing w:before="240" w:line="276" w:lineRule="auto"/>
              <w:jc w:val="both"/>
              <w:rPr>
                <w:rFonts w:asciiTheme="majorBidi" w:hAnsiTheme="majorBidi" w:cstheme="majorBidi"/>
              </w:rPr>
            </w:pPr>
            <w:r w:rsidRPr="00A038BF">
              <w:rPr>
                <w:noProof/>
              </w:rPr>
              <w:drawing>
                <wp:inline distT="0" distB="0" distL="0" distR="0" wp14:anchorId="0047C313" wp14:editId="2A7CCECC">
                  <wp:extent cx="3498273" cy="1494818"/>
                  <wp:effectExtent l="0" t="0" r="698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0303" b="24401"/>
                          <a:stretch/>
                        </pic:blipFill>
                        <pic:spPr bwMode="auto">
                          <a:xfrm>
                            <a:off x="0" y="0"/>
                            <a:ext cx="3529598" cy="150820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6E59CAAB" w14:textId="77777777" w:rsidR="000D0D73" w:rsidRPr="00A038BF" w:rsidRDefault="000D0D73" w:rsidP="0097613B">
      <w:pPr>
        <w:jc w:val="center"/>
        <w:rPr>
          <w:rFonts w:asciiTheme="majorBidi" w:hAnsiTheme="majorBidi" w:cstheme="majorBidi"/>
          <w:sz w:val="20"/>
          <w:szCs w:val="20"/>
        </w:rPr>
      </w:pPr>
      <w:r w:rsidRPr="00A038BF">
        <w:rPr>
          <w:rFonts w:asciiTheme="majorBidi" w:hAnsiTheme="majorBidi" w:cstheme="majorBidi"/>
          <w:sz w:val="20"/>
          <w:szCs w:val="20"/>
        </w:rPr>
        <w:t>Figure 3, detail of three different mass timber</w:t>
      </w:r>
      <w:r w:rsidR="0087692B" w:rsidRPr="00A038BF">
        <w:rPr>
          <w:rFonts w:asciiTheme="majorBidi" w:hAnsiTheme="majorBidi" w:cstheme="majorBidi"/>
          <w:sz w:val="20"/>
          <w:szCs w:val="20"/>
        </w:rPr>
        <w:t>, A) cross</w:t>
      </w:r>
      <w:r w:rsidR="0097613B" w:rsidRPr="00A038BF">
        <w:rPr>
          <w:rFonts w:asciiTheme="majorBidi" w:hAnsiTheme="majorBidi" w:cstheme="majorBidi"/>
          <w:sz w:val="20"/>
          <w:szCs w:val="20"/>
        </w:rPr>
        <w:t>-</w:t>
      </w:r>
      <w:r w:rsidR="0087692B" w:rsidRPr="00A038BF">
        <w:rPr>
          <w:rFonts w:asciiTheme="majorBidi" w:hAnsiTheme="majorBidi" w:cstheme="majorBidi"/>
          <w:sz w:val="20"/>
          <w:szCs w:val="20"/>
        </w:rPr>
        <w:t xml:space="preserve">laminated timber, B) dowel laminated </w:t>
      </w:r>
      <w:r w:rsidR="0097613B" w:rsidRPr="00A038BF">
        <w:rPr>
          <w:rFonts w:asciiTheme="majorBidi" w:hAnsiTheme="majorBidi" w:cstheme="majorBidi"/>
          <w:sz w:val="20"/>
          <w:szCs w:val="20"/>
        </w:rPr>
        <w:t>t</w:t>
      </w:r>
      <w:r w:rsidR="0087692B" w:rsidRPr="00A038BF">
        <w:rPr>
          <w:rFonts w:asciiTheme="majorBidi" w:hAnsiTheme="majorBidi" w:cstheme="majorBidi"/>
          <w:sz w:val="20"/>
          <w:szCs w:val="20"/>
        </w:rPr>
        <w:t>imber, C) nail laminated timber</w:t>
      </w:r>
    </w:p>
    <w:p w14:paraId="05C0FF08" w14:textId="3BBEEA67" w:rsidR="00D24859" w:rsidRPr="00A038BF" w:rsidRDefault="0018374A" w:rsidP="00956E20">
      <w:pPr>
        <w:spacing w:after="0" w:line="276" w:lineRule="auto"/>
        <w:ind w:firstLine="720"/>
        <w:jc w:val="both"/>
        <w:rPr>
          <w:rFonts w:asciiTheme="majorBidi" w:hAnsiTheme="majorBidi" w:cstheme="majorBidi"/>
        </w:rPr>
      </w:pPr>
      <w:r w:rsidRPr="00A038BF">
        <w:rPr>
          <w:rFonts w:asciiTheme="majorBidi" w:hAnsiTheme="majorBidi" w:cstheme="majorBidi"/>
        </w:rPr>
        <w:t xml:space="preserve">Table 2 shows the characterization of the different mass timber buildings considered in this paper. The third case study is DLT. It does not use glues, resin, or nails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{"citationItems":[{"id":"ITEM-1","itemData":{"DOI":"10.1016/j.dibe.2019.100004","ISSN":"26661659","abstract":"Engineered Wood Products (EWPs) are increasingly being used as construction and building materials. However, the predominant use of petroleum-based adhesives in EWPs contributes to the release of toxic gases (e.g. Volatile Organic Compounds (VOCs) and formaldehyde) which are harmful to the environment. Also, the use of adhesives in EWPs affects their end-of-life disposal, reusability and recyclability. This paper focusses on dowel laminated timber members and densified wood materials, which are adhesive free and sustainable alternatives to commonly used EWPs (e.g. glulam and CLT). The improved mechanical properties and tight fitting due to spring-back of densified wood support their use as sustainable alternatives to hardwood fasteners to overcome their disadvantages such as loss of stiffness over time and dimensional instability. This approach would also contribute to the uptake of dowel laminated timber members and densified wood materials for more diverse and advanced structural applications and subsequently yield both environmental and economic benefits.","author":[{"dropping-particle":"","family":"Sotayo","given":"Adeayo","non-dropping-particle":"","parse-names":false,"suffix":""},{"dropping-particle":"","family":"Bradley","given":"Daniel","non-dropping-particle":"","parse-names":false,"suffix":""},{"dropping-particle":"","family":"Bather","given":"Michael","non-dropping-particle":"","parse-names":false,"suffix":""},{"dropping-particle":"","family":"Sareh","given":"Pooya","non-dropping-particle":"","parse-names":false,"suffix":""},{"dropping-particle":"","family":"Oudjene","given":"Marc","non-dropping-particle":"","parse-names":false,"suffix":""},{"dropping-particle":"","family":"El-Houjeyri","given":"Imane","non-dropping-particle":"","parse-names":false,"suffix":""},{"dropping-particle":"","family":"Harte","given":"Annette M.","non-dropping-particle":"","parse-names":false,"suffix":""},{"dropping-particle":"","family":"Mehra","given":"Sameer","non-dropping-particle":"","parse-names":false,"suffix":""},{"dropping-particle":"","family":"O'Ceallaigh","given":"Conan","non-dropping-particle":"","parse-names":false,"suffix":""},{"dropping-particle":"","family":"Haller","given":"Peer","non-dropping-particle":"","parse-names":false,"suffix":""},{"dropping-particle":"","family":"Namari","given":"Siavash","non-dropping-particle":"","parse-names":false,"suffix":""},{"dropping-particle":"","family":"Makradi","given":"Ahmed","non-dropping-particle":"","parse-names":false,"suffix":""},{"dropping-particle":"","family":"Belouettar","given":"Salim","non-dropping-particle":"","parse-names":false,"suffix":""},{"dropping-particle":"","family":"Bouhala","given":"Lyazid","non-dropping-particle":"","parse-names":false,"suffix":""},{"dropping-particle":"","family":"Deneufbourg","given":"François","non-dropping-particle":"","parse-names":false,"suffix":""},{"dropping-particle":"","family":"Guan","given":"Zhongwei","non-dropping-particle":"","parse-names":false,"suffix":""}],"container-title":"Developments in the Built Environment","id":"ITEM-1","issue":"October 2019","issued":{"date-parts":[["2020"]]},"page":"100004","publisher":"Elsevier Ltd","title":"Review of state of the art of dowel laminated timber members and densified wood materials as sustainable engineered wood products for construction and building applications","type":"article-journal","volume":"1"},"uris":["http://www.mendeley.com/documents/?uuid=720fa5d8-329a-4b20-97e5-514c6e01983e"]}],"mendeley":{"formattedCitation":"(Sotayo et al., 2020)","plainTextFormattedCitation":"(Sotayo et al., 2020)","previouslyFormattedCitation":"(Sotayo et al., 2020)"},"properties":{"noteIndex":0},"schema":"https://github.com/citation-style-language/schema/raw/master/csl-citation.json"}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(Sotayo et al., 2020)</w:t>
      </w:r>
      <w:r w:rsidRPr="00A038BF">
        <w:rPr>
          <w:rFonts w:asciiTheme="majorBidi" w:hAnsiTheme="majorBidi" w:cstheme="majorBidi"/>
        </w:rPr>
        <w:fldChar w:fldCharType="end"/>
      </w:r>
      <w:r w:rsidRPr="00A038BF">
        <w:rPr>
          <w:rFonts w:asciiTheme="majorBidi" w:hAnsiTheme="majorBidi" w:cstheme="majorBidi"/>
        </w:rPr>
        <w:t xml:space="preserve">. DLT is a mass timber panel product created by stacking timber planks together on their edge or cross-laminating them. They are fixed together with softwood dowels with a density of  </w:t>
      </w:r>
      <w:r w:rsidR="00680936" w:rsidRPr="00680936">
        <w:rPr>
          <w:rFonts w:asciiTheme="majorBidi" w:hAnsiTheme="majorBidi" w:cstheme="majorBidi"/>
        </w:rPr>
        <w:t>51</w:t>
      </w:r>
      <w:r w:rsidRPr="00680936">
        <w:rPr>
          <w:rFonts w:asciiTheme="majorBidi" w:hAnsiTheme="majorBidi" w:cstheme="majorBidi"/>
        </w:rPr>
        <w:t>0</w:t>
      </w:r>
      <w:r w:rsidRPr="005F7E79">
        <w:rPr>
          <w:rFonts w:asciiTheme="majorBidi" w:hAnsiTheme="majorBidi" w:cstheme="majorBidi"/>
          <w:b/>
          <w:bCs/>
          <w:color w:val="00B050"/>
          <w:shd w:val="clear" w:color="auto" w:fill="FFFFFF"/>
        </w:rPr>
        <w:t xml:space="preserve"> </w:t>
      </w:r>
      <w:r w:rsidR="004C1232" w:rsidRPr="005F7E79">
        <w:rPr>
          <w:rFonts w:asciiTheme="majorBidi" w:hAnsiTheme="majorBidi" w:cstheme="majorBidi"/>
          <w:color w:val="00B050"/>
          <w:shd w:val="clear" w:color="auto" w:fill="FFFFFF"/>
        </w:rPr>
        <w:t>Kg/m</w:t>
      </w:r>
      <w:r w:rsidRPr="005F7E79">
        <w:rPr>
          <w:rFonts w:asciiTheme="majorBidi" w:hAnsiTheme="majorBidi" w:cstheme="majorBidi"/>
          <w:color w:val="00B050"/>
          <w:shd w:val="clear" w:color="auto" w:fill="FFFFFF"/>
          <w:vertAlign w:val="superscript"/>
        </w:rPr>
        <w:t>3</w:t>
      </w:r>
      <w:r w:rsidRPr="005F7E79">
        <w:rPr>
          <w:rFonts w:asciiTheme="majorBidi" w:hAnsiTheme="majorBidi" w:cstheme="majorBidi"/>
          <w:color w:val="00B050"/>
          <w:vertAlign w:val="superscript"/>
        </w:rPr>
        <w:t xml:space="preserve"> </w:t>
      </w:r>
      <w:r w:rsidRPr="00A038BF">
        <w:rPr>
          <w:rFonts w:asciiTheme="majorBidi" w:hAnsiTheme="majorBidi" w:cstheme="majorBidi"/>
        </w:rPr>
        <w:fldChar w:fldCharType="begin" w:fldLock="1"/>
      </w:r>
      <w:r w:rsidRPr="00A038BF">
        <w:rPr>
          <w:rFonts w:asciiTheme="majorBidi" w:hAnsiTheme="majorBidi" w:cstheme="majorBidi"/>
        </w:rPr>
        <w:instrText>ADDIN CSL_CITATION {"citationItems":[{"id":"ITEM-1","itemData":{"DOI":"10.1016/j.conbuildmat.2020.121820","ISSN":"0950-0618","author":[{"dropping-particle":"","family":"Cesar","given":"Marcos","non-dropping-particle":"","parse-names":false,"suffix":""},{"dropping-particle":"","family":"Pereira","given":"De Moraes","non-dropping-particle":"","parse-names":false,"suffix":""},{"dropping-particle":"","family":"Arthur","given":"Luc","non-dropping-particle":"","parse-names":false,"suffix":""},{"dropping-particle":"","family":"Sohier","given":"Pascal","non-dropping-particle":"","parse-names":false,"suffix":""},{"dropping-particle":"","family":"Descamps","given":"Thierry","non-dropping-particle":"","parse-names":false,"suffix":""}],"container-title":"Construction and Building Materials","id":"ITEM-1","issued":{"date-parts":[["2021"]]},"page":"121820","publisher":"Elsevier Ltd","title":"Doweled cross laminated timber : Experimental and analytical study","type":"article-journal","volume":"273"},"uris":["http://www.mendeley.com/documents/?uuid=9c25245d-6782-4ec2-8d0e-4cc85403336d"]}],"mendeley":{"formattedCitation":"(Cesar et al., 2021)","manualFormatting":"( Timber &amp; Canada, 2018; Cesar et al., 2021)","plainTextFormattedCitation":"(Cesar et al., 2021)","previouslyFormattedCitation":"(Cesar et al., 2021)"},"properties":{"noteIndex":0},"schema":"https://github.com/citation-style-language/schema/raw/master/csl-citation.json"}</w:instrText>
      </w:r>
      <w:r w:rsidRPr="00A038BF">
        <w:rPr>
          <w:rFonts w:asciiTheme="majorBidi" w:hAnsiTheme="majorBidi" w:cstheme="majorBidi"/>
        </w:rPr>
        <w:fldChar w:fldCharType="separate"/>
      </w:r>
      <w:r w:rsidRPr="00A038BF">
        <w:rPr>
          <w:rFonts w:asciiTheme="majorBidi" w:hAnsiTheme="majorBidi" w:cstheme="majorBidi"/>
          <w:noProof/>
        </w:rPr>
        <w:t>( Timber &amp; Canada, 2018; Cesar et al., 2021)</w:t>
      </w:r>
      <w:r w:rsidRPr="00A038BF">
        <w:rPr>
          <w:rFonts w:asciiTheme="majorBidi" w:hAnsiTheme="majorBidi" w:cstheme="majorBidi"/>
        </w:rPr>
        <w:fldChar w:fldCharType="end"/>
      </w:r>
      <w:r w:rsidRPr="00A038BF">
        <w:rPr>
          <w:rFonts w:asciiTheme="majorBidi" w:hAnsiTheme="majorBidi" w:cstheme="majorBidi"/>
        </w:rPr>
        <w:t xml:space="preserve"> as shown in figure 3. The lumber needs to be cut to 20 x 20 x 200 mm dimension to create the dowel rods. These are then turned into round rods the weight which is 0.35 kg per meter. Five dowels (spaced 20 cm apart) are required for each m</w:t>
      </w:r>
      <w:r w:rsidRPr="00A038BF">
        <w:rPr>
          <w:rFonts w:asciiTheme="majorBidi" w:hAnsiTheme="majorBidi" w:cstheme="majorBidi"/>
          <w:vertAlign w:val="superscript"/>
        </w:rPr>
        <w:t>2</w:t>
      </w:r>
      <w:r w:rsidRPr="00A038BF">
        <w:rPr>
          <w:rFonts w:asciiTheme="majorBidi" w:hAnsiTheme="majorBidi" w:cstheme="majorBidi"/>
        </w:rPr>
        <w:t xml:space="preserve"> of the wall. Figure 3 shows the three different mass timber panels used in this study.</w:t>
      </w:r>
      <w:r w:rsidR="0097613B" w:rsidRPr="00A038BF">
        <w:rPr>
          <w:rFonts w:asciiTheme="majorBidi" w:hAnsiTheme="majorBidi" w:cstheme="majorBidi"/>
        </w:rPr>
        <w:t xml:space="preserve">Some assumptions </w:t>
      </w:r>
      <w:r w:rsidR="00C258EB" w:rsidRPr="00A038BF">
        <w:rPr>
          <w:rFonts w:asciiTheme="majorBidi" w:hAnsiTheme="majorBidi" w:cstheme="majorBidi"/>
        </w:rPr>
        <w:t xml:space="preserve">related to raw materials production </w:t>
      </w:r>
      <w:r w:rsidR="0097613B" w:rsidRPr="00A038BF">
        <w:rPr>
          <w:rFonts w:asciiTheme="majorBidi" w:hAnsiTheme="majorBidi" w:cstheme="majorBidi"/>
        </w:rPr>
        <w:t xml:space="preserve">have been </w:t>
      </w:r>
      <w:r w:rsidR="00C258EB" w:rsidRPr="00A038BF">
        <w:rPr>
          <w:rFonts w:asciiTheme="majorBidi" w:hAnsiTheme="majorBidi" w:cstheme="majorBidi"/>
        </w:rPr>
        <w:t xml:space="preserve">made </w:t>
      </w:r>
      <w:r w:rsidR="0097613B" w:rsidRPr="00A038BF">
        <w:rPr>
          <w:rFonts w:asciiTheme="majorBidi" w:hAnsiTheme="majorBidi" w:cstheme="majorBidi"/>
        </w:rPr>
        <w:t xml:space="preserve">to simplify the evaluation of </w:t>
      </w:r>
      <w:r w:rsidR="00C258EB" w:rsidRPr="00A038BF">
        <w:rPr>
          <w:rFonts w:asciiTheme="majorBidi" w:hAnsiTheme="majorBidi" w:cstheme="majorBidi"/>
        </w:rPr>
        <w:t xml:space="preserve">the </w:t>
      </w:r>
      <w:r w:rsidR="0097613B" w:rsidRPr="00A038BF">
        <w:rPr>
          <w:rFonts w:asciiTheme="majorBidi" w:hAnsiTheme="majorBidi" w:cstheme="majorBidi"/>
        </w:rPr>
        <w:t>differ</w:t>
      </w:r>
      <w:r w:rsidR="00C30AC5" w:rsidRPr="00A038BF">
        <w:rPr>
          <w:rFonts w:asciiTheme="majorBidi" w:hAnsiTheme="majorBidi" w:cstheme="majorBidi"/>
        </w:rPr>
        <w:t>en</w:t>
      </w:r>
      <w:r w:rsidR="0097613B" w:rsidRPr="00A038BF">
        <w:rPr>
          <w:rFonts w:asciiTheme="majorBidi" w:hAnsiTheme="majorBidi" w:cstheme="majorBidi"/>
        </w:rPr>
        <w:t>t alternatives</w:t>
      </w:r>
      <w:r w:rsidR="006452C6" w:rsidRPr="00A038BF">
        <w:rPr>
          <w:rFonts w:asciiTheme="majorBidi" w:hAnsiTheme="majorBidi" w:cstheme="majorBidi"/>
        </w:rPr>
        <w:t xml:space="preserve">. </w:t>
      </w:r>
      <w:r w:rsidR="00C258EB" w:rsidRPr="00A038BF">
        <w:rPr>
          <w:rFonts w:asciiTheme="majorBidi" w:hAnsiTheme="majorBidi" w:cstheme="majorBidi"/>
        </w:rPr>
        <w:t xml:space="preserve">The </w:t>
      </w:r>
      <w:r w:rsidR="006452C6" w:rsidRPr="00A038BF">
        <w:rPr>
          <w:rFonts w:asciiTheme="majorBidi" w:hAnsiTheme="majorBidi" w:cstheme="majorBidi"/>
        </w:rPr>
        <w:t>EN 15978 framework define</w:t>
      </w:r>
      <w:r w:rsidR="0097613B" w:rsidRPr="00A038BF">
        <w:rPr>
          <w:rFonts w:asciiTheme="majorBidi" w:hAnsiTheme="majorBidi" w:cstheme="majorBidi"/>
        </w:rPr>
        <w:t>s</w:t>
      </w:r>
      <w:r w:rsidR="006452C6" w:rsidRPr="00A038BF">
        <w:rPr>
          <w:rFonts w:asciiTheme="majorBidi" w:hAnsiTheme="majorBidi" w:cstheme="majorBidi"/>
        </w:rPr>
        <w:t xml:space="preserve"> the cradle stage </w:t>
      </w:r>
      <w:r w:rsidR="000B52A7" w:rsidRPr="00A038BF">
        <w:rPr>
          <w:rFonts w:asciiTheme="majorBidi" w:hAnsiTheme="majorBidi" w:cstheme="majorBidi"/>
        </w:rPr>
        <w:t xml:space="preserve">as starting </w:t>
      </w:r>
      <w:r w:rsidR="006452C6" w:rsidRPr="00A038BF">
        <w:rPr>
          <w:rFonts w:asciiTheme="majorBidi" w:hAnsiTheme="majorBidi" w:cstheme="majorBidi"/>
        </w:rPr>
        <w:t xml:space="preserve">with raw material extraction (A1) followed by transportation (A2) and manufacturing of mass timber in </w:t>
      </w:r>
      <w:r w:rsidR="0097613B" w:rsidRPr="00A038BF">
        <w:rPr>
          <w:rFonts w:asciiTheme="majorBidi" w:hAnsiTheme="majorBidi" w:cstheme="majorBidi"/>
        </w:rPr>
        <w:t xml:space="preserve">the </w:t>
      </w:r>
      <w:r w:rsidR="006452C6" w:rsidRPr="00A038BF">
        <w:rPr>
          <w:rFonts w:asciiTheme="majorBidi" w:hAnsiTheme="majorBidi" w:cstheme="majorBidi"/>
        </w:rPr>
        <w:t>mill (A3). The next phase is transporting NLT, CLT</w:t>
      </w:r>
      <w:r w:rsidR="0097613B" w:rsidRPr="00A038BF">
        <w:rPr>
          <w:rFonts w:asciiTheme="majorBidi" w:hAnsiTheme="majorBidi" w:cstheme="majorBidi"/>
        </w:rPr>
        <w:t>,</w:t>
      </w:r>
      <w:r w:rsidR="006452C6" w:rsidRPr="00A038BF">
        <w:rPr>
          <w:rFonts w:asciiTheme="majorBidi" w:hAnsiTheme="majorBidi" w:cstheme="majorBidi"/>
        </w:rPr>
        <w:t xml:space="preserve"> and DLT prefabricated panels to the site. The distance for </w:t>
      </w:r>
      <w:r w:rsidR="000B52A7" w:rsidRPr="00A038BF">
        <w:rPr>
          <w:rFonts w:asciiTheme="majorBidi" w:hAnsiTheme="majorBidi" w:cstheme="majorBidi"/>
        </w:rPr>
        <w:t xml:space="preserve">this </w:t>
      </w:r>
      <w:r w:rsidR="006452C6" w:rsidRPr="00A038BF">
        <w:rPr>
          <w:rFonts w:asciiTheme="majorBidi" w:hAnsiTheme="majorBidi" w:cstheme="majorBidi"/>
        </w:rPr>
        <w:t xml:space="preserve">transfer </w:t>
      </w:r>
      <w:r w:rsidR="000B52A7" w:rsidRPr="00A038BF">
        <w:rPr>
          <w:rFonts w:asciiTheme="majorBidi" w:hAnsiTheme="majorBidi" w:cstheme="majorBidi"/>
        </w:rPr>
        <w:t>was</w:t>
      </w:r>
      <w:r w:rsidR="006452C6" w:rsidRPr="00A038BF">
        <w:rPr>
          <w:rFonts w:asciiTheme="majorBidi" w:hAnsiTheme="majorBidi" w:cstheme="majorBidi"/>
        </w:rPr>
        <w:t xml:space="preserve"> considered </w:t>
      </w:r>
      <w:r w:rsidR="00C30AC5" w:rsidRPr="00A038BF">
        <w:rPr>
          <w:rFonts w:asciiTheme="majorBidi" w:hAnsiTheme="majorBidi" w:cstheme="majorBidi"/>
        </w:rPr>
        <w:t>to be</w:t>
      </w:r>
      <w:r w:rsidR="006452C6" w:rsidRPr="00A038BF">
        <w:rPr>
          <w:rFonts w:asciiTheme="majorBidi" w:hAnsiTheme="majorBidi" w:cstheme="majorBidi"/>
        </w:rPr>
        <w:t xml:space="preserve"> 50 Km. </w:t>
      </w:r>
      <w:r w:rsidR="0097613B" w:rsidRPr="00A038BF">
        <w:rPr>
          <w:rFonts w:asciiTheme="majorBidi" w:hAnsiTheme="majorBidi" w:cstheme="majorBidi"/>
        </w:rPr>
        <w:t>T</w:t>
      </w:r>
      <w:r w:rsidR="006452C6" w:rsidRPr="00A038BF">
        <w:rPr>
          <w:rFonts w:asciiTheme="majorBidi" w:hAnsiTheme="majorBidi" w:cstheme="majorBidi"/>
        </w:rPr>
        <w:t xml:space="preserve">he next step is </w:t>
      </w:r>
      <w:r w:rsidR="0097613B" w:rsidRPr="00A038BF">
        <w:rPr>
          <w:rFonts w:asciiTheme="majorBidi" w:hAnsiTheme="majorBidi" w:cstheme="majorBidi"/>
        </w:rPr>
        <w:t xml:space="preserve">the </w:t>
      </w:r>
      <w:r w:rsidR="006452C6" w:rsidRPr="00A038BF">
        <w:rPr>
          <w:rFonts w:asciiTheme="majorBidi" w:hAnsiTheme="majorBidi" w:cstheme="majorBidi"/>
        </w:rPr>
        <w:t>installation and assembl</w:t>
      </w:r>
      <w:r w:rsidR="000B52A7" w:rsidRPr="00A038BF">
        <w:rPr>
          <w:rFonts w:asciiTheme="majorBidi" w:hAnsiTheme="majorBidi" w:cstheme="majorBidi"/>
        </w:rPr>
        <w:t>y</w:t>
      </w:r>
      <w:r w:rsidR="006452C6" w:rsidRPr="00A038BF">
        <w:rPr>
          <w:rFonts w:asciiTheme="majorBidi" w:hAnsiTheme="majorBidi" w:cstheme="majorBidi"/>
        </w:rPr>
        <w:t xml:space="preserve"> of </w:t>
      </w:r>
      <w:r w:rsidR="0097613B" w:rsidRPr="00A038BF">
        <w:rPr>
          <w:rFonts w:asciiTheme="majorBidi" w:hAnsiTheme="majorBidi" w:cstheme="majorBidi"/>
        </w:rPr>
        <w:t xml:space="preserve">the </w:t>
      </w:r>
      <w:r w:rsidR="006452C6" w:rsidRPr="00A038BF">
        <w:rPr>
          <w:rFonts w:asciiTheme="majorBidi" w:hAnsiTheme="majorBidi" w:cstheme="majorBidi"/>
        </w:rPr>
        <w:t>panel</w:t>
      </w:r>
      <w:r w:rsidR="00254DE9" w:rsidRPr="00A038BF">
        <w:rPr>
          <w:rFonts w:asciiTheme="majorBidi" w:hAnsiTheme="majorBidi" w:cstheme="majorBidi"/>
        </w:rPr>
        <w:t>s</w:t>
      </w:r>
      <w:r w:rsidR="006452C6" w:rsidRPr="00A038BF">
        <w:rPr>
          <w:rFonts w:asciiTheme="majorBidi" w:hAnsiTheme="majorBidi" w:cstheme="majorBidi"/>
        </w:rPr>
        <w:t xml:space="preserve"> using machinery (A5). </w:t>
      </w:r>
      <w:r w:rsidR="00254DE9" w:rsidRPr="00A038BF">
        <w:rPr>
          <w:rFonts w:asciiTheme="majorBidi" w:hAnsiTheme="majorBidi" w:cstheme="majorBidi"/>
        </w:rPr>
        <w:t>Each material used in the</w:t>
      </w:r>
      <w:r w:rsidR="006452C6" w:rsidRPr="00A038BF">
        <w:rPr>
          <w:rFonts w:asciiTheme="majorBidi" w:hAnsiTheme="majorBidi" w:cstheme="majorBidi"/>
        </w:rPr>
        <w:t xml:space="preserve"> case stud</w:t>
      </w:r>
      <w:r w:rsidR="0097613B" w:rsidRPr="00A038BF">
        <w:rPr>
          <w:rFonts w:asciiTheme="majorBidi" w:hAnsiTheme="majorBidi" w:cstheme="majorBidi"/>
        </w:rPr>
        <w:t>y</w:t>
      </w:r>
      <w:r w:rsidR="006452C6" w:rsidRPr="00A038BF">
        <w:rPr>
          <w:rFonts w:asciiTheme="majorBidi" w:hAnsiTheme="majorBidi" w:cstheme="majorBidi"/>
        </w:rPr>
        <w:t xml:space="preserve"> has </w:t>
      </w:r>
      <w:r w:rsidR="0097613B" w:rsidRPr="00A038BF">
        <w:rPr>
          <w:rFonts w:asciiTheme="majorBidi" w:hAnsiTheme="majorBidi" w:cstheme="majorBidi"/>
        </w:rPr>
        <w:t>its</w:t>
      </w:r>
      <w:r w:rsidR="006452C6" w:rsidRPr="00A038BF">
        <w:rPr>
          <w:rFonts w:asciiTheme="majorBidi" w:hAnsiTheme="majorBidi" w:cstheme="majorBidi"/>
        </w:rPr>
        <w:t xml:space="preserve"> </w:t>
      </w:r>
      <w:r w:rsidR="00254DE9" w:rsidRPr="00A038BF">
        <w:rPr>
          <w:rFonts w:asciiTheme="majorBidi" w:hAnsiTheme="majorBidi" w:cstheme="majorBidi"/>
        </w:rPr>
        <w:t xml:space="preserve">own </w:t>
      </w:r>
      <w:r w:rsidR="006452C6" w:rsidRPr="00A038BF">
        <w:rPr>
          <w:rFonts w:asciiTheme="majorBidi" w:hAnsiTheme="majorBidi" w:cstheme="majorBidi"/>
        </w:rPr>
        <w:t>manufacturing process</w:t>
      </w:r>
      <w:r w:rsidR="0097613B" w:rsidRPr="00A038BF">
        <w:rPr>
          <w:rFonts w:asciiTheme="majorBidi" w:hAnsiTheme="majorBidi" w:cstheme="majorBidi"/>
        </w:rPr>
        <w:t>. T</w:t>
      </w:r>
      <w:r w:rsidR="006452C6" w:rsidRPr="00A038BF">
        <w:rPr>
          <w:rFonts w:asciiTheme="majorBidi" w:hAnsiTheme="majorBidi" w:cstheme="majorBidi"/>
        </w:rPr>
        <w:t>hus their energy requirement</w:t>
      </w:r>
      <w:r w:rsidR="00254DE9" w:rsidRPr="00A038BF">
        <w:rPr>
          <w:rFonts w:asciiTheme="majorBidi" w:hAnsiTheme="majorBidi" w:cstheme="majorBidi"/>
        </w:rPr>
        <w:t>s</w:t>
      </w:r>
      <w:r w:rsidR="006452C6" w:rsidRPr="00A038BF">
        <w:rPr>
          <w:rFonts w:asciiTheme="majorBidi" w:hAnsiTheme="majorBidi" w:cstheme="majorBidi"/>
        </w:rPr>
        <w:t xml:space="preserve"> differ. </w:t>
      </w:r>
      <w:r w:rsidR="00D24859" w:rsidRPr="00A038BF">
        <w:rPr>
          <w:rFonts w:asciiTheme="majorBidi" w:hAnsiTheme="majorBidi" w:cstheme="majorBidi"/>
        </w:rPr>
        <w:t xml:space="preserve">Joints between walls </w:t>
      </w:r>
      <w:r w:rsidR="00FD1128" w:rsidRPr="00A038BF">
        <w:rPr>
          <w:rFonts w:asciiTheme="majorBidi" w:hAnsiTheme="majorBidi" w:cstheme="majorBidi"/>
        </w:rPr>
        <w:t xml:space="preserve">were </w:t>
      </w:r>
      <w:r w:rsidR="00D24859" w:rsidRPr="00A038BF">
        <w:rPr>
          <w:rFonts w:asciiTheme="majorBidi" w:hAnsiTheme="majorBidi" w:cstheme="majorBidi"/>
        </w:rPr>
        <w:t xml:space="preserve">assumed </w:t>
      </w:r>
      <w:r w:rsidR="00FD1128" w:rsidRPr="00A038BF">
        <w:rPr>
          <w:rFonts w:asciiTheme="majorBidi" w:hAnsiTheme="majorBidi" w:cstheme="majorBidi"/>
        </w:rPr>
        <w:t xml:space="preserve">to be via </w:t>
      </w:r>
      <w:r w:rsidR="00D24859" w:rsidRPr="00A038BF">
        <w:rPr>
          <w:rFonts w:asciiTheme="majorBidi" w:hAnsiTheme="majorBidi" w:cstheme="majorBidi"/>
        </w:rPr>
        <w:t>steel joint brackets (Kržan &amp; Azinović, 2021). The weight of external wall insulation</w:t>
      </w:r>
      <w:r w:rsidR="00FD1128" w:rsidRPr="00A038BF">
        <w:rPr>
          <w:rFonts w:asciiTheme="majorBidi" w:hAnsiTheme="majorBidi" w:cstheme="majorBidi"/>
        </w:rPr>
        <w:t xml:space="preserve"> (assumed to be </w:t>
      </w:r>
      <w:r w:rsidR="00D24859" w:rsidRPr="00A038BF">
        <w:rPr>
          <w:rFonts w:asciiTheme="majorBidi" w:hAnsiTheme="majorBidi" w:cstheme="majorBidi"/>
        </w:rPr>
        <w:t>rock wool</w:t>
      </w:r>
      <w:r w:rsidR="00FD1128" w:rsidRPr="00A038BF">
        <w:rPr>
          <w:rFonts w:asciiTheme="majorBidi" w:hAnsiTheme="majorBidi" w:cstheme="majorBidi"/>
        </w:rPr>
        <w:t>)</w:t>
      </w:r>
      <w:r w:rsidR="00D24859" w:rsidRPr="00A038BF">
        <w:rPr>
          <w:rFonts w:asciiTheme="majorBidi" w:hAnsiTheme="majorBidi" w:cstheme="majorBidi"/>
        </w:rPr>
        <w:t xml:space="preserve"> is 9 </w:t>
      </w:r>
      <w:r w:rsidR="00D24859" w:rsidRPr="00680936">
        <w:rPr>
          <w:rFonts w:asciiTheme="majorBidi" w:hAnsiTheme="majorBidi" w:cstheme="majorBidi"/>
          <w:color w:val="00B050"/>
        </w:rPr>
        <w:t>kg/m</w:t>
      </w:r>
      <w:r w:rsidR="00D24859" w:rsidRPr="00680936">
        <w:rPr>
          <w:rFonts w:asciiTheme="majorBidi" w:hAnsiTheme="majorBidi" w:cstheme="majorBidi"/>
          <w:color w:val="00B050"/>
          <w:vertAlign w:val="superscript"/>
        </w:rPr>
        <w:t>2</w:t>
      </w:r>
      <w:r w:rsidR="00D24859" w:rsidRPr="00A038BF">
        <w:rPr>
          <w:rFonts w:asciiTheme="majorBidi" w:hAnsiTheme="majorBidi" w:cstheme="majorBidi"/>
        </w:rPr>
        <w:t xml:space="preserve">. </w:t>
      </w:r>
      <w:r w:rsidR="00FD1128" w:rsidRPr="00A038BF">
        <w:rPr>
          <w:rFonts w:asciiTheme="majorBidi" w:hAnsiTheme="majorBidi" w:cstheme="majorBidi"/>
        </w:rPr>
        <w:t>The density of the v</w:t>
      </w:r>
      <w:r w:rsidR="00D24859" w:rsidRPr="00A038BF">
        <w:rPr>
          <w:rFonts w:asciiTheme="majorBidi" w:hAnsiTheme="majorBidi" w:cstheme="majorBidi"/>
        </w:rPr>
        <w:t xml:space="preserve">apor barrier </w:t>
      </w:r>
      <w:r w:rsidR="00FD1128" w:rsidRPr="00A038BF">
        <w:rPr>
          <w:rFonts w:asciiTheme="majorBidi" w:hAnsiTheme="majorBidi" w:cstheme="majorBidi"/>
        </w:rPr>
        <w:t xml:space="preserve">used </w:t>
      </w:r>
      <w:r w:rsidR="00D24859" w:rsidRPr="00A038BF">
        <w:rPr>
          <w:rFonts w:asciiTheme="majorBidi" w:hAnsiTheme="majorBidi" w:cstheme="majorBidi"/>
        </w:rPr>
        <w:t xml:space="preserve">is 0.24 </w:t>
      </w:r>
      <w:r w:rsidR="00D24859" w:rsidRPr="00680936">
        <w:rPr>
          <w:rFonts w:asciiTheme="majorBidi" w:hAnsiTheme="majorBidi" w:cstheme="majorBidi"/>
          <w:color w:val="00B050"/>
        </w:rPr>
        <w:t>kg/m</w:t>
      </w:r>
      <w:r w:rsidR="00D24859" w:rsidRPr="00680936">
        <w:rPr>
          <w:rFonts w:asciiTheme="majorBidi" w:hAnsiTheme="majorBidi" w:cstheme="majorBidi"/>
          <w:color w:val="00B050"/>
          <w:vertAlign w:val="superscript"/>
        </w:rPr>
        <w:t>2</w:t>
      </w:r>
      <w:r w:rsidR="00D24859" w:rsidRPr="00A038BF">
        <w:rPr>
          <w:rFonts w:asciiTheme="majorBidi" w:hAnsiTheme="majorBidi" w:cstheme="majorBidi"/>
        </w:rPr>
        <w:t>,</w:t>
      </w:r>
      <w:r w:rsidR="00711B3B" w:rsidRPr="00A038BF">
        <w:rPr>
          <w:rFonts w:asciiTheme="majorBidi" w:hAnsiTheme="majorBidi" w:cstheme="majorBidi"/>
        </w:rPr>
        <w:t xml:space="preserve"> </w:t>
      </w:r>
      <w:r w:rsidR="00FD1128" w:rsidRPr="00A038BF">
        <w:rPr>
          <w:rFonts w:asciiTheme="majorBidi" w:hAnsiTheme="majorBidi" w:cstheme="majorBidi"/>
        </w:rPr>
        <w:t xml:space="preserve">while that of the </w:t>
      </w:r>
      <w:r w:rsidR="00D24859" w:rsidRPr="00A038BF">
        <w:rPr>
          <w:rFonts w:asciiTheme="majorBidi" w:hAnsiTheme="majorBidi" w:cstheme="majorBidi"/>
        </w:rPr>
        <w:t xml:space="preserve">Gypsum Plasterboard wallboard </w:t>
      </w:r>
      <w:r w:rsidR="00FD1128" w:rsidRPr="00A038BF">
        <w:rPr>
          <w:rFonts w:asciiTheme="majorBidi" w:hAnsiTheme="majorBidi" w:cstheme="majorBidi"/>
        </w:rPr>
        <w:t xml:space="preserve">used </w:t>
      </w:r>
      <w:r w:rsidR="00D24859" w:rsidRPr="00A038BF">
        <w:rPr>
          <w:rFonts w:asciiTheme="majorBidi" w:hAnsiTheme="majorBidi" w:cstheme="majorBidi"/>
        </w:rPr>
        <w:t xml:space="preserve">is 6.4 </w:t>
      </w:r>
      <w:r w:rsidR="00D24859" w:rsidRPr="00680936">
        <w:rPr>
          <w:rFonts w:asciiTheme="majorBidi" w:hAnsiTheme="majorBidi" w:cstheme="majorBidi"/>
          <w:color w:val="00B050"/>
        </w:rPr>
        <w:t>Kg/m</w:t>
      </w:r>
      <w:r w:rsidR="00D24859" w:rsidRPr="00680936">
        <w:rPr>
          <w:rFonts w:asciiTheme="majorBidi" w:hAnsiTheme="majorBidi" w:cstheme="majorBidi"/>
          <w:color w:val="00B050"/>
          <w:vertAlign w:val="superscript"/>
        </w:rPr>
        <w:t>2</w:t>
      </w:r>
      <w:r w:rsidR="00FD1128" w:rsidRPr="00A038BF">
        <w:rPr>
          <w:rFonts w:asciiTheme="majorBidi" w:hAnsiTheme="majorBidi" w:cstheme="majorBidi"/>
          <w:vertAlign w:val="superscript"/>
        </w:rPr>
        <w:t xml:space="preserve">. </w:t>
      </w:r>
      <w:r w:rsidR="00D24859" w:rsidRPr="00A038BF">
        <w:rPr>
          <w:rFonts w:asciiTheme="majorBidi" w:hAnsiTheme="majorBidi" w:cstheme="majorBidi"/>
        </w:rPr>
        <w:t xml:space="preserve"> </w:t>
      </w:r>
      <w:r w:rsidR="00FD1128" w:rsidRPr="00A038BF">
        <w:rPr>
          <w:rFonts w:asciiTheme="majorBidi" w:hAnsiTheme="majorBidi" w:cstheme="majorBidi"/>
        </w:rPr>
        <w:t xml:space="preserve">The density of the </w:t>
      </w:r>
      <w:r w:rsidR="00D24859" w:rsidRPr="00A038BF">
        <w:rPr>
          <w:rFonts w:asciiTheme="majorBidi" w:hAnsiTheme="majorBidi" w:cstheme="majorBidi"/>
        </w:rPr>
        <w:t xml:space="preserve">50mm thick </w:t>
      </w:r>
      <w:r w:rsidR="00FD1128" w:rsidRPr="00A038BF">
        <w:rPr>
          <w:rFonts w:asciiTheme="majorBidi" w:hAnsiTheme="majorBidi" w:cstheme="majorBidi"/>
        </w:rPr>
        <w:t>f</w:t>
      </w:r>
      <w:r w:rsidR="00D24859" w:rsidRPr="00A038BF">
        <w:rPr>
          <w:rFonts w:asciiTheme="majorBidi" w:hAnsiTheme="majorBidi" w:cstheme="majorBidi"/>
        </w:rPr>
        <w:t xml:space="preserve">iber cement </w:t>
      </w:r>
      <w:r w:rsidR="00FD1128" w:rsidRPr="00A038BF">
        <w:rPr>
          <w:rFonts w:asciiTheme="majorBidi" w:hAnsiTheme="majorBidi" w:cstheme="majorBidi"/>
        </w:rPr>
        <w:t xml:space="preserve">cladding panels was 18 </w:t>
      </w:r>
      <w:r w:rsidR="00FD1128" w:rsidRPr="00680936">
        <w:rPr>
          <w:rFonts w:asciiTheme="majorBidi" w:hAnsiTheme="majorBidi" w:cstheme="majorBidi"/>
          <w:color w:val="00B050"/>
        </w:rPr>
        <w:t>kg/m</w:t>
      </w:r>
      <w:r w:rsidR="00FD1128" w:rsidRPr="00680936">
        <w:rPr>
          <w:rFonts w:asciiTheme="majorBidi" w:hAnsiTheme="majorBidi" w:cstheme="majorBidi"/>
          <w:color w:val="00B050"/>
          <w:vertAlign w:val="superscript"/>
        </w:rPr>
        <w:t>2</w:t>
      </w:r>
      <w:r w:rsidR="00D24859" w:rsidRPr="00A038BF">
        <w:rPr>
          <w:rFonts w:asciiTheme="majorBidi" w:hAnsiTheme="majorBidi" w:cstheme="majorBidi"/>
        </w:rPr>
        <w:t xml:space="preserve">. The distance </w:t>
      </w:r>
      <w:r w:rsidR="00FD1128" w:rsidRPr="00A038BF">
        <w:rPr>
          <w:rFonts w:asciiTheme="majorBidi" w:hAnsiTheme="majorBidi" w:cstheme="majorBidi"/>
        </w:rPr>
        <w:t xml:space="preserve">from the factory to the site was </w:t>
      </w:r>
      <w:r w:rsidR="00D24859" w:rsidRPr="00A038BF">
        <w:rPr>
          <w:rFonts w:asciiTheme="majorBidi" w:hAnsiTheme="majorBidi" w:cstheme="majorBidi"/>
        </w:rPr>
        <w:t xml:space="preserve">considered </w:t>
      </w:r>
      <w:r w:rsidR="00FD1128" w:rsidRPr="00A038BF">
        <w:rPr>
          <w:rFonts w:asciiTheme="majorBidi" w:hAnsiTheme="majorBidi" w:cstheme="majorBidi"/>
        </w:rPr>
        <w:t>to be</w:t>
      </w:r>
      <w:r w:rsidR="00D24859" w:rsidRPr="00A038BF">
        <w:rPr>
          <w:rFonts w:asciiTheme="majorBidi" w:hAnsiTheme="majorBidi" w:cstheme="majorBidi"/>
        </w:rPr>
        <w:t xml:space="preserve"> 120 km</w:t>
      </w:r>
      <w:r w:rsidR="00FD1128" w:rsidRPr="00A038BF">
        <w:rPr>
          <w:rFonts w:asciiTheme="majorBidi" w:hAnsiTheme="majorBidi" w:cstheme="majorBidi"/>
        </w:rPr>
        <w:t>. A</w:t>
      </w:r>
      <w:r w:rsidR="00D24859" w:rsidRPr="00A038BF">
        <w:rPr>
          <w:rFonts w:asciiTheme="majorBidi" w:hAnsiTheme="majorBidi" w:cstheme="majorBidi"/>
        </w:rPr>
        <w:t xml:space="preserve"> 30 t </w:t>
      </w:r>
      <w:r w:rsidR="00FD1128" w:rsidRPr="00A038BF">
        <w:rPr>
          <w:rFonts w:asciiTheme="majorBidi" w:hAnsiTheme="majorBidi" w:cstheme="majorBidi"/>
        </w:rPr>
        <w:t xml:space="preserve">truck was assumed to be used </w:t>
      </w:r>
      <w:r w:rsidR="00D24859" w:rsidRPr="00A038BF">
        <w:rPr>
          <w:rFonts w:asciiTheme="majorBidi" w:hAnsiTheme="majorBidi" w:cstheme="majorBidi"/>
        </w:rPr>
        <w:t xml:space="preserve">for </w:t>
      </w:r>
      <w:r w:rsidR="00FD1128" w:rsidRPr="00A038BF">
        <w:rPr>
          <w:rFonts w:asciiTheme="majorBidi" w:hAnsiTheme="majorBidi" w:cstheme="majorBidi"/>
        </w:rPr>
        <w:t>this purpose,</w:t>
      </w:r>
      <w:r w:rsidR="00D24859" w:rsidRPr="00A038BF">
        <w:rPr>
          <w:rFonts w:asciiTheme="majorBidi" w:hAnsiTheme="majorBidi" w:cstheme="majorBidi"/>
        </w:rPr>
        <w:t xml:space="preserve"> based on a real scenario. </w:t>
      </w:r>
    </w:p>
    <w:p w14:paraId="58048197" w14:textId="0F8B3EF4" w:rsidR="00C64198" w:rsidRPr="00A038BF" w:rsidRDefault="0073037B" w:rsidP="00C64198">
      <w:pPr>
        <w:spacing w:after="0" w:line="276" w:lineRule="auto"/>
        <w:ind w:firstLine="720"/>
        <w:rPr>
          <w:rFonts w:asciiTheme="majorBidi" w:hAnsiTheme="majorBidi" w:cstheme="majorBidi"/>
          <w:sz w:val="18"/>
          <w:szCs w:val="18"/>
        </w:rPr>
      </w:pPr>
      <w:r w:rsidRPr="00A038BF">
        <w:rPr>
          <w:rFonts w:asciiTheme="majorBidi" w:hAnsiTheme="majorBidi" w:cstheme="majorBidi"/>
          <w:sz w:val="18"/>
          <w:szCs w:val="18"/>
        </w:rPr>
        <w:t>Table 2</w:t>
      </w:r>
      <w:r w:rsidR="00AC5D9A" w:rsidRPr="00A038BF">
        <w:rPr>
          <w:rFonts w:asciiTheme="majorBidi" w:hAnsiTheme="majorBidi" w:cstheme="majorBidi"/>
          <w:sz w:val="18"/>
          <w:szCs w:val="18"/>
        </w:rPr>
        <w:t>,</w:t>
      </w:r>
      <w:r w:rsidR="00C64198" w:rsidRPr="00A038BF">
        <w:rPr>
          <w:rFonts w:asciiTheme="majorBidi" w:hAnsiTheme="majorBidi" w:cstheme="majorBidi"/>
          <w:sz w:val="18"/>
          <w:szCs w:val="18"/>
        </w:rPr>
        <w:t xml:space="preserve"> characterization of different mass timber building</w:t>
      </w:r>
      <w:r w:rsidR="002B5D41" w:rsidRPr="00A038BF">
        <w:rPr>
          <w:rFonts w:asciiTheme="majorBidi" w:hAnsiTheme="majorBidi" w:cstheme="majorBidi"/>
          <w:sz w:val="18"/>
          <w:szCs w:val="18"/>
        </w:rPr>
        <w:t xml:space="preserve"> materials </w:t>
      </w:r>
    </w:p>
    <w:tbl>
      <w:tblPr>
        <w:tblStyle w:val="TableGrid"/>
        <w:tblW w:w="0" w:type="auto"/>
        <w:jc w:val="center"/>
        <w:tblLook w:val="04A0" w:firstRow="1" w:lastRow="0" w:firstColumn="1" w:lastColumn="0" w:noHBand="0" w:noVBand="1"/>
      </w:tblPr>
      <w:tblGrid>
        <w:gridCol w:w="1828"/>
        <w:gridCol w:w="2398"/>
        <w:gridCol w:w="1250"/>
        <w:gridCol w:w="1247"/>
        <w:gridCol w:w="1390"/>
      </w:tblGrid>
      <w:tr w:rsidR="00A038BF" w:rsidRPr="00A038BF" w14:paraId="6B6002C0" w14:textId="77777777" w:rsidTr="0051023E">
        <w:trPr>
          <w:trHeight w:val="20"/>
          <w:jc w:val="center"/>
        </w:trPr>
        <w:tc>
          <w:tcPr>
            <w:tcW w:w="0" w:type="auto"/>
            <w:vAlign w:val="center"/>
          </w:tcPr>
          <w:p w14:paraId="3FEC53B9" w14:textId="77777777" w:rsidR="00AD110F" w:rsidRPr="00A038BF" w:rsidRDefault="007C7AEE" w:rsidP="00672B0C">
            <w:pPr>
              <w:rPr>
                <w:rFonts w:ascii="Garamond" w:hAnsi="Garamond"/>
                <w:b/>
                <w:bCs/>
                <w:sz w:val="16"/>
                <w:szCs w:val="16"/>
                <w:shd w:val="clear" w:color="auto" w:fill="FFFFFF"/>
              </w:rPr>
            </w:pPr>
            <w:r w:rsidRPr="00A038BF">
              <w:rPr>
                <w:rFonts w:ascii="Garamond" w:hAnsi="Garamond"/>
                <w:b/>
                <w:bCs/>
                <w:sz w:val="16"/>
                <w:szCs w:val="16"/>
                <w:shd w:val="clear" w:color="auto" w:fill="FFFFFF"/>
              </w:rPr>
              <w:t>Building</w:t>
            </w:r>
            <w:r w:rsidR="00AD110F" w:rsidRPr="00A038BF">
              <w:rPr>
                <w:rFonts w:ascii="Garamond" w:hAnsi="Garamond"/>
                <w:b/>
                <w:bCs/>
                <w:sz w:val="16"/>
                <w:szCs w:val="16"/>
                <w:shd w:val="clear" w:color="auto" w:fill="FFFFFF"/>
              </w:rPr>
              <w:t xml:space="preserve"> Types</w:t>
            </w:r>
          </w:p>
        </w:tc>
        <w:tc>
          <w:tcPr>
            <w:tcW w:w="0" w:type="auto"/>
            <w:vAlign w:val="center"/>
          </w:tcPr>
          <w:p w14:paraId="6854C030" w14:textId="77777777" w:rsidR="00AD110F" w:rsidRPr="00A038BF" w:rsidRDefault="00AD110F" w:rsidP="00672B0C">
            <w:pPr>
              <w:rPr>
                <w:rFonts w:ascii="Garamond" w:hAnsi="Garamond"/>
                <w:b/>
                <w:bCs/>
                <w:sz w:val="16"/>
                <w:szCs w:val="16"/>
                <w:shd w:val="clear" w:color="auto" w:fill="FFFFFF"/>
              </w:rPr>
            </w:pPr>
            <w:r w:rsidRPr="00A038BF">
              <w:rPr>
                <w:rFonts w:ascii="Garamond" w:hAnsi="Garamond"/>
                <w:b/>
                <w:bCs/>
                <w:sz w:val="16"/>
                <w:szCs w:val="16"/>
                <w:shd w:val="clear" w:color="auto" w:fill="FFFFFF"/>
              </w:rPr>
              <w:t>Materials</w:t>
            </w:r>
          </w:p>
        </w:tc>
        <w:tc>
          <w:tcPr>
            <w:tcW w:w="0" w:type="auto"/>
            <w:vAlign w:val="center"/>
          </w:tcPr>
          <w:p w14:paraId="165DE56E" w14:textId="77777777" w:rsidR="00AD110F" w:rsidRPr="00A038BF" w:rsidRDefault="00AD110F" w:rsidP="00672B0C">
            <w:pPr>
              <w:rPr>
                <w:rFonts w:ascii="Garamond" w:hAnsi="Garamond"/>
                <w:b/>
                <w:bCs/>
                <w:sz w:val="16"/>
                <w:szCs w:val="16"/>
                <w:shd w:val="clear" w:color="auto" w:fill="FFFFFF"/>
              </w:rPr>
            </w:pPr>
            <w:r w:rsidRPr="00A038BF">
              <w:rPr>
                <w:rFonts w:ascii="Garamond" w:hAnsi="Garamond"/>
                <w:b/>
                <w:bCs/>
                <w:sz w:val="16"/>
                <w:szCs w:val="16"/>
                <w:shd w:val="clear" w:color="auto" w:fill="FFFFFF"/>
              </w:rPr>
              <w:t>Thickness MM</w:t>
            </w:r>
          </w:p>
        </w:tc>
        <w:tc>
          <w:tcPr>
            <w:tcW w:w="0" w:type="auto"/>
            <w:vAlign w:val="center"/>
          </w:tcPr>
          <w:p w14:paraId="2B376755" w14:textId="00DE4ED0" w:rsidR="00AD110F" w:rsidRPr="00A038BF" w:rsidRDefault="00C41DDF" w:rsidP="00322105">
            <w:pPr>
              <w:rPr>
                <w:rFonts w:ascii="Garamond" w:hAnsi="Garamond"/>
                <w:b/>
                <w:bCs/>
                <w:sz w:val="16"/>
                <w:szCs w:val="16"/>
                <w:shd w:val="clear" w:color="auto" w:fill="FFFFFF"/>
              </w:rPr>
            </w:pPr>
            <w:r w:rsidRPr="00A038BF">
              <w:rPr>
                <w:rFonts w:ascii="Garamond" w:hAnsi="Garamond"/>
                <w:b/>
                <w:bCs/>
                <w:sz w:val="16"/>
                <w:szCs w:val="16"/>
                <w:shd w:val="clear" w:color="auto" w:fill="FFFFFF"/>
              </w:rPr>
              <w:t>Density</w:t>
            </w:r>
            <w:r w:rsidR="004C1232">
              <w:rPr>
                <w:rFonts w:ascii="Garamond" w:hAnsi="Garamond"/>
                <w:b/>
                <w:bCs/>
                <w:sz w:val="16"/>
                <w:szCs w:val="16"/>
                <w:shd w:val="clear" w:color="auto" w:fill="FFFFFF"/>
              </w:rPr>
              <w:t xml:space="preserve"> </w:t>
            </w:r>
            <w:r w:rsidR="004C1232" w:rsidRPr="005F7E79">
              <w:rPr>
                <w:rFonts w:ascii="Garamond" w:hAnsi="Garamond"/>
                <w:b/>
                <w:bCs/>
                <w:color w:val="00B050"/>
                <w:sz w:val="16"/>
                <w:szCs w:val="16"/>
                <w:shd w:val="clear" w:color="auto" w:fill="FFFFFF"/>
              </w:rPr>
              <w:t>Kg/m</w:t>
            </w:r>
            <w:r w:rsidR="00322105" w:rsidRPr="005F7E79">
              <w:rPr>
                <w:rFonts w:ascii="Garamond" w:hAnsi="Garamond"/>
                <w:b/>
                <w:bCs/>
                <w:color w:val="00B050"/>
                <w:sz w:val="16"/>
                <w:szCs w:val="16"/>
                <w:shd w:val="clear" w:color="auto" w:fill="FFFFFF"/>
                <w:vertAlign w:val="superscript"/>
              </w:rPr>
              <w:t>3</w:t>
            </w:r>
          </w:p>
        </w:tc>
        <w:tc>
          <w:tcPr>
            <w:tcW w:w="0" w:type="auto"/>
            <w:vAlign w:val="center"/>
          </w:tcPr>
          <w:p w14:paraId="0783EE77" w14:textId="719C70F9" w:rsidR="00AD110F" w:rsidRPr="00A038BF" w:rsidRDefault="00B82F9B" w:rsidP="00672B0C">
            <w:pPr>
              <w:rPr>
                <w:rFonts w:ascii="Garamond" w:hAnsi="Garamond"/>
                <w:b/>
                <w:bCs/>
                <w:sz w:val="16"/>
                <w:szCs w:val="16"/>
                <w:shd w:val="clear" w:color="auto" w:fill="FFFFFF"/>
              </w:rPr>
            </w:pPr>
            <w:r w:rsidRPr="00A038BF">
              <w:rPr>
                <w:rFonts w:ascii="Garamond" w:hAnsi="Garamond"/>
                <w:b/>
                <w:bCs/>
                <w:sz w:val="16"/>
                <w:szCs w:val="16"/>
                <w:shd w:val="clear" w:color="auto" w:fill="FFFFFF"/>
              </w:rPr>
              <w:t>Total Weight/Kg</w:t>
            </w:r>
          </w:p>
        </w:tc>
      </w:tr>
      <w:tr w:rsidR="00A038BF" w:rsidRPr="00A038BF" w14:paraId="75386719" w14:textId="77777777" w:rsidTr="0051023E">
        <w:trPr>
          <w:trHeight w:val="20"/>
          <w:jc w:val="center"/>
        </w:trPr>
        <w:tc>
          <w:tcPr>
            <w:tcW w:w="0" w:type="auto"/>
            <w:vMerge w:val="restart"/>
            <w:vAlign w:val="center"/>
          </w:tcPr>
          <w:p w14:paraId="5D567071" w14:textId="77777777" w:rsidR="00C53F53" w:rsidRPr="00A038BF" w:rsidRDefault="00876CFC" w:rsidP="00672B0C">
            <w:pPr>
              <w:rPr>
                <w:rFonts w:ascii="Garamond" w:hAnsi="Garamond"/>
                <w:sz w:val="16"/>
                <w:szCs w:val="16"/>
                <w:shd w:val="clear" w:color="auto" w:fill="FFFFFF"/>
              </w:rPr>
            </w:pPr>
            <w:r w:rsidRPr="00A038BF">
              <w:rPr>
                <w:rFonts w:ascii="Garamond" w:hAnsi="Garamond"/>
                <w:sz w:val="16"/>
                <w:szCs w:val="16"/>
                <w:shd w:val="clear" w:color="auto" w:fill="FFFFFF"/>
              </w:rPr>
              <w:t>Cros</w:t>
            </w:r>
            <w:r w:rsidR="00C53F53" w:rsidRPr="00A038BF">
              <w:rPr>
                <w:rFonts w:ascii="Garamond" w:hAnsi="Garamond"/>
                <w:sz w:val="16"/>
                <w:szCs w:val="16"/>
                <w:shd w:val="clear" w:color="auto" w:fill="FFFFFF"/>
              </w:rPr>
              <w:t>s-laminated timber</w:t>
            </w:r>
          </w:p>
          <w:p w14:paraId="58248015" w14:textId="77777777" w:rsidR="00C53F53" w:rsidRPr="00A038BF" w:rsidRDefault="00C53F53" w:rsidP="00672B0C">
            <w:pPr>
              <w:rPr>
                <w:rFonts w:ascii="Garamond" w:hAnsi="Garamond"/>
                <w:sz w:val="16"/>
                <w:szCs w:val="16"/>
                <w:shd w:val="clear" w:color="auto" w:fill="FFFFFF"/>
              </w:rPr>
            </w:pPr>
            <w:r w:rsidRPr="00A038BF">
              <w:rPr>
                <w:rFonts w:ascii="Garamond" w:hAnsi="Garamond"/>
                <w:sz w:val="16"/>
                <w:szCs w:val="16"/>
                <w:shd w:val="clear" w:color="auto" w:fill="FFFFFF"/>
              </w:rPr>
              <w:t>(CLT)</w:t>
            </w:r>
          </w:p>
        </w:tc>
        <w:tc>
          <w:tcPr>
            <w:tcW w:w="0" w:type="auto"/>
            <w:vAlign w:val="center"/>
          </w:tcPr>
          <w:p w14:paraId="0B528817" w14:textId="77777777" w:rsidR="00C53F53" w:rsidRPr="00A038BF" w:rsidRDefault="0058060E" w:rsidP="00EC4429">
            <w:pPr>
              <w:rPr>
                <w:rFonts w:ascii="Garamond" w:hAnsi="Garamond"/>
                <w:sz w:val="16"/>
                <w:szCs w:val="16"/>
                <w:shd w:val="clear" w:color="auto" w:fill="FFFFFF"/>
              </w:rPr>
            </w:pPr>
            <w:r w:rsidRPr="00A038BF">
              <w:rPr>
                <w:rFonts w:ascii="Garamond" w:hAnsi="Garamond"/>
                <w:sz w:val="16"/>
                <w:szCs w:val="16"/>
                <w:shd w:val="clear" w:color="auto" w:fill="FFFFFF"/>
              </w:rPr>
              <w:t>Fiber</w:t>
            </w:r>
            <w:r w:rsidR="00EA0275" w:rsidRPr="00A038BF">
              <w:rPr>
                <w:rFonts w:ascii="Garamond" w:hAnsi="Garamond"/>
                <w:sz w:val="16"/>
                <w:szCs w:val="16"/>
                <w:shd w:val="clear" w:color="auto" w:fill="FFFFFF"/>
              </w:rPr>
              <w:t xml:space="preserve"> cement</w:t>
            </w:r>
            <w:r w:rsidR="005C58E7" w:rsidRPr="00A038BF">
              <w:rPr>
                <w:rFonts w:ascii="Garamond" w:hAnsi="Garamond"/>
                <w:sz w:val="16"/>
                <w:szCs w:val="16"/>
                <w:shd w:val="clear" w:color="auto" w:fill="FFFFFF"/>
              </w:rPr>
              <w:t xml:space="preserve"> </w:t>
            </w:r>
            <w:r w:rsidR="00C53F53" w:rsidRPr="00A038BF">
              <w:rPr>
                <w:rFonts w:ascii="Garamond" w:hAnsi="Garamond"/>
                <w:sz w:val="16"/>
                <w:szCs w:val="16"/>
                <w:shd w:val="clear" w:color="auto" w:fill="FFFFFF"/>
              </w:rPr>
              <w:t xml:space="preserve">Cladding </w:t>
            </w:r>
          </w:p>
        </w:tc>
        <w:tc>
          <w:tcPr>
            <w:tcW w:w="0" w:type="auto"/>
            <w:vAlign w:val="center"/>
          </w:tcPr>
          <w:p w14:paraId="783B8164" w14:textId="77777777" w:rsidR="00C53F53" w:rsidRPr="00A038BF" w:rsidRDefault="00DF6E35"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1DDFCB85" w14:textId="77777777" w:rsidR="00C53F53" w:rsidRPr="00A038BF" w:rsidRDefault="00322105"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300</w:t>
            </w:r>
          </w:p>
        </w:tc>
        <w:tc>
          <w:tcPr>
            <w:tcW w:w="0" w:type="auto"/>
            <w:vAlign w:val="center"/>
          </w:tcPr>
          <w:p w14:paraId="2D8F8043" w14:textId="77777777" w:rsidR="00C53F53" w:rsidRPr="00A038BF" w:rsidRDefault="00B92CCD"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1584</w:t>
            </w:r>
          </w:p>
        </w:tc>
      </w:tr>
      <w:tr w:rsidR="00A038BF" w:rsidRPr="00A038BF" w14:paraId="6A6A4E21" w14:textId="77777777" w:rsidTr="0051023E">
        <w:trPr>
          <w:trHeight w:val="20"/>
          <w:jc w:val="center"/>
        </w:trPr>
        <w:tc>
          <w:tcPr>
            <w:tcW w:w="0" w:type="auto"/>
            <w:vMerge/>
            <w:vAlign w:val="center"/>
          </w:tcPr>
          <w:p w14:paraId="0FD82558" w14:textId="77777777" w:rsidR="00C53F53" w:rsidRPr="00A038BF" w:rsidRDefault="00C53F53" w:rsidP="00672B0C">
            <w:pPr>
              <w:rPr>
                <w:rFonts w:ascii="Garamond" w:hAnsi="Garamond"/>
                <w:sz w:val="16"/>
                <w:szCs w:val="16"/>
                <w:shd w:val="clear" w:color="auto" w:fill="FFFFFF"/>
              </w:rPr>
            </w:pPr>
          </w:p>
        </w:tc>
        <w:tc>
          <w:tcPr>
            <w:tcW w:w="0" w:type="auto"/>
            <w:vAlign w:val="center"/>
          </w:tcPr>
          <w:p w14:paraId="721D4CCD" w14:textId="77777777" w:rsidR="00C53F53" w:rsidRPr="00A038BF" w:rsidRDefault="00C53F53"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External wall insulation </w:t>
            </w:r>
          </w:p>
        </w:tc>
        <w:tc>
          <w:tcPr>
            <w:tcW w:w="0" w:type="auto"/>
            <w:vAlign w:val="center"/>
          </w:tcPr>
          <w:p w14:paraId="69183846" w14:textId="77777777" w:rsidR="00C53F53" w:rsidRPr="00A038BF" w:rsidRDefault="00C34378"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6133D388" w14:textId="77777777" w:rsidR="00C53F53" w:rsidRPr="00A038BF" w:rsidRDefault="003C0AA2"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90</w:t>
            </w:r>
          </w:p>
        </w:tc>
        <w:tc>
          <w:tcPr>
            <w:tcW w:w="0" w:type="auto"/>
            <w:vAlign w:val="center"/>
          </w:tcPr>
          <w:p w14:paraId="1C46FD26" w14:textId="77777777" w:rsidR="00C53F53" w:rsidRPr="00A038BF" w:rsidRDefault="00B92CCD"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792</w:t>
            </w:r>
          </w:p>
        </w:tc>
      </w:tr>
      <w:tr w:rsidR="00A038BF" w:rsidRPr="00A038BF" w14:paraId="050DACF9" w14:textId="77777777" w:rsidTr="0051023E">
        <w:trPr>
          <w:trHeight w:val="20"/>
          <w:jc w:val="center"/>
        </w:trPr>
        <w:tc>
          <w:tcPr>
            <w:tcW w:w="0" w:type="auto"/>
            <w:vMerge/>
            <w:vAlign w:val="center"/>
          </w:tcPr>
          <w:p w14:paraId="0B443217" w14:textId="77777777" w:rsidR="00C53F53" w:rsidRPr="00A038BF" w:rsidRDefault="00C53F53" w:rsidP="00672B0C">
            <w:pPr>
              <w:rPr>
                <w:rFonts w:ascii="Garamond" w:hAnsi="Garamond"/>
                <w:sz w:val="16"/>
                <w:szCs w:val="16"/>
                <w:shd w:val="clear" w:color="auto" w:fill="FFFFFF"/>
              </w:rPr>
            </w:pPr>
          </w:p>
        </w:tc>
        <w:tc>
          <w:tcPr>
            <w:tcW w:w="0" w:type="auto"/>
            <w:vAlign w:val="center"/>
          </w:tcPr>
          <w:p w14:paraId="5242579F" w14:textId="77777777" w:rsidR="00C53F53" w:rsidRPr="00A038BF" w:rsidRDefault="00C53F53" w:rsidP="00EC4429">
            <w:pPr>
              <w:rPr>
                <w:rFonts w:ascii="Garamond" w:hAnsi="Garamond"/>
                <w:sz w:val="16"/>
                <w:szCs w:val="16"/>
                <w:shd w:val="clear" w:color="auto" w:fill="FFFFFF"/>
              </w:rPr>
            </w:pPr>
            <w:r w:rsidRPr="00A038BF">
              <w:rPr>
                <w:rFonts w:ascii="Garamond" w:hAnsi="Garamond"/>
                <w:sz w:val="16"/>
                <w:szCs w:val="16"/>
                <w:shd w:val="clear" w:color="auto" w:fill="FFFFFF"/>
              </w:rPr>
              <w:t>Vapor barrier</w:t>
            </w:r>
          </w:p>
        </w:tc>
        <w:tc>
          <w:tcPr>
            <w:tcW w:w="0" w:type="auto"/>
            <w:vAlign w:val="center"/>
          </w:tcPr>
          <w:p w14:paraId="5628629A" w14:textId="77777777" w:rsidR="00C53F53" w:rsidRPr="00A038BF" w:rsidRDefault="00604EEF"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6</w:t>
            </w:r>
          </w:p>
        </w:tc>
        <w:tc>
          <w:tcPr>
            <w:tcW w:w="0" w:type="auto"/>
            <w:vAlign w:val="center"/>
          </w:tcPr>
          <w:p w14:paraId="665B80BD" w14:textId="77777777" w:rsidR="00C53F53" w:rsidRPr="00A038BF" w:rsidRDefault="00C41DDF"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150</w:t>
            </w:r>
          </w:p>
        </w:tc>
        <w:tc>
          <w:tcPr>
            <w:tcW w:w="0" w:type="auto"/>
            <w:vAlign w:val="center"/>
          </w:tcPr>
          <w:p w14:paraId="5F66C7D9" w14:textId="77777777" w:rsidR="00C53F53" w:rsidRPr="00A038BF" w:rsidRDefault="00B92CCD"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54</w:t>
            </w:r>
          </w:p>
        </w:tc>
      </w:tr>
      <w:tr w:rsidR="00A038BF" w:rsidRPr="00A038BF" w14:paraId="253DB10B" w14:textId="77777777" w:rsidTr="0051023E">
        <w:trPr>
          <w:trHeight w:val="20"/>
          <w:jc w:val="center"/>
        </w:trPr>
        <w:tc>
          <w:tcPr>
            <w:tcW w:w="0" w:type="auto"/>
            <w:vMerge/>
            <w:vAlign w:val="center"/>
          </w:tcPr>
          <w:p w14:paraId="78B17776" w14:textId="77777777" w:rsidR="00C53F53" w:rsidRPr="00A038BF" w:rsidRDefault="00C53F53" w:rsidP="00672B0C">
            <w:pPr>
              <w:rPr>
                <w:rFonts w:ascii="Garamond" w:hAnsi="Garamond"/>
                <w:sz w:val="16"/>
                <w:szCs w:val="16"/>
                <w:shd w:val="clear" w:color="auto" w:fill="FFFFFF"/>
              </w:rPr>
            </w:pPr>
          </w:p>
        </w:tc>
        <w:tc>
          <w:tcPr>
            <w:tcW w:w="0" w:type="auto"/>
            <w:vAlign w:val="center"/>
          </w:tcPr>
          <w:p w14:paraId="4B40F41C" w14:textId="77777777" w:rsidR="00C53F53" w:rsidRPr="00A038BF" w:rsidRDefault="00C41DDF"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Gypsum </w:t>
            </w:r>
            <w:r w:rsidR="00C53F53" w:rsidRPr="00A038BF">
              <w:rPr>
                <w:rFonts w:ascii="Garamond" w:hAnsi="Garamond"/>
                <w:sz w:val="16"/>
                <w:szCs w:val="16"/>
                <w:shd w:val="clear" w:color="auto" w:fill="FFFFFF"/>
              </w:rPr>
              <w:t>Plasterboard wall</w:t>
            </w:r>
            <w:r w:rsidR="00C15443" w:rsidRPr="00A038BF">
              <w:rPr>
                <w:rFonts w:ascii="Garamond" w:hAnsi="Garamond"/>
                <w:sz w:val="16"/>
                <w:szCs w:val="16"/>
                <w:shd w:val="clear" w:color="auto" w:fill="FFFFFF"/>
              </w:rPr>
              <w:t xml:space="preserve">- interior </w:t>
            </w:r>
          </w:p>
        </w:tc>
        <w:tc>
          <w:tcPr>
            <w:tcW w:w="0" w:type="auto"/>
            <w:vAlign w:val="center"/>
          </w:tcPr>
          <w:p w14:paraId="15E1B4F6" w14:textId="77777777" w:rsidR="00C53F53" w:rsidRPr="00A038BF" w:rsidRDefault="00407E20"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12.5</w:t>
            </w:r>
          </w:p>
        </w:tc>
        <w:tc>
          <w:tcPr>
            <w:tcW w:w="0" w:type="auto"/>
            <w:vAlign w:val="center"/>
          </w:tcPr>
          <w:p w14:paraId="0EE7EC3B" w14:textId="77777777" w:rsidR="00C53F53" w:rsidRPr="00A038BF" w:rsidRDefault="00C41DDF"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530</w:t>
            </w:r>
          </w:p>
        </w:tc>
        <w:tc>
          <w:tcPr>
            <w:tcW w:w="0" w:type="auto"/>
            <w:vAlign w:val="center"/>
          </w:tcPr>
          <w:p w14:paraId="725E4303" w14:textId="77777777" w:rsidR="00C53F53" w:rsidRPr="00A038BF" w:rsidRDefault="00B92CCD"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562</w:t>
            </w:r>
          </w:p>
        </w:tc>
      </w:tr>
      <w:tr w:rsidR="00A038BF" w:rsidRPr="00A038BF" w14:paraId="58F1B538" w14:textId="77777777" w:rsidTr="0051023E">
        <w:trPr>
          <w:trHeight w:val="20"/>
          <w:jc w:val="center"/>
        </w:trPr>
        <w:tc>
          <w:tcPr>
            <w:tcW w:w="0" w:type="auto"/>
            <w:vMerge/>
            <w:vAlign w:val="center"/>
          </w:tcPr>
          <w:p w14:paraId="4ABDBCA6" w14:textId="77777777" w:rsidR="00C53F53" w:rsidRPr="00A038BF" w:rsidRDefault="00C53F53" w:rsidP="00672B0C">
            <w:pPr>
              <w:rPr>
                <w:rFonts w:ascii="Garamond" w:hAnsi="Garamond"/>
                <w:sz w:val="16"/>
                <w:szCs w:val="16"/>
                <w:shd w:val="clear" w:color="auto" w:fill="FFFFFF"/>
              </w:rPr>
            </w:pPr>
          </w:p>
        </w:tc>
        <w:tc>
          <w:tcPr>
            <w:tcW w:w="0" w:type="auto"/>
            <w:vAlign w:val="center"/>
          </w:tcPr>
          <w:p w14:paraId="6BFB1B59" w14:textId="77777777" w:rsidR="00C53F53" w:rsidRPr="00A038BF" w:rsidRDefault="003848AA" w:rsidP="00EC4429">
            <w:pPr>
              <w:rPr>
                <w:rFonts w:ascii="Garamond" w:hAnsi="Garamond"/>
                <w:sz w:val="16"/>
                <w:szCs w:val="16"/>
                <w:shd w:val="clear" w:color="auto" w:fill="FFFFFF"/>
              </w:rPr>
            </w:pPr>
            <w:r w:rsidRPr="00A038BF">
              <w:rPr>
                <w:rFonts w:ascii="Garamond" w:hAnsi="Garamond"/>
                <w:sz w:val="16"/>
                <w:szCs w:val="16"/>
                <w:shd w:val="clear" w:color="auto" w:fill="FFFFFF"/>
              </w:rPr>
              <w:t>Lumber</w:t>
            </w:r>
            <w:r w:rsidR="00C53F53" w:rsidRPr="00A038BF">
              <w:rPr>
                <w:rFonts w:ascii="Garamond" w:hAnsi="Garamond"/>
                <w:sz w:val="16"/>
                <w:szCs w:val="16"/>
                <w:shd w:val="clear" w:color="auto" w:fill="FFFFFF"/>
              </w:rPr>
              <w:t xml:space="preserve"> </w:t>
            </w:r>
          </w:p>
        </w:tc>
        <w:tc>
          <w:tcPr>
            <w:tcW w:w="0" w:type="auto"/>
            <w:vAlign w:val="center"/>
          </w:tcPr>
          <w:p w14:paraId="1B550684" w14:textId="77777777" w:rsidR="00C53F53" w:rsidRPr="00A038BF" w:rsidRDefault="00FD6F40"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180</w:t>
            </w:r>
          </w:p>
        </w:tc>
        <w:tc>
          <w:tcPr>
            <w:tcW w:w="0" w:type="auto"/>
            <w:vAlign w:val="center"/>
          </w:tcPr>
          <w:p w14:paraId="27E7C00F" w14:textId="77777777" w:rsidR="00C53F53" w:rsidRPr="00A038BF" w:rsidRDefault="00522B2D"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500</w:t>
            </w:r>
          </w:p>
        </w:tc>
        <w:tc>
          <w:tcPr>
            <w:tcW w:w="0" w:type="auto"/>
            <w:vAlign w:val="center"/>
          </w:tcPr>
          <w:p w14:paraId="00BFCB95" w14:textId="77777777" w:rsidR="00C53F53" w:rsidRPr="00A038BF" w:rsidRDefault="00753B45"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3161</w:t>
            </w:r>
            <w:r w:rsidR="00D93D05" w:rsidRPr="00A038BF">
              <w:rPr>
                <w:rFonts w:ascii="Garamond" w:hAnsi="Garamond"/>
                <w:sz w:val="16"/>
                <w:szCs w:val="16"/>
                <w:shd w:val="clear" w:color="auto" w:fill="FFFFFF"/>
              </w:rPr>
              <w:t>0</w:t>
            </w:r>
          </w:p>
        </w:tc>
      </w:tr>
      <w:tr w:rsidR="00A038BF" w:rsidRPr="00A038BF" w14:paraId="58F03AC4" w14:textId="77777777" w:rsidTr="0051023E">
        <w:trPr>
          <w:trHeight w:val="20"/>
          <w:jc w:val="center"/>
        </w:trPr>
        <w:tc>
          <w:tcPr>
            <w:tcW w:w="0" w:type="auto"/>
            <w:vMerge/>
            <w:vAlign w:val="center"/>
          </w:tcPr>
          <w:p w14:paraId="4BC217FC" w14:textId="77777777" w:rsidR="003848AA" w:rsidRPr="00A038BF" w:rsidRDefault="003848AA" w:rsidP="00672B0C">
            <w:pPr>
              <w:rPr>
                <w:rFonts w:ascii="Garamond" w:hAnsi="Garamond"/>
                <w:sz w:val="16"/>
                <w:szCs w:val="16"/>
                <w:shd w:val="clear" w:color="auto" w:fill="FFFFFF"/>
              </w:rPr>
            </w:pPr>
          </w:p>
        </w:tc>
        <w:tc>
          <w:tcPr>
            <w:tcW w:w="0" w:type="auto"/>
            <w:vAlign w:val="center"/>
          </w:tcPr>
          <w:p w14:paraId="701F0067" w14:textId="77777777" w:rsidR="003848AA" w:rsidRPr="00A038BF" w:rsidRDefault="003848AA" w:rsidP="00EC4429">
            <w:pPr>
              <w:rPr>
                <w:rFonts w:ascii="Garamond" w:hAnsi="Garamond"/>
                <w:sz w:val="16"/>
                <w:szCs w:val="16"/>
                <w:shd w:val="clear" w:color="auto" w:fill="FFFFFF"/>
              </w:rPr>
            </w:pPr>
            <w:r w:rsidRPr="00A038BF">
              <w:rPr>
                <w:rFonts w:ascii="Garamond" w:hAnsi="Garamond"/>
                <w:sz w:val="16"/>
                <w:szCs w:val="16"/>
                <w:shd w:val="clear" w:color="auto" w:fill="FFFFFF"/>
              </w:rPr>
              <w:t>Adhesive</w:t>
            </w:r>
          </w:p>
        </w:tc>
        <w:tc>
          <w:tcPr>
            <w:tcW w:w="0" w:type="auto"/>
            <w:vAlign w:val="center"/>
          </w:tcPr>
          <w:p w14:paraId="705F51CC" w14:textId="77777777" w:rsidR="003848AA" w:rsidRPr="00A038BF" w:rsidRDefault="00736467"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13D1EBFC" w14:textId="77777777" w:rsidR="003848AA" w:rsidRPr="00A038BF" w:rsidRDefault="00736467"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641</w:t>
            </w:r>
          </w:p>
        </w:tc>
        <w:tc>
          <w:tcPr>
            <w:tcW w:w="0" w:type="auto"/>
            <w:vAlign w:val="center"/>
          </w:tcPr>
          <w:p w14:paraId="7756D32C" w14:textId="77777777" w:rsidR="003848AA" w:rsidRPr="00A038BF" w:rsidRDefault="00753B45"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70</w:t>
            </w:r>
          </w:p>
        </w:tc>
      </w:tr>
      <w:tr w:rsidR="00A038BF" w:rsidRPr="00A038BF" w14:paraId="44C7EAD2" w14:textId="77777777" w:rsidTr="0051023E">
        <w:trPr>
          <w:trHeight w:val="20"/>
          <w:jc w:val="center"/>
        </w:trPr>
        <w:tc>
          <w:tcPr>
            <w:tcW w:w="0" w:type="auto"/>
            <w:vMerge/>
            <w:vAlign w:val="center"/>
          </w:tcPr>
          <w:p w14:paraId="130B4DBE"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33B23203"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Steel drag strap connections</w:t>
            </w:r>
          </w:p>
        </w:tc>
        <w:tc>
          <w:tcPr>
            <w:tcW w:w="0" w:type="auto"/>
            <w:vAlign w:val="center"/>
          </w:tcPr>
          <w:p w14:paraId="56357B93"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5CD2921D"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2400</w:t>
            </w:r>
          </w:p>
        </w:tc>
        <w:tc>
          <w:tcPr>
            <w:tcW w:w="0" w:type="auto"/>
            <w:vAlign w:val="center"/>
          </w:tcPr>
          <w:p w14:paraId="153C48F7" w14:textId="77777777" w:rsidR="001E289B" w:rsidRPr="00A038BF" w:rsidRDefault="000F2ACC"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120</w:t>
            </w:r>
          </w:p>
        </w:tc>
      </w:tr>
      <w:tr w:rsidR="00A038BF" w:rsidRPr="00A038BF" w14:paraId="00CC3C5E" w14:textId="77777777" w:rsidTr="0051023E">
        <w:trPr>
          <w:trHeight w:val="20"/>
          <w:jc w:val="center"/>
        </w:trPr>
        <w:tc>
          <w:tcPr>
            <w:tcW w:w="0" w:type="auto"/>
            <w:vMerge/>
            <w:vAlign w:val="center"/>
          </w:tcPr>
          <w:p w14:paraId="448851E1"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3CBA0B8A"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Threaded screws</w:t>
            </w:r>
          </w:p>
        </w:tc>
        <w:tc>
          <w:tcPr>
            <w:tcW w:w="0" w:type="auto"/>
            <w:vAlign w:val="center"/>
          </w:tcPr>
          <w:p w14:paraId="48598F10"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2ED2422A"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780</w:t>
            </w:r>
          </w:p>
        </w:tc>
        <w:tc>
          <w:tcPr>
            <w:tcW w:w="0" w:type="auto"/>
            <w:vAlign w:val="center"/>
          </w:tcPr>
          <w:p w14:paraId="53410792" w14:textId="77777777" w:rsidR="001E289B" w:rsidRPr="00A038BF" w:rsidRDefault="000F2ACC"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80</w:t>
            </w:r>
          </w:p>
        </w:tc>
      </w:tr>
      <w:tr w:rsidR="00A038BF" w:rsidRPr="00A038BF" w14:paraId="15658FD9" w14:textId="77777777" w:rsidTr="0051023E">
        <w:trPr>
          <w:trHeight w:val="20"/>
          <w:jc w:val="center"/>
        </w:trPr>
        <w:tc>
          <w:tcPr>
            <w:tcW w:w="0" w:type="auto"/>
            <w:vMerge w:val="restart"/>
            <w:vAlign w:val="center"/>
          </w:tcPr>
          <w:p w14:paraId="36348AD6" w14:textId="77777777" w:rsidR="001E289B" w:rsidRPr="00A038BF" w:rsidRDefault="001E289B" w:rsidP="001E289B">
            <w:pPr>
              <w:rPr>
                <w:rFonts w:ascii="Garamond" w:hAnsi="Garamond"/>
                <w:sz w:val="16"/>
                <w:szCs w:val="16"/>
                <w:shd w:val="clear" w:color="auto" w:fill="FFFFFF"/>
              </w:rPr>
            </w:pPr>
            <w:r w:rsidRPr="00A038BF">
              <w:rPr>
                <w:rFonts w:ascii="Garamond" w:hAnsi="Garamond"/>
                <w:sz w:val="16"/>
                <w:szCs w:val="16"/>
                <w:shd w:val="clear" w:color="auto" w:fill="FFFFFF"/>
              </w:rPr>
              <w:t xml:space="preserve">Nail Laminated Timber  </w:t>
            </w:r>
          </w:p>
          <w:p w14:paraId="18BEFF6C" w14:textId="77777777" w:rsidR="001E289B" w:rsidRPr="00A038BF" w:rsidRDefault="001E289B" w:rsidP="001E289B">
            <w:pPr>
              <w:rPr>
                <w:rFonts w:ascii="Garamond" w:hAnsi="Garamond"/>
                <w:sz w:val="16"/>
                <w:szCs w:val="16"/>
                <w:shd w:val="clear" w:color="auto" w:fill="FFFFFF"/>
              </w:rPr>
            </w:pPr>
            <w:r w:rsidRPr="00A038BF">
              <w:rPr>
                <w:rFonts w:ascii="Garamond" w:hAnsi="Garamond"/>
                <w:sz w:val="16"/>
                <w:szCs w:val="16"/>
                <w:shd w:val="clear" w:color="auto" w:fill="FFFFFF"/>
              </w:rPr>
              <w:t>(NLT)</w:t>
            </w:r>
          </w:p>
        </w:tc>
        <w:tc>
          <w:tcPr>
            <w:tcW w:w="0" w:type="auto"/>
            <w:vAlign w:val="center"/>
          </w:tcPr>
          <w:p w14:paraId="7259A2B4"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Wood wool boards, wall Cladding </w:t>
            </w:r>
          </w:p>
        </w:tc>
        <w:tc>
          <w:tcPr>
            <w:tcW w:w="0" w:type="auto"/>
            <w:vAlign w:val="center"/>
          </w:tcPr>
          <w:p w14:paraId="73C3D6BD"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3B11FA89"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300</w:t>
            </w:r>
          </w:p>
        </w:tc>
        <w:tc>
          <w:tcPr>
            <w:tcW w:w="0" w:type="auto"/>
            <w:vAlign w:val="center"/>
          </w:tcPr>
          <w:p w14:paraId="3BC52692"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1584</w:t>
            </w:r>
          </w:p>
        </w:tc>
      </w:tr>
      <w:tr w:rsidR="00A038BF" w:rsidRPr="00A038BF" w14:paraId="67FBA510" w14:textId="77777777" w:rsidTr="0051023E">
        <w:trPr>
          <w:trHeight w:val="20"/>
          <w:jc w:val="center"/>
        </w:trPr>
        <w:tc>
          <w:tcPr>
            <w:tcW w:w="0" w:type="auto"/>
            <w:vMerge/>
            <w:vAlign w:val="center"/>
          </w:tcPr>
          <w:p w14:paraId="744C4561"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2D0E9A5E"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External wall insulation </w:t>
            </w:r>
          </w:p>
        </w:tc>
        <w:tc>
          <w:tcPr>
            <w:tcW w:w="0" w:type="auto"/>
            <w:vAlign w:val="center"/>
          </w:tcPr>
          <w:p w14:paraId="2444D301"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7F5F9272"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90</w:t>
            </w:r>
          </w:p>
        </w:tc>
        <w:tc>
          <w:tcPr>
            <w:tcW w:w="0" w:type="auto"/>
            <w:vAlign w:val="center"/>
          </w:tcPr>
          <w:p w14:paraId="10820B64"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792</w:t>
            </w:r>
          </w:p>
        </w:tc>
      </w:tr>
      <w:tr w:rsidR="00A038BF" w:rsidRPr="00A038BF" w14:paraId="49EAE648" w14:textId="77777777" w:rsidTr="0051023E">
        <w:trPr>
          <w:trHeight w:val="20"/>
          <w:jc w:val="center"/>
        </w:trPr>
        <w:tc>
          <w:tcPr>
            <w:tcW w:w="0" w:type="auto"/>
            <w:vMerge/>
            <w:vAlign w:val="center"/>
          </w:tcPr>
          <w:p w14:paraId="3BF83752"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3C6F1CD5"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Vapor barrier</w:t>
            </w:r>
          </w:p>
        </w:tc>
        <w:tc>
          <w:tcPr>
            <w:tcW w:w="0" w:type="auto"/>
            <w:vAlign w:val="center"/>
          </w:tcPr>
          <w:p w14:paraId="0DB1DB44"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6</w:t>
            </w:r>
          </w:p>
        </w:tc>
        <w:tc>
          <w:tcPr>
            <w:tcW w:w="0" w:type="auto"/>
            <w:vAlign w:val="center"/>
          </w:tcPr>
          <w:p w14:paraId="7B3588E8"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150</w:t>
            </w:r>
          </w:p>
        </w:tc>
        <w:tc>
          <w:tcPr>
            <w:tcW w:w="0" w:type="auto"/>
            <w:vAlign w:val="center"/>
          </w:tcPr>
          <w:p w14:paraId="4FD217E1"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54</w:t>
            </w:r>
          </w:p>
        </w:tc>
      </w:tr>
      <w:tr w:rsidR="00A038BF" w:rsidRPr="00A038BF" w14:paraId="3A1155BA" w14:textId="77777777" w:rsidTr="0051023E">
        <w:trPr>
          <w:trHeight w:val="20"/>
          <w:jc w:val="center"/>
        </w:trPr>
        <w:tc>
          <w:tcPr>
            <w:tcW w:w="0" w:type="auto"/>
            <w:vMerge/>
            <w:vAlign w:val="center"/>
          </w:tcPr>
          <w:p w14:paraId="5391464D"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0742D244"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Gypsum Plasterboard wall</w:t>
            </w:r>
          </w:p>
        </w:tc>
        <w:tc>
          <w:tcPr>
            <w:tcW w:w="0" w:type="auto"/>
            <w:vAlign w:val="center"/>
          </w:tcPr>
          <w:p w14:paraId="29892976"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12.5</w:t>
            </w:r>
          </w:p>
        </w:tc>
        <w:tc>
          <w:tcPr>
            <w:tcW w:w="0" w:type="auto"/>
            <w:vAlign w:val="center"/>
          </w:tcPr>
          <w:p w14:paraId="0E085489"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530</w:t>
            </w:r>
          </w:p>
        </w:tc>
        <w:tc>
          <w:tcPr>
            <w:tcW w:w="0" w:type="auto"/>
            <w:vAlign w:val="center"/>
          </w:tcPr>
          <w:p w14:paraId="709FB5E0"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562</w:t>
            </w:r>
          </w:p>
        </w:tc>
      </w:tr>
      <w:tr w:rsidR="00A038BF" w:rsidRPr="00A038BF" w14:paraId="3B53E1D6" w14:textId="77777777" w:rsidTr="0051023E">
        <w:trPr>
          <w:trHeight w:val="20"/>
          <w:jc w:val="center"/>
        </w:trPr>
        <w:tc>
          <w:tcPr>
            <w:tcW w:w="0" w:type="auto"/>
            <w:vMerge/>
            <w:vAlign w:val="center"/>
          </w:tcPr>
          <w:p w14:paraId="46128415"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4F61E65B"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Lumber </w:t>
            </w:r>
          </w:p>
        </w:tc>
        <w:tc>
          <w:tcPr>
            <w:tcW w:w="0" w:type="auto"/>
            <w:vAlign w:val="center"/>
          </w:tcPr>
          <w:p w14:paraId="79CF0AE5" w14:textId="77777777" w:rsidR="001E289B" w:rsidRPr="00A038BF" w:rsidRDefault="00C57931"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184</w:t>
            </w:r>
          </w:p>
        </w:tc>
        <w:tc>
          <w:tcPr>
            <w:tcW w:w="0" w:type="auto"/>
            <w:vAlign w:val="center"/>
          </w:tcPr>
          <w:p w14:paraId="16E1EB3B"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560</w:t>
            </w:r>
          </w:p>
        </w:tc>
        <w:tc>
          <w:tcPr>
            <w:tcW w:w="0" w:type="auto"/>
            <w:vAlign w:val="center"/>
          </w:tcPr>
          <w:p w14:paraId="7409E99B" w14:textId="77777777" w:rsidR="001E289B" w:rsidRPr="00A038BF" w:rsidRDefault="00510E71"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289</w:t>
            </w:r>
            <w:r w:rsidR="002209C6" w:rsidRPr="00A038BF">
              <w:rPr>
                <w:rFonts w:ascii="Garamond" w:hAnsi="Garamond"/>
                <w:sz w:val="16"/>
                <w:szCs w:val="16"/>
                <w:shd w:val="clear" w:color="auto" w:fill="FFFFFF"/>
              </w:rPr>
              <w:t>64</w:t>
            </w:r>
          </w:p>
        </w:tc>
      </w:tr>
      <w:tr w:rsidR="00A038BF" w:rsidRPr="00A038BF" w14:paraId="1B6F8EF0" w14:textId="77777777" w:rsidTr="0051023E">
        <w:trPr>
          <w:trHeight w:val="20"/>
          <w:jc w:val="center"/>
        </w:trPr>
        <w:tc>
          <w:tcPr>
            <w:tcW w:w="0" w:type="auto"/>
            <w:vMerge/>
            <w:vAlign w:val="center"/>
          </w:tcPr>
          <w:p w14:paraId="1C0B9268" w14:textId="77777777" w:rsidR="001E289B" w:rsidRPr="00A038BF" w:rsidRDefault="001E289B" w:rsidP="001E289B">
            <w:pPr>
              <w:rPr>
                <w:rFonts w:ascii="Garamond" w:hAnsi="Garamond"/>
                <w:sz w:val="16"/>
                <w:szCs w:val="16"/>
                <w:shd w:val="clear" w:color="auto" w:fill="FFFFFF"/>
              </w:rPr>
            </w:pPr>
          </w:p>
        </w:tc>
        <w:tc>
          <w:tcPr>
            <w:tcW w:w="0" w:type="auto"/>
            <w:vAlign w:val="center"/>
          </w:tcPr>
          <w:p w14:paraId="02FC5416" w14:textId="77777777" w:rsidR="001E289B" w:rsidRPr="00A038BF" w:rsidRDefault="001E289B" w:rsidP="00EC4429">
            <w:pPr>
              <w:rPr>
                <w:rFonts w:ascii="Garamond" w:hAnsi="Garamond"/>
                <w:sz w:val="16"/>
                <w:szCs w:val="16"/>
                <w:shd w:val="clear" w:color="auto" w:fill="FFFFFF"/>
              </w:rPr>
            </w:pPr>
            <w:r w:rsidRPr="00A038BF">
              <w:rPr>
                <w:rFonts w:ascii="Garamond" w:hAnsi="Garamond"/>
                <w:sz w:val="16"/>
                <w:szCs w:val="16"/>
                <w:shd w:val="clear" w:color="auto" w:fill="FFFFFF"/>
              </w:rPr>
              <w:t xml:space="preserve">Nail </w:t>
            </w:r>
          </w:p>
        </w:tc>
        <w:tc>
          <w:tcPr>
            <w:tcW w:w="0" w:type="auto"/>
            <w:vAlign w:val="center"/>
          </w:tcPr>
          <w:p w14:paraId="25327B3A"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100*5</w:t>
            </w:r>
          </w:p>
        </w:tc>
        <w:tc>
          <w:tcPr>
            <w:tcW w:w="0" w:type="auto"/>
            <w:vAlign w:val="center"/>
          </w:tcPr>
          <w:p w14:paraId="1CAE327F" w14:textId="77777777" w:rsidR="001E289B" w:rsidRPr="00A038BF" w:rsidRDefault="001E289B"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7860</w:t>
            </w:r>
          </w:p>
        </w:tc>
        <w:tc>
          <w:tcPr>
            <w:tcW w:w="0" w:type="auto"/>
            <w:vAlign w:val="center"/>
          </w:tcPr>
          <w:p w14:paraId="61D3F51F" w14:textId="77777777" w:rsidR="001E289B" w:rsidRPr="00A038BF" w:rsidRDefault="00C57931" w:rsidP="00EC4429">
            <w:pPr>
              <w:jc w:val="center"/>
              <w:rPr>
                <w:rFonts w:ascii="Garamond" w:hAnsi="Garamond"/>
                <w:sz w:val="16"/>
                <w:szCs w:val="16"/>
                <w:shd w:val="clear" w:color="auto" w:fill="FFFFFF"/>
              </w:rPr>
            </w:pPr>
            <w:r w:rsidRPr="00A038BF">
              <w:rPr>
                <w:rFonts w:ascii="Garamond" w:hAnsi="Garamond"/>
                <w:sz w:val="16"/>
                <w:szCs w:val="16"/>
                <w:shd w:val="clear" w:color="auto" w:fill="FFFFFF"/>
              </w:rPr>
              <w:t>549</w:t>
            </w:r>
          </w:p>
        </w:tc>
      </w:tr>
      <w:tr w:rsidR="00A038BF" w:rsidRPr="00A038BF" w14:paraId="695A495D" w14:textId="77777777" w:rsidTr="0051023E">
        <w:trPr>
          <w:trHeight w:val="20"/>
          <w:jc w:val="center"/>
        </w:trPr>
        <w:tc>
          <w:tcPr>
            <w:tcW w:w="0" w:type="auto"/>
            <w:vMerge/>
            <w:vAlign w:val="center"/>
          </w:tcPr>
          <w:p w14:paraId="21CB5D83"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11CF39A4"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Steel drag strap connections</w:t>
            </w:r>
          </w:p>
        </w:tc>
        <w:tc>
          <w:tcPr>
            <w:tcW w:w="0" w:type="auto"/>
            <w:vAlign w:val="center"/>
          </w:tcPr>
          <w:p w14:paraId="55E3144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038CECFD"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2400</w:t>
            </w:r>
          </w:p>
        </w:tc>
        <w:tc>
          <w:tcPr>
            <w:tcW w:w="0" w:type="auto"/>
            <w:vAlign w:val="center"/>
          </w:tcPr>
          <w:p w14:paraId="506C648D"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120</w:t>
            </w:r>
          </w:p>
        </w:tc>
      </w:tr>
      <w:tr w:rsidR="00A038BF" w:rsidRPr="00A038BF" w14:paraId="1F08B539" w14:textId="77777777" w:rsidTr="0051023E">
        <w:trPr>
          <w:trHeight w:val="20"/>
          <w:jc w:val="center"/>
        </w:trPr>
        <w:tc>
          <w:tcPr>
            <w:tcW w:w="0" w:type="auto"/>
            <w:vMerge/>
            <w:vAlign w:val="center"/>
          </w:tcPr>
          <w:p w14:paraId="47BD7450"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4A2400BF"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Threaded screws</w:t>
            </w:r>
          </w:p>
        </w:tc>
        <w:tc>
          <w:tcPr>
            <w:tcW w:w="0" w:type="auto"/>
            <w:vAlign w:val="center"/>
          </w:tcPr>
          <w:p w14:paraId="623D7780"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6B1E5AB7"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780</w:t>
            </w:r>
          </w:p>
        </w:tc>
        <w:tc>
          <w:tcPr>
            <w:tcW w:w="0" w:type="auto"/>
            <w:vAlign w:val="center"/>
          </w:tcPr>
          <w:p w14:paraId="068B09EE"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80</w:t>
            </w:r>
          </w:p>
        </w:tc>
      </w:tr>
      <w:tr w:rsidR="00A038BF" w:rsidRPr="00A038BF" w14:paraId="29EEC409" w14:textId="77777777" w:rsidTr="0051023E">
        <w:trPr>
          <w:trHeight w:val="20"/>
          <w:jc w:val="center"/>
        </w:trPr>
        <w:tc>
          <w:tcPr>
            <w:tcW w:w="0" w:type="auto"/>
            <w:vMerge w:val="restart"/>
            <w:vAlign w:val="center"/>
          </w:tcPr>
          <w:p w14:paraId="2C1D034E"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 xml:space="preserve">Dowel Laminated Timber </w:t>
            </w:r>
          </w:p>
          <w:p w14:paraId="701498A1"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(DLT)</w:t>
            </w:r>
          </w:p>
          <w:p w14:paraId="61305BC3"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173D2AAC"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 xml:space="preserve">Wood wool boards, wall Cladding </w:t>
            </w:r>
          </w:p>
        </w:tc>
        <w:tc>
          <w:tcPr>
            <w:tcW w:w="0" w:type="auto"/>
            <w:vAlign w:val="center"/>
          </w:tcPr>
          <w:p w14:paraId="209AD25E"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6E85175E"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300</w:t>
            </w:r>
          </w:p>
        </w:tc>
        <w:tc>
          <w:tcPr>
            <w:tcW w:w="0" w:type="auto"/>
            <w:vAlign w:val="center"/>
          </w:tcPr>
          <w:p w14:paraId="02DE6C56"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1584</w:t>
            </w:r>
          </w:p>
        </w:tc>
      </w:tr>
      <w:tr w:rsidR="00A038BF" w:rsidRPr="00A038BF" w14:paraId="0E38AE1E" w14:textId="77777777" w:rsidTr="0051023E">
        <w:trPr>
          <w:trHeight w:val="20"/>
          <w:jc w:val="center"/>
        </w:trPr>
        <w:tc>
          <w:tcPr>
            <w:tcW w:w="0" w:type="auto"/>
            <w:vMerge/>
            <w:vAlign w:val="center"/>
          </w:tcPr>
          <w:p w14:paraId="47E347DE"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7548DBC6"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 xml:space="preserve">External wall insulation </w:t>
            </w:r>
          </w:p>
        </w:tc>
        <w:tc>
          <w:tcPr>
            <w:tcW w:w="0" w:type="auto"/>
            <w:vAlign w:val="center"/>
          </w:tcPr>
          <w:p w14:paraId="072429C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50</w:t>
            </w:r>
          </w:p>
        </w:tc>
        <w:tc>
          <w:tcPr>
            <w:tcW w:w="0" w:type="auto"/>
            <w:vAlign w:val="center"/>
          </w:tcPr>
          <w:p w14:paraId="1162771B"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90</w:t>
            </w:r>
          </w:p>
        </w:tc>
        <w:tc>
          <w:tcPr>
            <w:tcW w:w="0" w:type="auto"/>
            <w:vAlign w:val="center"/>
          </w:tcPr>
          <w:p w14:paraId="097FFDCF"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792</w:t>
            </w:r>
          </w:p>
        </w:tc>
      </w:tr>
      <w:tr w:rsidR="00A038BF" w:rsidRPr="00A038BF" w14:paraId="3D0CFBC8" w14:textId="77777777" w:rsidTr="0051023E">
        <w:trPr>
          <w:trHeight w:val="20"/>
          <w:jc w:val="center"/>
        </w:trPr>
        <w:tc>
          <w:tcPr>
            <w:tcW w:w="0" w:type="auto"/>
            <w:vMerge/>
            <w:vAlign w:val="center"/>
          </w:tcPr>
          <w:p w14:paraId="2F7C660E"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5263E08E"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Vapor barrier</w:t>
            </w:r>
          </w:p>
        </w:tc>
        <w:tc>
          <w:tcPr>
            <w:tcW w:w="0" w:type="auto"/>
            <w:vAlign w:val="center"/>
          </w:tcPr>
          <w:p w14:paraId="5CAA8DA3"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6</w:t>
            </w:r>
          </w:p>
        </w:tc>
        <w:tc>
          <w:tcPr>
            <w:tcW w:w="0" w:type="auto"/>
            <w:vAlign w:val="center"/>
          </w:tcPr>
          <w:p w14:paraId="16088F3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150</w:t>
            </w:r>
          </w:p>
        </w:tc>
        <w:tc>
          <w:tcPr>
            <w:tcW w:w="0" w:type="auto"/>
            <w:vAlign w:val="center"/>
          </w:tcPr>
          <w:p w14:paraId="616A10A2"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54</w:t>
            </w:r>
          </w:p>
        </w:tc>
      </w:tr>
      <w:tr w:rsidR="00A038BF" w:rsidRPr="00A038BF" w14:paraId="659A7063" w14:textId="77777777" w:rsidTr="0051023E">
        <w:trPr>
          <w:trHeight w:val="20"/>
          <w:jc w:val="center"/>
        </w:trPr>
        <w:tc>
          <w:tcPr>
            <w:tcW w:w="0" w:type="auto"/>
            <w:vMerge/>
            <w:vAlign w:val="center"/>
          </w:tcPr>
          <w:p w14:paraId="3623F4D5"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1C746CAB"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Gypsum Plasterboard wall</w:t>
            </w:r>
          </w:p>
        </w:tc>
        <w:tc>
          <w:tcPr>
            <w:tcW w:w="0" w:type="auto"/>
            <w:vAlign w:val="center"/>
          </w:tcPr>
          <w:p w14:paraId="3979951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12.5</w:t>
            </w:r>
          </w:p>
        </w:tc>
        <w:tc>
          <w:tcPr>
            <w:tcW w:w="0" w:type="auto"/>
            <w:vAlign w:val="center"/>
          </w:tcPr>
          <w:p w14:paraId="085888D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530</w:t>
            </w:r>
          </w:p>
        </w:tc>
        <w:tc>
          <w:tcPr>
            <w:tcW w:w="0" w:type="auto"/>
            <w:vAlign w:val="center"/>
          </w:tcPr>
          <w:p w14:paraId="47857305"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562</w:t>
            </w:r>
          </w:p>
        </w:tc>
      </w:tr>
      <w:tr w:rsidR="00A038BF" w:rsidRPr="00A038BF" w14:paraId="064F532F" w14:textId="77777777" w:rsidTr="0051023E">
        <w:trPr>
          <w:trHeight w:val="20"/>
          <w:jc w:val="center"/>
        </w:trPr>
        <w:tc>
          <w:tcPr>
            <w:tcW w:w="0" w:type="auto"/>
            <w:vMerge/>
            <w:vAlign w:val="center"/>
          </w:tcPr>
          <w:p w14:paraId="70D6838B"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708155D1"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 xml:space="preserve">Lumber </w:t>
            </w:r>
          </w:p>
        </w:tc>
        <w:tc>
          <w:tcPr>
            <w:tcW w:w="0" w:type="auto"/>
            <w:vAlign w:val="center"/>
          </w:tcPr>
          <w:p w14:paraId="2CC6298A" w14:textId="77777777" w:rsidR="000F2ACC" w:rsidRPr="00A038BF" w:rsidRDefault="00034253"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190</w:t>
            </w:r>
          </w:p>
        </w:tc>
        <w:tc>
          <w:tcPr>
            <w:tcW w:w="0" w:type="auto"/>
            <w:vAlign w:val="center"/>
          </w:tcPr>
          <w:p w14:paraId="49345B4A"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449</w:t>
            </w:r>
          </w:p>
        </w:tc>
        <w:tc>
          <w:tcPr>
            <w:tcW w:w="0" w:type="auto"/>
            <w:vAlign w:val="center"/>
          </w:tcPr>
          <w:p w14:paraId="789EFCA6" w14:textId="77777777" w:rsidR="000F2ACC" w:rsidRPr="00A038BF" w:rsidRDefault="00115875" w:rsidP="00115875">
            <w:pPr>
              <w:jc w:val="center"/>
              <w:rPr>
                <w:rFonts w:ascii="Garamond" w:hAnsi="Garamond"/>
                <w:sz w:val="16"/>
                <w:szCs w:val="16"/>
                <w:shd w:val="clear" w:color="auto" w:fill="FFFFFF"/>
              </w:rPr>
            </w:pPr>
            <w:r w:rsidRPr="00A038BF">
              <w:rPr>
                <w:rFonts w:ascii="Garamond" w:hAnsi="Garamond"/>
                <w:sz w:val="16"/>
                <w:szCs w:val="16"/>
                <w:shd w:val="clear" w:color="auto" w:fill="FFFFFF"/>
              </w:rPr>
              <w:t>2</w:t>
            </w:r>
            <w:r w:rsidR="00D26666" w:rsidRPr="00A038BF">
              <w:rPr>
                <w:rFonts w:ascii="Garamond" w:hAnsi="Garamond"/>
                <w:sz w:val="16"/>
                <w:szCs w:val="16"/>
                <w:shd w:val="clear" w:color="auto" w:fill="FFFFFF"/>
              </w:rPr>
              <w:t>8</w:t>
            </w:r>
            <w:r w:rsidRPr="00A038BF">
              <w:rPr>
                <w:rFonts w:ascii="Garamond" w:hAnsi="Garamond"/>
                <w:sz w:val="16"/>
                <w:szCs w:val="16"/>
                <w:shd w:val="clear" w:color="auto" w:fill="FFFFFF"/>
              </w:rPr>
              <w:t>800</w:t>
            </w:r>
          </w:p>
        </w:tc>
      </w:tr>
      <w:tr w:rsidR="00A038BF" w:rsidRPr="00A038BF" w14:paraId="1048CFA5" w14:textId="77777777" w:rsidTr="0051023E">
        <w:trPr>
          <w:trHeight w:val="20"/>
          <w:jc w:val="center"/>
        </w:trPr>
        <w:tc>
          <w:tcPr>
            <w:tcW w:w="0" w:type="auto"/>
            <w:vMerge/>
            <w:vAlign w:val="center"/>
          </w:tcPr>
          <w:p w14:paraId="2C36F4B0"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5355C9C5"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 xml:space="preserve">Dowel </w:t>
            </w:r>
          </w:p>
        </w:tc>
        <w:tc>
          <w:tcPr>
            <w:tcW w:w="0" w:type="auto"/>
            <w:vAlign w:val="center"/>
          </w:tcPr>
          <w:p w14:paraId="1D2A6F7F"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20*20*200</w:t>
            </w:r>
          </w:p>
        </w:tc>
        <w:tc>
          <w:tcPr>
            <w:tcW w:w="0" w:type="auto"/>
            <w:vAlign w:val="center"/>
          </w:tcPr>
          <w:p w14:paraId="0004285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500</w:t>
            </w:r>
          </w:p>
        </w:tc>
        <w:tc>
          <w:tcPr>
            <w:tcW w:w="0" w:type="auto"/>
            <w:vAlign w:val="center"/>
          </w:tcPr>
          <w:p w14:paraId="3A8B6259" w14:textId="77777777" w:rsidR="000F2ACC" w:rsidRPr="00A038BF" w:rsidRDefault="008230F1"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123</w:t>
            </w:r>
          </w:p>
        </w:tc>
      </w:tr>
      <w:tr w:rsidR="00A038BF" w:rsidRPr="00A038BF" w14:paraId="6E5223E1" w14:textId="77777777" w:rsidTr="0051023E">
        <w:trPr>
          <w:trHeight w:val="20"/>
          <w:jc w:val="center"/>
        </w:trPr>
        <w:tc>
          <w:tcPr>
            <w:tcW w:w="0" w:type="auto"/>
            <w:vMerge/>
            <w:vAlign w:val="center"/>
          </w:tcPr>
          <w:p w14:paraId="5452B014"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0339BF85"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Steel drag strap connections</w:t>
            </w:r>
          </w:p>
        </w:tc>
        <w:tc>
          <w:tcPr>
            <w:tcW w:w="0" w:type="auto"/>
            <w:vAlign w:val="center"/>
          </w:tcPr>
          <w:p w14:paraId="5974F308"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769C701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2400</w:t>
            </w:r>
          </w:p>
        </w:tc>
        <w:tc>
          <w:tcPr>
            <w:tcW w:w="0" w:type="auto"/>
            <w:vAlign w:val="center"/>
          </w:tcPr>
          <w:p w14:paraId="6A843E2D"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120</w:t>
            </w:r>
          </w:p>
        </w:tc>
      </w:tr>
      <w:tr w:rsidR="00A038BF" w:rsidRPr="00A038BF" w14:paraId="30B9B569" w14:textId="77777777" w:rsidTr="0051023E">
        <w:trPr>
          <w:trHeight w:val="20"/>
          <w:jc w:val="center"/>
        </w:trPr>
        <w:tc>
          <w:tcPr>
            <w:tcW w:w="0" w:type="auto"/>
            <w:vMerge/>
            <w:vAlign w:val="center"/>
          </w:tcPr>
          <w:p w14:paraId="60375F47" w14:textId="77777777" w:rsidR="000F2ACC" w:rsidRPr="00A038BF" w:rsidRDefault="000F2ACC" w:rsidP="000F2ACC">
            <w:pPr>
              <w:rPr>
                <w:rFonts w:ascii="Garamond" w:hAnsi="Garamond"/>
                <w:sz w:val="16"/>
                <w:szCs w:val="16"/>
                <w:shd w:val="clear" w:color="auto" w:fill="FFFFFF"/>
              </w:rPr>
            </w:pPr>
          </w:p>
        </w:tc>
        <w:tc>
          <w:tcPr>
            <w:tcW w:w="0" w:type="auto"/>
            <w:vAlign w:val="center"/>
          </w:tcPr>
          <w:p w14:paraId="474F2067" w14:textId="77777777" w:rsidR="000F2ACC" w:rsidRPr="00A038BF" w:rsidRDefault="000F2ACC" w:rsidP="000F2ACC">
            <w:pPr>
              <w:rPr>
                <w:rFonts w:ascii="Garamond" w:hAnsi="Garamond"/>
                <w:sz w:val="16"/>
                <w:szCs w:val="16"/>
                <w:shd w:val="clear" w:color="auto" w:fill="FFFFFF"/>
              </w:rPr>
            </w:pPr>
            <w:r w:rsidRPr="00A038BF">
              <w:rPr>
                <w:rFonts w:ascii="Garamond" w:hAnsi="Garamond"/>
                <w:sz w:val="16"/>
                <w:szCs w:val="16"/>
                <w:shd w:val="clear" w:color="auto" w:fill="FFFFFF"/>
              </w:rPr>
              <w:t>Threaded screws</w:t>
            </w:r>
          </w:p>
        </w:tc>
        <w:tc>
          <w:tcPr>
            <w:tcW w:w="0" w:type="auto"/>
            <w:vAlign w:val="center"/>
          </w:tcPr>
          <w:p w14:paraId="419AE1B1"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w:t>
            </w:r>
          </w:p>
        </w:tc>
        <w:tc>
          <w:tcPr>
            <w:tcW w:w="0" w:type="auto"/>
            <w:vAlign w:val="center"/>
          </w:tcPr>
          <w:p w14:paraId="6DD107B5"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780</w:t>
            </w:r>
          </w:p>
        </w:tc>
        <w:tc>
          <w:tcPr>
            <w:tcW w:w="0" w:type="auto"/>
            <w:vAlign w:val="center"/>
          </w:tcPr>
          <w:p w14:paraId="0721A4BE" w14:textId="77777777" w:rsidR="000F2ACC" w:rsidRPr="00A038BF" w:rsidRDefault="000F2ACC" w:rsidP="000F2ACC">
            <w:pPr>
              <w:jc w:val="center"/>
              <w:rPr>
                <w:rFonts w:ascii="Garamond" w:hAnsi="Garamond"/>
                <w:sz w:val="16"/>
                <w:szCs w:val="16"/>
                <w:shd w:val="clear" w:color="auto" w:fill="FFFFFF"/>
              </w:rPr>
            </w:pPr>
            <w:r w:rsidRPr="00A038BF">
              <w:rPr>
                <w:rFonts w:ascii="Garamond" w:hAnsi="Garamond"/>
                <w:sz w:val="16"/>
                <w:szCs w:val="16"/>
                <w:shd w:val="clear" w:color="auto" w:fill="FFFFFF"/>
              </w:rPr>
              <w:t>80</w:t>
            </w:r>
          </w:p>
        </w:tc>
      </w:tr>
    </w:tbl>
    <w:p w14:paraId="5F71534F" w14:textId="0B73AB27" w:rsidR="008B0109" w:rsidRPr="00A038BF" w:rsidRDefault="008B0109" w:rsidP="00C30AC5">
      <w:pPr>
        <w:autoSpaceDE w:val="0"/>
        <w:autoSpaceDN w:val="0"/>
        <w:adjustRightInd w:val="0"/>
        <w:spacing w:before="240" w:after="0" w:line="276" w:lineRule="auto"/>
        <w:ind w:firstLine="720"/>
        <w:jc w:val="both"/>
        <w:rPr>
          <w:rFonts w:asciiTheme="majorBidi" w:hAnsiTheme="majorBidi" w:cstheme="majorBidi"/>
        </w:rPr>
      </w:pPr>
      <w:r w:rsidRPr="00A038BF">
        <w:rPr>
          <w:rFonts w:asciiTheme="majorBidi" w:hAnsiTheme="majorBidi" w:cstheme="majorBidi"/>
        </w:rPr>
        <w:t xml:space="preserve">Maintenance (B2) </w:t>
      </w:r>
      <w:r w:rsidR="001B2BF8" w:rsidRPr="00A038BF">
        <w:rPr>
          <w:rFonts w:asciiTheme="majorBidi" w:hAnsiTheme="majorBidi" w:cstheme="majorBidi"/>
        </w:rPr>
        <w:t>was</w:t>
      </w:r>
      <w:r w:rsidR="0097613B" w:rsidRPr="00A038BF">
        <w:rPr>
          <w:rFonts w:asciiTheme="majorBidi" w:hAnsiTheme="majorBidi" w:cstheme="majorBidi"/>
        </w:rPr>
        <w:t xml:space="preserve"> </w:t>
      </w:r>
      <w:r w:rsidRPr="00A038BF">
        <w:rPr>
          <w:rFonts w:asciiTheme="majorBidi" w:hAnsiTheme="majorBidi" w:cstheme="majorBidi"/>
        </w:rPr>
        <w:t xml:space="preserve">considered for </w:t>
      </w:r>
      <w:r w:rsidR="001B2BF8" w:rsidRPr="00A038BF">
        <w:rPr>
          <w:rFonts w:asciiTheme="majorBidi" w:hAnsiTheme="majorBidi" w:cstheme="majorBidi"/>
        </w:rPr>
        <w:t xml:space="preserve">the </w:t>
      </w:r>
      <w:r w:rsidRPr="00A038BF">
        <w:rPr>
          <w:rFonts w:asciiTheme="majorBidi" w:hAnsiTheme="majorBidi" w:cstheme="majorBidi"/>
        </w:rPr>
        <w:t>three case</w:t>
      </w:r>
      <w:r w:rsidR="001B2BF8" w:rsidRPr="00A038BF">
        <w:rPr>
          <w:rFonts w:asciiTheme="majorBidi" w:hAnsiTheme="majorBidi" w:cstheme="majorBidi"/>
        </w:rPr>
        <w:t xml:space="preserve">s in anticipation of </w:t>
      </w:r>
      <w:r w:rsidRPr="00A038BF">
        <w:rPr>
          <w:rFonts w:asciiTheme="majorBidi" w:hAnsiTheme="majorBidi" w:cstheme="majorBidi"/>
        </w:rPr>
        <w:t xml:space="preserve">damage </w:t>
      </w:r>
      <w:r w:rsidR="001B2BF8" w:rsidRPr="00A038BF">
        <w:rPr>
          <w:rFonts w:asciiTheme="majorBidi" w:hAnsiTheme="majorBidi" w:cstheme="majorBidi"/>
        </w:rPr>
        <w:t>occurring to</w:t>
      </w:r>
      <w:r w:rsidRPr="00A038BF">
        <w:rPr>
          <w:rFonts w:asciiTheme="majorBidi" w:hAnsiTheme="majorBidi" w:cstheme="majorBidi"/>
        </w:rPr>
        <w:t xml:space="preserve"> panels and walls. This </w:t>
      </w:r>
      <w:r w:rsidR="001B2BF8" w:rsidRPr="00A038BF">
        <w:rPr>
          <w:rFonts w:asciiTheme="majorBidi" w:hAnsiTheme="majorBidi" w:cstheme="majorBidi"/>
        </w:rPr>
        <w:t xml:space="preserve">was </w:t>
      </w:r>
      <w:r w:rsidRPr="00A038BF">
        <w:rPr>
          <w:rFonts w:asciiTheme="majorBidi" w:hAnsiTheme="majorBidi" w:cstheme="majorBidi"/>
        </w:rPr>
        <w:t xml:space="preserve">considered </w:t>
      </w:r>
      <w:r w:rsidR="001B2BF8" w:rsidRPr="00A038BF">
        <w:rPr>
          <w:rFonts w:asciiTheme="majorBidi" w:hAnsiTheme="majorBidi" w:cstheme="majorBidi"/>
        </w:rPr>
        <w:t xml:space="preserve">to be </w:t>
      </w:r>
      <w:r w:rsidRPr="00A038BF">
        <w:rPr>
          <w:rFonts w:asciiTheme="majorBidi" w:hAnsiTheme="majorBidi" w:cstheme="majorBidi"/>
        </w:rPr>
        <w:t>non-structural</w:t>
      </w:r>
      <w:r w:rsidR="0097613B" w:rsidRPr="00A038BF">
        <w:rPr>
          <w:rFonts w:asciiTheme="majorBidi" w:hAnsiTheme="majorBidi" w:cstheme="majorBidi"/>
        </w:rPr>
        <w:t>,</w:t>
      </w:r>
      <w:r w:rsidRPr="00A038BF">
        <w:rPr>
          <w:rFonts w:asciiTheme="majorBidi" w:hAnsiTheme="majorBidi" w:cstheme="majorBidi"/>
        </w:rPr>
        <w:t xml:space="preserve"> and </w:t>
      </w:r>
      <w:r w:rsidR="001B2BF8" w:rsidRPr="00A038BF">
        <w:rPr>
          <w:rFonts w:asciiTheme="majorBidi" w:hAnsiTheme="majorBidi" w:cstheme="majorBidi"/>
        </w:rPr>
        <w:t xml:space="preserve">able to be remedied using </w:t>
      </w:r>
      <w:r w:rsidRPr="00A038BF">
        <w:rPr>
          <w:rFonts w:asciiTheme="majorBidi" w:hAnsiTheme="majorBidi" w:cstheme="majorBidi"/>
        </w:rPr>
        <w:t>average carpentry skills. Although NLT or CLT can provide</w:t>
      </w:r>
      <w:r w:rsidR="0097613B" w:rsidRPr="00A038BF">
        <w:rPr>
          <w:rFonts w:asciiTheme="majorBidi" w:hAnsiTheme="majorBidi" w:cstheme="majorBidi"/>
        </w:rPr>
        <w:t xml:space="preserve"> good resistance against structural damage,</w:t>
      </w:r>
      <w:r w:rsidRPr="00A038BF">
        <w:rPr>
          <w:rFonts w:asciiTheme="majorBidi" w:hAnsiTheme="majorBidi" w:cstheme="majorBidi"/>
        </w:rPr>
        <w:t xml:space="preserve"> additional bracing increase</w:t>
      </w:r>
      <w:r w:rsidR="001B2BF8" w:rsidRPr="00A038BF">
        <w:rPr>
          <w:rFonts w:asciiTheme="majorBidi" w:hAnsiTheme="majorBidi" w:cstheme="majorBidi"/>
        </w:rPr>
        <w:t>s</w:t>
      </w:r>
      <w:r w:rsidRPr="00A038BF">
        <w:rPr>
          <w:rFonts w:asciiTheme="majorBidi" w:hAnsiTheme="majorBidi" w:cstheme="majorBidi"/>
        </w:rPr>
        <w:t xml:space="preserve"> their stability </w:t>
      </w:r>
      <w:r w:rsidR="00860BB8" w:rsidRPr="00A038BF">
        <w:rPr>
          <w:rFonts w:asciiTheme="majorBidi" w:hAnsiTheme="majorBidi" w:cstheme="majorBidi"/>
        </w:rPr>
        <w:fldChar w:fldCharType="begin" w:fldLock="1"/>
      </w:r>
      <w:r w:rsidR="00860BB8" w:rsidRPr="00A038BF">
        <w:rPr>
          <w:rFonts w:asciiTheme="majorBidi" w:hAnsiTheme="majorBidi" w:cstheme="majorBidi"/>
        </w:rPr>
        <w:instrText>ADDIN CSL_CITATION {"citationItems":[{"id":"ITEM-1","itemData":{"author":[{"dropping-particle":"","family":"Sutton","given":"Andy","non-dropping-particle":"","parse-names":false,"suffix":""},{"dropping-particle":"","family":"Black","given":"Daniel","non-dropping-particle":"","parse-names":false,"suffix":""},{"dropping-particle":"","family":"Walker","given":"Pete","non-dropping-particle":"","parse-names":false,"suffix":""}],"id":"ITEM-1","issued":{"date-parts":[["0"]]},"title":"INFORMATION PAPER CROSS-LAMINATED TIMBER An introduction to low-impact building materials","type":"article-journal"},"uris":["http://www.mendeley.com/documents/?uuid=f8a48d29-63e5-49e7-bf9a-1f538749f252"]}],"mendeley":{"formattedCitation":"(Sutton et al., n.d.)","manualFormatting":"(Sutton et al., 2011)","plainTextFormattedCitation":"(Sutton et al., n.d.)","previouslyFormattedCitation":"(Sutton et al., n.d.)"},"properties":{"noteIndex":0},"schema":"https://github.com/citation-style-language/schema/raw/master/csl-citation.json"}</w:instrText>
      </w:r>
      <w:r w:rsidR="00860BB8" w:rsidRPr="00A038BF">
        <w:rPr>
          <w:rFonts w:asciiTheme="majorBidi" w:hAnsiTheme="majorBidi" w:cstheme="majorBidi"/>
        </w:rPr>
        <w:fldChar w:fldCharType="separate"/>
      </w:r>
      <w:r w:rsidR="00860BB8" w:rsidRPr="00A038BF">
        <w:rPr>
          <w:rFonts w:asciiTheme="majorBidi" w:hAnsiTheme="majorBidi" w:cstheme="majorBidi"/>
          <w:noProof/>
        </w:rPr>
        <w:t>(Sutton et al., 2011)</w:t>
      </w:r>
      <w:r w:rsidR="00860BB8" w:rsidRPr="00A038BF">
        <w:rPr>
          <w:rFonts w:asciiTheme="majorBidi" w:hAnsiTheme="majorBidi" w:cstheme="majorBidi"/>
        </w:rPr>
        <w:fldChar w:fldCharType="end"/>
      </w:r>
      <w:r w:rsidR="00860BB8" w:rsidRPr="00A038BF">
        <w:rPr>
          <w:rFonts w:asciiTheme="majorBidi" w:hAnsiTheme="majorBidi" w:cstheme="majorBidi"/>
        </w:rPr>
        <w:t xml:space="preserve">. </w:t>
      </w:r>
      <w:r w:rsidR="001B2BF8" w:rsidRPr="00A038BF">
        <w:rPr>
          <w:rFonts w:asciiTheme="majorBidi" w:hAnsiTheme="majorBidi" w:cstheme="majorBidi"/>
        </w:rPr>
        <w:t>R</w:t>
      </w:r>
      <w:r w:rsidR="0097613B" w:rsidRPr="00A038BF">
        <w:rPr>
          <w:rFonts w:asciiTheme="majorBidi" w:hAnsiTheme="majorBidi" w:cstheme="majorBidi"/>
        </w:rPr>
        <w:t>egular check</w:t>
      </w:r>
      <w:r w:rsidR="00C30AC5" w:rsidRPr="00A038BF">
        <w:rPr>
          <w:rFonts w:asciiTheme="majorBidi" w:hAnsiTheme="majorBidi" w:cstheme="majorBidi"/>
        </w:rPr>
        <w:t>s</w:t>
      </w:r>
      <w:r w:rsidR="0097613B" w:rsidRPr="00A038BF">
        <w:rPr>
          <w:rFonts w:asciiTheme="majorBidi" w:hAnsiTheme="majorBidi" w:cstheme="majorBidi"/>
        </w:rPr>
        <w:t xml:space="preserve"> and </w:t>
      </w:r>
      <w:r w:rsidR="001B2BF8" w:rsidRPr="00A038BF">
        <w:rPr>
          <w:rFonts w:asciiTheme="majorBidi" w:hAnsiTheme="majorBidi" w:cstheme="majorBidi"/>
        </w:rPr>
        <w:t xml:space="preserve">maintenence </w:t>
      </w:r>
      <w:r w:rsidR="0097613B" w:rsidRPr="00A038BF">
        <w:rPr>
          <w:rFonts w:asciiTheme="majorBidi" w:hAnsiTheme="majorBidi" w:cstheme="majorBidi"/>
        </w:rPr>
        <w:t>of timber buildings lead</w:t>
      </w:r>
      <w:r w:rsidR="008344C2" w:rsidRPr="00A038BF">
        <w:rPr>
          <w:rFonts w:asciiTheme="majorBidi" w:hAnsiTheme="majorBidi" w:cstheme="majorBidi"/>
        </w:rPr>
        <w:t>s</w:t>
      </w:r>
      <w:r w:rsidR="0097613B" w:rsidRPr="00A038BF">
        <w:rPr>
          <w:rFonts w:asciiTheme="majorBidi" w:hAnsiTheme="majorBidi" w:cstheme="majorBidi"/>
        </w:rPr>
        <w:t xml:space="preserve"> to </w:t>
      </w:r>
      <w:r w:rsidR="001B2BF8" w:rsidRPr="00A038BF">
        <w:rPr>
          <w:rFonts w:asciiTheme="majorBidi" w:hAnsiTheme="majorBidi" w:cstheme="majorBidi"/>
        </w:rPr>
        <w:t xml:space="preserve">a </w:t>
      </w:r>
      <w:r w:rsidR="0097613B" w:rsidRPr="00A038BF">
        <w:rPr>
          <w:rFonts w:asciiTheme="majorBidi" w:hAnsiTheme="majorBidi" w:cstheme="majorBidi"/>
        </w:rPr>
        <w:t>reduc</w:t>
      </w:r>
      <w:r w:rsidR="001B2BF8" w:rsidRPr="00A038BF">
        <w:rPr>
          <w:rFonts w:asciiTheme="majorBidi" w:hAnsiTheme="majorBidi" w:cstheme="majorBidi"/>
        </w:rPr>
        <w:t>tion of</w:t>
      </w:r>
      <w:r w:rsidR="0097613B" w:rsidRPr="00A038BF">
        <w:rPr>
          <w:rFonts w:asciiTheme="majorBidi" w:hAnsiTheme="majorBidi" w:cstheme="majorBidi"/>
        </w:rPr>
        <w:t xml:space="preserve"> possible defects and</w:t>
      </w:r>
      <w:r w:rsidR="001B2BF8" w:rsidRPr="00A038BF">
        <w:rPr>
          <w:rFonts w:asciiTheme="majorBidi" w:hAnsiTheme="majorBidi" w:cstheme="majorBidi"/>
        </w:rPr>
        <w:t xml:space="preserve"> an</w:t>
      </w:r>
      <w:r w:rsidR="0097613B" w:rsidRPr="00A038BF">
        <w:rPr>
          <w:rFonts w:asciiTheme="majorBidi" w:hAnsiTheme="majorBidi" w:cstheme="majorBidi"/>
        </w:rPr>
        <w:t xml:space="preserve"> increas</w:t>
      </w:r>
      <w:r w:rsidR="001B2BF8" w:rsidRPr="00A038BF">
        <w:rPr>
          <w:rFonts w:asciiTheme="majorBidi" w:hAnsiTheme="majorBidi" w:cstheme="majorBidi"/>
        </w:rPr>
        <w:t>e in</w:t>
      </w:r>
      <w:r w:rsidRPr="00A038BF">
        <w:rPr>
          <w:rFonts w:asciiTheme="majorBidi" w:hAnsiTheme="majorBidi" w:cstheme="majorBidi"/>
        </w:rPr>
        <w:t xml:space="preserve"> the lifespan of </w:t>
      </w:r>
      <w:r w:rsidR="001B2BF8" w:rsidRPr="00A038BF">
        <w:rPr>
          <w:rFonts w:asciiTheme="majorBidi" w:hAnsiTheme="majorBidi" w:cstheme="majorBidi"/>
        </w:rPr>
        <w:t xml:space="preserve">these </w:t>
      </w:r>
      <w:r w:rsidRPr="00A038BF">
        <w:rPr>
          <w:rFonts w:asciiTheme="majorBidi" w:hAnsiTheme="majorBidi" w:cstheme="majorBidi"/>
        </w:rPr>
        <w:t xml:space="preserve">buildings. Therefore, B2 incorporates </w:t>
      </w:r>
      <w:r w:rsidR="0097613B" w:rsidRPr="00A038BF">
        <w:rPr>
          <w:rFonts w:asciiTheme="majorBidi" w:hAnsiTheme="majorBidi" w:cstheme="majorBidi"/>
        </w:rPr>
        <w:t>replacing damaged parts</w:t>
      </w:r>
      <w:r w:rsidRPr="00A038BF">
        <w:rPr>
          <w:rFonts w:asciiTheme="majorBidi" w:hAnsiTheme="majorBidi" w:cstheme="majorBidi"/>
        </w:rPr>
        <w:t xml:space="preserve"> </w:t>
      </w:r>
      <w:r w:rsidR="008344C2" w:rsidRPr="00A038BF">
        <w:rPr>
          <w:rFonts w:asciiTheme="majorBidi" w:hAnsiTheme="majorBidi" w:cstheme="majorBidi"/>
        </w:rPr>
        <w:t xml:space="preserve">of buildings </w:t>
      </w:r>
      <w:r w:rsidRPr="00A038BF">
        <w:rPr>
          <w:rFonts w:asciiTheme="majorBidi" w:hAnsiTheme="majorBidi" w:cstheme="majorBidi"/>
        </w:rPr>
        <w:t>and repair</w:t>
      </w:r>
      <w:r w:rsidR="008344C2" w:rsidRPr="00A038BF">
        <w:rPr>
          <w:rFonts w:asciiTheme="majorBidi" w:hAnsiTheme="majorBidi" w:cstheme="majorBidi"/>
        </w:rPr>
        <w:t>s</w:t>
      </w:r>
      <w:r w:rsidRPr="00A038BF">
        <w:rPr>
          <w:rFonts w:asciiTheme="majorBidi" w:hAnsiTheme="majorBidi" w:cstheme="majorBidi"/>
        </w:rPr>
        <w:t xml:space="preserve"> based on the</w:t>
      </w:r>
      <w:r w:rsidR="008344C2" w:rsidRPr="00A038BF">
        <w:rPr>
          <w:rFonts w:asciiTheme="majorBidi" w:hAnsiTheme="majorBidi" w:cstheme="majorBidi"/>
        </w:rPr>
        <w:t>ir</w:t>
      </w:r>
      <w:r w:rsidRPr="00A038BF">
        <w:rPr>
          <w:rFonts w:asciiTheme="majorBidi" w:hAnsiTheme="majorBidi" w:cstheme="majorBidi"/>
        </w:rPr>
        <w:t xml:space="preserve"> average expected lifespan. </w:t>
      </w:r>
      <w:r w:rsidR="006C1948" w:rsidRPr="00A038BF">
        <w:rPr>
          <w:rFonts w:asciiTheme="majorBidi" w:hAnsiTheme="majorBidi" w:cstheme="majorBidi"/>
        </w:rPr>
        <w:t>N</w:t>
      </w:r>
      <w:r w:rsidR="0097613B" w:rsidRPr="00A038BF">
        <w:rPr>
          <w:rFonts w:asciiTheme="majorBidi" w:hAnsiTheme="majorBidi" w:cstheme="majorBidi"/>
        </w:rPr>
        <w:t xml:space="preserve">ew materials </w:t>
      </w:r>
      <w:r w:rsidR="006C1948" w:rsidRPr="00A038BF">
        <w:rPr>
          <w:rFonts w:asciiTheme="majorBidi" w:hAnsiTheme="majorBidi" w:cstheme="majorBidi"/>
        </w:rPr>
        <w:t>require repair as part of the manufacturing process.  It was assumed</w:t>
      </w:r>
      <w:r w:rsidR="0097613B" w:rsidRPr="00A038BF">
        <w:rPr>
          <w:rFonts w:asciiTheme="majorBidi" w:hAnsiTheme="majorBidi" w:cstheme="majorBidi"/>
        </w:rPr>
        <w:t xml:space="preserve"> </w:t>
      </w:r>
      <w:r w:rsidR="006C1948" w:rsidRPr="00A038BF">
        <w:rPr>
          <w:rFonts w:asciiTheme="majorBidi" w:hAnsiTheme="majorBidi" w:cstheme="majorBidi"/>
        </w:rPr>
        <w:t xml:space="preserve">that </w:t>
      </w:r>
      <w:r w:rsidR="0097613B" w:rsidRPr="00A038BF">
        <w:rPr>
          <w:rFonts w:asciiTheme="majorBidi" w:hAnsiTheme="majorBidi" w:cstheme="majorBidi"/>
        </w:rPr>
        <w:t>10% of panels need</w:t>
      </w:r>
      <w:r w:rsidR="006C1948" w:rsidRPr="00A038BF">
        <w:rPr>
          <w:rFonts w:asciiTheme="majorBidi" w:hAnsiTheme="majorBidi" w:cstheme="majorBidi"/>
        </w:rPr>
        <w:t>ed</w:t>
      </w:r>
      <w:r w:rsidR="0097613B" w:rsidRPr="00A038BF">
        <w:rPr>
          <w:rFonts w:asciiTheme="majorBidi" w:hAnsiTheme="majorBidi" w:cstheme="majorBidi"/>
        </w:rPr>
        <w:t xml:space="preserve"> to be repaired</w:t>
      </w:r>
      <w:r w:rsidRPr="00A038BF">
        <w:rPr>
          <w:rFonts w:asciiTheme="majorBidi" w:hAnsiTheme="majorBidi" w:cstheme="majorBidi"/>
        </w:rPr>
        <w:t xml:space="preserve"> </w:t>
      </w:r>
      <w:r w:rsidR="006C1948" w:rsidRPr="00A038BF">
        <w:rPr>
          <w:rFonts w:asciiTheme="majorBidi" w:hAnsiTheme="majorBidi" w:cstheme="majorBidi"/>
        </w:rPr>
        <w:t xml:space="preserve">as there is </w:t>
      </w:r>
      <w:r w:rsidRPr="00A038BF">
        <w:rPr>
          <w:rFonts w:asciiTheme="majorBidi" w:hAnsiTheme="majorBidi" w:cstheme="majorBidi"/>
        </w:rPr>
        <w:t>limit</w:t>
      </w:r>
      <w:r w:rsidR="0097613B" w:rsidRPr="00A038BF">
        <w:rPr>
          <w:rFonts w:asciiTheme="majorBidi" w:hAnsiTheme="majorBidi" w:cstheme="majorBidi"/>
        </w:rPr>
        <w:t>ed</w:t>
      </w:r>
      <w:r w:rsidRPr="00A038BF">
        <w:rPr>
          <w:rFonts w:asciiTheme="majorBidi" w:hAnsiTheme="majorBidi" w:cstheme="majorBidi"/>
        </w:rPr>
        <w:t xml:space="preserve"> dat</w:t>
      </w:r>
      <w:r w:rsidR="0097613B" w:rsidRPr="00A038BF">
        <w:rPr>
          <w:rFonts w:asciiTheme="majorBidi" w:hAnsiTheme="majorBidi" w:cstheme="majorBidi"/>
        </w:rPr>
        <w:t>a</w:t>
      </w:r>
      <w:r w:rsidRPr="00A038BF">
        <w:rPr>
          <w:rFonts w:asciiTheme="majorBidi" w:hAnsiTheme="majorBidi" w:cstheme="majorBidi"/>
        </w:rPr>
        <w:t xml:space="preserve"> </w:t>
      </w:r>
      <w:r w:rsidR="006C1948" w:rsidRPr="00A038BF">
        <w:rPr>
          <w:rFonts w:asciiTheme="majorBidi" w:hAnsiTheme="majorBidi" w:cstheme="majorBidi"/>
        </w:rPr>
        <w:t xml:space="preserve">available </w:t>
      </w:r>
      <w:r w:rsidRPr="00A038BF">
        <w:rPr>
          <w:rFonts w:asciiTheme="majorBidi" w:hAnsiTheme="majorBidi" w:cstheme="majorBidi"/>
        </w:rPr>
        <w:t xml:space="preserve">in </w:t>
      </w:r>
      <w:r w:rsidR="0097613B" w:rsidRPr="00A038BF">
        <w:rPr>
          <w:rFonts w:asciiTheme="majorBidi" w:hAnsiTheme="majorBidi" w:cstheme="majorBidi"/>
        </w:rPr>
        <w:t xml:space="preserve">the </w:t>
      </w:r>
      <w:r w:rsidRPr="00A038BF">
        <w:rPr>
          <w:rFonts w:asciiTheme="majorBidi" w:hAnsiTheme="majorBidi" w:cstheme="majorBidi"/>
        </w:rPr>
        <w:t xml:space="preserve">literature. </w:t>
      </w:r>
    </w:p>
    <w:p w14:paraId="1995F98F" w14:textId="3A38A57E" w:rsidR="00F555C4" w:rsidRPr="00A038BF" w:rsidRDefault="003E3255" w:rsidP="00C30AC5">
      <w:pPr>
        <w:autoSpaceDE w:val="0"/>
        <w:autoSpaceDN w:val="0"/>
        <w:adjustRightInd w:val="0"/>
        <w:spacing w:after="0" w:line="276" w:lineRule="auto"/>
        <w:ind w:firstLine="720"/>
        <w:jc w:val="both"/>
        <w:rPr>
          <w:rFonts w:asciiTheme="majorBidi" w:hAnsiTheme="majorBidi" w:cstheme="majorBidi"/>
        </w:rPr>
      </w:pPr>
      <w:r w:rsidRPr="00A038BF">
        <w:rPr>
          <w:rFonts w:asciiTheme="majorBidi" w:hAnsiTheme="majorBidi" w:cstheme="majorBidi"/>
        </w:rPr>
        <w:t xml:space="preserve">The end of life of </w:t>
      </w:r>
      <w:r w:rsidR="0097613B" w:rsidRPr="00A038BF">
        <w:rPr>
          <w:rFonts w:asciiTheme="majorBidi" w:hAnsiTheme="majorBidi" w:cstheme="majorBidi"/>
        </w:rPr>
        <w:t xml:space="preserve">the </w:t>
      </w:r>
      <w:r w:rsidRPr="00A038BF">
        <w:rPr>
          <w:rFonts w:asciiTheme="majorBidi" w:hAnsiTheme="majorBidi" w:cstheme="majorBidi"/>
        </w:rPr>
        <w:t>building relate</w:t>
      </w:r>
      <w:r w:rsidR="006C1948" w:rsidRPr="00A038BF">
        <w:rPr>
          <w:rFonts w:asciiTheme="majorBidi" w:hAnsiTheme="majorBidi" w:cstheme="majorBidi"/>
        </w:rPr>
        <w:t>s</w:t>
      </w:r>
      <w:r w:rsidRPr="00A038BF">
        <w:rPr>
          <w:rFonts w:asciiTheme="majorBidi" w:hAnsiTheme="majorBidi" w:cstheme="majorBidi"/>
        </w:rPr>
        <w:t xml:space="preserve"> to demolition and disassembly of building components into separate materials (C1 &amp; C2). For example, NLT panels need</w:t>
      </w:r>
      <w:r w:rsidR="0097613B" w:rsidRPr="00A038BF">
        <w:rPr>
          <w:rFonts w:asciiTheme="majorBidi" w:hAnsiTheme="majorBidi" w:cstheme="majorBidi"/>
        </w:rPr>
        <w:t xml:space="preserve"> to be separated </w:t>
      </w:r>
      <w:r w:rsidR="00C30AC5" w:rsidRPr="00A038BF">
        <w:rPr>
          <w:rFonts w:asciiTheme="majorBidi" w:hAnsiTheme="majorBidi" w:cstheme="majorBidi"/>
        </w:rPr>
        <w:t>from</w:t>
      </w:r>
      <w:r w:rsidR="0097613B" w:rsidRPr="00A038BF">
        <w:rPr>
          <w:rFonts w:asciiTheme="majorBidi" w:hAnsiTheme="majorBidi" w:cstheme="majorBidi"/>
        </w:rPr>
        <w:t xml:space="preserve"> the wood and nail</w:t>
      </w:r>
      <w:r w:rsidR="006C1948" w:rsidRPr="00A038BF">
        <w:rPr>
          <w:rFonts w:asciiTheme="majorBidi" w:hAnsiTheme="majorBidi" w:cstheme="majorBidi"/>
        </w:rPr>
        <w:t>s</w:t>
      </w:r>
      <w:r w:rsidRPr="00A038BF">
        <w:rPr>
          <w:rFonts w:asciiTheme="majorBidi" w:hAnsiTheme="majorBidi" w:cstheme="majorBidi"/>
        </w:rPr>
        <w:t xml:space="preserve"> used inside the panel. The distance from </w:t>
      </w:r>
      <w:r w:rsidR="0097613B" w:rsidRPr="00A038BF">
        <w:rPr>
          <w:rFonts w:asciiTheme="majorBidi" w:hAnsiTheme="majorBidi" w:cstheme="majorBidi"/>
        </w:rPr>
        <w:t xml:space="preserve">the </w:t>
      </w:r>
      <w:r w:rsidRPr="00A038BF">
        <w:rPr>
          <w:rFonts w:asciiTheme="majorBidi" w:hAnsiTheme="majorBidi" w:cstheme="majorBidi"/>
        </w:rPr>
        <w:t xml:space="preserve">site to the demolition factory has been assumed </w:t>
      </w:r>
      <w:r w:rsidR="006C1948" w:rsidRPr="00A038BF">
        <w:rPr>
          <w:rFonts w:asciiTheme="majorBidi" w:hAnsiTheme="majorBidi" w:cstheme="majorBidi"/>
        </w:rPr>
        <w:t xml:space="preserve">to be </w:t>
      </w:r>
      <w:r w:rsidR="00633F0E" w:rsidRPr="00A038BF">
        <w:rPr>
          <w:rFonts w:asciiTheme="majorBidi" w:hAnsiTheme="majorBidi" w:cstheme="majorBidi"/>
        </w:rPr>
        <w:t>50</w:t>
      </w:r>
      <w:r w:rsidRPr="00A038BF">
        <w:rPr>
          <w:rFonts w:asciiTheme="majorBidi" w:hAnsiTheme="majorBidi" w:cstheme="majorBidi"/>
        </w:rPr>
        <w:t xml:space="preserve"> Km. </w:t>
      </w:r>
      <w:r w:rsidR="00DE13D0" w:rsidRPr="00A038BF">
        <w:rPr>
          <w:rFonts w:asciiTheme="majorBidi" w:hAnsiTheme="majorBidi" w:cstheme="majorBidi"/>
        </w:rPr>
        <w:t>Steel was assumed to be sent to a factory for recycling</w:t>
      </w:r>
      <w:r w:rsidR="00F03BE2" w:rsidRPr="00A038BF">
        <w:rPr>
          <w:rFonts w:asciiTheme="majorBidi" w:hAnsiTheme="majorBidi" w:cstheme="majorBidi"/>
        </w:rPr>
        <w:t xml:space="preserve"> (D</w:t>
      </w:r>
      <w:r w:rsidR="00E356BA" w:rsidRPr="00A038BF">
        <w:rPr>
          <w:rFonts w:asciiTheme="majorBidi" w:hAnsiTheme="majorBidi" w:cstheme="majorBidi"/>
        </w:rPr>
        <w:t>3</w:t>
      </w:r>
      <w:r w:rsidR="00F03BE2" w:rsidRPr="00A038BF">
        <w:rPr>
          <w:rFonts w:asciiTheme="majorBidi" w:hAnsiTheme="majorBidi" w:cstheme="majorBidi"/>
        </w:rPr>
        <w:t>)</w:t>
      </w:r>
      <w:r w:rsidR="006C1948" w:rsidRPr="00A038BF">
        <w:rPr>
          <w:rFonts w:asciiTheme="majorBidi" w:hAnsiTheme="majorBidi" w:cstheme="majorBidi"/>
        </w:rPr>
        <w:t>.</w:t>
      </w:r>
      <w:r w:rsidR="009B46AE" w:rsidRPr="00A038BF">
        <w:rPr>
          <w:rFonts w:asciiTheme="majorBidi" w:hAnsiTheme="majorBidi" w:cstheme="majorBidi"/>
        </w:rPr>
        <w:t xml:space="preserve"> </w:t>
      </w:r>
      <w:r w:rsidR="006C1948" w:rsidRPr="00A038BF">
        <w:rPr>
          <w:rFonts w:asciiTheme="majorBidi" w:hAnsiTheme="majorBidi" w:cstheme="majorBidi"/>
        </w:rPr>
        <w:t>Ninety percent of steel was assumed to be recycled and</w:t>
      </w:r>
      <w:r w:rsidR="009B46AE" w:rsidRPr="00A038BF">
        <w:rPr>
          <w:rFonts w:asciiTheme="majorBidi" w:hAnsiTheme="majorBidi" w:cstheme="majorBidi"/>
        </w:rPr>
        <w:t xml:space="preserve"> 10</w:t>
      </w:r>
      <w:r w:rsidR="00DE13D0" w:rsidRPr="00A038BF">
        <w:rPr>
          <w:rFonts w:asciiTheme="majorBidi" w:hAnsiTheme="majorBidi" w:cstheme="majorBidi"/>
        </w:rPr>
        <w:t xml:space="preserve">% </w:t>
      </w:r>
      <w:r w:rsidR="006C1948" w:rsidRPr="00A038BF">
        <w:rPr>
          <w:rFonts w:asciiTheme="majorBidi" w:hAnsiTheme="majorBidi" w:cstheme="majorBidi"/>
        </w:rPr>
        <w:t xml:space="preserve">was assumed to be sent </w:t>
      </w:r>
      <w:r w:rsidR="00DE13D0" w:rsidRPr="00A038BF">
        <w:rPr>
          <w:rFonts w:asciiTheme="majorBidi" w:hAnsiTheme="majorBidi" w:cstheme="majorBidi"/>
        </w:rPr>
        <w:t xml:space="preserve">to landfill. </w:t>
      </w:r>
      <w:r w:rsidR="007D3FF4" w:rsidRPr="00A038BF">
        <w:rPr>
          <w:rFonts w:asciiTheme="majorBidi" w:hAnsiTheme="majorBidi" w:cstheme="majorBidi"/>
        </w:rPr>
        <w:t>At t</w:t>
      </w:r>
      <w:r w:rsidR="00F555C4" w:rsidRPr="00A038BF">
        <w:rPr>
          <w:rFonts w:asciiTheme="majorBidi" w:hAnsiTheme="majorBidi" w:cstheme="majorBidi"/>
        </w:rPr>
        <w:t xml:space="preserve">he end of life </w:t>
      </w:r>
      <w:r w:rsidR="007D3FF4" w:rsidRPr="00A038BF">
        <w:rPr>
          <w:rFonts w:asciiTheme="majorBidi" w:hAnsiTheme="majorBidi" w:cstheme="majorBidi"/>
        </w:rPr>
        <w:t xml:space="preserve">for </w:t>
      </w:r>
      <w:r w:rsidR="00F555C4" w:rsidRPr="00A038BF">
        <w:rPr>
          <w:rFonts w:asciiTheme="majorBidi" w:hAnsiTheme="majorBidi" w:cstheme="majorBidi"/>
        </w:rPr>
        <w:t>wood products</w:t>
      </w:r>
      <w:r w:rsidR="007D3FF4" w:rsidRPr="00A038BF">
        <w:rPr>
          <w:rFonts w:asciiTheme="majorBidi" w:hAnsiTheme="majorBidi" w:cstheme="majorBidi"/>
        </w:rPr>
        <w:t xml:space="preserve">, it </w:t>
      </w:r>
      <w:r w:rsidR="00F555C4" w:rsidRPr="00A038BF">
        <w:rPr>
          <w:rFonts w:asciiTheme="majorBidi" w:hAnsiTheme="majorBidi" w:cstheme="majorBidi"/>
        </w:rPr>
        <w:t xml:space="preserve">was considered </w:t>
      </w:r>
      <w:r w:rsidR="007D3FF4" w:rsidRPr="00A038BF">
        <w:rPr>
          <w:rFonts w:asciiTheme="majorBidi" w:hAnsiTheme="majorBidi" w:cstheme="majorBidi"/>
        </w:rPr>
        <w:t xml:space="preserve">that </w:t>
      </w:r>
      <w:r w:rsidR="00DE13D0" w:rsidRPr="00A038BF">
        <w:rPr>
          <w:rFonts w:asciiTheme="majorBidi" w:hAnsiTheme="majorBidi" w:cstheme="majorBidi"/>
        </w:rPr>
        <w:t xml:space="preserve">60% of wood </w:t>
      </w:r>
      <w:r w:rsidR="007D3FF4" w:rsidRPr="00A038BF">
        <w:rPr>
          <w:rFonts w:asciiTheme="majorBidi" w:hAnsiTheme="majorBidi" w:cstheme="majorBidi"/>
        </w:rPr>
        <w:t>would be</w:t>
      </w:r>
      <w:r w:rsidR="00DE13D0" w:rsidRPr="00A038BF">
        <w:rPr>
          <w:rFonts w:asciiTheme="majorBidi" w:hAnsiTheme="majorBidi" w:cstheme="majorBidi"/>
        </w:rPr>
        <w:t xml:space="preserve"> </w:t>
      </w:r>
      <w:r w:rsidR="00665F42" w:rsidRPr="00A038BF">
        <w:rPr>
          <w:rFonts w:asciiTheme="majorBidi" w:hAnsiTheme="majorBidi" w:cstheme="majorBidi"/>
        </w:rPr>
        <w:t>reuse</w:t>
      </w:r>
      <w:r w:rsidR="007D3FF4" w:rsidRPr="00A038BF">
        <w:rPr>
          <w:rFonts w:asciiTheme="majorBidi" w:hAnsiTheme="majorBidi" w:cstheme="majorBidi"/>
        </w:rPr>
        <w:t>d</w:t>
      </w:r>
      <w:r w:rsidR="00665F42" w:rsidRPr="00A038BF">
        <w:rPr>
          <w:rFonts w:asciiTheme="majorBidi" w:hAnsiTheme="majorBidi" w:cstheme="majorBidi"/>
        </w:rPr>
        <w:t xml:space="preserve"> (D1) </w:t>
      </w:r>
      <w:r w:rsidR="007D3FF4" w:rsidRPr="00A038BF">
        <w:rPr>
          <w:rFonts w:asciiTheme="majorBidi" w:hAnsiTheme="majorBidi" w:cstheme="majorBidi"/>
        </w:rPr>
        <w:t xml:space="preserve">while </w:t>
      </w:r>
      <w:r w:rsidR="00665F42" w:rsidRPr="00A038BF">
        <w:rPr>
          <w:rFonts w:asciiTheme="majorBidi" w:hAnsiTheme="majorBidi" w:cstheme="majorBidi"/>
        </w:rPr>
        <w:t xml:space="preserve">40% </w:t>
      </w:r>
      <w:r w:rsidR="007D3FF4" w:rsidRPr="00A038BF">
        <w:rPr>
          <w:rFonts w:asciiTheme="majorBidi" w:hAnsiTheme="majorBidi" w:cstheme="majorBidi"/>
        </w:rPr>
        <w:t xml:space="preserve">would used for </w:t>
      </w:r>
      <w:r w:rsidR="00665F42" w:rsidRPr="00A038BF">
        <w:rPr>
          <w:rFonts w:asciiTheme="majorBidi" w:hAnsiTheme="majorBidi" w:cstheme="majorBidi"/>
        </w:rPr>
        <w:t xml:space="preserve">energy recovery (D2) and </w:t>
      </w:r>
      <w:r w:rsidR="00F555C4" w:rsidRPr="00A038BF">
        <w:rPr>
          <w:rFonts w:asciiTheme="majorBidi" w:hAnsiTheme="majorBidi" w:cstheme="majorBidi"/>
        </w:rPr>
        <w:t xml:space="preserve">incinerated to generate electricity. </w:t>
      </w:r>
      <w:r w:rsidRPr="00A038BF">
        <w:rPr>
          <w:rFonts w:asciiTheme="majorBidi" w:hAnsiTheme="majorBidi" w:cstheme="majorBidi"/>
        </w:rPr>
        <w:t xml:space="preserve">The other non-structural materials such as gypsum board and wool insulation were assumed to </w:t>
      </w:r>
      <w:r w:rsidR="007D3FF4" w:rsidRPr="00A038BF">
        <w:rPr>
          <w:rFonts w:asciiTheme="majorBidi" w:hAnsiTheme="majorBidi" w:cstheme="majorBidi"/>
        </w:rPr>
        <w:t xml:space="preserve">be sent </w:t>
      </w:r>
      <w:r w:rsidRPr="00A038BF">
        <w:rPr>
          <w:rFonts w:asciiTheme="majorBidi" w:hAnsiTheme="majorBidi" w:cstheme="majorBidi"/>
        </w:rPr>
        <w:t>to landfill</w:t>
      </w:r>
      <w:r w:rsidR="0097613B" w:rsidRPr="00A038BF">
        <w:rPr>
          <w:rFonts w:asciiTheme="majorBidi" w:hAnsiTheme="majorBidi" w:cstheme="majorBidi"/>
        </w:rPr>
        <w:t>s</w:t>
      </w:r>
      <w:r w:rsidRPr="00A038BF">
        <w:rPr>
          <w:rFonts w:asciiTheme="majorBidi" w:hAnsiTheme="majorBidi" w:cstheme="majorBidi"/>
        </w:rPr>
        <w:t xml:space="preserve"> (D4) </w:t>
      </w:r>
      <w:r w:rsidR="007D3FF4" w:rsidRPr="00A038BF">
        <w:rPr>
          <w:rFonts w:asciiTheme="majorBidi" w:hAnsiTheme="majorBidi" w:cstheme="majorBidi"/>
        </w:rPr>
        <w:t xml:space="preserve">as their potential to be recycled and / or reused is </w:t>
      </w:r>
      <w:r w:rsidR="00F555C4" w:rsidRPr="00A038BF">
        <w:rPr>
          <w:rFonts w:asciiTheme="majorBidi" w:hAnsiTheme="majorBidi" w:cstheme="majorBidi"/>
        </w:rPr>
        <w:t>uncertain</w:t>
      </w:r>
      <w:r w:rsidR="007D3FF4" w:rsidRPr="00A038BF">
        <w:rPr>
          <w:rFonts w:asciiTheme="majorBidi" w:hAnsiTheme="majorBidi" w:cstheme="majorBidi"/>
        </w:rPr>
        <w:t xml:space="preserve"> </w:t>
      </w:r>
      <w:r w:rsidR="00F555C4" w:rsidRPr="00A038BF">
        <w:rPr>
          <w:rFonts w:asciiTheme="majorBidi" w:hAnsiTheme="majorBidi" w:cstheme="majorBidi"/>
        </w:rPr>
        <w:t>.</w:t>
      </w:r>
    </w:p>
    <w:p w14:paraId="1F717497" w14:textId="77777777" w:rsidR="008621A4" w:rsidRPr="00A038BF" w:rsidRDefault="00FD21DE" w:rsidP="005822D3">
      <w:pPr>
        <w:pStyle w:val="ListParagraph"/>
        <w:numPr>
          <w:ilvl w:val="0"/>
          <w:numId w:val="3"/>
        </w:numPr>
        <w:spacing w:before="240" w:after="0" w:line="276" w:lineRule="auto"/>
        <w:rPr>
          <w:rFonts w:asciiTheme="majorBidi" w:hAnsiTheme="majorBidi" w:cstheme="majorBidi"/>
          <w:b/>
          <w:bCs/>
        </w:rPr>
      </w:pPr>
      <w:r w:rsidRPr="00A038BF">
        <w:rPr>
          <w:rFonts w:asciiTheme="majorBidi" w:hAnsiTheme="majorBidi" w:cstheme="majorBidi"/>
          <w:b/>
          <w:bCs/>
        </w:rPr>
        <w:t>Results</w:t>
      </w:r>
    </w:p>
    <w:p w14:paraId="5E927D5A" w14:textId="77777777" w:rsidR="00E702D2" w:rsidRPr="00A038BF" w:rsidRDefault="00DC5CB6" w:rsidP="00DC5CB6">
      <w:pPr>
        <w:pStyle w:val="ListParagraph"/>
        <w:numPr>
          <w:ilvl w:val="1"/>
          <w:numId w:val="3"/>
        </w:numPr>
        <w:spacing w:before="240"/>
        <w:rPr>
          <w:rFonts w:asciiTheme="majorBidi" w:hAnsiTheme="majorBidi" w:cstheme="majorBidi"/>
          <w:b/>
          <w:bCs/>
          <w:sz w:val="24"/>
          <w:szCs w:val="24"/>
        </w:rPr>
      </w:pPr>
      <w:r w:rsidRPr="00A038BF">
        <w:rPr>
          <w:rFonts w:asciiTheme="majorBidi" w:hAnsiTheme="majorBidi" w:cstheme="majorBidi"/>
          <w:b/>
          <w:bCs/>
        </w:rPr>
        <w:t>Environmental assessment</w:t>
      </w:r>
    </w:p>
    <w:p w14:paraId="34DFBDE3" w14:textId="5E8B29F4" w:rsidR="00B83BC5" w:rsidRPr="00A038BF" w:rsidRDefault="005822D3" w:rsidP="00C30AC5">
      <w:pPr>
        <w:spacing w:after="0" w:line="276" w:lineRule="auto"/>
        <w:ind w:firstLine="720"/>
        <w:jc w:val="both"/>
        <w:rPr>
          <w:rFonts w:asciiTheme="majorBidi" w:hAnsiTheme="majorBidi" w:cstheme="majorBidi"/>
          <w:b/>
          <w:bCs/>
        </w:rPr>
      </w:pPr>
      <w:r w:rsidRPr="00A038BF">
        <w:rPr>
          <w:rFonts w:asciiTheme="majorBidi" w:hAnsiTheme="majorBidi" w:cstheme="majorBidi"/>
        </w:rPr>
        <w:t xml:space="preserve">This study </w:t>
      </w:r>
      <w:r w:rsidR="00EA28FC" w:rsidRPr="00A038BF">
        <w:rPr>
          <w:rFonts w:asciiTheme="majorBidi" w:hAnsiTheme="majorBidi" w:cstheme="majorBidi"/>
        </w:rPr>
        <w:t>investigates</w:t>
      </w:r>
      <w:r w:rsidRPr="00A038BF">
        <w:rPr>
          <w:rFonts w:asciiTheme="majorBidi" w:hAnsiTheme="majorBidi" w:cstheme="majorBidi"/>
        </w:rPr>
        <w:t xml:space="preserve"> the impacts of carbon emission</w:t>
      </w:r>
      <w:r w:rsidR="00EA28FC" w:rsidRPr="00A038BF">
        <w:rPr>
          <w:rFonts w:asciiTheme="majorBidi" w:hAnsiTheme="majorBidi" w:cstheme="majorBidi"/>
        </w:rPr>
        <w:t>s</w:t>
      </w:r>
      <w:r w:rsidRPr="00A038BF">
        <w:rPr>
          <w:rFonts w:asciiTheme="majorBidi" w:hAnsiTheme="majorBidi" w:cstheme="majorBidi"/>
        </w:rPr>
        <w:t>, embodied energy, and economic variation</w:t>
      </w:r>
      <w:r w:rsidR="00EA28FC" w:rsidRPr="00A038BF">
        <w:rPr>
          <w:rFonts w:asciiTheme="majorBidi" w:hAnsiTheme="majorBidi" w:cstheme="majorBidi"/>
        </w:rPr>
        <w:t>s</w:t>
      </w:r>
      <w:r w:rsidRPr="00A038BF">
        <w:rPr>
          <w:rFonts w:asciiTheme="majorBidi" w:hAnsiTheme="majorBidi" w:cstheme="majorBidi"/>
        </w:rPr>
        <w:t xml:space="preserve"> among mass timber </w:t>
      </w:r>
      <w:r w:rsidR="00EA28FC" w:rsidRPr="00A038BF">
        <w:rPr>
          <w:rFonts w:asciiTheme="majorBidi" w:hAnsiTheme="majorBidi" w:cstheme="majorBidi"/>
        </w:rPr>
        <w:t xml:space="preserve">products </w:t>
      </w:r>
      <w:r w:rsidRPr="00A038BF">
        <w:rPr>
          <w:rFonts w:asciiTheme="majorBidi" w:hAnsiTheme="majorBidi" w:cstheme="majorBidi"/>
        </w:rPr>
        <w:t>used as a prefabricated wall panel</w:t>
      </w:r>
      <w:r w:rsidR="00EA28FC" w:rsidRPr="00A038BF">
        <w:rPr>
          <w:rFonts w:asciiTheme="majorBidi" w:hAnsiTheme="majorBidi" w:cstheme="majorBidi"/>
        </w:rPr>
        <w:t>s</w:t>
      </w:r>
      <w:r w:rsidRPr="00A038BF">
        <w:rPr>
          <w:rFonts w:asciiTheme="majorBidi" w:hAnsiTheme="majorBidi" w:cstheme="majorBidi"/>
        </w:rPr>
        <w:t xml:space="preserve"> in wood structure buildings.</w:t>
      </w:r>
      <w:r w:rsidRPr="00A038BF">
        <w:rPr>
          <w:rFonts w:asciiTheme="majorBidi" w:hAnsiTheme="majorBidi" w:cstheme="majorBidi"/>
          <w:b/>
          <w:bCs/>
        </w:rPr>
        <w:t xml:space="preserve"> </w:t>
      </w:r>
      <w:r w:rsidRPr="00A038BF">
        <w:rPr>
          <w:rFonts w:asciiTheme="majorBidi" w:hAnsiTheme="majorBidi" w:cstheme="majorBidi"/>
        </w:rPr>
        <w:t xml:space="preserve">Since no LCA study </w:t>
      </w:r>
      <w:r w:rsidR="00A464A6" w:rsidRPr="00A038BF">
        <w:rPr>
          <w:rFonts w:asciiTheme="majorBidi" w:hAnsiTheme="majorBidi" w:cstheme="majorBidi"/>
        </w:rPr>
        <w:t>has</w:t>
      </w:r>
      <w:r w:rsidRPr="00A038BF">
        <w:rPr>
          <w:rFonts w:asciiTheme="majorBidi" w:hAnsiTheme="majorBidi" w:cstheme="majorBidi"/>
        </w:rPr>
        <w:t xml:space="preserve"> evaluate</w:t>
      </w:r>
      <w:r w:rsidR="00C30AC5" w:rsidRPr="00A038BF">
        <w:rPr>
          <w:rFonts w:asciiTheme="majorBidi" w:hAnsiTheme="majorBidi" w:cstheme="majorBidi"/>
        </w:rPr>
        <w:t>d</w:t>
      </w:r>
      <w:r w:rsidRPr="00A038BF">
        <w:rPr>
          <w:rFonts w:asciiTheme="majorBidi" w:hAnsiTheme="majorBidi" w:cstheme="majorBidi"/>
        </w:rPr>
        <w:t xml:space="preserve"> NLT and DLT and </w:t>
      </w:r>
      <w:r w:rsidR="00EA28FC" w:rsidRPr="00A038BF">
        <w:rPr>
          <w:rFonts w:asciiTheme="majorBidi" w:hAnsiTheme="majorBidi" w:cstheme="majorBidi"/>
        </w:rPr>
        <w:t xml:space="preserve">contrasted </w:t>
      </w:r>
      <w:r w:rsidRPr="00A038BF">
        <w:rPr>
          <w:rFonts w:asciiTheme="majorBidi" w:hAnsiTheme="majorBidi" w:cstheme="majorBidi"/>
        </w:rPr>
        <w:t>it</w:t>
      </w:r>
      <w:r w:rsidR="00EA28FC" w:rsidRPr="00A038BF">
        <w:rPr>
          <w:rFonts w:asciiTheme="majorBidi" w:hAnsiTheme="majorBidi" w:cstheme="majorBidi"/>
        </w:rPr>
        <w:t xml:space="preserve"> </w:t>
      </w:r>
      <w:r w:rsidRPr="00A038BF">
        <w:rPr>
          <w:rFonts w:asciiTheme="majorBidi" w:hAnsiTheme="majorBidi" w:cstheme="majorBidi"/>
        </w:rPr>
        <w:t xml:space="preserve">with CLT, </w:t>
      </w:r>
      <w:r w:rsidR="00EA28FC" w:rsidRPr="00A038BF">
        <w:rPr>
          <w:rFonts w:asciiTheme="majorBidi" w:hAnsiTheme="majorBidi" w:cstheme="majorBidi"/>
        </w:rPr>
        <w:t>we have illustrated relevant</w:t>
      </w:r>
      <w:r w:rsidRPr="00A038BF">
        <w:rPr>
          <w:rFonts w:asciiTheme="majorBidi" w:hAnsiTheme="majorBidi" w:cstheme="majorBidi"/>
        </w:rPr>
        <w:t xml:space="preserve"> variation</w:t>
      </w:r>
      <w:r w:rsidR="00EA28FC" w:rsidRPr="00A038BF">
        <w:rPr>
          <w:rFonts w:asciiTheme="majorBidi" w:hAnsiTheme="majorBidi" w:cstheme="majorBidi"/>
        </w:rPr>
        <w:t>s</w:t>
      </w:r>
      <w:r w:rsidRPr="00A038BF">
        <w:rPr>
          <w:rFonts w:asciiTheme="majorBidi" w:hAnsiTheme="majorBidi" w:cstheme="majorBidi"/>
        </w:rPr>
        <w:t xml:space="preserve"> in figure 4. </w:t>
      </w:r>
      <w:r w:rsidR="00F44722" w:rsidRPr="00A038BF">
        <w:rPr>
          <w:rFonts w:asciiTheme="majorBidi" w:hAnsiTheme="majorBidi" w:cstheme="majorBidi"/>
        </w:rPr>
        <w:t xml:space="preserve">The GWP result </w:t>
      </w:r>
      <w:r w:rsidR="00316BD7" w:rsidRPr="00A038BF">
        <w:rPr>
          <w:rFonts w:asciiTheme="majorBidi" w:hAnsiTheme="majorBidi" w:cstheme="majorBidi"/>
        </w:rPr>
        <w:t xml:space="preserve">is presented </w:t>
      </w:r>
      <w:r w:rsidR="00D8283F" w:rsidRPr="00A038BF">
        <w:rPr>
          <w:rFonts w:asciiTheme="majorBidi" w:hAnsiTheme="majorBidi" w:cstheme="majorBidi"/>
        </w:rPr>
        <w:t xml:space="preserve">in figure </w:t>
      </w:r>
      <w:r w:rsidR="00A3030B" w:rsidRPr="00A038BF">
        <w:rPr>
          <w:rFonts w:asciiTheme="majorBidi" w:hAnsiTheme="majorBidi" w:cstheme="majorBidi"/>
        </w:rPr>
        <w:t>4 and figure 5</w:t>
      </w:r>
      <w:r w:rsidR="00D54C81" w:rsidRPr="00A038BF">
        <w:rPr>
          <w:rFonts w:asciiTheme="majorBidi" w:hAnsiTheme="majorBidi" w:cstheme="majorBidi"/>
        </w:rPr>
        <w:t>. Firstly, figure 4 shows the manufacturing details of CO</w:t>
      </w:r>
      <w:r w:rsidR="00D54C81" w:rsidRPr="00A038BF">
        <w:rPr>
          <w:rFonts w:asciiTheme="majorBidi" w:hAnsiTheme="majorBidi" w:cstheme="majorBidi"/>
          <w:vertAlign w:val="subscript"/>
        </w:rPr>
        <w:t>2</w:t>
      </w:r>
      <w:r w:rsidR="00D54C81" w:rsidRPr="00A038BF">
        <w:rPr>
          <w:rFonts w:asciiTheme="majorBidi" w:hAnsiTheme="majorBidi" w:cstheme="majorBidi"/>
        </w:rPr>
        <w:t xml:space="preserve"> emission </w:t>
      </w:r>
      <w:r w:rsidR="00222345" w:rsidRPr="00A038BF">
        <w:rPr>
          <w:rFonts w:asciiTheme="majorBidi" w:hAnsiTheme="majorBidi" w:cstheme="majorBidi"/>
        </w:rPr>
        <w:t>o</w:t>
      </w:r>
      <w:r w:rsidR="00D54C81" w:rsidRPr="00A038BF">
        <w:rPr>
          <w:rFonts w:asciiTheme="majorBidi" w:hAnsiTheme="majorBidi" w:cstheme="majorBidi"/>
        </w:rPr>
        <w:t>f the</w:t>
      </w:r>
      <w:r w:rsidR="00711B3B" w:rsidRPr="00A038BF">
        <w:rPr>
          <w:rFonts w:asciiTheme="majorBidi" w:hAnsiTheme="majorBidi" w:cstheme="majorBidi"/>
        </w:rPr>
        <w:t>ir</w:t>
      </w:r>
      <w:r w:rsidR="00D54C81" w:rsidRPr="00A038BF">
        <w:rPr>
          <w:rFonts w:asciiTheme="majorBidi" w:hAnsiTheme="majorBidi" w:cstheme="majorBidi"/>
        </w:rPr>
        <w:t xml:space="preserve"> assessed scenarios. </w:t>
      </w:r>
      <w:r w:rsidR="00B83BC5" w:rsidRPr="00A038BF">
        <w:rPr>
          <w:rFonts w:asciiTheme="majorBidi" w:hAnsiTheme="majorBidi" w:cstheme="majorBidi"/>
        </w:rPr>
        <w:t>Since the wall carried the weight of building loads, only high</w:t>
      </w:r>
      <w:r w:rsidR="00711B3B" w:rsidRPr="00A038BF">
        <w:rPr>
          <w:rFonts w:asciiTheme="majorBidi" w:hAnsiTheme="majorBidi" w:cstheme="majorBidi"/>
        </w:rPr>
        <w:t>-</w:t>
      </w:r>
      <w:r w:rsidR="00B83BC5" w:rsidRPr="00A038BF">
        <w:rPr>
          <w:rFonts w:asciiTheme="majorBidi" w:hAnsiTheme="majorBidi" w:cstheme="majorBidi"/>
        </w:rPr>
        <w:t xml:space="preserve">quality wood from plantations </w:t>
      </w:r>
      <w:r w:rsidR="00711B3B" w:rsidRPr="00A038BF">
        <w:rPr>
          <w:rFonts w:asciiTheme="majorBidi" w:hAnsiTheme="majorBidi" w:cstheme="majorBidi"/>
        </w:rPr>
        <w:t xml:space="preserve">was </w:t>
      </w:r>
      <w:r w:rsidR="00B83BC5" w:rsidRPr="00A038BF">
        <w:rPr>
          <w:rFonts w:asciiTheme="majorBidi" w:hAnsiTheme="majorBidi" w:cstheme="majorBidi"/>
        </w:rPr>
        <w:t xml:space="preserve">considered to produce the sawn timber. Therefore, </w:t>
      </w:r>
      <w:r w:rsidR="00711B3B" w:rsidRPr="00A038BF">
        <w:rPr>
          <w:rFonts w:asciiTheme="majorBidi" w:hAnsiTheme="majorBidi" w:cstheme="majorBidi"/>
        </w:rPr>
        <w:t xml:space="preserve">the </w:t>
      </w:r>
      <w:r w:rsidR="00B83BC5" w:rsidRPr="00A038BF">
        <w:rPr>
          <w:rFonts w:asciiTheme="majorBidi" w:hAnsiTheme="majorBidi" w:cstheme="majorBidi"/>
        </w:rPr>
        <w:t>plantation stage show</w:t>
      </w:r>
      <w:r w:rsidR="00EA28FC" w:rsidRPr="00A038BF">
        <w:rPr>
          <w:rFonts w:asciiTheme="majorBidi" w:hAnsiTheme="majorBidi" w:cstheme="majorBidi"/>
        </w:rPr>
        <w:t>s</w:t>
      </w:r>
      <w:r w:rsidR="00711B3B" w:rsidRPr="00A038BF">
        <w:rPr>
          <w:rFonts w:asciiTheme="majorBidi" w:hAnsiTheme="majorBidi" w:cstheme="majorBidi"/>
        </w:rPr>
        <w:t xml:space="preserve"> its contribution to manufacturing the engineering wood</w:t>
      </w:r>
      <w:r w:rsidR="00EA28FC" w:rsidRPr="00A038BF">
        <w:rPr>
          <w:rFonts w:asciiTheme="majorBidi" w:hAnsiTheme="majorBidi" w:cstheme="majorBidi"/>
        </w:rPr>
        <w:t>. T</w:t>
      </w:r>
      <w:r w:rsidR="00711B3B" w:rsidRPr="00A038BF">
        <w:rPr>
          <w:rFonts w:asciiTheme="majorBidi" w:hAnsiTheme="majorBidi" w:cstheme="majorBidi"/>
        </w:rPr>
        <w:t xml:space="preserve">his item is </w:t>
      </w:r>
      <w:r w:rsidR="00EA28FC" w:rsidRPr="00A038BF">
        <w:rPr>
          <w:rFonts w:asciiTheme="majorBidi" w:hAnsiTheme="majorBidi" w:cstheme="majorBidi"/>
        </w:rPr>
        <w:t xml:space="preserve">generally </w:t>
      </w:r>
      <w:r w:rsidR="00711B3B" w:rsidRPr="00A038BF">
        <w:rPr>
          <w:rFonts w:asciiTheme="majorBidi" w:hAnsiTheme="majorBidi" w:cstheme="majorBidi"/>
        </w:rPr>
        <w:t>neglected in previous research</w:t>
      </w:r>
      <w:r w:rsidR="00B83BC5" w:rsidRPr="00A038BF">
        <w:rPr>
          <w:rFonts w:asciiTheme="majorBidi" w:hAnsiTheme="majorBidi" w:cstheme="majorBidi"/>
        </w:rPr>
        <w:t xml:space="preserve">. </w:t>
      </w:r>
    </w:p>
    <w:p w14:paraId="06847F4A" w14:textId="77777777" w:rsidR="004B1B19" w:rsidRPr="00A038BF" w:rsidRDefault="004B1B19" w:rsidP="002558B2">
      <w:pPr>
        <w:spacing w:before="240" w:after="0"/>
      </w:pPr>
      <w:r w:rsidRPr="00A038BF">
        <w:rPr>
          <w:noProof/>
        </w:rPr>
        <w:drawing>
          <wp:inline distT="0" distB="0" distL="0" distR="0" wp14:anchorId="6E0C3B17" wp14:editId="1F57915F">
            <wp:extent cx="2976880" cy="3017520"/>
            <wp:effectExtent l="0" t="0" r="13970" b="1143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A038BF">
        <w:rPr>
          <w:noProof/>
        </w:rPr>
        <w:drawing>
          <wp:inline distT="0" distB="0" distL="0" distR="0" wp14:anchorId="55229D6B" wp14:editId="0DE64AAA">
            <wp:extent cx="2748280" cy="2994660"/>
            <wp:effectExtent l="0" t="0" r="13970" b="1524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2413FAD9" w14:textId="77777777" w:rsidR="004B1B19" w:rsidRPr="00A038BF" w:rsidRDefault="004B1B19" w:rsidP="004B1B19">
      <w:pPr>
        <w:spacing w:after="0"/>
        <w:jc w:val="center"/>
      </w:pPr>
      <w:r w:rsidRPr="00A038BF">
        <w:rPr>
          <w:noProof/>
        </w:rPr>
        <w:drawing>
          <wp:inline distT="0" distB="0" distL="0" distR="0" wp14:anchorId="46A49E29" wp14:editId="41D7D81D">
            <wp:extent cx="3562350" cy="2680854"/>
            <wp:effectExtent l="0" t="0" r="0" b="571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D8B1CD1" w14:textId="77777777" w:rsidR="00A515FF" w:rsidRPr="00A038BF" w:rsidRDefault="00C93DC1" w:rsidP="00665F42">
      <w:pPr>
        <w:jc w:val="center"/>
        <w:rPr>
          <w:rFonts w:asciiTheme="majorBidi" w:hAnsiTheme="majorBidi" w:cstheme="majorBidi"/>
          <w:sz w:val="20"/>
          <w:szCs w:val="20"/>
          <w:vertAlign w:val="superscript"/>
        </w:rPr>
      </w:pPr>
      <w:r w:rsidRPr="00A038BF">
        <w:rPr>
          <w:rFonts w:asciiTheme="majorBidi" w:hAnsiTheme="majorBidi" w:cstheme="majorBidi"/>
          <w:sz w:val="20"/>
          <w:szCs w:val="20"/>
        </w:rPr>
        <w:t xml:space="preserve">Figure 4. </w:t>
      </w:r>
      <w:r w:rsidR="00C47401" w:rsidRPr="00A038BF">
        <w:rPr>
          <w:rFonts w:asciiTheme="majorBidi" w:hAnsiTheme="majorBidi" w:cstheme="majorBidi"/>
          <w:sz w:val="20"/>
          <w:szCs w:val="20"/>
        </w:rPr>
        <w:t xml:space="preserve">GWP of </w:t>
      </w:r>
      <w:r w:rsidR="00B25630" w:rsidRPr="00A038BF">
        <w:rPr>
          <w:rFonts w:asciiTheme="majorBidi" w:hAnsiTheme="majorBidi" w:cstheme="majorBidi"/>
          <w:sz w:val="20"/>
          <w:szCs w:val="20"/>
        </w:rPr>
        <w:t xml:space="preserve">manufacturing and production of </w:t>
      </w:r>
      <w:r w:rsidR="00C47401" w:rsidRPr="00A038BF">
        <w:rPr>
          <w:rFonts w:asciiTheme="majorBidi" w:hAnsiTheme="majorBidi" w:cstheme="majorBidi"/>
          <w:sz w:val="20"/>
          <w:szCs w:val="20"/>
        </w:rPr>
        <w:t>three mass timber</w:t>
      </w:r>
      <w:r w:rsidR="00665F42" w:rsidRPr="00A038BF">
        <w:rPr>
          <w:rFonts w:asciiTheme="majorBidi" w:hAnsiTheme="majorBidi" w:cstheme="majorBidi"/>
          <w:sz w:val="20"/>
          <w:szCs w:val="20"/>
        </w:rPr>
        <w:t>-</w:t>
      </w:r>
      <w:r w:rsidR="00C47401" w:rsidRPr="00A038BF">
        <w:rPr>
          <w:rFonts w:asciiTheme="majorBidi" w:hAnsiTheme="majorBidi" w:cstheme="majorBidi"/>
          <w:sz w:val="20"/>
          <w:szCs w:val="20"/>
        </w:rPr>
        <w:t>based</w:t>
      </w:r>
      <w:r w:rsidR="00134FD8" w:rsidRPr="00A038BF">
        <w:rPr>
          <w:rFonts w:asciiTheme="majorBidi" w:hAnsiTheme="majorBidi" w:cstheme="majorBidi"/>
          <w:sz w:val="20"/>
          <w:szCs w:val="20"/>
        </w:rPr>
        <w:t xml:space="preserve">, </w:t>
      </w:r>
      <w:r w:rsidR="00A515FF" w:rsidRPr="00A038BF">
        <w:rPr>
          <w:rFonts w:asciiTheme="majorBidi" w:hAnsiTheme="majorBidi" w:cstheme="majorBidi"/>
          <w:sz w:val="20"/>
          <w:szCs w:val="20"/>
        </w:rPr>
        <w:t>Kg CO</w:t>
      </w:r>
      <w:r w:rsidR="00A515FF" w:rsidRPr="00A038BF">
        <w:rPr>
          <w:rFonts w:asciiTheme="majorBidi" w:hAnsiTheme="majorBidi" w:cstheme="majorBidi"/>
          <w:sz w:val="20"/>
          <w:szCs w:val="20"/>
          <w:vertAlign w:val="subscript"/>
        </w:rPr>
        <w:t>2</w:t>
      </w:r>
      <w:r w:rsidR="00A515FF" w:rsidRPr="00A038BF">
        <w:rPr>
          <w:rFonts w:asciiTheme="majorBidi" w:hAnsiTheme="majorBidi" w:cstheme="majorBidi"/>
          <w:sz w:val="20"/>
          <w:szCs w:val="20"/>
        </w:rPr>
        <w:t>/M</w:t>
      </w:r>
      <w:r w:rsidR="00A515FF" w:rsidRPr="00A038BF">
        <w:rPr>
          <w:rFonts w:asciiTheme="majorBidi" w:hAnsiTheme="majorBidi" w:cstheme="majorBidi"/>
          <w:sz w:val="20"/>
          <w:szCs w:val="20"/>
          <w:vertAlign w:val="superscript"/>
        </w:rPr>
        <w:t>2</w:t>
      </w:r>
    </w:p>
    <w:p w14:paraId="4CDD4A6D" w14:textId="2BE83D58" w:rsidR="00560773" w:rsidRPr="00A038BF" w:rsidRDefault="00BE4096" w:rsidP="00134B13">
      <w:pPr>
        <w:spacing w:line="276" w:lineRule="auto"/>
        <w:ind w:firstLine="720"/>
        <w:jc w:val="both"/>
        <w:rPr>
          <w:rFonts w:asciiTheme="majorBidi" w:hAnsiTheme="majorBidi" w:cstheme="majorBidi"/>
        </w:rPr>
      </w:pPr>
      <w:r w:rsidRPr="00A038BF">
        <w:rPr>
          <w:rFonts w:asciiTheme="majorBidi" w:hAnsiTheme="majorBidi" w:cstheme="majorBidi"/>
        </w:rPr>
        <w:t>The contribution of plantation</w:t>
      </w:r>
      <w:r w:rsidR="00B342FE" w:rsidRPr="00A038BF">
        <w:rPr>
          <w:rFonts w:asciiTheme="majorBidi" w:hAnsiTheme="majorBidi" w:cstheme="majorBidi"/>
        </w:rPr>
        <w:t xml:space="preserve"> wood</w:t>
      </w:r>
      <w:r w:rsidRPr="00A038BF">
        <w:rPr>
          <w:rFonts w:asciiTheme="majorBidi" w:hAnsiTheme="majorBidi" w:cstheme="majorBidi"/>
        </w:rPr>
        <w:t xml:space="preserve"> for 1 M</w:t>
      </w:r>
      <w:r w:rsidRPr="00A038BF">
        <w:rPr>
          <w:rFonts w:asciiTheme="majorBidi" w:hAnsiTheme="majorBidi" w:cstheme="majorBidi"/>
          <w:vertAlign w:val="superscript"/>
        </w:rPr>
        <w:t>2</w:t>
      </w:r>
      <w:r w:rsidRPr="00A038BF">
        <w:rPr>
          <w:rFonts w:asciiTheme="majorBidi" w:hAnsiTheme="majorBidi" w:cstheme="majorBidi"/>
        </w:rPr>
        <w:t xml:space="preserve"> of CLT wall is considered </w:t>
      </w:r>
      <w:r w:rsidR="00B342FE" w:rsidRPr="00A038BF">
        <w:rPr>
          <w:rFonts w:asciiTheme="majorBidi" w:hAnsiTheme="majorBidi" w:cstheme="majorBidi"/>
        </w:rPr>
        <w:t xml:space="preserve">to be </w:t>
      </w:r>
      <w:r w:rsidRPr="00A038BF">
        <w:rPr>
          <w:rFonts w:asciiTheme="majorBidi" w:eastAsia="Times New Roman" w:hAnsiTheme="majorBidi" w:cstheme="majorBidi"/>
        </w:rPr>
        <w:t>30</w:t>
      </w:r>
      <w:r w:rsidRPr="00A038BF">
        <w:rPr>
          <w:rFonts w:asciiTheme="majorBidi" w:hAnsiTheme="majorBidi" w:cstheme="majorBidi"/>
        </w:rPr>
        <w:t xml:space="preserve"> Kg CO</w:t>
      </w:r>
      <w:r w:rsidRPr="00A038BF">
        <w:rPr>
          <w:rFonts w:asciiTheme="majorBidi" w:hAnsiTheme="majorBidi" w:cstheme="majorBidi"/>
          <w:vertAlign w:val="subscript"/>
        </w:rPr>
        <w:t>2eq</w:t>
      </w:r>
      <w:r w:rsidRPr="00A038BF">
        <w:rPr>
          <w:rFonts w:asciiTheme="majorBidi" w:hAnsiTheme="majorBidi" w:cstheme="majorBidi"/>
        </w:rPr>
        <w:t>/M</w:t>
      </w:r>
      <w:r w:rsidRPr="00A038BF">
        <w:rPr>
          <w:rFonts w:asciiTheme="majorBidi" w:hAnsiTheme="majorBidi" w:cstheme="majorBidi"/>
          <w:vertAlign w:val="superscript"/>
        </w:rPr>
        <w:t xml:space="preserve">2, </w:t>
      </w:r>
      <w:r w:rsidRPr="00A038BF">
        <w:rPr>
          <w:rFonts w:asciiTheme="majorBidi" w:hAnsiTheme="majorBidi" w:cstheme="majorBidi"/>
        </w:rPr>
        <w:t xml:space="preserve">which </w:t>
      </w:r>
      <w:r w:rsidR="00B342FE" w:rsidRPr="00A038BF">
        <w:rPr>
          <w:rFonts w:asciiTheme="majorBidi" w:hAnsiTheme="majorBidi" w:cstheme="majorBidi"/>
        </w:rPr>
        <w:t xml:space="preserve">is </w:t>
      </w:r>
      <w:r w:rsidRPr="00A038BF">
        <w:rPr>
          <w:rFonts w:asciiTheme="majorBidi" w:hAnsiTheme="majorBidi" w:cstheme="majorBidi"/>
        </w:rPr>
        <w:t>23% of total emission</w:t>
      </w:r>
      <w:r w:rsidR="00B342FE" w:rsidRPr="00A038BF">
        <w:rPr>
          <w:rFonts w:asciiTheme="majorBidi" w:hAnsiTheme="majorBidi" w:cstheme="majorBidi"/>
        </w:rPr>
        <w:t>s</w:t>
      </w:r>
      <w:r w:rsidRPr="00A038BF">
        <w:rPr>
          <w:rFonts w:asciiTheme="majorBidi" w:hAnsiTheme="majorBidi" w:cstheme="majorBidi"/>
        </w:rPr>
        <w:t xml:space="preserve">. </w:t>
      </w:r>
      <w:r w:rsidR="00B342FE" w:rsidRPr="00A038BF">
        <w:rPr>
          <w:rFonts w:asciiTheme="majorBidi" w:hAnsiTheme="majorBidi" w:cstheme="majorBidi"/>
        </w:rPr>
        <w:t>T</w:t>
      </w:r>
      <w:r w:rsidRPr="00A038BF">
        <w:rPr>
          <w:rFonts w:asciiTheme="majorBidi" w:hAnsiTheme="majorBidi" w:cstheme="majorBidi"/>
        </w:rPr>
        <w:t>he significant emission contribution relate</w:t>
      </w:r>
      <w:r w:rsidR="00B342FE" w:rsidRPr="00A038BF">
        <w:rPr>
          <w:rFonts w:asciiTheme="majorBidi" w:hAnsiTheme="majorBidi" w:cstheme="majorBidi"/>
        </w:rPr>
        <w:t>s</w:t>
      </w:r>
      <w:r w:rsidRPr="00A038BF">
        <w:rPr>
          <w:rFonts w:asciiTheme="majorBidi" w:hAnsiTheme="majorBidi" w:cstheme="majorBidi"/>
        </w:rPr>
        <w:t xml:space="preserve"> to the seasoning </w:t>
      </w:r>
      <w:r w:rsidR="00B342FE" w:rsidRPr="00A038BF">
        <w:rPr>
          <w:rFonts w:asciiTheme="majorBidi" w:hAnsiTheme="majorBidi" w:cstheme="majorBidi"/>
        </w:rPr>
        <w:t>of wood prior to</w:t>
      </w:r>
      <w:r w:rsidRPr="00A038BF">
        <w:rPr>
          <w:rFonts w:asciiTheme="majorBidi" w:hAnsiTheme="majorBidi" w:cstheme="majorBidi"/>
        </w:rPr>
        <w:t xml:space="preserve"> </w:t>
      </w:r>
      <w:r w:rsidR="00B342FE" w:rsidRPr="00A038BF">
        <w:rPr>
          <w:rFonts w:asciiTheme="majorBidi" w:hAnsiTheme="majorBidi" w:cstheme="majorBidi"/>
        </w:rPr>
        <w:t>being cut to size</w:t>
      </w:r>
      <w:r w:rsidRPr="00A038BF">
        <w:rPr>
          <w:rFonts w:asciiTheme="majorBidi" w:hAnsiTheme="majorBidi" w:cstheme="majorBidi"/>
        </w:rPr>
        <w:t xml:space="preserve"> in the </w:t>
      </w:r>
      <w:r w:rsidR="00B342FE" w:rsidRPr="00A038BF">
        <w:rPr>
          <w:rFonts w:asciiTheme="majorBidi" w:hAnsiTheme="majorBidi" w:cstheme="majorBidi"/>
        </w:rPr>
        <w:t>saw</w:t>
      </w:r>
      <w:r w:rsidRPr="00A038BF">
        <w:rPr>
          <w:rFonts w:asciiTheme="majorBidi" w:hAnsiTheme="majorBidi" w:cstheme="majorBidi"/>
        </w:rPr>
        <w:t>mill. The manufacturing and seasoning stage contribute</w:t>
      </w:r>
      <w:r w:rsidR="00B342FE" w:rsidRPr="00A038BF">
        <w:rPr>
          <w:rFonts w:asciiTheme="majorBidi" w:hAnsiTheme="majorBidi" w:cstheme="majorBidi"/>
        </w:rPr>
        <w:t>s</w:t>
      </w:r>
      <w:r w:rsidRPr="00A038BF">
        <w:rPr>
          <w:rFonts w:asciiTheme="majorBidi" w:hAnsiTheme="majorBidi" w:cstheme="majorBidi"/>
        </w:rPr>
        <w:t xml:space="preserve"> </w:t>
      </w:r>
      <w:r w:rsidRPr="00A038BF">
        <w:rPr>
          <w:rFonts w:asciiTheme="majorBidi" w:eastAsia="Times New Roman" w:hAnsiTheme="majorBidi" w:cstheme="majorBidi"/>
        </w:rPr>
        <w:t>87</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2eq</w:t>
      </w:r>
      <w:r w:rsidRPr="00A038BF">
        <w:rPr>
          <w:rFonts w:asciiTheme="majorBidi" w:hAnsiTheme="majorBidi" w:cstheme="majorBidi"/>
        </w:rPr>
        <w:t>/M</w:t>
      </w:r>
      <w:r w:rsidRPr="00A038BF">
        <w:rPr>
          <w:rFonts w:asciiTheme="majorBidi" w:hAnsiTheme="majorBidi" w:cstheme="majorBidi"/>
          <w:vertAlign w:val="superscript"/>
        </w:rPr>
        <w:t>2,</w:t>
      </w:r>
      <w:r w:rsidRPr="00A038BF">
        <w:rPr>
          <w:rFonts w:asciiTheme="majorBidi" w:hAnsiTheme="majorBidi" w:cstheme="majorBidi"/>
        </w:rPr>
        <w:t xml:space="preserve"> equal to 67% of CO</w:t>
      </w:r>
      <w:r w:rsidRPr="00A038BF">
        <w:rPr>
          <w:rFonts w:asciiTheme="majorBidi" w:hAnsiTheme="majorBidi" w:cstheme="majorBidi"/>
          <w:vertAlign w:val="subscript"/>
        </w:rPr>
        <w:t>2eq</w:t>
      </w:r>
      <w:r w:rsidRPr="00A038BF">
        <w:rPr>
          <w:rFonts w:asciiTheme="majorBidi" w:hAnsiTheme="majorBidi" w:cstheme="majorBidi"/>
        </w:rPr>
        <w:t xml:space="preserve"> emission, the highest among other stages and processes.</w:t>
      </w:r>
      <w:r w:rsidR="00134B13" w:rsidRPr="00A038BF">
        <w:rPr>
          <w:rFonts w:asciiTheme="majorBidi" w:hAnsiTheme="majorBidi" w:cstheme="majorBidi"/>
        </w:rPr>
        <w:t xml:space="preserve"> </w:t>
      </w:r>
      <w:r w:rsidR="0071732E" w:rsidRPr="00A038BF">
        <w:rPr>
          <w:rFonts w:asciiTheme="majorBidi" w:hAnsiTheme="majorBidi" w:cstheme="majorBidi"/>
        </w:rPr>
        <w:t xml:space="preserve">In the next </w:t>
      </w:r>
      <w:r w:rsidR="00560773" w:rsidRPr="00A038BF">
        <w:rPr>
          <w:rFonts w:asciiTheme="majorBidi" w:hAnsiTheme="majorBidi" w:cstheme="majorBidi"/>
        </w:rPr>
        <w:t xml:space="preserve">stage, the timber </w:t>
      </w:r>
      <w:r w:rsidR="0071732E" w:rsidRPr="00A038BF">
        <w:rPr>
          <w:rFonts w:asciiTheme="majorBidi" w:hAnsiTheme="majorBidi" w:cstheme="majorBidi"/>
        </w:rPr>
        <w:t>planks are</w:t>
      </w:r>
      <w:r w:rsidR="00560773" w:rsidRPr="00A038BF">
        <w:rPr>
          <w:rFonts w:asciiTheme="majorBidi" w:hAnsiTheme="majorBidi" w:cstheme="majorBidi"/>
        </w:rPr>
        <w:t xml:space="preserve"> placed side by side and sprayed </w:t>
      </w:r>
      <w:r w:rsidR="0071732E" w:rsidRPr="00A038BF">
        <w:rPr>
          <w:rFonts w:asciiTheme="majorBidi" w:hAnsiTheme="majorBidi" w:cstheme="majorBidi"/>
        </w:rPr>
        <w:t>with</w:t>
      </w:r>
      <w:r w:rsidR="00560773" w:rsidRPr="00A038BF">
        <w:rPr>
          <w:rFonts w:asciiTheme="majorBidi" w:hAnsiTheme="majorBidi" w:cstheme="majorBidi"/>
        </w:rPr>
        <w:t xml:space="preserve"> adhesive, which contribute</w:t>
      </w:r>
      <w:r w:rsidR="0071732E" w:rsidRPr="00A038BF">
        <w:rPr>
          <w:rFonts w:asciiTheme="majorBidi" w:hAnsiTheme="majorBidi" w:cstheme="majorBidi"/>
        </w:rPr>
        <w:t>s</w:t>
      </w:r>
      <w:r w:rsidR="00560773" w:rsidRPr="00A038BF">
        <w:rPr>
          <w:rFonts w:asciiTheme="majorBidi" w:hAnsiTheme="majorBidi" w:cstheme="majorBidi"/>
        </w:rPr>
        <w:t xml:space="preserve"> 3.8</w:t>
      </w:r>
      <w:r w:rsidR="00ED2FF7" w:rsidRPr="00A038BF">
        <w:rPr>
          <w:rFonts w:asciiTheme="majorBidi" w:hAnsiTheme="majorBidi" w:cstheme="majorBidi"/>
        </w:rPr>
        <w:t xml:space="preserve"> Kg</w:t>
      </w:r>
      <w:r w:rsidR="00560773" w:rsidRPr="00A038BF">
        <w:rPr>
          <w:rFonts w:asciiTheme="majorBidi" w:hAnsiTheme="majorBidi" w:cstheme="majorBidi"/>
        </w:rPr>
        <w:t>CO</w:t>
      </w:r>
      <w:r w:rsidR="00560773"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560773" w:rsidRPr="00A038BF">
        <w:rPr>
          <w:rFonts w:asciiTheme="majorBidi" w:hAnsiTheme="majorBidi" w:cstheme="majorBidi"/>
        </w:rPr>
        <w:t>/M</w:t>
      </w:r>
      <w:r w:rsidR="00560773" w:rsidRPr="00A038BF">
        <w:rPr>
          <w:rFonts w:asciiTheme="majorBidi" w:hAnsiTheme="majorBidi" w:cstheme="majorBidi"/>
          <w:vertAlign w:val="superscript"/>
        </w:rPr>
        <w:t>2</w:t>
      </w:r>
      <w:r w:rsidR="00560773" w:rsidRPr="00A038BF">
        <w:rPr>
          <w:rFonts w:asciiTheme="majorBidi" w:hAnsiTheme="majorBidi" w:cstheme="majorBidi"/>
        </w:rPr>
        <w:t xml:space="preserve"> (3% of total emission for 1m</w:t>
      </w:r>
      <w:r w:rsidR="00560773" w:rsidRPr="00A038BF">
        <w:rPr>
          <w:rFonts w:asciiTheme="majorBidi" w:hAnsiTheme="majorBidi" w:cstheme="majorBidi"/>
          <w:vertAlign w:val="superscript"/>
        </w:rPr>
        <w:t>2</w:t>
      </w:r>
      <w:r w:rsidR="00560773" w:rsidRPr="00A038BF">
        <w:rPr>
          <w:rFonts w:asciiTheme="majorBidi" w:hAnsiTheme="majorBidi" w:cstheme="majorBidi"/>
        </w:rPr>
        <w:t xml:space="preserve"> of the wall). The</w:t>
      </w:r>
      <w:r w:rsidR="0071732E" w:rsidRPr="00A038BF">
        <w:rPr>
          <w:rFonts w:asciiTheme="majorBidi" w:hAnsiTheme="majorBidi" w:cstheme="majorBidi"/>
        </w:rPr>
        <w:t xml:space="preserve"> next process involves the application of hydraulic </w:t>
      </w:r>
      <w:r w:rsidR="00560773" w:rsidRPr="00A038BF">
        <w:rPr>
          <w:rFonts w:asciiTheme="majorBidi" w:hAnsiTheme="majorBidi" w:cstheme="majorBidi"/>
        </w:rPr>
        <w:t>press</w:t>
      </w:r>
      <w:r w:rsidR="0071732E" w:rsidRPr="00A038BF">
        <w:rPr>
          <w:rFonts w:asciiTheme="majorBidi" w:hAnsiTheme="majorBidi" w:cstheme="majorBidi"/>
        </w:rPr>
        <w:t>ure</w:t>
      </w:r>
      <w:r w:rsidR="00560773" w:rsidRPr="00A038BF">
        <w:rPr>
          <w:rFonts w:asciiTheme="majorBidi" w:hAnsiTheme="majorBidi" w:cstheme="majorBidi"/>
        </w:rPr>
        <w:t xml:space="preserve">, to press </w:t>
      </w:r>
      <w:r w:rsidR="0071732E" w:rsidRPr="00A038BF">
        <w:rPr>
          <w:rFonts w:asciiTheme="majorBidi" w:hAnsiTheme="majorBidi" w:cstheme="majorBidi"/>
        </w:rPr>
        <w:t>the</w:t>
      </w:r>
      <w:r w:rsidR="00560773" w:rsidRPr="00A038BF">
        <w:rPr>
          <w:rFonts w:asciiTheme="majorBidi" w:hAnsiTheme="majorBidi" w:cstheme="majorBidi"/>
        </w:rPr>
        <w:t xml:space="preserve"> layers </w:t>
      </w:r>
      <w:r w:rsidR="0071732E" w:rsidRPr="00A038BF">
        <w:rPr>
          <w:rFonts w:asciiTheme="majorBidi" w:hAnsiTheme="majorBidi" w:cstheme="majorBidi"/>
        </w:rPr>
        <w:t>together. This</w:t>
      </w:r>
      <w:r w:rsidR="00560773" w:rsidRPr="00A038BF">
        <w:rPr>
          <w:rFonts w:asciiTheme="majorBidi" w:hAnsiTheme="majorBidi" w:cstheme="majorBidi"/>
        </w:rPr>
        <w:t xml:space="preserve"> contribute</w:t>
      </w:r>
      <w:r w:rsidR="0071732E" w:rsidRPr="00A038BF">
        <w:rPr>
          <w:rFonts w:asciiTheme="majorBidi" w:hAnsiTheme="majorBidi" w:cstheme="majorBidi"/>
        </w:rPr>
        <w:t>s</w:t>
      </w:r>
      <w:r w:rsidR="00560773" w:rsidRPr="00A038BF">
        <w:rPr>
          <w:rFonts w:asciiTheme="majorBidi" w:hAnsiTheme="majorBidi" w:cstheme="majorBidi"/>
        </w:rPr>
        <w:t xml:space="preserve"> 5.7</w:t>
      </w:r>
      <w:r w:rsidR="00ED2FF7" w:rsidRPr="00A038BF">
        <w:rPr>
          <w:rFonts w:asciiTheme="majorBidi" w:hAnsiTheme="majorBidi" w:cstheme="majorBidi"/>
        </w:rPr>
        <w:t xml:space="preserve"> Kg</w:t>
      </w:r>
      <w:r w:rsidR="00560773" w:rsidRPr="00A038BF">
        <w:rPr>
          <w:rFonts w:asciiTheme="majorBidi" w:hAnsiTheme="majorBidi" w:cstheme="majorBidi"/>
        </w:rPr>
        <w:t>CO</w:t>
      </w:r>
      <w:r w:rsidR="00560773"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560773" w:rsidRPr="00A038BF">
        <w:rPr>
          <w:rFonts w:asciiTheme="majorBidi" w:hAnsiTheme="majorBidi" w:cstheme="majorBidi"/>
        </w:rPr>
        <w:t>/M</w:t>
      </w:r>
      <w:r w:rsidR="00560773" w:rsidRPr="00A038BF">
        <w:rPr>
          <w:rFonts w:asciiTheme="majorBidi" w:hAnsiTheme="majorBidi" w:cstheme="majorBidi"/>
          <w:vertAlign w:val="superscript"/>
        </w:rPr>
        <w:t>2,</w:t>
      </w:r>
      <w:r w:rsidR="00560773" w:rsidRPr="00A038BF">
        <w:rPr>
          <w:rFonts w:asciiTheme="majorBidi" w:hAnsiTheme="majorBidi" w:cstheme="majorBidi"/>
        </w:rPr>
        <w:t xml:space="preserve"> equal to 4% </w:t>
      </w:r>
      <w:r w:rsidR="0071732E" w:rsidRPr="00A038BF">
        <w:rPr>
          <w:rFonts w:asciiTheme="majorBidi" w:hAnsiTheme="majorBidi" w:cstheme="majorBidi"/>
        </w:rPr>
        <w:t xml:space="preserve">of </w:t>
      </w:r>
      <w:r w:rsidR="00560773" w:rsidRPr="00A038BF">
        <w:rPr>
          <w:rFonts w:asciiTheme="majorBidi" w:hAnsiTheme="majorBidi" w:cstheme="majorBidi"/>
        </w:rPr>
        <w:t>emission</w:t>
      </w:r>
      <w:r w:rsidR="0071732E" w:rsidRPr="00A038BF">
        <w:rPr>
          <w:rFonts w:asciiTheme="majorBidi" w:hAnsiTheme="majorBidi" w:cstheme="majorBidi"/>
        </w:rPr>
        <w:t>s</w:t>
      </w:r>
      <w:r w:rsidR="00560773" w:rsidRPr="00A038BF">
        <w:rPr>
          <w:rFonts w:asciiTheme="majorBidi" w:hAnsiTheme="majorBidi" w:cstheme="majorBidi"/>
        </w:rPr>
        <w:t>. Finally, the CLT panels need</w:t>
      </w:r>
      <w:r w:rsidR="0071732E" w:rsidRPr="00A038BF">
        <w:rPr>
          <w:rFonts w:asciiTheme="majorBidi" w:hAnsiTheme="majorBidi" w:cstheme="majorBidi"/>
        </w:rPr>
        <w:t>s</w:t>
      </w:r>
      <w:r w:rsidR="00560773" w:rsidRPr="00A038BF">
        <w:rPr>
          <w:rFonts w:asciiTheme="majorBidi" w:hAnsiTheme="majorBidi" w:cstheme="majorBidi"/>
        </w:rPr>
        <w:t xml:space="preserve"> to be cut to the </w:t>
      </w:r>
      <w:r w:rsidR="0071732E" w:rsidRPr="00A038BF">
        <w:rPr>
          <w:rFonts w:asciiTheme="majorBidi" w:hAnsiTheme="majorBidi" w:cstheme="majorBidi"/>
        </w:rPr>
        <w:t xml:space="preserve">required </w:t>
      </w:r>
      <w:r w:rsidR="00560773" w:rsidRPr="00A038BF">
        <w:rPr>
          <w:rFonts w:asciiTheme="majorBidi" w:hAnsiTheme="majorBidi" w:cstheme="majorBidi"/>
        </w:rPr>
        <w:t>size</w:t>
      </w:r>
      <w:r w:rsidR="0071732E" w:rsidRPr="00A038BF">
        <w:rPr>
          <w:rFonts w:asciiTheme="majorBidi" w:hAnsiTheme="majorBidi" w:cstheme="majorBidi"/>
        </w:rPr>
        <w:t xml:space="preserve">. This occurs in </w:t>
      </w:r>
      <w:r w:rsidR="00560773" w:rsidRPr="00A038BF">
        <w:rPr>
          <w:rFonts w:asciiTheme="majorBidi" w:hAnsiTheme="majorBidi" w:cstheme="majorBidi"/>
        </w:rPr>
        <w:t>the prefabricat</w:t>
      </w:r>
      <w:r w:rsidR="0071732E" w:rsidRPr="00A038BF">
        <w:rPr>
          <w:rFonts w:asciiTheme="majorBidi" w:hAnsiTheme="majorBidi" w:cstheme="majorBidi"/>
        </w:rPr>
        <w:t>ion</w:t>
      </w:r>
      <w:r w:rsidR="00560773" w:rsidRPr="00A038BF">
        <w:rPr>
          <w:rFonts w:asciiTheme="majorBidi" w:hAnsiTheme="majorBidi" w:cstheme="majorBidi"/>
        </w:rPr>
        <w:t xml:space="preserve"> factory, and the emission</w:t>
      </w:r>
      <w:r w:rsidR="0071732E" w:rsidRPr="00A038BF">
        <w:rPr>
          <w:rFonts w:asciiTheme="majorBidi" w:hAnsiTheme="majorBidi" w:cstheme="majorBidi"/>
        </w:rPr>
        <w:t>s generated in</w:t>
      </w:r>
      <w:r w:rsidR="00560773" w:rsidRPr="00A038BF">
        <w:rPr>
          <w:rFonts w:asciiTheme="majorBidi" w:hAnsiTheme="majorBidi" w:cstheme="majorBidi"/>
        </w:rPr>
        <w:t xml:space="preserve"> this stage is 3.5 </w:t>
      </w:r>
      <w:r w:rsidR="00ED2FF7" w:rsidRPr="00A038BF">
        <w:rPr>
          <w:rFonts w:asciiTheme="majorBidi" w:hAnsiTheme="majorBidi" w:cstheme="majorBidi"/>
        </w:rPr>
        <w:t>Kg</w:t>
      </w:r>
      <w:r w:rsidR="00560773" w:rsidRPr="00A038BF">
        <w:rPr>
          <w:rFonts w:asciiTheme="majorBidi" w:hAnsiTheme="majorBidi" w:cstheme="majorBidi"/>
        </w:rPr>
        <w:t>CO</w:t>
      </w:r>
      <w:r w:rsidR="00560773"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560773" w:rsidRPr="00A038BF">
        <w:rPr>
          <w:rFonts w:asciiTheme="majorBidi" w:hAnsiTheme="majorBidi" w:cstheme="majorBidi"/>
        </w:rPr>
        <w:t>/M</w:t>
      </w:r>
      <w:r w:rsidR="00560773" w:rsidRPr="00A038BF">
        <w:rPr>
          <w:rFonts w:asciiTheme="majorBidi" w:hAnsiTheme="majorBidi" w:cstheme="majorBidi"/>
          <w:vertAlign w:val="superscript"/>
        </w:rPr>
        <w:t xml:space="preserve">2, </w:t>
      </w:r>
      <w:r w:rsidR="00560773" w:rsidRPr="00A038BF">
        <w:rPr>
          <w:rFonts w:asciiTheme="majorBidi" w:hAnsiTheme="majorBidi" w:cstheme="majorBidi"/>
        </w:rPr>
        <w:t xml:space="preserve">which </w:t>
      </w:r>
      <w:r w:rsidR="0071732E" w:rsidRPr="00A038BF">
        <w:rPr>
          <w:rFonts w:asciiTheme="majorBidi" w:hAnsiTheme="majorBidi" w:cstheme="majorBidi"/>
        </w:rPr>
        <w:t>is</w:t>
      </w:r>
      <w:r w:rsidR="00560773" w:rsidRPr="00A038BF">
        <w:rPr>
          <w:rFonts w:asciiTheme="majorBidi" w:hAnsiTheme="majorBidi" w:cstheme="majorBidi"/>
        </w:rPr>
        <w:t xml:space="preserve"> 3% of the total emission</w:t>
      </w:r>
      <w:r w:rsidR="0071732E" w:rsidRPr="00A038BF">
        <w:rPr>
          <w:rFonts w:asciiTheme="majorBidi" w:hAnsiTheme="majorBidi" w:cstheme="majorBidi"/>
        </w:rPr>
        <w:t>s</w:t>
      </w:r>
      <w:r w:rsidR="00560773" w:rsidRPr="00A038BF">
        <w:rPr>
          <w:rFonts w:asciiTheme="majorBidi" w:hAnsiTheme="majorBidi" w:cstheme="majorBidi"/>
        </w:rPr>
        <w:t xml:space="preserve">. </w:t>
      </w:r>
    </w:p>
    <w:p w14:paraId="607D22E5" w14:textId="4F3D2C21" w:rsidR="00560773" w:rsidRPr="00A038BF" w:rsidRDefault="00560773" w:rsidP="00C30AC5">
      <w:pPr>
        <w:spacing w:line="276" w:lineRule="auto"/>
        <w:ind w:firstLine="720"/>
        <w:jc w:val="both"/>
        <w:rPr>
          <w:rFonts w:asciiTheme="majorBidi" w:hAnsiTheme="majorBidi" w:cstheme="majorBidi"/>
        </w:rPr>
      </w:pPr>
      <w:r w:rsidRPr="00A038BF">
        <w:rPr>
          <w:rFonts w:asciiTheme="majorBidi" w:hAnsiTheme="majorBidi" w:cstheme="majorBidi"/>
        </w:rPr>
        <w:t xml:space="preserve">The manufacturing of DLT is entirely different </w:t>
      </w:r>
      <w:r w:rsidR="008113F4" w:rsidRPr="00A038BF">
        <w:rPr>
          <w:rFonts w:asciiTheme="majorBidi" w:hAnsiTheme="majorBidi" w:cstheme="majorBidi"/>
        </w:rPr>
        <w:t>as it does</w:t>
      </w:r>
      <w:r w:rsidRPr="00A038BF">
        <w:rPr>
          <w:rFonts w:asciiTheme="majorBidi" w:hAnsiTheme="majorBidi" w:cstheme="majorBidi"/>
        </w:rPr>
        <w:t xml:space="preserve"> not use any glues or nails. </w:t>
      </w:r>
      <w:r w:rsidR="008113F4" w:rsidRPr="00A038BF">
        <w:rPr>
          <w:rFonts w:asciiTheme="majorBidi" w:hAnsiTheme="majorBidi" w:cstheme="majorBidi"/>
        </w:rPr>
        <w:t xml:space="preserve">The </w:t>
      </w:r>
      <w:r w:rsidRPr="00A038BF">
        <w:rPr>
          <w:rFonts w:asciiTheme="majorBidi" w:hAnsiTheme="majorBidi" w:cstheme="majorBidi"/>
        </w:rPr>
        <w:t>manufactur</w:t>
      </w:r>
      <w:r w:rsidR="008113F4" w:rsidRPr="00A038BF">
        <w:rPr>
          <w:rFonts w:asciiTheme="majorBidi" w:hAnsiTheme="majorBidi" w:cstheme="majorBidi"/>
        </w:rPr>
        <w:t>e of wood</w:t>
      </w:r>
      <w:r w:rsidRPr="00A038BF">
        <w:rPr>
          <w:rFonts w:asciiTheme="majorBidi" w:hAnsiTheme="majorBidi" w:cstheme="majorBidi"/>
        </w:rPr>
        <w:t xml:space="preserve"> </w:t>
      </w:r>
      <w:r w:rsidR="008113F4" w:rsidRPr="00A038BF">
        <w:rPr>
          <w:rFonts w:asciiTheme="majorBidi" w:hAnsiTheme="majorBidi" w:cstheme="majorBidi"/>
        </w:rPr>
        <w:t xml:space="preserve">results in </w:t>
      </w:r>
      <w:r w:rsidRPr="00A038BF">
        <w:rPr>
          <w:rFonts w:asciiTheme="majorBidi" w:hAnsiTheme="majorBidi" w:cstheme="majorBidi"/>
        </w:rPr>
        <w:t xml:space="preserve">the highest emission </w:t>
      </w:r>
      <w:r w:rsidR="008113F4" w:rsidRPr="00A038BF">
        <w:rPr>
          <w:rFonts w:asciiTheme="majorBidi" w:hAnsiTheme="majorBidi" w:cstheme="majorBidi"/>
        </w:rPr>
        <w:t xml:space="preserve">of </w:t>
      </w:r>
      <w:r w:rsidRPr="00A038BF">
        <w:rPr>
          <w:rFonts w:asciiTheme="majorBidi" w:eastAsia="Times New Roman" w:hAnsiTheme="majorBidi" w:cstheme="majorBidi"/>
        </w:rPr>
        <w:t>78</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Pr="00A038BF">
        <w:rPr>
          <w:rFonts w:asciiTheme="majorBidi" w:hAnsiTheme="majorBidi" w:cstheme="majorBidi"/>
        </w:rPr>
        <w:t>/M</w:t>
      </w:r>
      <w:r w:rsidRPr="00A038BF">
        <w:rPr>
          <w:rFonts w:asciiTheme="majorBidi" w:hAnsiTheme="majorBidi" w:cstheme="majorBidi"/>
          <w:vertAlign w:val="superscript"/>
        </w:rPr>
        <w:t xml:space="preserve">2 </w:t>
      </w:r>
      <w:r w:rsidRPr="00A038BF">
        <w:rPr>
          <w:rFonts w:asciiTheme="majorBidi" w:hAnsiTheme="majorBidi" w:cstheme="majorBidi"/>
        </w:rPr>
        <w:t>follow</w:t>
      </w:r>
      <w:r w:rsidR="00C30AC5" w:rsidRPr="00A038BF">
        <w:rPr>
          <w:rFonts w:asciiTheme="majorBidi" w:hAnsiTheme="majorBidi" w:cstheme="majorBidi"/>
        </w:rPr>
        <w:t>ed</w:t>
      </w:r>
      <w:r w:rsidRPr="00A038BF">
        <w:rPr>
          <w:rFonts w:asciiTheme="majorBidi" w:hAnsiTheme="majorBidi" w:cstheme="majorBidi"/>
        </w:rPr>
        <w:t xml:space="preserve"> by</w:t>
      </w:r>
      <w:r w:rsidRPr="00A038BF">
        <w:rPr>
          <w:rFonts w:asciiTheme="majorBidi" w:hAnsiTheme="majorBidi" w:cstheme="majorBidi"/>
          <w:vertAlign w:val="superscript"/>
        </w:rPr>
        <w:t xml:space="preserve"> </w:t>
      </w:r>
      <w:r w:rsidR="008113F4" w:rsidRPr="00A038BF">
        <w:rPr>
          <w:rFonts w:asciiTheme="majorBidi" w:eastAsia="Times New Roman" w:hAnsiTheme="majorBidi" w:cstheme="majorBidi"/>
        </w:rPr>
        <w:t xml:space="preserve">wood plantation at </w:t>
      </w:r>
      <w:r w:rsidRPr="00A038BF">
        <w:rPr>
          <w:rFonts w:asciiTheme="majorBidi" w:eastAsia="Times New Roman" w:hAnsiTheme="majorBidi" w:cstheme="majorBidi"/>
        </w:rPr>
        <w:t xml:space="preserve">30 </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/M</w:t>
      </w:r>
      <w:r w:rsidRPr="00A038BF">
        <w:rPr>
          <w:rFonts w:asciiTheme="majorBidi" w:hAnsiTheme="majorBidi" w:cstheme="majorBidi"/>
          <w:vertAlign w:val="superscript"/>
        </w:rPr>
        <w:t xml:space="preserve">2 </w:t>
      </w:r>
      <w:r w:rsidR="008113F4" w:rsidRPr="00A038BF">
        <w:rPr>
          <w:rFonts w:asciiTheme="majorBidi" w:eastAsia="Times New Roman" w:hAnsiTheme="majorBidi" w:cstheme="majorBidi"/>
        </w:rPr>
        <w:t xml:space="preserve">These are </w:t>
      </w:r>
      <w:r w:rsidRPr="00A038BF">
        <w:rPr>
          <w:rFonts w:asciiTheme="majorBidi" w:eastAsia="Times New Roman" w:hAnsiTheme="majorBidi" w:cstheme="majorBidi"/>
        </w:rPr>
        <w:t>responsible for 66% and 25% of total emission</w:t>
      </w:r>
      <w:r w:rsidR="008113F4" w:rsidRPr="00A038BF">
        <w:rPr>
          <w:rFonts w:asciiTheme="majorBidi" w:eastAsia="Times New Roman" w:hAnsiTheme="majorBidi" w:cstheme="majorBidi"/>
        </w:rPr>
        <w:t>s</w:t>
      </w:r>
      <w:r w:rsidRPr="00A038BF">
        <w:rPr>
          <w:rFonts w:asciiTheme="majorBidi" w:eastAsia="Times New Roman" w:hAnsiTheme="majorBidi" w:cstheme="majorBidi"/>
        </w:rPr>
        <w:t xml:space="preserve"> for manufacturing 1 M</w:t>
      </w:r>
      <w:r w:rsidRPr="00A038BF">
        <w:rPr>
          <w:rFonts w:asciiTheme="majorBidi" w:eastAsia="Times New Roman" w:hAnsiTheme="majorBidi" w:cstheme="majorBidi"/>
          <w:vertAlign w:val="superscript"/>
        </w:rPr>
        <w:t xml:space="preserve">2 </w:t>
      </w:r>
      <w:r w:rsidRPr="00A038BF">
        <w:rPr>
          <w:rFonts w:asciiTheme="majorBidi" w:eastAsia="Times New Roman" w:hAnsiTheme="majorBidi" w:cstheme="majorBidi"/>
        </w:rPr>
        <w:t>respectively. Other stages are dowel manufactur</w:t>
      </w:r>
      <w:r w:rsidR="008113F4" w:rsidRPr="00A038BF">
        <w:rPr>
          <w:rFonts w:asciiTheme="majorBidi" w:eastAsia="Times New Roman" w:hAnsiTheme="majorBidi" w:cstheme="majorBidi"/>
        </w:rPr>
        <w:t>e</w:t>
      </w:r>
      <w:r w:rsidRPr="00A038BF">
        <w:rPr>
          <w:rFonts w:asciiTheme="majorBidi" w:eastAsia="Times New Roman" w:hAnsiTheme="majorBidi" w:cstheme="majorBidi"/>
        </w:rPr>
        <w:t>, hydraulic press</w:t>
      </w:r>
      <w:r w:rsidR="008113F4" w:rsidRPr="00A038BF">
        <w:rPr>
          <w:rFonts w:asciiTheme="majorBidi" w:eastAsia="Times New Roman" w:hAnsiTheme="majorBidi" w:cstheme="majorBidi"/>
        </w:rPr>
        <w:t>ure</w:t>
      </w:r>
      <w:r w:rsidRPr="00A038BF">
        <w:rPr>
          <w:rFonts w:asciiTheme="majorBidi" w:eastAsia="Times New Roman" w:hAnsiTheme="majorBidi" w:cstheme="majorBidi"/>
        </w:rPr>
        <w:t>, and fabrication</w:t>
      </w:r>
      <w:r w:rsidR="008113F4" w:rsidRPr="00A038BF">
        <w:rPr>
          <w:rFonts w:asciiTheme="majorBidi" w:eastAsia="Times New Roman" w:hAnsiTheme="majorBidi" w:cstheme="majorBidi"/>
        </w:rPr>
        <w:t>. These</w:t>
      </w:r>
      <w:r w:rsidRPr="00A038BF">
        <w:rPr>
          <w:rFonts w:asciiTheme="majorBidi" w:eastAsia="Times New Roman" w:hAnsiTheme="majorBidi" w:cstheme="majorBidi"/>
        </w:rPr>
        <w:t xml:space="preserve"> </w:t>
      </w:r>
      <w:r w:rsidR="008113F4" w:rsidRPr="00A038BF">
        <w:rPr>
          <w:rFonts w:asciiTheme="majorBidi" w:eastAsia="Times New Roman" w:hAnsiTheme="majorBidi" w:cstheme="majorBidi"/>
        </w:rPr>
        <w:t xml:space="preserve">are assumed to </w:t>
      </w:r>
      <w:r w:rsidRPr="00A038BF">
        <w:rPr>
          <w:rFonts w:asciiTheme="majorBidi" w:eastAsia="Times New Roman" w:hAnsiTheme="majorBidi" w:cstheme="majorBidi"/>
        </w:rPr>
        <w:t>contribute 2</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Pr="00A038BF">
        <w:rPr>
          <w:rFonts w:asciiTheme="majorBidi" w:hAnsiTheme="majorBidi" w:cstheme="majorBidi"/>
        </w:rPr>
        <w:t>/M</w:t>
      </w:r>
      <w:r w:rsidRPr="00A038BF">
        <w:rPr>
          <w:rFonts w:asciiTheme="majorBidi" w:hAnsiTheme="majorBidi" w:cstheme="majorBidi"/>
          <w:vertAlign w:val="superscript"/>
        </w:rPr>
        <w:t>2</w:t>
      </w:r>
      <w:r w:rsidRPr="00A038BF">
        <w:rPr>
          <w:rFonts w:asciiTheme="majorBidi" w:eastAsia="Times New Roman" w:hAnsiTheme="majorBidi" w:cstheme="majorBidi"/>
        </w:rPr>
        <w:t>, 5.7</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Pr="00A038BF">
        <w:rPr>
          <w:rFonts w:asciiTheme="majorBidi" w:hAnsiTheme="majorBidi" w:cstheme="majorBidi"/>
        </w:rPr>
        <w:t>/M</w:t>
      </w:r>
      <w:r w:rsidRPr="00A038BF">
        <w:rPr>
          <w:rFonts w:asciiTheme="majorBidi" w:hAnsiTheme="majorBidi" w:cstheme="majorBidi"/>
          <w:vertAlign w:val="superscript"/>
        </w:rPr>
        <w:t>2,</w:t>
      </w:r>
      <w:r w:rsidRPr="00A038BF">
        <w:rPr>
          <w:rFonts w:asciiTheme="majorBidi" w:eastAsia="Times New Roman" w:hAnsiTheme="majorBidi" w:cstheme="majorBidi"/>
        </w:rPr>
        <w:t xml:space="preserve"> and 2.5 </w:t>
      </w:r>
      <w:r w:rsidR="00ED2FF7" w:rsidRPr="00A038BF">
        <w:rPr>
          <w:rFonts w:asciiTheme="majorBidi" w:hAnsiTheme="majorBidi" w:cstheme="majorBidi"/>
        </w:rPr>
        <w:t>Kg</w:t>
      </w:r>
      <w:r w:rsidRPr="00A038BF">
        <w:rPr>
          <w:rFonts w:asciiTheme="majorBidi" w:hAnsiTheme="majorBidi" w:cstheme="majorBidi"/>
        </w:rPr>
        <w:t>CO</w:t>
      </w:r>
      <w:r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Pr="00A038BF">
        <w:rPr>
          <w:rFonts w:asciiTheme="majorBidi" w:hAnsiTheme="majorBidi" w:cstheme="majorBidi"/>
        </w:rPr>
        <w:t>/M</w:t>
      </w:r>
      <w:r w:rsidRPr="00A038BF">
        <w:rPr>
          <w:rFonts w:asciiTheme="majorBidi" w:hAnsiTheme="majorBidi" w:cstheme="majorBidi"/>
          <w:vertAlign w:val="superscript"/>
        </w:rPr>
        <w:t>2</w:t>
      </w:r>
      <w:r w:rsidRPr="00A038BF">
        <w:rPr>
          <w:rFonts w:asciiTheme="majorBidi" w:hAnsiTheme="majorBidi" w:cstheme="majorBidi"/>
        </w:rPr>
        <w:t>,</w:t>
      </w:r>
      <w:r w:rsidRPr="00A038BF">
        <w:rPr>
          <w:rFonts w:asciiTheme="majorBidi" w:eastAsia="Times New Roman" w:hAnsiTheme="majorBidi" w:cstheme="majorBidi"/>
        </w:rPr>
        <w:t xml:space="preserve"> respectively.</w:t>
      </w:r>
      <w:r w:rsidRPr="00A038BF">
        <w:rPr>
          <w:rFonts w:ascii="Calibri" w:eastAsia="Times New Roman" w:hAnsi="Calibri" w:cs="Calibri"/>
        </w:rPr>
        <w:t xml:space="preserve"> </w:t>
      </w:r>
    </w:p>
    <w:p w14:paraId="3BB0893A" w14:textId="6EAFBEF6" w:rsidR="00EB2F34" w:rsidRPr="00A038BF" w:rsidRDefault="00EB2F34" w:rsidP="00C30AC5">
      <w:pPr>
        <w:spacing w:line="276" w:lineRule="auto"/>
        <w:ind w:firstLine="720"/>
        <w:jc w:val="both"/>
        <w:rPr>
          <w:rFonts w:ascii="Times New Roman" w:eastAsia="Times New Roman" w:hAnsi="Times New Roman" w:cs="Times New Roman"/>
        </w:rPr>
      </w:pPr>
      <w:r w:rsidRPr="00A038BF">
        <w:rPr>
          <w:rFonts w:asciiTheme="majorBidi" w:hAnsiTheme="majorBidi" w:cstheme="majorBidi"/>
        </w:rPr>
        <w:t>The third case</w:t>
      </w:r>
      <w:r w:rsidR="00045ACA" w:rsidRPr="00A038BF">
        <w:rPr>
          <w:rFonts w:asciiTheme="majorBidi" w:hAnsiTheme="majorBidi" w:cstheme="majorBidi"/>
        </w:rPr>
        <w:t>,</w:t>
      </w:r>
      <w:r w:rsidRPr="00A038BF">
        <w:rPr>
          <w:rFonts w:asciiTheme="majorBidi" w:hAnsiTheme="majorBidi" w:cstheme="majorBidi"/>
        </w:rPr>
        <w:t xml:space="preserve"> NLT</w:t>
      </w:r>
      <w:r w:rsidR="00045ACA" w:rsidRPr="00A038BF">
        <w:rPr>
          <w:rFonts w:asciiTheme="majorBidi" w:hAnsiTheme="majorBidi" w:cstheme="majorBidi"/>
        </w:rPr>
        <w:t>,</w:t>
      </w:r>
      <w:r w:rsidRPr="00A038BF">
        <w:rPr>
          <w:rFonts w:asciiTheme="majorBidi" w:hAnsiTheme="majorBidi" w:cstheme="majorBidi"/>
        </w:rPr>
        <w:t xml:space="preserve"> </w:t>
      </w:r>
      <w:r w:rsidR="00045ACA" w:rsidRPr="00A038BF">
        <w:rPr>
          <w:rFonts w:asciiTheme="majorBidi" w:hAnsiTheme="majorBidi" w:cstheme="majorBidi"/>
        </w:rPr>
        <w:t xml:space="preserve">generates </w:t>
      </w:r>
      <w:r w:rsidR="00ED2FF7" w:rsidRPr="00A038BF">
        <w:rPr>
          <w:rFonts w:asciiTheme="majorBidi" w:hAnsiTheme="majorBidi" w:cstheme="majorBidi"/>
        </w:rPr>
        <w:t>133.5 Kg</w:t>
      </w:r>
      <w:r w:rsidRPr="00A038BF">
        <w:rPr>
          <w:rFonts w:asciiTheme="majorBidi" w:hAnsiTheme="majorBidi" w:cstheme="majorBidi"/>
        </w:rPr>
        <w:t>CO</w:t>
      </w:r>
      <w:r w:rsidRPr="00A038BF">
        <w:rPr>
          <w:rFonts w:asciiTheme="majorBidi" w:hAnsiTheme="majorBidi" w:cstheme="majorBidi"/>
          <w:vertAlign w:val="subscript"/>
        </w:rPr>
        <w:t>2</w:t>
      </w:r>
      <w:r w:rsidR="000915DE" w:rsidRPr="00A038BF">
        <w:rPr>
          <w:rFonts w:asciiTheme="majorBidi" w:hAnsiTheme="majorBidi" w:cstheme="majorBidi"/>
        </w:rPr>
        <w:t>eq</w:t>
      </w:r>
      <w:r w:rsidRPr="00A038BF">
        <w:rPr>
          <w:rFonts w:asciiTheme="majorBidi" w:hAnsiTheme="majorBidi" w:cstheme="majorBidi"/>
        </w:rPr>
        <w:t>/M</w:t>
      </w:r>
      <w:r w:rsidRPr="00A038BF">
        <w:rPr>
          <w:rFonts w:asciiTheme="majorBidi" w:hAnsiTheme="majorBidi" w:cstheme="majorBidi"/>
          <w:vertAlign w:val="superscript"/>
        </w:rPr>
        <w:t>2</w:t>
      </w:r>
      <w:r w:rsidRPr="00A038BF">
        <w:rPr>
          <w:rFonts w:asciiTheme="majorBidi" w:hAnsiTheme="majorBidi" w:cstheme="majorBidi"/>
        </w:rPr>
        <w:t xml:space="preserve"> </w:t>
      </w:r>
      <w:r w:rsidR="00045ACA" w:rsidRPr="00A038BF">
        <w:rPr>
          <w:rFonts w:asciiTheme="majorBidi" w:hAnsiTheme="majorBidi" w:cstheme="majorBidi"/>
        </w:rPr>
        <w:t xml:space="preserve">during </w:t>
      </w:r>
      <w:r w:rsidRPr="00A038BF">
        <w:rPr>
          <w:rFonts w:asciiTheme="majorBidi" w:hAnsiTheme="majorBidi" w:cstheme="majorBidi"/>
        </w:rPr>
        <w:t xml:space="preserve">its manufacturing stage. </w:t>
      </w:r>
      <w:r w:rsidR="00C7291A" w:rsidRPr="00A038BF">
        <w:rPr>
          <w:rFonts w:asciiTheme="majorBidi" w:hAnsiTheme="majorBidi" w:cstheme="majorBidi"/>
        </w:rPr>
        <w:t>Similar to the</w:t>
      </w:r>
      <w:r w:rsidR="00DD0B8A" w:rsidRPr="00A038BF">
        <w:rPr>
          <w:rFonts w:asciiTheme="majorBidi" w:hAnsiTheme="majorBidi" w:cstheme="majorBidi"/>
        </w:rPr>
        <w:t xml:space="preserve"> previous mass wood</w:t>
      </w:r>
      <w:r w:rsidR="00C7291A" w:rsidRPr="00A038BF">
        <w:rPr>
          <w:rFonts w:asciiTheme="majorBidi" w:hAnsiTheme="majorBidi" w:cstheme="majorBidi"/>
        </w:rPr>
        <w:t xml:space="preserve"> case</w:t>
      </w:r>
      <w:r w:rsidR="00711B3B" w:rsidRPr="00A038BF">
        <w:rPr>
          <w:rFonts w:asciiTheme="majorBidi" w:hAnsiTheme="majorBidi" w:cstheme="majorBidi"/>
        </w:rPr>
        <w:t>,</w:t>
      </w:r>
      <w:r w:rsidR="00DD0B8A" w:rsidRPr="00A038BF">
        <w:rPr>
          <w:rFonts w:asciiTheme="majorBidi" w:hAnsiTheme="majorBidi" w:cstheme="majorBidi"/>
        </w:rPr>
        <w:t xml:space="preserve"> the highest contribution of emission </w:t>
      </w:r>
      <w:r w:rsidR="00C7291A" w:rsidRPr="00A038BF">
        <w:rPr>
          <w:rFonts w:asciiTheme="majorBidi" w:hAnsiTheme="majorBidi" w:cstheme="majorBidi"/>
        </w:rPr>
        <w:t>is for</w:t>
      </w:r>
      <w:r w:rsidR="00DD0B8A" w:rsidRPr="00A038BF">
        <w:rPr>
          <w:rFonts w:asciiTheme="majorBidi" w:hAnsiTheme="majorBidi" w:cstheme="majorBidi"/>
        </w:rPr>
        <w:t xml:space="preserve"> the </w:t>
      </w:r>
      <w:r w:rsidR="00C7291A" w:rsidRPr="00A038BF">
        <w:rPr>
          <w:rFonts w:asciiTheme="majorBidi" w:eastAsia="Times New Roman" w:hAnsiTheme="majorBidi" w:cstheme="majorBidi"/>
        </w:rPr>
        <w:t>m</w:t>
      </w:r>
      <w:r w:rsidR="00DD0B8A" w:rsidRPr="00A038BF">
        <w:rPr>
          <w:rFonts w:asciiTheme="majorBidi" w:eastAsia="Times New Roman" w:hAnsiTheme="majorBidi" w:cstheme="majorBidi"/>
        </w:rPr>
        <w:t>anufactur</w:t>
      </w:r>
      <w:r w:rsidR="00C7291A" w:rsidRPr="00A038BF">
        <w:rPr>
          <w:rFonts w:asciiTheme="majorBidi" w:eastAsia="Times New Roman" w:hAnsiTheme="majorBidi" w:cstheme="majorBidi"/>
        </w:rPr>
        <w:t>e of timber at</w:t>
      </w:r>
      <w:r w:rsidR="00DD0B8A" w:rsidRPr="00A038BF">
        <w:rPr>
          <w:rFonts w:asciiTheme="majorBidi" w:eastAsia="Times New Roman" w:hAnsiTheme="majorBidi" w:cstheme="majorBidi"/>
        </w:rPr>
        <w:t xml:space="preserve"> 87</w:t>
      </w:r>
      <w:r w:rsidR="00DD0B8A" w:rsidRPr="00A038BF">
        <w:rPr>
          <w:rFonts w:asciiTheme="majorBidi" w:hAnsiTheme="majorBidi" w:cstheme="majorBidi"/>
        </w:rPr>
        <w:t xml:space="preserve"> Kg CO</w:t>
      </w:r>
      <w:r w:rsidR="00DD0B8A"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C7291A" w:rsidRPr="00A038BF">
        <w:rPr>
          <w:rFonts w:asciiTheme="majorBidi" w:hAnsiTheme="majorBidi" w:cstheme="majorBidi"/>
          <w:vertAlign w:val="subscript"/>
        </w:rPr>
        <w:t xml:space="preserve"> </w:t>
      </w:r>
      <w:r w:rsidR="00DD0B8A" w:rsidRPr="00A038BF">
        <w:rPr>
          <w:rFonts w:asciiTheme="majorBidi" w:hAnsiTheme="majorBidi" w:cstheme="majorBidi"/>
          <w:vertAlign w:val="subscript"/>
        </w:rPr>
        <w:t xml:space="preserve"> </w:t>
      </w:r>
      <w:r w:rsidR="00C7291A" w:rsidRPr="00A038BF">
        <w:rPr>
          <w:rFonts w:asciiTheme="majorBidi" w:hAnsiTheme="majorBidi" w:cstheme="majorBidi"/>
        </w:rPr>
        <w:t>This is f</w:t>
      </w:r>
      <w:r w:rsidR="00DD0B8A" w:rsidRPr="00A038BF">
        <w:rPr>
          <w:rFonts w:asciiTheme="majorBidi" w:hAnsiTheme="majorBidi" w:cstheme="majorBidi"/>
        </w:rPr>
        <w:t>ollowed by</w:t>
      </w:r>
      <w:r w:rsidR="00DD0B8A" w:rsidRPr="00A038BF">
        <w:rPr>
          <w:rFonts w:asciiTheme="majorBidi" w:hAnsiTheme="majorBidi" w:cstheme="majorBidi"/>
          <w:vertAlign w:val="subscript"/>
        </w:rPr>
        <w:t xml:space="preserve"> </w:t>
      </w:r>
      <w:r w:rsidR="00C7291A" w:rsidRPr="00A038BF">
        <w:rPr>
          <w:rFonts w:asciiTheme="majorBidi" w:eastAsia="Times New Roman" w:hAnsiTheme="majorBidi" w:cstheme="majorBidi"/>
        </w:rPr>
        <w:t xml:space="preserve">wood plantation at </w:t>
      </w:r>
      <w:r w:rsidR="00DD0B8A" w:rsidRPr="00A038BF">
        <w:rPr>
          <w:rFonts w:asciiTheme="majorBidi" w:eastAsia="Times New Roman" w:hAnsiTheme="majorBidi" w:cstheme="majorBidi"/>
        </w:rPr>
        <w:t>30</w:t>
      </w:r>
      <w:r w:rsidR="00ED2FF7" w:rsidRPr="00A038BF">
        <w:rPr>
          <w:rFonts w:asciiTheme="majorBidi" w:hAnsiTheme="majorBidi" w:cstheme="majorBidi"/>
        </w:rPr>
        <w:t xml:space="preserve"> Kg</w:t>
      </w:r>
      <w:r w:rsidR="00DD0B8A" w:rsidRPr="00A038BF">
        <w:rPr>
          <w:rFonts w:asciiTheme="majorBidi" w:hAnsiTheme="majorBidi" w:cstheme="majorBidi"/>
        </w:rPr>
        <w:t>CO</w:t>
      </w:r>
      <w:r w:rsidR="00DD0B8A"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DD0B8A" w:rsidRPr="00A038BF">
        <w:rPr>
          <w:rFonts w:asciiTheme="majorBidi" w:hAnsiTheme="majorBidi" w:cstheme="majorBidi"/>
          <w:vertAlign w:val="subscript"/>
        </w:rPr>
        <w:t xml:space="preserve">. </w:t>
      </w:r>
      <w:r w:rsidR="00DD0B8A" w:rsidRPr="00A038BF">
        <w:rPr>
          <w:rFonts w:asciiTheme="majorBidi" w:hAnsiTheme="majorBidi" w:cstheme="majorBidi"/>
        </w:rPr>
        <w:t>These stages contribute 65% and 25% of total emission</w:t>
      </w:r>
      <w:r w:rsidR="00711B3B" w:rsidRPr="00A038BF">
        <w:rPr>
          <w:rFonts w:asciiTheme="majorBidi" w:hAnsiTheme="majorBidi" w:cstheme="majorBidi"/>
        </w:rPr>
        <w:t>s</w:t>
      </w:r>
      <w:r w:rsidR="00DD0B8A" w:rsidRPr="00A038BF">
        <w:rPr>
          <w:rFonts w:asciiTheme="majorBidi" w:hAnsiTheme="majorBidi" w:cstheme="majorBidi"/>
        </w:rPr>
        <w:t xml:space="preserve"> for manufacturing 1 M</w:t>
      </w:r>
      <w:r w:rsidR="00DD0B8A" w:rsidRPr="00A038BF">
        <w:rPr>
          <w:rFonts w:asciiTheme="majorBidi" w:hAnsiTheme="majorBidi" w:cstheme="majorBidi"/>
          <w:vertAlign w:val="superscript"/>
        </w:rPr>
        <w:t>2</w:t>
      </w:r>
      <w:r w:rsidR="00711B3B" w:rsidRPr="00A038BF">
        <w:rPr>
          <w:rFonts w:asciiTheme="majorBidi" w:hAnsiTheme="majorBidi" w:cstheme="majorBidi"/>
        </w:rPr>
        <w:t>,</w:t>
      </w:r>
      <w:r w:rsidR="00DD0B8A" w:rsidRPr="00A038BF">
        <w:rPr>
          <w:rFonts w:asciiTheme="majorBidi" w:hAnsiTheme="majorBidi" w:cstheme="majorBidi"/>
          <w:vertAlign w:val="superscript"/>
        </w:rPr>
        <w:t xml:space="preserve"> </w:t>
      </w:r>
      <w:r w:rsidR="00DD0B8A" w:rsidRPr="00A038BF">
        <w:rPr>
          <w:rFonts w:asciiTheme="majorBidi" w:hAnsiTheme="majorBidi" w:cstheme="majorBidi"/>
        </w:rPr>
        <w:t xml:space="preserve">respectively. </w:t>
      </w:r>
      <w:r w:rsidR="00477F68" w:rsidRPr="00A038BF">
        <w:rPr>
          <w:rFonts w:asciiTheme="majorBidi" w:hAnsiTheme="majorBidi" w:cstheme="majorBidi"/>
        </w:rPr>
        <w:t>The nail</w:t>
      </w:r>
      <w:r w:rsidR="00C7291A" w:rsidRPr="00A038BF">
        <w:rPr>
          <w:rFonts w:asciiTheme="majorBidi" w:hAnsiTheme="majorBidi" w:cstheme="majorBidi"/>
        </w:rPr>
        <w:t>s</w:t>
      </w:r>
      <w:r w:rsidR="00477F68" w:rsidRPr="00A038BF">
        <w:rPr>
          <w:rFonts w:asciiTheme="majorBidi" w:hAnsiTheme="majorBidi" w:cstheme="majorBidi"/>
        </w:rPr>
        <w:t xml:space="preserve"> </w:t>
      </w:r>
      <w:r w:rsidR="00711B3B" w:rsidRPr="00A038BF">
        <w:rPr>
          <w:rFonts w:asciiTheme="majorBidi" w:hAnsiTheme="majorBidi" w:cstheme="majorBidi"/>
        </w:rPr>
        <w:t xml:space="preserve">used in NLT </w:t>
      </w:r>
      <w:r w:rsidR="00477F68" w:rsidRPr="00A038BF">
        <w:rPr>
          <w:rFonts w:asciiTheme="majorBidi" w:hAnsiTheme="majorBidi" w:cstheme="majorBidi"/>
        </w:rPr>
        <w:t>emi</w:t>
      </w:r>
      <w:r w:rsidR="00C7291A" w:rsidRPr="00A038BF">
        <w:rPr>
          <w:rFonts w:asciiTheme="majorBidi" w:hAnsiTheme="majorBidi" w:cstheme="majorBidi"/>
        </w:rPr>
        <w:t xml:space="preserve">t more </w:t>
      </w:r>
      <w:r w:rsidR="00477F68" w:rsidRPr="00A038BF">
        <w:rPr>
          <w:rFonts w:asciiTheme="majorBidi" w:hAnsiTheme="majorBidi" w:cstheme="majorBidi"/>
        </w:rPr>
        <w:t xml:space="preserve">than </w:t>
      </w:r>
      <w:r w:rsidR="00C7291A" w:rsidRPr="00A038BF">
        <w:rPr>
          <w:rFonts w:asciiTheme="majorBidi" w:hAnsiTheme="majorBidi" w:cstheme="majorBidi"/>
        </w:rPr>
        <w:t xml:space="preserve">the </w:t>
      </w:r>
      <w:r w:rsidR="00477F68" w:rsidRPr="00A038BF">
        <w:rPr>
          <w:rFonts w:asciiTheme="majorBidi" w:hAnsiTheme="majorBidi" w:cstheme="majorBidi"/>
        </w:rPr>
        <w:t>glue</w:t>
      </w:r>
      <w:r w:rsidR="00C7291A" w:rsidRPr="00A038BF">
        <w:rPr>
          <w:rFonts w:asciiTheme="majorBidi" w:hAnsiTheme="majorBidi" w:cstheme="majorBidi"/>
        </w:rPr>
        <w:t xml:space="preserve"> used</w:t>
      </w:r>
      <w:r w:rsidR="00477F68" w:rsidRPr="00A038BF">
        <w:rPr>
          <w:rFonts w:asciiTheme="majorBidi" w:hAnsiTheme="majorBidi" w:cstheme="majorBidi"/>
        </w:rPr>
        <w:t xml:space="preserve"> in CLT and </w:t>
      </w:r>
      <w:r w:rsidR="00C7291A" w:rsidRPr="00A038BF">
        <w:rPr>
          <w:rFonts w:asciiTheme="majorBidi" w:hAnsiTheme="majorBidi" w:cstheme="majorBidi"/>
        </w:rPr>
        <w:t>the d</w:t>
      </w:r>
      <w:r w:rsidR="00477F68" w:rsidRPr="00A038BF">
        <w:rPr>
          <w:rFonts w:asciiTheme="majorBidi" w:hAnsiTheme="majorBidi" w:cstheme="majorBidi"/>
        </w:rPr>
        <w:t>owel</w:t>
      </w:r>
      <w:r w:rsidR="00C7291A" w:rsidRPr="00A038BF">
        <w:rPr>
          <w:rFonts w:asciiTheme="majorBidi" w:hAnsiTheme="majorBidi" w:cstheme="majorBidi"/>
        </w:rPr>
        <w:t>s used</w:t>
      </w:r>
      <w:r w:rsidR="00477F68" w:rsidRPr="00A038BF">
        <w:rPr>
          <w:rFonts w:asciiTheme="majorBidi" w:hAnsiTheme="majorBidi" w:cstheme="majorBidi"/>
        </w:rPr>
        <w:t xml:space="preserve"> in DLT. The contribution of nail</w:t>
      </w:r>
      <w:r w:rsidR="00C7291A" w:rsidRPr="00A038BF">
        <w:rPr>
          <w:rFonts w:asciiTheme="majorBidi" w:hAnsiTheme="majorBidi" w:cstheme="majorBidi"/>
        </w:rPr>
        <w:t>s</w:t>
      </w:r>
      <w:r w:rsidR="00477F68" w:rsidRPr="00A038BF">
        <w:rPr>
          <w:rFonts w:asciiTheme="majorBidi" w:hAnsiTheme="majorBidi" w:cstheme="majorBidi"/>
        </w:rPr>
        <w:t xml:space="preserve"> is about </w:t>
      </w:r>
      <w:r w:rsidR="00477F68" w:rsidRPr="00A038BF">
        <w:rPr>
          <w:rFonts w:asciiTheme="majorBidi" w:eastAsia="Times New Roman" w:hAnsiTheme="majorBidi" w:cstheme="majorBidi"/>
        </w:rPr>
        <w:t>12</w:t>
      </w:r>
      <w:r w:rsidR="00ED2FF7" w:rsidRPr="00A038BF">
        <w:rPr>
          <w:rFonts w:asciiTheme="majorBidi" w:hAnsiTheme="majorBidi" w:cstheme="majorBidi"/>
        </w:rPr>
        <w:t xml:space="preserve"> Kg</w:t>
      </w:r>
      <w:r w:rsidR="00477F68" w:rsidRPr="00A038BF">
        <w:rPr>
          <w:rFonts w:asciiTheme="majorBidi" w:hAnsiTheme="majorBidi" w:cstheme="majorBidi"/>
        </w:rPr>
        <w:t>CO</w:t>
      </w:r>
      <w:r w:rsidR="00477F68"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477F68" w:rsidRPr="00A038BF">
        <w:rPr>
          <w:rFonts w:asciiTheme="majorBidi" w:hAnsiTheme="majorBidi" w:cstheme="majorBidi"/>
          <w:vertAlign w:val="subscript"/>
        </w:rPr>
        <w:t xml:space="preserve"> </w:t>
      </w:r>
      <w:r w:rsidR="00C7291A" w:rsidRPr="00A038BF">
        <w:rPr>
          <w:rFonts w:asciiTheme="majorBidi" w:hAnsiTheme="majorBidi" w:cstheme="majorBidi"/>
        </w:rPr>
        <w:t xml:space="preserve">and is </w:t>
      </w:r>
      <w:r w:rsidR="00477F68" w:rsidRPr="00A038BF">
        <w:rPr>
          <w:rFonts w:asciiTheme="majorBidi" w:hAnsiTheme="majorBidi" w:cstheme="majorBidi"/>
        </w:rPr>
        <w:t xml:space="preserve">responsible </w:t>
      </w:r>
      <w:r w:rsidR="00711B3B" w:rsidRPr="00A038BF">
        <w:rPr>
          <w:rFonts w:asciiTheme="majorBidi" w:hAnsiTheme="majorBidi" w:cstheme="majorBidi"/>
        </w:rPr>
        <w:t>for</w:t>
      </w:r>
      <w:r w:rsidR="00477F68" w:rsidRPr="00A038BF">
        <w:rPr>
          <w:rFonts w:asciiTheme="majorBidi" w:hAnsiTheme="majorBidi" w:cstheme="majorBidi"/>
        </w:rPr>
        <w:t xml:space="preserve"> 9% versus 3% </w:t>
      </w:r>
      <w:r w:rsidR="001C003A" w:rsidRPr="00A038BF">
        <w:rPr>
          <w:rFonts w:asciiTheme="majorBidi" w:hAnsiTheme="majorBidi" w:cstheme="majorBidi"/>
        </w:rPr>
        <w:t xml:space="preserve">for </w:t>
      </w:r>
      <w:r w:rsidR="00477F68" w:rsidRPr="00A038BF">
        <w:rPr>
          <w:rFonts w:asciiTheme="majorBidi" w:hAnsiTheme="majorBidi" w:cstheme="majorBidi"/>
        </w:rPr>
        <w:t>adhesive</w:t>
      </w:r>
      <w:r w:rsidR="001C003A" w:rsidRPr="00A038BF">
        <w:rPr>
          <w:rFonts w:asciiTheme="majorBidi" w:hAnsiTheme="majorBidi" w:cstheme="majorBidi"/>
        </w:rPr>
        <w:t>s</w:t>
      </w:r>
      <w:r w:rsidR="00477F68" w:rsidRPr="00A038BF">
        <w:rPr>
          <w:rFonts w:asciiTheme="majorBidi" w:hAnsiTheme="majorBidi" w:cstheme="majorBidi"/>
        </w:rPr>
        <w:t xml:space="preserve"> and 2% of </w:t>
      </w:r>
      <w:r w:rsidR="00665F42" w:rsidRPr="00A038BF">
        <w:rPr>
          <w:rFonts w:asciiTheme="majorBidi" w:hAnsiTheme="majorBidi" w:cstheme="majorBidi"/>
        </w:rPr>
        <w:t>d</w:t>
      </w:r>
      <w:r w:rsidR="00477F68" w:rsidRPr="00A038BF">
        <w:rPr>
          <w:rFonts w:asciiTheme="majorBidi" w:hAnsiTheme="majorBidi" w:cstheme="majorBidi"/>
        </w:rPr>
        <w:t>owel</w:t>
      </w:r>
      <w:r w:rsidR="001C003A" w:rsidRPr="00A038BF">
        <w:rPr>
          <w:rFonts w:asciiTheme="majorBidi" w:hAnsiTheme="majorBidi" w:cstheme="majorBidi"/>
        </w:rPr>
        <w:t>s,</w:t>
      </w:r>
      <w:r w:rsidR="00477F68" w:rsidRPr="00A038BF">
        <w:rPr>
          <w:rFonts w:asciiTheme="majorBidi" w:hAnsiTheme="majorBidi" w:cstheme="majorBidi"/>
        </w:rPr>
        <w:t xml:space="preserve"> compared to </w:t>
      </w:r>
      <w:r w:rsidR="00711B3B" w:rsidRPr="00A038BF">
        <w:rPr>
          <w:rFonts w:asciiTheme="majorBidi" w:hAnsiTheme="majorBidi" w:cstheme="majorBidi"/>
        </w:rPr>
        <w:t xml:space="preserve">the </w:t>
      </w:r>
      <w:r w:rsidR="00477F68" w:rsidRPr="00A038BF">
        <w:rPr>
          <w:rFonts w:asciiTheme="majorBidi" w:hAnsiTheme="majorBidi" w:cstheme="majorBidi"/>
        </w:rPr>
        <w:t>other two cases. The</w:t>
      </w:r>
      <w:r w:rsidR="001C003A" w:rsidRPr="00A038BF">
        <w:rPr>
          <w:rFonts w:asciiTheme="majorBidi" w:hAnsiTheme="majorBidi" w:cstheme="majorBidi"/>
        </w:rPr>
        <w:t>se</w:t>
      </w:r>
      <w:r w:rsidR="00477F68" w:rsidRPr="00A038BF">
        <w:rPr>
          <w:rFonts w:asciiTheme="majorBidi" w:hAnsiTheme="majorBidi" w:cstheme="majorBidi"/>
        </w:rPr>
        <w:t xml:space="preserve"> result</w:t>
      </w:r>
      <w:r w:rsidR="001C003A" w:rsidRPr="00A038BF">
        <w:rPr>
          <w:rFonts w:asciiTheme="majorBidi" w:hAnsiTheme="majorBidi" w:cstheme="majorBidi"/>
        </w:rPr>
        <w:t>s</w:t>
      </w:r>
      <w:r w:rsidR="00477F68" w:rsidRPr="00A038BF">
        <w:rPr>
          <w:rFonts w:asciiTheme="majorBidi" w:hAnsiTheme="majorBidi" w:cstheme="majorBidi"/>
        </w:rPr>
        <w:t xml:space="preserve"> reveal the importance of choosing </w:t>
      </w:r>
      <w:r w:rsidR="001C003A" w:rsidRPr="00A038BF">
        <w:rPr>
          <w:rFonts w:asciiTheme="majorBidi" w:hAnsiTheme="majorBidi" w:cstheme="majorBidi"/>
        </w:rPr>
        <w:t xml:space="preserve">appropriate </w:t>
      </w:r>
      <w:r w:rsidR="00477F68" w:rsidRPr="00A038BF">
        <w:rPr>
          <w:rFonts w:asciiTheme="majorBidi" w:hAnsiTheme="majorBidi" w:cstheme="majorBidi"/>
        </w:rPr>
        <w:t xml:space="preserve">materials. </w:t>
      </w:r>
      <w:r w:rsidR="008009C4" w:rsidRPr="00A038BF">
        <w:rPr>
          <w:rFonts w:asciiTheme="majorBidi" w:hAnsiTheme="majorBidi" w:cstheme="majorBidi"/>
        </w:rPr>
        <w:t xml:space="preserve">The last stage is </w:t>
      </w:r>
      <w:r w:rsidR="00665F42" w:rsidRPr="00A038BF">
        <w:rPr>
          <w:rFonts w:asciiTheme="majorBidi" w:eastAsia="Times New Roman" w:hAnsiTheme="majorBidi" w:cstheme="majorBidi"/>
        </w:rPr>
        <w:t>f</w:t>
      </w:r>
      <w:r w:rsidR="008009C4" w:rsidRPr="00A038BF">
        <w:rPr>
          <w:rFonts w:asciiTheme="majorBidi" w:eastAsia="Times New Roman" w:hAnsiTheme="majorBidi" w:cstheme="majorBidi"/>
        </w:rPr>
        <w:t>abrication</w:t>
      </w:r>
      <w:r w:rsidR="00711B3B" w:rsidRPr="00A038BF">
        <w:rPr>
          <w:rFonts w:asciiTheme="majorBidi" w:eastAsia="Times New Roman" w:hAnsiTheme="majorBidi" w:cstheme="majorBidi"/>
        </w:rPr>
        <w:t>,</w:t>
      </w:r>
      <w:r w:rsidR="004E5C27" w:rsidRPr="00A038BF">
        <w:rPr>
          <w:rFonts w:asciiTheme="majorBidi" w:eastAsia="Times New Roman" w:hAnsiTheme="majorBidi" w:cstheme="majorBidi"/>
        </w:rPr>
        <w:t xml:space="preserve"> when panels </w:t>
      </w:r>
      <w:r w:rsidR="00711B3B" w:rsidRPr="00A038BF">
        <w:rPr>
          <w:rFonts w:asciiTheme="majorBidi" w:eastAsia="Times New Roman" w:hAnsiTheme="majorBidi" w:cstheme="majorBidi"/>
        </w:rPr>
        <w:t xml:space="preserve">are </w:t>
      </w:r>
      <w:r w:rsidR="004E5C27" w:rsidRPr="00A038BF">
        <w:rPr>
          <w:rFonts w:asciiTheme="majorBidi" w:eastAsia="Times New Roman" w:hAnsiTheme="majorBidi" w:cstheme="majorBidi"/>
        </w:rPr>
        <w:t xml:space="preserve">cut </w:t>
      </w:r>
      <w:r w:rsidR="00206693" w:rsidRPr="00A038BF">
        <w:rPr>
          <w:rFonts w:asciiTheme="majorBidi" w:eastAsia="Times New Roman" w:hAnsiTheme="majorBidi" w:cstheme="majorBidi"/>
        </w:rPr>
        <w:t xml:space="preserve">to </w:t>
      </w:r>
      <w:r w:rsidR="004E5C27" w:rsidRPr="00A038BF">
        <w:rPr>
          <w:rFonts w:asciiTheme="majorBidi" w:eastAsia="Times New Roman" w:hAnsiTheme="majorBidi" w:cstheme="majorBidi"/>
        </w:rPr>
        <w:t>the requ</w:t>
      </w:r>
      <w:r w:rsidR="00206693" w:rsidRPr="00A038BF">
        <w:rPr>
          <w:rFonts w:asciiTheme="majorBidi" w:eastAsia="Times New Roman" w:hAnsiTheme="majorBidi" w:cstheme="majorBidi"/>
        </w:rPr>
        <w:t>ired</w:t>
      </w:r>
      <w:r w:rsidR="004E5C27" w:rsidRPr="00A038BF">
        <w:rPr>
          <w:rFonts w:asciiTheme="majorBidi" w:eastAsia="Times New Roman" w:hAnsiTheme="majorBidi" w:cstheme="majorBidi"/>
        </w:rPr>
        <w:t xml:space="preserve"> size</w:t>
      </w:r>
      <w:r w:rsidR="00206693" w:rsidRPr="00A038BF">
        <w:rPr>
          <w:rFonts w:asciiTheme="majorBidi" w:eastAsia="Times New Roman" w:hAnsiTheme="majorBidi" w:cstheme="majorBidi"/>
        </w:rPr>
        <w:t>s. I</w:t>
      </w:r>
      <w:r w:rsidR="004E5C27" w:rsidRPr="00A038BF">
        <w:rPr>
          <w:rFonts w:asciiTheme="majorBidi" w:eastAsia="Times New Roman" w:hAnsiTheme="majorBidi" w:cstheme="majorBidi"/>
        </w:rPr>
        <w:t>t</w:t>
      </w:r>
      <w:r w:rsidR="008009C4" w:rsidRPr="00A038BF">
        <w:rPr>
          <w:rFonts w:asciiTheme="majorBidi" w:eastAsia="Times New Roman" w:hAnsiTheme="majorBidi" w:cstheme="majorBidi"/>
        </w:rPr>
        <w:t xml:space="preserve"> contribute</w:t>
      </w:r>
      <w:r w:rsidR="00206693" w:rsidRPr="00A038BF">
        <w:rPr>
          <w:rFonts w:asciiTheme="majorBidi" w:eastAsia="Times New Roman" w:hAnsiTheme="majorBidi" w:cstheme="majorBidi"/>
        </w:rPr>
        <w:t>s</w:t>
      </w:r>
      <w:r w:rsidR="008009C4" w:rsidRPr="00A038BF">
        <w:rPr>
          <w:rFonts w:asciiTheme="majorBidi" w:eastAsia="Times New Roman" w:hAnsiTheme="majorBidi" w:cstheme="majorBidi"/>
        </w:rPr>
        <w:t xml:space="preserve"> 3% </w:t>
      </w:r>
      <w:r w:rsidR="00206693" w:rsidRPr="00A038BF">
        <w:rPr>
          <w:rFonts w:asciiTheme="majorBidi" w:eastAsia="Times New Roman" w:hAnsiTheme="majorBidi" w:cstheme="majorBidi"/>
        </w:rPr>
        <w:t xml:space="preserve">to </w:t>
      </w:r>
      <w:r w:rsidR="008009C4" w:rsidRPr="00A038BF">
        <w:rPr>
          <w:rFonts w:asciiTheme="majorBidi" w:eastAsia="Times New Roman" w:hAnsiTheme="majorBidi" w:cstheme="majorBidi"/>
        </w:rPr>
        <w:t>emission</w:t>
      </w:r>
      <w:r w:rsidR="00206693" w:rsidRPr="00A038BF">
        <w:rPr>
          <w:rFonts w:asciiTheme="majorBidi" w:eastAsia="Times New Roman" w:hAnsiTheme="majorBidi" w:cstheme="majorBidi"/>
        </w:rPr>
        <w:t>s</w:t>
      </w:r>
      <w:r w:rsidR="008009C4" w:rsidRPr="00A038BF">
        <w:rPr>
          <w:rFonts w:asciiTheme="majorBidi" w:eastAsia="Times New Roman" w:hAnsiTheme="majorBidi" w:cstheme="majorBidi"/>
        </w:rPr>
        <w:t xml:space="preserve"> </w:t>
      </w:r>
      <w:r w:rsidR="00206693" w:rsidRPr="00A038BF">
        <w:rPr>
          <w:rFonts w:asciiTheme="majorBidi" w:eastAsia="Times New Roman" w:hAnsiTheme="majorBidi" w:cstheme="majorBidi"/>
        </w:rPr>
        <w:t xml:space="preserve">at </w:t>
      </w:r>
      <w:r w:rsidR="008009C4" w:rsidRPr="00A038BF">
        <w:rPr>
          <w:rFonts w:asciiTheme="majorBidi" w:eastAsia="Times New Roman" w:hAnsiTheme="majorBidi" w:cstheme="majorBidi"/>
        </w:rPr>
        <w:t xml:space="preserve">4.5 </w:t>
      </w:r>
      <w:r w:rsidR="008009C4" w:rsidRPr="00A038BF">
        <w:rPr>
          <w:rFonts w:asciiTheme="majorBidi" w:hAnsiTheme="majorBidi" w:cstheme="majorBidi"/>
        </w:rPr>
        <w:t>Kg CO</w:t>
      </w:r>
      <w:r w:rsidR="008009C4"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8009C4" w:rsidRPr="00A038BF">
        <w:rPr>
          <w:rFonts w:asciiTheme="majorBidi" w:hAnsiTheme="majorBidi" w:cstheme="majorBidi"/>
          <w:vertAlign w:val="subscript"/>
        </w:rPr>
        <w:t xml:space="preserve">. </w:t>
      </w:r>
      <w:r w:rsidR="00206693" w:rsidRPr="00A038BF">
        <w:rPr>
          <w:rFonts w:asciiTheme="majorBidi" w:hAnsiTheme="majorBidi" w:cstheme="majorBidi"/>
        </w:rPr>
        <w:t>T</w:t>
      </w:r>
      <w:r w:rsidR="001E4A18" w:rsidRPr="00A038BF">
        <w:rPr>
          <w:rFonts w:asciiTheme="majorBidi" w:hAnsiTheme="majorBidi" w:cstheme="majorBidi"/>
        </w:rPr>
        <w:t>he total emission</w:t>
      </w:r>
      <w:r w:rsidR="00206693" w:rsidRPr="00A038BF">
        <w:rPr>
          <w:rFonts w:asciiTheme="majorBidi" w:hAnsiTheme="majorBidi" w:cstheme="majorBidi"/>
        </w:rPr>
        <w:t>s for</w:t>
      </w:r>
      <w:r w:rsidR="001E4A18" w:rsidRPr="00A038BF">
        <w:rPr>
          <w:rFonts w:asciiTheme="majorBidi" w:hAnsiTheme="majorBidi" w:cstheme="majorBidi"/>
        </w:rPr>
        <w:t xml:space="preserve"> 1 M</w:t>
      </w:r>
      <w:r w:rsidR="001E4A18" w:rsidRPr="00A038BF">
        <w:rPr>
          <w:rFonts w:asciiTheme="majorBidi" w:hAnsiTheme="majorBidi" w:cstheme="majorBidi"/>
          <w:vertAlign w:val="superscript"/>
        </w:rPr>
        <w:t>2</w:t>
      </w:r>
      <w:r w:rsidR="001E4A18" w:rsidRPr="00A038BF">
        <w:rPr>
          <w:rFonts w:asciiTheme="majorBidi" w:hAnsiTheme="majorBidi" w:cstheme="majorBidi"/>
        </w:rPr>
        <w:t xml:space="preserve"> of </w:t>
      </w:r>
      <w:r w:rsidR="00206693" w:rsidRPr="00A038BF">
        <w:rPr>
          <w:rFonts w:asciiTheme="majorBidi" w:hAnsiTheme="majorBidi" w:cstheme="majorBidi"/>
        </w:rPr>
        <w:t xml:space="preserve">the </w:t>
      </w:r>
      <w:r w:rsidR="001E4A18" w:rsidRPr="00A038BF">
        <w:rPr>
          <w:rFonts w:asciiTheme="majorBidi" w:hAnsiTheme="majorBidi" w:cstheme="majorBidi"/>
        </w:rPr>
        <w:t xml:space="preserve">three different </w:t>
      </w:r>
      <w:r w:rsidR="00206693" w:rsidRPr="00A038BF">
        <w:rPr>
          <w:rFonts w:asciiTheme="majorBidi" w:hAnsiTheme="majorBidi" w:cstheme="majorBidi"/>
        </w:rPr>
        <w:t xml:space="preserve">products are as follows: </w:t>
      </w:r>
      <w:r w:rsidR="001E4A18" w:rsidRPr="00A038BF">
        <w:rPr>
          <w:rFonts w:asciiTheme="majorBidi" w:hAnsiTheme="majorBidi" w:cstheme="majorBidi"/>
        </w:rPr>
        <w:t xml:space="preserve">NLT has </w:t>
      </w:r>
      <w:r w:rsidR="00206693" w:rsidRPr="00A038BF">
        <w:rPr>
          <w:rFonts w:asciiTheme="majorBidi" w:hAnsiTheme="majorBidi" w:cstheme="majorBidi"/>
        </w:rPr>
        <w:t xml:space="preserve">the </w:t>
      </w:r>
      <w:r w:rsidR="001E4A18" w:rsidRPr="00A038BF">
        <w:rPr>
          <w:rFonts w:asciiTheme="majorBidi" w:hAnsiTheme="majorBidi" w:cstheme="majorBidi"/>
        </w:rPr>
        <w:t>highe</w:t>
      </w:r>
      <w:r w:rsidR="00206693" w:rsidRPr="00A038BF">
        <w:rPr>
          <w:rFonts w:asciiTheme="majorBidi" w:hAnsiTheme="majorBidi" w:cstheme="majorBidi"/>
        </w:rPr>
        <w:t>st</w:t>
      </w:r>
      <w:r w:rsidR="001E4A18" w:rsidRPr="00A038BF">
        <w:rPr>
          <w:rFonts w:asciiTheme="majorBidi" w:hAnsiTheme="majorBidi" w:cstheme="majorBidi"/>
        </w:rPr>
        <w:t xml:space="preserve"> emission </w:t>
      </w:r>
      <w:r w:rsidR="00206693" w:rsidRPr="00A038BF">
        <w:rPr>
          <w:rFonts w:asciiTheme="majorBidi" w:hAnsiTheme="majorBidi" w:cstheme="majorBidi"/>
        </w:rPr>
        <w:t xml:space="preserve">of </w:t>
      </w:r>
      <w:r w:rsidR="001E4A18" w:rsidRPr="00A038BF">
        <w:rPr>
          <w:rFonts w:ascii="Times New Roman" w:eastAsia="Times New Roman" w:hAnsi="Times New Roman" w:cs="Times New Roman"/>
        </w:rPr>
        <w:t xml:space="preserve">133.5 </w:t>
      </w:r>
      <w:r w:rsidR="00ED2FF7" w:rsidRPr="00A038BF">
        <w:rPr>
          <w:rFonts w:asciiTheme="majorBidi" w:hAnsiTheme="majorBidi" w:cstheme="majorBidi"/>
        </w:rPr>
        <w:t>Kg</w:t>
      </w:r>
      <w:r w:rsidR="001E4A18" w:rsidRPr="00A038BF">
        <w:rPr>
          <w:rFonts w:asciiTheme="majorBidi" w:hAnsiTheme="majorBidi" w:cstheme="majorBidi"/>
        </w:rPr>
        <w:t>CO</w:t>
      </w:r>
      <w:r w:rsidR="001E4A18" w:rsidRPr="00A038BF">
        <w:rPr>
          <w:rFonts w:asciiTheme="majorBidi" w:hAnsiTheme="majorBidi" w:cstheme="majorBidi"/>
          <w:vertAlign w:val="subscript"/>
        </w:rPr>
        <w:t>2</w:t>
      </w:r>
      <w:r w:rsidR="001E4A18" w:rsidRPr="00A038BF">
        <w:rPr>
          <w:rFonts w:asciiTheme="majorBidi" w:hAnsiTheme="majorBidi" w:cstheme="majorBidi"/>
        </w:rPr>
        <w:t>/M</w:t>
      </w:r>
      <w:r w:rsidR="001E4A18" w:rsidRPr="00A038BF">
        <w:rPr>
          <w:rFonts w:asciiTheme="majorBidi" w:hAnsiTheme="majorBidi" w:cstheme="majorBidi"/>
          <w:vertAlign w:val="superscript"/>
        </w:rPr>
        <w:t>2</w:t>
      </w:r>
      <w:r w:rsidR="001E4A18" w:rsidRPr="00A038BF">
        <w:rPr>
          <w:rFonts w:asciiTheme="majorBidi" w:eastAsia="Times New Roman" w:hAnsiTheme="majorBidi" w:cstheme="majorBidi"/>
        </w:rPr>
        <w:t xml:space="preserve"> </w:t>
      </w:r>
      <w:r w:rsidR="001E4A18" w:rsidRPr="00A038BF">
        <w:rPr>
          <w:rFonts w:ascii="Times New Roman" w:eastAsia="Times New Roman" w:hAnsi="Times New Roman" w:cs="Times New Roman"/>
        </w:rPr>
        <w:t xml:space="preserve">followed by CLT </w:t>
      </w:r>
      <w:r w:rsidR="00ED2FF7" w:rsidRPr="00A038BF">
        <w:rPr>
          <w:rFonts w:asciiTheme="majorBidi" w:hAnsiTheme="majorBidi" w:cstheme="majorBidi"/>
        </w:rPr>
        <w:t>Kg</w:t>
      </w:r>
      <w:r w:rsidR="001E4A18" w:rsidRPr="00A038BF">
        <w:rPr>
          <w:rFonts w:asciiTheme="majorBidi" w:hAnsiTheme="majorBidi" w:cstheme="majorBidi"/>
        </w:rPr>
        <w:t>CO</w:t>
      </w:r>
      <w:r w:rsidR="001E4A18"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1E4A18" w:rsidRPr="00A038BF">
        <w:rPr>
          <w:rFonts w:asciiTheme="majorBidi" w:hAnsiTheme="majorBidi" w:cstheme="majorBidi"/>
        </w:rPr>
        <w:t>/M</w:t>
      </w:r>
      <w:r w:rsidR="001E4A18" w:rsidRPr="00A038BF">
        <w:rPr>
          <w:rFonts w:asciiTheme="majorBidi" w:hAnsiTheme="majorBidi" w:cstheme="majorBidi"/>
          <w:vertAlign w:val="superscript"/>
        </w:rPr>
        <w:t>2</w:t>
      </w:r>
      <w:r w:rsidR="001E4A18" w:rsidRPr="00A038BF">
        <w:rPr>
          <w:rFonts w:asciiTheme="majorBidi" w:eastAsia="Times New Roman" w:hAnsiTheme="majorBidi" w:cstheme="majorBidi"/>
        </w:rPr>
        <w:t xml:space="preserve"> </w:t>
      </w:r>
      <w:r w:rsidR="001E4A18" w:rsidRPr="00A038BF">
        <w:rPr>
          <w:rFonts w:ascii="Times New Roman" w:eastAsia="Times New Roman" w:hAnsi="Times New Roman" w:cs="Times New Roman"/>
        </w:rPr>
        <w:t xml:space="preserve">and DLT </w:t>
      </w:r>
      <w:r w:rsidR="00ED2FF7" w:rsidRPr="00A038BF">
        <w:rPr>
          <w:rFonts w:asciiTheme="majorBidi" w:hAnsiTheme="majorBidi" w:cstheme="majorBidi"/>
        </w:rPr>
        <w:t>Kg</w:t>
      </w:r>
      <w:r w:rsidR="001E4A18" w:rsidRPr="00A038BF">
        <w:rPr>
          <w:rFonts w:asciiTheme="majorBidi" w:hAnsiTheme="majorBidi" w:cstheme="majorBidi"/>
        </w:rPr>
        <w:t>CO</w:t>
      </w:r>
      <w:r w:rsidR="001E4A18" w:rsidRPr="00A038BF">
        <w:rPr>
          <w:rFonts w:asciiTheme="majorBidi" w:hAnsiTheme="majorBidi" w:cstheme="majorBidi"/>
          <w:vertAlign w:val="subscript"/>
        </w:rPr>
        <w:t>2</w:t>
      </w:r>
      <w:r w:rsidR="000915DE" w:rsidRPr="00A038BF">
        <w:rPr>
          <w:rFonts w:asciiTheme="majorBidi" w:hAnsiTheme="majorBidi" w:cstheme="majorBidi"/>
          <w:vertAlign w:val="subscript"/>
        </w:rPr>
        <w:t>eq</w:t>
      </w:r>
      <w:r w:rsidR="001E4A18" w:rsidRPr="00A038BF">
        <w:rPr>
          <w:rFonts w:asciiTheme="majorBidi" w:hAnsiTheme="majorBidi" w:cstheme="majorBidi"/>
        </w:rPr>
        <w:t>/M</w:t>
      </w:r>
      <w:r w:rsidR="001E4A18" w:rsidRPr="00A038BF">
        <w:rPr>
          <w:rFonts w:asciiTheme="majorBidi" w:hAnsiTheme="majorBidi" w:cstheme="majorBidi"/>
          <w:vertAlign w:val="superscript"/>
        </w:rPr>
        <w:t>2</w:t>
      </w:r>
      <w:r w:rsidR="001E4A18" w:rsidRPr="00A038BF">
        <w:rPr>
          <w:rFonts w:asciiTheme="majorBidi" w:eastAsia="Times New Roman" w:hAnsiTheme="majorBidi" w:cstheme="majorBidi"/>
        </w:rPr>
        <w:t xml:space="preserve"> </w:t>
      </w:r>
      <w:r w:rsidR="001E4A18" w:rsidRPr="00A038BF">
        <w:rPr>
          <w:rFonts w:ascii="Times New Roman" w:eastAsia="Times New Roman" w:hAnsi="Times New Roman" w:cs="Times New Roman"/>
        </w:rPr>
        <w:t xml:space="preserve">with 130 </w:t>
      </w:r>
      <w:r w:rsidR="00ED2FF7" w:rsidRPr="00A038BF">
        <w:rPr>
          <w:rFonts w:asciiTheme="majorBidi" w:hAnsiTheme="majorBidi" w:cstheme="majorBidi"/>
        </w:rPr>
        <w:t>Kg</w:t>
      </w:r>
      <w:r w:rsidR="007B437B" w:rsidRPr="00A038BF">
        <w:rPr>
          <w:rFonts w:asciiTheme="majorBidi" w:hAnsiTheme="majorBidi" w:cstheme="majorBidi"/>
        </w:rPr>
        <w:t>CO</w:t>
      </w:r>
      <w:r w:rsidR="007B437B" w:rsidRPr="00A038BF">
        <w:rPr>
          <w:rFonts w:asciiTheme="majorBidi" w:hAnsiTheme="majorBidi" w:cstheme="majorBidi"/>
          <w:vertAlign w:val="subscript"/>
        </w:rPr>
        <w:t>2eq</w:t>
      </w:r>
      <w:r w:rsidR="007B437B" w:rsidRPr="00A038BF">
        <w:rPr>
          <w:rFonts w:asciiTheme="majorBidi" w:hAnsiTheme="majorBidi" w:cstheme="majorBidi"/>
        </w:rPr>
        <w:t>/M</w:t>
      </w:r>
      <w:r w:rsidR="007B437B" w:rsidRPr="00A038BF">
        <w:rPr>
          <w:rFonts w:asciiTheme="majorBidi" w:hAnsiTheme="majorBidi" w:cstheme="majorBidi"/>
          <w:vertAlign w:val="superscript"/>
        </w:rPr>
        <w:t>2</w:t>
      </w:r>
      <w:r w:rsidR="007B437B" w:rsidRPr="00A038BF">
        <w:rPr>
          <w:rFonts w:ascii="Times New Roman" w:eastAsia="Times New Roman" w:hAnsi="Times New Roman" w:cs="Times New Roman"/>
        </w:rPr>
        <w:t xml:space="preserve"> </w:t>
      </w:r>
      <w:r w:rsidR="001E4A18" w:rsidRPr="00A038BF">
        <w:rPr>
          <w:rFonts w:ascii="Times New Roman" w:eastAsia="Times New Roman" w:hAnsi="Times New Roman" w:cs="Times New Roman"/>
        </w:rPr>
        <w:t>and 118</w:t>
      </w:r>
      <w:r w:rsidR="00FE3001" w:rsidRPr="00A038BF">
        <w:rPr>
          <w:rFonts w:ascii="Times New Roman" w:eastAsia="Times New Roman" w:hAnsi="Times New Roman" w:cs="Times New Roman"/>
        </w:rPr>
        <w:t xml:space="preserve"> </w:t>
      </w:r>
      <w:r w:rsidR="00ED2FF7" w:rsidRPr="00A038BF">
        <w:rPr>
          <w:rFonts w:asciiTheme="majorBidi" w:hAnsiTheme="majorBidi" w:cstheme="majorBidi"/>
        </w:rPr>
        <w:t>Kg</w:t>
      </w:r>
      <w:r w:rsidR="007B437B" w:rsidRPr="00A038BF">
        <w:rPr>
          <w:rFonts w:asciiTheme="majorBidi" w:hAnsiTheme="majorBidi" w:cstheme="majorBidi"/>
        </w:rPr>
        <w:t>CO</w:t>
      </w:r>
      <w:r w:rsidR="007B437B" w:rsidRPr="00A038BF">
        <w:rPr>
          <w:rFonts w:asciiTheme="majorBidi" w:hAnsiTheme="majorBidi" w:cstheme="majorBidi"/>
          <w:vertAlign w:val="subscript"/>
        </w:rPr>
        <w:t>2eq</w:t>
      </w:r>
      <w:r w:rsidR="007B437B" w:rsidRPr="00A038BF">
        <w:rPr>
          <w:rFonts w:asciiTheme="majorBidi" w:hAnsiTheme="majorBidi" w:cstheme="majorBidi"/>
        </w:rPr>
        <w:t>/M</w:t>
      </w:r>
      <w:r w:rsidR="007B437B" w:rsidRPr="00A038BF">
        <w:rPr>
          <w:rFonts w:asciiTheme="majorBidi" w:hAnsiTheme="majorBidi" w:cstheme="majorBidi"/>
          <w:vertAlign w:val="superscript"/>
        </w:rPr>
        <w:t>2</w:t>
      </w:r>
      <w:r w:rsidR="007B437B" w:rsidRPr="00A038BF">
        <w:rPr>
          <w:rFonts w:ascii="Times New Roman" w:eastAsia="Times New Roman" w:hAnsi="Times New Roman" w:cs="Times New Roman"/>
        </w:rPr>
        <w:t xml:space="preserve"> </w:t>
      </w:r>
      <w:r w:rsidR="00FE3001" w:rsidRPr="00A038BF">
        <w:rPr>
          <w:rFonts w:ascii="Times New Roman" w:eastAsia="Times New Roman" w:hAnsi="Times New Roman" w:cs="Times New Roman"/>
        </w:rPr>
        <w:t>with the same thickness</w:t>
      </w:r>
      <w:r w:rsidR="001E4A18" w:rsidRPr="00A038BF">
        <w:rPr>
          <w:rFonts w:ascii="Times New Roman" w:eastAsia="Times New Roman" w:hAnsi="Times New Roman" w:cs="Times New Roman"/>
        </w:rPr>
        <w:t xml:space="preserve">. </w:t>
      </w:r>
      <w:r w:rsidR="00D00645" w:rsidRPr="00A038BF">
        <w:rPr>
          <w:rFonts w:ascii="Times New Roman" w:eastAsia="Times New Roman" w:hAnsi="Times New Roman" w:cs="Times New Roman"/>
        </w:rPr>
        <w:t>Put another way</w:t>
      </w:r>
      <w:r w:rsidR="00885F04" w:rsidRPr="00A038BF">
        <w:rPr>
          <w:rFonts w:ascii="Times New Roman" w:eastAsia="Times New Roman" w:hAnsi="Times New Roman" w:cs="Times New Roman"/>
        </w:rPr>
        <w:t>, the production of 1M</w:t>
      </w:r>
      <w:r w:rsidR="00885F04" w:rsidRPr="00A038BF">
        <w:rPr>
          <w:rFonts w:ascii="Times New Roman" w:eastAsia="Times New Roman" w:hAnsi="Times New Roman" w:cs="Times New Roman"/>
          <w:vertAlign w:val="superscript"/>
        </w:rPr>
        <w:t>2</w:t>
      </w:r>
      <w:r w:rsidR="00885F04" w:rsidRPr="00A038BF">
        <w:rPr>
          <w:rFonts w:ascii="Times New Roman" w:eastAsia="Times New Roman" w:hAnsi="Times New Roman" w:cs="Times New Roman"/>
        </w:rPr>
        <w:t xml:space="preserve"> of NLT has higher </w:t>
      </w:r>
      <w:r w:rsidR="0064277F" w:rsidRPr="00A038BF">
        <w:rPr>
          <w:rFonts w:ascii="Times New Roman" w:eastAsia="Times New Roman" w:hAnsi="Times New Roman" w:cs="Times New Roman"/>
        </w:rPr>
        <w:t>emission</w:t>
      </w:r>
      <w:r w:rsidR="00711B3B" w:rsidRPr="00A038BF">
        <w:rPr>
          <w:rFonts w:ascii="Times New Roman" w:eastAsia="Times New Roman" w:hAnsi="Times New Roman" w:cs="Times New Roman"/>
        </w:rPr>
        <w:t>s by 1.5% and 11% than CLT and DLT</w:t>
      </w:r>
      <w:r w:rsidR="00885F04" w:rsidRPr="00A038BF">
        <w:rPr>
          <w:rFonts w:ascii="Times New Roman" w:eastAsia="Times New Roman" w:hAnsi="Times New Roman" w:cs="Times New Roman"/>
        </w:rPr>
        <w:t xml:space="preserve">. </w:t>
      </w:r>
    </w:p>
    <w:p w14:paraId="7E8D4E55" w14:textId="2749BEA6" w:rsidR="00F55C85" w:rsidRPr="00A038BF" w:rsidRDefault="00F55C85" w:rsidP="00DB7135">
      <w:pPr>
        <w:spacing w:line="276" w:lineRule="auto"/>
        <w:ind w:firstLine="720"/>
        <w:jc w:val="both"/>
        <w:rPr>
          <w:rFonts w:asciiTheme="majorBidi" w:eastAsia="Times New Roman" w:hAnsiTheme="majorBidi" w:cstheme="majorBidi"/>
        </w:rPr>
      </w:pPr>
      <w:r w:rsidRPr="00A038BF">
        <w:rPr>
          <w:rFonts w:ascii="Times New Roman" w:eastAsia="Times New Roman" w:hAnsi="Times New Roman" w:cs="Times New Roman"/>
        </w:rPr>
        <w:t xml:space="preserve">Figure 5 shows the </w:t>
      </w:r>
      <w:r w:rsidRPr="00A038BF">
        <w:rPr>
          <w:rFonts w:asciiTheme="majorBidi" w:eastAsia="Times New Roman" w:hAnsiTheme="majorBidi" w:cstheme="majorBidi"/>
        </w:rPr>
        <w:t xml:space="preserve">LCA </w:t>
      </w:r>
      <w:r w:rsidR="00B01239" w:rsidRPr="00A038BF">
        <w:rPr>
          <w:rFonts w:asciiTheme="majorBidi" w:eastAsia="Times New Roman" w:hAnsiTheme="majorBidi" w:cstheme="majorBidi"/>
        </w:rPr>
        <w:t xml:space="preserve">for the </w:t>
      </w:r>
      <w:r w:rsidRPr="00A038BF">
        <w:rPr>
          <w:rFonts w:asciiTheme="majorBidi" w:eastAsia="Times New Roman" w:hAnsiTheme="majorBidi" w:cstheme="majorBidi"/>
        </w:rPr>
        <w:t xml:space="preserve">three alternatives. </w:t>
      </w:r>
      <w:r w:rsidR="00006CB4" w:rsidRPr="00A038BF">
        <w:rPr>
          <w:rFonts w:asciiTheme="majorBidi" w:eastAsia="Times New Roman" w:hAnsiTheme="majorBidi" w:cstheme="majorBidi"/>
        </w:rPr>
        <w:t>D</w:t>
      </w:r>
      <w:r w:rsidRPr="00A038BF">
        <w:rPr>
          <w:rFonts w:asciiTheme="majorBidi" w:eastAsia="Times New Roman" w:hAnsiTheme="majorBidi" w:cstheme="majorBidi"/>
        </w:rPr>
        <w:t>etail</w:t>
      </w:r>
      <w:r w:rsidR="00006CB4" w:rsidRPr="00A038BF">
        <w:rPr>
          <w:rFonts w:asciiTheme="majorBidi" w:eastAsia="Times New Roman" w:hAnsiTheme="majorBidi" w:cstheme="majorBidi"/>
        </w:rPr>
        <w:t>s</w:t>
      </w:r>
      <w:r w:rsidRPr="00A038BF">
        <w:rPr>
          <w:rFonts w:asciiTheme="majorBidi" w:eastAsia="Times New Roman" w:hAnsiTheme="majorBidi" w:cstheme="majorBidi"/>
        </w:rPr>
        <w:t xml:space="preserve"> of </w:t>
      </w:r>
      <w:r w:rsidR="00006CB4" w:rsidRPr="00A038BF">
        <w:rPr>
          <w:rFonts w:asciiTheme="majorBidi" w:eastAsia="Times New Roman" w:hAnsiTheme="majorBidi" w:cstheme="majorBidi"/>
        </w:rPr>
        <w:t xml:space="preserve">emissions for the </w:t>
      </w:r>
      <w:r w:rsidRPr="00A038BF">
        <w:rPr>
          <w:rFonts w:asciiTheme="majorBidi" w:eastAsia="Times New Roman" w:hAnsiTheme="majorBidi" w:cstheme="majorBidi"/>
        </w:rPr>
        <w:t xml:space="preserve">construction stage for </w:t>
      </w:r>
      <w:r w:rsidR="00006CB4" w:rsidRPr="00A038BF">
        <w:rPr>
          <w:rFonts w:asciiTheme="majorBidi" w:eastAsia="Times New Roman" w:hAnsiTheme="majorBidi" w:cstheme="majorBidi"/>
        </w:rPr>
        <w:t xml:space="preserve">all </w:t>
      </w:r>
      <w:r w:rsidRPr="00A038BF">
        <w:rPr>
          <w:rFonts w:asciiTheme="majorBidi" w:eastAsia="Times New Roman" w:hAnsiTheme="majorBidi" w:cstheme="majorBidi"/>
        </w:rPr>
        <w:t>material</w:t>
      </w:r>
      <w:r w:rsidR="00006CB4" w:rsidRPr="00A038BF">
        <w:rPr>
          <w:rFonts w:asciiTheme="majorBidi" w:eastAsia="Times New Roman" w:hAnsiTheme="majorBidi" w:cstheme="majorBidi"/>
        </w:rPr>
        <w:t>s</w:t>
      </w:r>
      <w:r w:rsidRPr="00A038BF">
        <w:rPr>
          <w:rFonts w:asciiTheme="majorBidi" w:eastAsia="Times New Roman" w:hAnsiTheme="majorBidi" w:cstheme="majorBidi"/>
        </w:rPr>
        <w:t xml:space="preserve"> </w:t>
      </w:r>
      <w:r w:rsidR="00006CB4" w:rsidRPr="00A038BF">
        <w:rPr>
          <w:rFonts w:asciiTheme="majorBidi" w:eastAsia="Times New Roman" w:hAnsiTheme="majorBidi" w:cstheme="majorBidi"/>
        </w:rPr>
        <w:t>are provided</w:t>
      </w:r>
      <w:r w:rsidRPr="00A038BF">
        <w:rPr>
          <w:rFonts w:asciiTheme="majorBidi" w:eastAsia="Times New Roman" w:hAnsiTheme="majorBidi" w:cstheme="majorBidi"/>
        </w:rPr>
        <w:t xml:space="preserve"> in appendix 1. The manufacturing and construction stage has the highest emission</w:t>
      </w:r>
      <w:r w:rsidR="00006CB4" w:rsidRPr="00A038BF">
        <w:rPr>
          <w:rFonts w:asciiTheme="majorBidi" w:eastAsia="Times New Roman" w:hAnsiTheme="majorBidi" w:cstheme="majorBidi"/>
        </w:rPr>
        <w:t>s</w:t>
      </w:r>
      <w:r w:rsidR="00C30AC5" w:rsidRPr="00A038BF">
        <w:rPr>
          <w:rFonts w:asciiTheme="majorBidi" w:eastAsia="Times New Roman" w:hAnsiTheme="majorBidi" w:cstheme="majorBidi"/>
        </w:rPr>
        <w:t>. A</w:t>
      </w:r>
      <w:r w:rsidRPr="00A038BF">
        <w:rPr>
          <w:rFonts w:asciiTheme="majorBidi" w:eastAsia="Times New Roman" w:hAnsiTheme="majorBidi" w:cstheme="majorBidi"/>
        </w:rPr>
        <w:t xml:space="preserve">mong all </w:t>
      </w:r>
      <w:r w:rsidR="00291B83" w:rsidRPr="00A038BF">
        <w:rPr>
          <w:rFonts w:asciiTheme="majorBidi" w:eastAsia="Times New Roman" w:hAnsiTheme="majorBidi" w:cstheme="majorBidi"/>
        </w:rPr>
        <w:t xml:space="preserve">the </w:t>
      </w:r>
      <w:r w:rsidRPr="00A038BF">
        <w:rPr>
          <w:rFonts w:asciiTheme="majorBidi" w:eastAsia="Times New Roman" w:hAnsiTheme="majorBidi" w:cstheme="majorBidi"/>
        </w:rPr>
        <w:t>case</w:t>
      </w:r>
      <w:r w:rsidR="00291B83" w:rsidRPr="00A038BF">
        <w:rPr>
          <w:rFonts w:asciiTheme="majorBidi" w:eastAsia="Times New Roman" w:hAnsiTheme="majorBidi" w:cstheme="majorBidi"/>
        </w:rPr>
        <w:t>s</w:t>
      </w:r>
      <w:r w:rsidRPr="00A038BF">
        <w:rPr>
          <w:rFonts w:asciiTheme="majorBidi" w:eastAsia="Times New Roman" w:hAnsiTheme="majorBidi" w:cstheme="majorBidi"/>
        </w:rPr>
        <w:t xml:space="preserve">, NLT </w:t>
      </w:r>
      <w:r w:rsidR="00291B83" w:rsidRPr="00A038BF">
        <w:rPr>
          <w:rFonts w:asciiTheme="majorBidi" w:eastAsia="Times New Roman" w:hAnsiTheme="majorBidi" w:cstheme="majorBidi"/>
        </w:rPr>
        <w:t>had the</w:t>
      </w:r>
      <w:r w:rsidRPr="00A038BF">
        <w:rPr>
          <w:rFonts w:asciiTheme="majorBidi" w:eastAsia="Times New Roman" w:hAnsiTheme="majorBidi" w:cstheme="majorBidi"/>
        </w:rPr>
        <w:t xml:space="preserve"> highe</w:t>
      </w:r>
      <w:r w:rsidR="00291B83" w:rsidRPr="00A038BF">
        <w:rPr>
          <w:rFonts w:asciiTheme="majorBidi" w:eastAsia="Times New Roman" w:hAnsiTheme="majorBidi" w:cstheme="majorBidi"/>
        </w:rPr>
        <w:t>st</w:t>
      </w:r>
      <w:r w:rsidRPr="00A038BF">
        <w:rPr>
          <w:rFonts w:asciiTheme="majorBidi" w:eastAsia="Times New Roman" w:hAnsiTheme="majorBidi" w:cstheme="majorBidi"/>
        </w:rPr>
        <w:t xml:space="preserve"> emission </w:t>
      </w:r>
      <w:r w:rsidR="00291B83" w:rsidRPr="00A038BF">
        <w:rPr>
          <w:rFonts w:asciiTheme="majorBidi" w:eastAsia="Times New Roman" w:hAnsiTheme="majorBidi" w:cstheme="majorBidi"/>
        </w:rPr>
        <w:t xml:space="preserve">of </w:t>
      </w:r>
      <w:r w:rsidRPr="00A038BF">
        <w:rPr>
          <w:rFonts w:asciiTheme="majorBidi" w:eastAsia="Times New Roman" w:hAnsiTheme="majorBidi" w:cstheme="majorBidi"/>
        </w:rPr>
        <w:t xml:space="preserve">55761 </w:t>
      </w:r>
      <w:r w:rsidR="00DB7135" w:rsidRPr="00A038BF">
        <w:rPr>
          <w:rFonts w:asciiTheme="majorBidi" w:hAnsiTheme="majorBidi" w:cstheme="majorBidi"/>
        </w:rPr>
        <w:t>Kg</w:t>
      </w:r>
      <w:r w:rsidRPr="00A038BF">
        <w:rPr>
          <w:rFonts w:asciiTheme="majorBidi" w:hAnsiTheme="majorBidi" w:cstheme="majorBidi"/>
        </w:rPr>
        <w:t>CO</w:t>
      </w:r>
      <w:r w:rsidR="00DB7135" w:rsidRPr="00A038BF">
        <w:rPr>
          <w:rFonts w:asciiTheme="majorBidi" w:hAnsiTheme="majorBidi" w:cstheme="majorBidi"/>
          <w:vertAlign w:val="subscript"/>
        </w:rPr>
        <w:t>2</w:t>
      </w:r>
      <w:r w:rsidR="00DB7135" w:rsidRPr="00A038BF">
        <w:rPr>
          <w:rFonts w:asciiTheme="majorBidi" w:eastAsia="Times New Roman" w:hAnsiTheme="majorBidi" w:cstheme="majorBidi"/>
        </w:rPr>
        <w:t>eq</w:t>
      </w:r>
      <w:r w:rsidRPr="00A038BF">
        <w:rPr>
          <w:rFonts w:asciiTheme="majorBidi" w:hAnsiTheme="majorBidi" w:cstheme="majorBidi"/>
          <w:vertAlign w:val="subscript"/>
        </w:rPr>
        <w:t xml:space="preserve"> </w:t>
      </w:r>
      <w:r w:rsidRPr="00A038BF">
        <w:rPr>
          <w:rFonts w:asciiTheme="majorBidi" w:hAnsiTheme="majorBidi" w:cstheme="majorBidi"/>
        </w:rPr>
        <w:t>follow</w:t>
      </w:r>
      <w:r w:rsidR="00291B83" w:rsidRPr="00A038BF">
        <w:rPr>
          <w:rFonts w:asciiTheme="majorBidi" w:hAnsiTheme="majorBidi" w:cstheme="majorBidi"/>
        </w:rPr>
        <w:t>ed</w:t>
      </w:r>
      <w:r w:rsidRPr="00A038BF">
        <w:rPr>
          <w:rFonts w:asciiTheme="majorBidi" w:hAnsiTheme="majorBidi" w:cstheme="majorBidi"/>
        </w:rPr>
        <w:t xml:space="preserve"> by CLT and DLT with</w:t>
      </w:r>
      <w:r w:rsidRPr="00A038BF">
        <w:rPr>
          <w:rFonts w:asciiTheme="majorBidi" w:hAnsiTheme="majorBidi" w:cstheme="majorBidi"/>
          <w:vertAlign w:val="subscript"/>
        </w:rPr>
        <w:t xml:space="preserve"> </w:t>
      </w:r>
      <w:r w:rsidRPr="00A038BF">
        <w:rPr>
          <w:rFonts w:asciiTheme="majorBidi" w:eastAsia="Times New Roman" w:hAnsiTheme="majorBidi" w:cstheme="majorBidi"/>
        </w:rPr>
        <w:t xml:space="preserve">54959 </w:t>
      </w:r>
      <w:r w:rsidR="00DB7135" w:rsidRPr="00A038BF">
        <w:rPr>
          <w:rFonts w:asciiTheme="majorBidi" w:hAnsiTheme="majorBidi" w:cstheme="majorBidi"/>
        </w:rPr>
        <w:t>Kg</w:t>
      </w:r>
      <w:r w:rsidRPr="00A038BF">
        <w:rPr>
          <w:rFonts w:asciiTheme="majorBidi" w:hAnsiTheme="majorBidi" w:cstheme="majorBidi"/>
        </w:rPr>
        <w:t>CO</w:t>
      </w:r>
      <w:r w:rsidRPr="00A038BF">
        <w:rPr>
          <w:rFonts w:asciiTheme="majorBidi" w:hAnsiTheme="majorBidi" w:cstheme="majorBidi"/>
          <w:vertAlign w:val="subscript"/>
        </w:rPr>
        <w:t>2</w:t>
      </w:r>
      <w:r w:rsidR="00DB7135" w:rsidRPr="00A038BF">
        <w:rPr>
          <w:rFonts w:asciiTheme="majorBidi" w:eastAsia="Times New Roman" w:hAnsiTheme="majorBidi" w:cstheme="majorBidi"/>
        </w:rPr>
        <w:t>eq</w:t>
      </w:r>
      <w:r w:rsidRPr="00A038BF">
        <w:rPr>
          <w:rFonts w:asciiTheme="majorBidi" w:hAnsiTheme="majorBidi" w:cstheme="majorBidi"/>
        </w:rPr>
        <w:t>,</w:t>
      </w:r>
      <w:r w:rsidRPr="00A038BF">
        <w:rPr>
          <w:rFonts w:asciiTheme="majorBidi" w:hAnsiTheme="majorBidi" w:cstheme="majorBidi"/>
          <w:vertAlign w:val="subscript"/>
        </w:rPr>
        <w:t xml:space="preserve"> </w:t>
      </w:r>
      <w:r w:rsidR="00291B83" w:rsidRPr="00A038BF">
        <w:rPr>
          <w:rFonts w:asciiTheme="majorBidi" w:hAnsiTheme="majorBidi" w:cs="Times New Roman (Headings CS)"/>
        </w:rPr>
        <w:t>and</w:t>
      </w:r>
      <w:r w:rsidR="00291B83" w:rsidRPr="00A038BF">
        <w:rPr>
          <w:rFonts w:asciiTheme="majorBidi" w:hAnsiTheme="majorBidi" w:cstheme="majorBidi"/>
          <w:vertAlign w:val="subscript"/>
        </w:rPr>
        <w:t xml:space="preserve"> </w:t>
      </w:r>
      <w:r w:rsidRPr="00A038BF">
        <w:rPr>
          <w:rFonts w:asciiTheme="majorBidi" w:eastAsia="Times New Roman" w:hAnsiTheme="majorBidi" w:cstheme="majorBidi"/>
        </w:rPr>
        <w:t xml:space="preserve">51251 </w:t>
      </w:r>
      <w:r w:rsidR="00DB7135" w:rsidRPr="00A038BF">
        <w:rPr>
          <w:rFonts w:asciiTheme="majorBidi" w:hAnsiTheme="majorBidi" w:cstheme="majorBidi"/>
        </w:rPr>
        <w:t>Kg</w:t>
      </w:r>
      <w:r w:rsidRPr="00A038BF">
        <w:rPr>
          <w:rFonts w:asciiTheme="majorBidi" w:hAnsiTheme="majorBidi" w:cstheme="majorBidi"/>
        </w:rPr>
        <w:t>CO</w:t>
      </w:r>
      <w:r w:rsidR="00DB7135" w:rsidRPr="00A038BF">
        <w:rPr>
          <w:rFonts w:asciiTheme="majorBidi" w:hAnsiTheme="majorBidi" w:cstheme="majorBidi"/>
          <w:vertAlign w:val="subscript"/>
        </w:rPr>
        <w:t>2</w:t>
      </w:r>
      <w:r w:rsidR="00DB7135" w:rsidRPr="00A038BF">
        <w:rPr>
          <w:rFonts w:asciiTheme="majorBidi" w:eastAsia="Times New Roman" w:hAnsiTheme="majorBidi" w:cstheme="majorBidi"/>
        </w:rPr>
        <w:t>eq</w:t>
      </w:r>
      <w:r w:rsidRPr="00A038BF">
        <w:rPr>
          <w:rFonts w:asciiTheme="majorBidi" w:hAnsiTheme="majorBidi" w:cstheme="majorBidi"/>
          <w:vertAlign w:val="subscript"/>
        </w:rPr>
        <w:t xml:space="preserve">, </w:t>
      </w:r>
      <w:r w:rsidRPr="00A038BF">
        <w:rPr>
          <w:rFonts w:asciiTheme="majorBidi" w:eastAsia="Times New Roman" w:hAnsiTheme="majorBidi" w:cstheme="majorBidi"/>
        </w:rPr>
        <w:t>respectively. The following emission</w:t>
      </w:r>
      <w:r w:rsidR="00291B83" w:rsidRPr="00A038BF">
        <w:rPr>
          <w:rFonts w:asciiTheme="majorBidi" w:eastAsia="Times New Roman" w:hAnsiTheme="majorBidi" w:cstheme="majorBidi"/>
        </w:rPr>
        <w:t>s</w:t>
      </w:r>
      <w:r w:rsidRPr="00A038BF">
        <w:rPr>
          <w:rFonts w:asciiTheme="majorBidi" w:eastAsia="Times New Roman" w:hAnsiTheme="majorBidi" w:cstheme="majorBidi"/>
        </w:rPr>
        <w:t xml:space="preserve"> relate to the</w:t>
      </w:r>
      <w:r w:rsidR="00121113" w:rsidRPr="00A038BF">
        <w:rPr>
          <w:rFonts w:asciiTheme="majorBidi" w:eastAsia="Times New Roman" w:hAnsiTheme="majorBidi" w:cstheme="majorBidi"/>
        </w:rPr>
        <w:t>benefit and loads</w:t>
      </w:r>
      <w:r w:rsidRPr="00A038BF">
        <w:rPr>
          <w:rFonts w:asciiTheme="majorBidi" w:eastAsia="Times New Roman" w:hAnsiTheme="majorBidi" w:cstheme="majorBidi"/>
        </w:rPr>
        <w:t>stage. The end-of-life emission is slightly higher for NLT due to the separation of the nail</w:t>
      </w:r>
      <w:r w:rsidR="00291B83" w:rsidRPr="00A038BF">
        <w:rPr>
          <w:rFonts w:asciiTheme="majorBidi" w:eastAsia="Times New Roman" w:hAnsiTheme="majorBidi" w:cstheme="majorBidi"/>
        </w:rPr>
        <w:t>s</w:t>
      </w:r>
      <w:r w:rsidRPr="00A038BF">
        <w:rPr>
          <w:rFonts w:asciiTheme="majorBidi" w:eastAsia="Times New Roman" w:hAnsiTheme="majorBidi" w:cstheme="majorBidi"/>
        </w:rPr>
        <w:t xml:space="preserve"> from the panel</w:t>
      </w:r>
      <w:r w:rsidR="00C30AC5" w:rsidRPr="00A038BF">
        <w:rPr>
          <w:rFonts w:asciiTheme="majorBidi" w:eastAsia="Times New Roman" w:hAnsiTheme="majorBidi" w:cstheme="majorBidi"/>
        </w:rPr>
        <w:t>'</w:t>
      </w:r>
      <w:r w:rsidRPr="00A038BF">
        <w:rPr>
          <w:rFonts w:asciiTheme="majorBidi" w:eastAsia="Times New Roman" w:hAnsiTheme="majorBidi" w:cstheme="majorBidi"/>
        </w:rPr>
        <w:t>s wall, roof, and floor. The emission</w:t>
      </w:r>
      <w:r w:rsidR="00291B83" w:rsidRPr="00A038BF">
        <w:rPr>
          <w:rFonts w:asciiTheme="majorBidi" w:eastAsia="Times New Roman" w:hAnsiTheme="majorBidi" w:cstheme="majorBidi"/>
        </w:rPr>
        <w:t>s for</w:t>
      </w:r>
      <w:r w:rsidRPr="00A038BF">
        <w:rPr>
          <w:rFonts w:asciiTheme="majorBidi" w:eastAsia="Times New Roman" w:hAnsiTheme="majorBidi" w:cstheme="majorBidi"/>
        </w:rPr>
        <w:t xml:space="preserve"> end-of-life </w:t>
      </w:r>
      <w:r w:rsidR="00291B83" w:rsidRPr="00A038BF">
        <w:rPr>
          <w:rFonts w:asciiTheme="majorBidi" w:eastAsia="Times New Roman" w:hAnsiTheme="majorBidi" w:cstheme="majorBidi"/>
        </w:rPr>
        <w:t xml:space="preserve">of </w:t>
      </w:r>
      <w:r w:rsidRPr="00A038BF">
        <w:rPr>
          <w:rFonts w:asciiTheme="majorBidi" w:eastAsia="Times New Roman" w:hAnsiTheme="majorBidi" w:cstheme="majorBidi"/>
        </w:rPr>
        <w:t xml:space="preserve">NLT is 30% higher than </w:t>
      </w:r>
      <w:r w:rsidR="00291B83" w:rsidRPr="00A038BF">
        <w:rPr>
          <w:rFonts w:asciiTheme="majorBidi" w:eastAsia="Times New Roman" w:hAnsiTheme="majorBidi" w:cstheme="majorBidi"/>
        </w:rPr>
        <w:t xml:space="preserve">the </w:t>
      </w:r>
      <w:r w:rsidRPr="00A038BF">
        <w:rPr>
          <w:rFonts w:asciiTheme="majorBidi" w:eastAsia="Times New Roman" w:hAnsiTheme="majorBidi" w:cstheme="majorBidi"/>
        </w:rPr>
        <w:t>other case</w:t>
      </w:r>
      <w:r w:rsidR="00291B83" w:rsidRPr="00A038BF">
        <w:rPr>
          <w:rFonts w:asciiTheme="majorBidi" w:eastAsia="Times New Roman" w:hAnsiTheme="majorBidi" w:cstheme="majorBidi"/>
        </w:rPr>
        <w:t xml:space="preserve">s </w:t>
      </w:r>
      <w:r w:rsidRPr="00A038BF">
        <w:rPr>
          <w:rFonts w:asciiTheme="majorBidi" w:eastAsia="Times New Roman" w:hAnsiTheme="majorBidi" w:cstheme="majorBidi"/>
        </w:rPr>
        <w:t>as the building</w:t>
      </w:r>
      <w:r w:rsidR="00291B83" w:rsidRPr="00A038BF">
        <w:rPr>
          <w:rFonts w:asciiTheme="majorBidi" w:eastAsia="Times New Roman" w:hAnsiTheme="majorBidi" w:cstheme="majorBidi"/>
        </w:rPr>
        <w:t xml:space="preserve"> is demolished</w:t>
      </w:r>
      <w:r w:rsidRPr="00A038BF">
        <w:rPr>
          <w:rFonts w:asciiTheme="majorBidi" w:eastAsia="Times New Roman" w:hAnsiTheme="majorBidi" w:cstheme="majorBidi"/>
        </w:rPr>
        <w:t xml:space="preserve"> and </w:t>
      </w:r>
      <w:r w:rsidR="00291B83" w:rsidRPr="00A038BF">
        <w:rPr>
          <w:rFonts w:asciiTheme="majorBidi" w:eastAsia="Times New Roman" w:hAnsiTheme="majorBidi" w:cstheme="majorBidi"/>
        </w:rPr>
        <w:t xml:space="preserve">materials are </w:t>
      </w:r>
      <w:r w:rsidRPr="00A038BF">
        <w:rPr>
          <w:rFonts w:asciiTheme="majorBidi" w:eastAsia="Times New Roman" w:hAnsiTheme="majorBidi" w:cstheme="majorBidi"/>
        </w:rPr>
        <w:t>transferr</w:t>
      </w:r>
      <w:r w:rsidR="00291B83" w:rsidRPr="00A038BF">
        <w:rPr>
          <w:rFonts w:asciiTheme="majorBidi" w:eastAsia="Times New Roman" w:hAnsiTheme="majorBidi" w:cstheme="majorBidi"/>
        </w:rPr>
        <w:t xml:space="preserve">ed </w:t>
      </w:r>
      <w:r w:rsidRPr="00A038BF">
        <w:rPr>
          <w:rFonts w:asciiTheme="majorBidi" w:eastAsia="Times New Roman" w:hAnsiTheme="majorBidi" w:cstheme="majorBidi"/>
        </w:rPr>
        <w:t>away from the site by truck. T</w:t>
      </w:r>
      <w:r w:rsidR="00C30AC5" w:rsidRPr="00A038BF">
        <w:rPr>
          <w:rFonts w:asciiTheme="majorBidi" w:eastAsia="Times New Roman" w:hAnsiTheme="majorBidi" w:cstheme="majorBidi"/>
        </w:rPr>
        <w:t xml:space="preserve">he emissions </w:t>
      </w:r>
      <w:r w:rsidR="00291B83" w:rsidRPr="00A038BF">
        <w:rPr>
          <w:rFonts w:asciiTheme="majorBidi" w:eastAsia="Times New Roman" w:hAnsiTheme="majorBidi" w:cstheme="majorBidi"/>
        </w:rPr>
        <w:t>for</w:t>
      </w:r>
      <w:r w:rsidR="00C30AC5" w:rsidRPr="00A038BF">
        <w:rPr>
          <w:rFonts w:asciiTheme="majorBidi" w:eastAsia="Times New Roman" w:hAnsiTheme="majorBidi" w:cstheme="majorBidi"/>
        </w:rPr>
        <w:t xml:space="preserve"> end-of-</w:t>
      </w:r>
      <w:r w:rsidR="00DB7135" w:rsidRPr="00A038BF">
        <w:rPr>
          <w:rFonts w:asciiTheme="majorBidi" w:eastAsia="Times New Roman" w:hAnsiTheme="majorBidi" w:cstheme="majorBidi"/>
        </w:rPr>
        <w:t>life are 850 Kg</w:t>
      </w:r>
      <w:r w:rsidRPr="00A038BF">
        <w:rPr>
          <w:rFonts w:asciiTheme="majorBidi" w:eastAsia="Times New Roman" w:hAnsiTheme="majorBidi" w:cstheme="majorBidi"/>
        </w:rPr>
        <w:t>CO</w:t>
      </w:r>
      <w:r w:rsidRPr="00A038BF">
        <w:rPr>
          <w:rFonts w:asciiTheme="majorBidi" w:eastAsia="Times New Roman" w:hAnsiTheme="majorBidi" w:cstheme="majorBidi"/>
          <w:vertAlign w:val="subscript"/>
        </w:rPr>
        <w:t>2</w:t>
      </w:r>
      <w:r w:rsidR="00D0343D" w:rsidRPr="00A038BF">
        <w:rPr>
          <w:rFonts w:asciiTheme="majorBidi" w:eastAsia="Times New Roman" w:hAnsiTheme="majorBidi" w:cstheme="majorBidi"/>
        </w:rPr>
        <w:t>eq</w:t>
      </w:r>
      <w:r w:rsidR="00DB7135" w:rsidRPr="00A038BF">
        <w:rPr>
          <w:rFonts w:asciiTheme="majorBidi" w:eastAsia="Times New Roman" w:hAnsiTheme="majorBidi" w:cstheme="majorBidi"/>
        </w:rPr>
        <w:t>, 850 Kg</w:t>
      </w:r>
      <w:r w:rsidRPr="00A038BF">
        <w:rPr>
          <w:rFonts w:asciiTheme="majorBidi" w:eastAsia="Times New Roman" w:hAnsiTheme="majorBidi" w:cstheme="majorBidi"/>
        </w:rPr>
        <w:t>CO</w:t>
      </w:r>
      <w:r w:rsidRPr="00A038BF">
        <w:rPr>
          <w:rFonts w:asciiTheme="majorBidi" w:eastAsia="Times New Roman" w:hAnsiTheme="majorBidi" w:cstheme="majorBidi"/>
          <w:vertAlign w:val="subscript"/>
        </w:rPr>
        <w:t>2</w:t>
      </w:r>
      <w:r w:rsidR="00D0343D" w:rsidRPr="00A038BF">
        <w:rPr>
          <w:rFonts w:asciiTheme="majorBidi" w:eastAsia="Times New Roman" w:hAnsiTheme="majorBidi" w:cstheme="majorBidi"/>
        </w:rPr>
        <w:t>eq</w:t>
      </w:r>
      <w:r w:rsidR="00DB7135" w:rsidRPr="00A038BF">
        <w:rPr>
          <w:rFonts w:asciiTheme="majorBidi" w:eastAsia="Times New Roman" w:hAnsiTheme="majorBidi" w:cstheme="majorBidi"/>
        </w:rPr>
        <w:t>, and 1200 Kg</w:t>
      </w:r>
      <w:r w:rsidRPr="00A038BF">
        <w:rPr>
          <w:rFonts w:asciiTheme="majorBidi" w:eastAsia="Times New Roman" w:hAnsiTheme="majorBidi" w:cstheme="majorBidi"/>
        </w:rPr>
        <w:t>CO</w:t>
      </w:r>
      <w:r w:rsidRPr="00A038BF">
        <w:rPr>
          <w:rFonts w:asciiTheme="majorBidi" w:eastAsia="Times New Roman" w:hAnsiTheme="majorBidi" w:cstheme="majorBidi"/>
          <w:vertAlign w:val="subscript"/>
        </w:rPr>
        <w:t>2</w:t>
      </w:r>
      <w:r w:rsidR="00D0343D" w:rsidRPr="00A038BF">
        <w:rPr>
          <w:rFonts w:asciiTheme="majorBidi" w:eastAsia="Times New Roman" w:hAnsiTheme="majorBidi" w:cstheme="majorBidi"/>
        </w:rPr>
        <w:t>eq</w:t>
      </w:r>
      <w:r w:rsidRPr="00A038BF">
        <w:rPr>
          <w:rFonts w:asciiTheme="majorBidi" w:eastAsia="Times New Roman" w:hAnsiTheme="majorBidi" w:cstheme="majorBidi"/>
        </w:rPr>
        <w:t xml:space="preserve"> </w:t>
      </w:r>
      <w:r w:rsidR="00291B83" w:rsidRPr="00A038BF">
        <w:rPr>
          <w:rFonts w:asciiTheme="majorBidi" w:eastAsia="Times New Roman" w:hAnsiTheme="majorBidi" w:cstheme="majorBidi"/>
        </w:rPr>
        <w:t>for</w:t>
      </w:r>
      <w:r w:rsidRPr="00A038BF">
        <w:rPr>
          <w:rFonts w:asciiTheme="majorBidi" w:eastAsia="Times New Roman" w:hAnsiTheme="majorBidi" w:cstheme="majorBidi"/>
        </w:rPr>
        <w:t xml:space="preserve"> CLT, DLT, and NLT</w:t>
      </w:r>
      <w:r w:rsidR="00291B83" w:rsidRPr="00A038BF">
        <w:rPr>
          <w:rFonts w:asciiTheme="majorBidi" w:eastAsia="Times New Roman" w:hAnsiTheme="majorBidi" w:cstheme="majorBidi"/>
        </w:rPr>
        <w:t xml:space="preserve"> respectively</w:t>
      </w:r>
      <w:r w:rsidRPr="00A038BF">
        <w:rPr>
          <w:rFonts w:asciiTheme="majorBidi" w:hAnsiTheme="majorBidi" w:cstheme="majorBidi"/>
        </w:rPr>
        <w:t>.</w:t>
      </w:r>
      <w:r w:rsidRPr="00A038BF">
        <w:rPr>
          <w:rFonts w:asciiTheme="majorBidi" w:hAnsiTheme="majorBidi" w:cstheme="majorBidi"/>
          <w:vertAlign w:val="subscript"/>
        </w:rPr>
        <w:t xml:space="preserve"> </w:t>
      </w:r>
    </w:p>
    <w:p w14:paraId="0E031209" w14:textId="77777777" w:rsidR="00DC5CB6" w:rsidRPr="00A038BF" w:rsidRDefault="00DC5CB6" w:rsidP="00592A17">
      <w:pPr>
        <w:spacing w:after="0"/>
        <w:jc w:val="center"/>
        <w:rPr>
          <w:rFonts w:asciiTheme="majorBidi" w:hAnsiTheme="majorBidi" w:cstheme="majorBidi"/>
          <w:b/>
          <w:bCs/>
          <w:sz w:val="24"/>
          <w:szCs w:val="24"/>
        </w:rPr>
      </w:pPr>
      <w:r w:rsidRPr="00A038BF">
        <w:rPr>
          <w:rFonts w:asciiTheme="majorBidi" w:hAnsiTheme="majorBidi" w:cstheme="majorBidi"/>
          <w:noProof/>
        </w:rPr>
        <w:drawing>
          <wp:inline distT="0" distB="0" distL="0" distR="0" wp14:anchorId="254D2A99" wp14:editId="61A2A3A6">
            <wp:extent cx="3023755" cy="2599690"/>
            <wp:effectExtent l="0" t="0" r="5715" b="1016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r w:rsidR="00592A17" w:rsidRPr="00A038BF">
        <w:rPr>
          <w:noProof/>
        </w:rPr>
        <w:drawing>
          <wp:inline distT="0" distB="0" distL="0" distR="0" wp14:anchorId="5D77EED4" wp14:editId="0BCA27CB">
            <wp:extent cx="2791691" cy="2596515"/>
            <wp:effectExtent l="0" t="0" r="8890" b="13335"/>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6D7A030" w14:textId="77777777" w:rsidR="00C028B5" w:rsidRPr="00A038BF" w:rsidRDefault="0091609A" w:rsidP="0091609A">
      <w:pPr>
        <w:spacing w:after="0"/>
        <w:jc w:val="center"/>
        <w:rPr>
          <w:rFonts w:asciiTheme="majorBidi" w:hAnsiTheme="majorBidi" w:cstheme="majorBidi"/>
          <w:b/>
          <w:bCs/>
          <w:sz w:val="24"/>
          <w:szCs w:val="24"/>
        </w:rPr>
      </w:pPr>
      <w:r w:rsidRPr="00A038BF">
        <w:rPr>
          <w:noProof/>
        </w:rPr>
        <w:drawing>
          <wp:inline distT="0" distB="0" distL="0" distR="0" wp14:anchorId="1C042CB9" wp14:editId="679497C4">
            <wp:extent cx="3062432" cy="2769235"/>
            <wp:effectExtent l="0" t="0" r="5080" b="1206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592A17" w:rsidRPr="00A038BF">
        <w:rPr>
          <w:noProof/>
        </w:rPr>
        <w:drawing>
          <wp:inline distT="0" distB="0" distL="0" distR="0" wp14:anchorId="606FF571" wp14:editId="30C62AC4">
            <wp:extent cx="2777836" cy="2765425"/>
            <wp:effectExtent l="0" t="0" r="3810" b="15875"/>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9291EC4" w14:textId="77777777" w:rsidR="00C028B5" w:rsidRPr="00A038BF" w:rsidRDefault="00592A17" w:rsidP="00592A17">
      <w:pPr>
        <w:spacing w:after="0"/>
        <w:jc w:val="center"/>
        <w:rPr>
          <w:rFonts w:asciiTheme="majorBidi" w:hAnsiTheme="majorBidi" w:cstheme="majorBidi"/>
          <w:b/>
          <w:bCs/>
          <w:sz w:val="24"/>
          <w:szCs w:val="24"/>
        </w:rPr>
      </w:pPr>
      <w:r w:rsidRPr="00A038BF">
        <w:rPr>
          <w:noProof/>
        </w:rPr>
        <w:drawing>
          <wp:inline distT="0" distB="0" distL="0" distR="0" wp14:anchorId="1027AB93" wp14:editId="2BBF4FA3">
            <wp:extent cx="3858491" cy="2467610"/>
            <wp:effectExtent l="0" t="0" r="8890" b="8890"/>
            <wp:docPr id="23"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798E0A0F" w14:textId="17212A0E" w:rsidR="00DC5CB6" w:rsidRPr="00A038BF" w:rsidRDefault="00DC5CB6" w:rsidP="007B437B">
      <w:pPr>
        <w:jc w:val="center"/>
        <w:rPr>
          <w:rFonts w:asciiTheme="majorBidi" w:hAnsiTheme="majorBidi" w:cstheme="majorBidi"/>
          <w:sz w:val="20"/>
          <w:szCs w:val="20"/>
        </w:rPr>
      </w:pPr>
      <w:r w:rsidRPr="00A038BF">
        <w:rPr>
          <w:rFonts w:asciiTheme="majorBidi" w:hAnsiTheme="majorBidi" w:cstheme="majorBidi"/>
          <w:sz w:val="20"/>
          <w:szCs w:val="20"/>
        </w:rPr>
        <w:t xml:space="preserve">Figure 5. </w:t>
      </w:r>
      <w:r w:rsidR="007B437B" w:rsidRPr="00A038BF">
        <w:rPr>
          <w:rFonts w:asciiTheme="majorBidi" w:hAnsiTheme="majorBidi" w:cstheme="majorBidi"/>
          <w:sz w:val="20"/>
          <w:szCs w:val="20"/>
        </w:rPr>
        <w:t>LCA</w:t>
      </w:r>
      <w:r w:rsidRPr="00A038BF">
        <w:rPr>
          <w:rFonts w:asciiTheme="majorBidi" w:hAnsiTheme="majorBidi" w:cstheme="majorBidi"/>
          <w:sz w:val="20"/>
          <w:szCs w:val="20"/>
        </w:rPr>
        <w:t xml:space="preserve"> for whole structure comparing of three alternatives engineering woods</w:t>
      </w:r>
    </w:p>
    <w:p w14:paraId="5924DEE1" w14:textId="5FF0EC09" w:rsidR="00BE4096" w:rsidRPr="00A038BF" w:rsidRDefault="00BE4096" w:rsidP="00B82F9B">
      <w:pPr>
        <w:spacing w:after="0" w:line="276" w:lineRule="auto"/>
        <w:ind w:firstLine="720"/>
        <w:jc w:val="both"/>
        <w:rPr>
          <w:rFonts w:asciiTheme="majorBidi" w:hAnsiTheme="majorBidi" w:cstheme="majorBidi"/>
        </w:rPr>
      </w:pPr>
      <w:r w:rsidRPr="00A038BF">
        <w:rPr>
          <w:rFonts w:asciiTheme="majorBidi" w:eastAsia="Times New Roman" w:hAnsiTheme="majorBidi" w:cstheme="majorBidi"/>
        </w:rPr>
        <w:t>However, NLT has a higher net positive impact than the other two alternatives in the</w:t>
      </w:r>
      <w:r w:rsidR="00121113" w:rsidRPr="00A038BF">
        <w:rPr>
          <w:rFonts w:asciiTheme="majorBidi" w:eastAsia="Times New Roman" w:hAnsiTheme="majorBidi" w:cstheme="majorBidi"/>
        </w:rPr>
        <w:t>benefit and loads</w:t>
      </w:r>
      <w:r w:rsidRPr="00A038BF">
        <w:rPr>
          <w:rFonts w:asciiTheme="majorBidi" w:eastAsia="Times New Roman" w:hAnsiTheme="majorBidi" w:cstheme="majorBidi"/>
        </w:rPr>
        <w:t>stage (D1, D2, D3). The NLT has a 30% higher net positive compared to other case</w:t>
      </w:r>
      <w:r w:rsidR="00291B83" w:rsidRPr="00A038BF">
        <w:rPr>
          <w:rFonts w:asciiTheme="majorBidi" w:eastAsia="Times New Roman" w:hAnsiTheme="majorBidi" w:cstheme="majorBidi"/>
        </w:rPr>
        <w:t>s</w:t>
      </w:r>
      <w:r w:rsidRPr="00A038BF">
        <w:rPr>
          <w:rFonts w:asciiTheme="majorBidi" w:eastAsia="Times New Roman" w:hAnsiTheme="majorBidi" w:cstheme="majorBidi"/>
        </w:rPr>
        <w:t>. The total benefit loads are -22000</w:t>
      </w:r>
      <w:r w:rsidR="00B82F9B"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eq</w:t>
      </w:r>
      <w:r w:rsidRPr="00A038BF">
        <w:rPr>
          <w:rFonts w:asciiTheme="majorBidi" w:eastAsia="Times New Roman" w:hAnsiTheme="majorBidi" w:cstheme="majorBidi"/>
        </w:rPr>
        <w:t xml:space="preserve">, -22000 </w:t>
      </w:r>
      <w:r w:rsidR="00B82F9B" w:rsidRPr="00A038BF">
        <w:rPr>
          <w:rFonts w:asciiTheme="majorBidi" w:hAnsiTheme="majorBidi" w:cstheme="majorBidi"/>
        </w:rPr>
        <w:t>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eq</w:t>
      </w:r>
      <w:r w:rsidRPr="00A038BF">
        <w:rPr>
          <w:rFonts w:asciiTheme="majorBidi" w:hAnsiTheme="majorBidi" w:cstheme="majorBidi"/>
          <w:vertAlign w:val="subscript"/>
        </w:rPr>
        <w:t xml:space="preserve">, </w:t>
      </w:r>
      <w:r w:rsidRPr="00A038BF">
        <w:rPr>
          <w:rFonts w:asciiTheme="majorBidi" w:eastAsia="Times New Roman" w:hAnsiTheme="majorBidi" w:cstheme="majorBidi"/>
        </w:rPr>
        <w:t>and -28000</w:t>
      </w:r>
      <w:r w:rsidR="00B82F9B"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eq</w:t>
      </w:r>
      <w:r w:rsidRPr="00A038BF">
        <w:rPr>
          <w:rFonts w:asciiTheme="majorBidi" w:eastAsia="Times New Roman" w:hAnsiTheme="majorBidi" w:cstheme="majorBidi"/>
        </w:rPr>
        <w:t xml:space="preserve"> </w:t>
      </w:r>
      <w:r w:rsidR="00291B83" w:rsidRPr="00A038BF">
        <w:rPr>
          <w:rFonts w:asciiTheme="majorBidi" w:eastAsia="Times New Roman" w:hAnsiTheme="majorBidi" w:cstheme="majorBidi"/>
        </w:rPr>
        <w:t xml:space="preserve">for </w:t>
      </w:r>
      <w:r w:rsidRPr="00A038BF">
        <w:rPr>
          <w:rFonts w:asciiTheme="majorBidi" w:hAnsiTheme="majorBidi" w:cstheme="majorBidi"/>
        </w:rPr>
        <w:t>CLT, DLT, and NLT</w:t>
      </w:r>
      <w:r w:rsidR="00291B83" w:rsidRPr="00A038BF">
        <w:rPr>
          <w:rFonts w:asciiTheme="majorBidi" w:hAnsiTheme="majorBidi" w:cstheme="majorBidi"/>
        </w:rPr>
        <w:t xml:space="preserve"> respectively</w:t>
      </w:r>
      <w:r w:rsidR="00C30AC5" w:rsidRPr="00A038BF">
        <w:rPr>
          <w:rFonts w:asciiTheme="majorBidi" w:hAnsiTheme="majorBidi" w:cstheme="majorBidi"/>
        </w:rPr>
        <w:t>. T</w:t>
      </w:r>
      <w:r w:rsidRPr="00A038BF">
        <w:rPr>
          <w:rFonts w:asciiTheme="majorBidi" w:hAnsiTheme="majorBidi" w:cstheme="majorBidi"/>
        </w:rPr>
        <w:t xml:space="preserve">his </w:t>
      </w:r>
      <w:r w:rsidRPr="00A038BF">
        <w:rPr>
          <w:rFonts w:asciiTheme="majorBidi" w:eastAsia="Times New Roman" w:hAnsiTheme="majorBidi" w:cstheme="majorBidi"/>
        </w:rPr>
        <w:t>shows</w:t>
      </w:r>
      <w:r w:rsidRPr="00A038BF">
        <w:rPr>
          <w:rFonts w:asciiTheme="majorBidi" w:hAnsiTheme="majorBidi" w:cstheme="majorBidi"/>
        </w:rPr>
        <w:t xml:space="preserve"> the importance of </w:t>
      </w:r>
      <w:r w:rsidR="00C30AC5" w:rsidRPr="00A038BF">
        <w:rPr>
          <w:rFonts w:asciiTheme="majorBidi" w:hAnsiTheme="majorBidi" w:cstheme="majorBidi"/>
        </w:rPr>
        <w:t xml:space="preserve">the </w:t>
      </w:r>
      <w:r w:rsidRPr="00A038BF">
        <w:rPr>
          <w:rFonts w:asciiTheme="majorBidi" w:hAnsiTheme="majorBidi" w:cstheme="majorBidi"/>
        </w:rPr>
        <w:t xml:space="preserve">demolition stage </w:t>
      </w:r>
      <w:r w:rsidR="00291B83" w:rsidRPr="00A038BF">
        <w:rPr>
          <w:rFonts w:asciiTheme="majorBidi" w:hAnsiTheme="majorBidi" w:cstheme="majorBidi"/>
        </w:rPr>
        <w:t xml:space="preserve">and emphasizes the consequences of </w:t>
      </w:r>
      <w:r w:rsidRPr="00A038BF">
        <w:rPr>
          <w:rFonts w:asciiTheme="majorBidi" w:hAnsiTheme="majorBidi" w:cstheme="majorBidi"/>
        </w:rPr>
        <w:t xml:space="preserve">avoiding </w:t>
      </w:r>
      <w:r w:rsidR="00291B83" w:rsidRPr="00A038BF">
        <w:rPr>
          <w:rFonts w:asciiTheme="majorBidi" w:hAnsiTheme="majorBidi" w:cstheme="majorBidi"/>
        </w:rPr>
        <w:t xml:space="preserve">sending materials to </w:t>
      </w:r>
      <w:r w:rsidRPr="00A038BF">
        <w:rPr>
          <w:rFonts w:asciiTheme="majorBidi" w:hAnsiTheme="majorBidi" w:cstheme="majorBidi"/>
        </w:rPr>
        <w:t>landfill</w:t>
      </w:r>
      <w:r w:rsidR="00291B83" w:rsidRPr="00A038BF">
        <w:rPr>
          <w:rFonts w:asciiTheme="majorBidi" w:hAnsiTheme="majorBidi" w:cstheme="majorBidi"/>
        </w:rPr>
        <w:t xml:space="preserve"> </w:t>
      </w:r>
      <w:r w:rsidR="00C30AC5" w:rsidRPr="00A038BF">
        <w:rPr>
          <w:rFonts w:asciiTheme="majorBidi" w:hAnsiTheme="majorBidi" w:cstheme="majorBidi"/>
        </w:rPr>
        <w:t>s</w:t>
      </w:r>
      <w:r w:rsidR="00291B83" w:rsidRPr="00A038BF">
        <w:rPr>
          <w:rFonts w:asciiTheme="majorBidi" w:hAnsiTheme="majorBidi" w:cstheme="majorBidi"/>
        </w:rPr>
        <w:t>ites</w:t>
      </w:r>
      <w:r w:rsidRPr="00A038BF">
        <w:rPr>
          <w:rFonts w:asciiTheme="majorBidi" w:hAnsiTheme="majorBidi" w:cstheme="majorBidi"/>
        </w:rPr>
        <w:t>. Thus, if reuse and recycling are adequately managed</w:t>
      </w:r>
      <w:r w:rsidR="00291B83" w:rsidRPr="00A038BF">
        <w:rPr>
          <w:rFonts w:asciiTheme="majorBidi" w:hAnsiTheme="majorBidi" w:cstheme="majorBidi"/>
        </w:rPr>
        <w:t>,</w:t>
      </w:r>
      <w:r w:rsidRPr="00A038BF">
        <w:rPr>
          <w:rFonts w:asciiTheme="majorBidi" w:hAnsiTheme="majorBidi" w:cstheme="majorBidi"/>
        </w:rPr>
        <w:t xml:space="preserve"> positive impact</w:t>
      </w:r>
      <w:r w:rsidR="00291B83" w:rsidRPr="00A038BF">
        <w:rPr>
          <w:rFonts w:asciiTheme="majorBidi" w:hAnsiTheme="majorBidi" w:cstheme="majorBidi"/>
        </w:rPr>
        <w:t>s</w:t>
      </w:r>
      <w:r w:rsidRPr="00A038BF">
        <w:rPr>
          <w:rFonts w:asciiTheme="majorBidi" w:hAnsiTheme="majorBidi" w:cstheme="majorBidi"/>
        </w:rPr>
        <w:t xml:space="preserve"> </w:t>
      </w:r>
      <w:r w:rsidR="00291B83" w:rsidRPr="00A038BF">
        <w:rPr>
          <w:rFonts w:asciiTheme="majorBidi" w:hAnsiTheme="majorBidi" w:cstheme="majorBidi"/>
        </w:rPr>
        <w:t>follow</w:t>
      </w:r>
      <w:r w:rsidRPr="00A038BF">
        <w:rPr>
          <w:rFonts w:asciiTheme="majorBidi" w:hAnsiTheme="majorBidi" w:cstheme="majorBidi"/>
        </w:rPr>
        <w:t>. The result</w:t>
      </w:r>
      <w:r w:rsidR="00291B83" w:rsidRPr="00A038BF">
        <w:rPr>
          <w:rFonts w:asciiTheme="majorBidi" w:hAnsiTheme="majorBidi" w:cstheme="majorBidi"/>
        </w:rPr>
        <w:t>s</w:t>
      </w:r>
      <w:r w:rsidRPr="00A038BF">
        <w:rPr>
          <w:rFonts w:asciiTheme="majorBidi" w:hAnsiTheme="majorBidi" w:cstheme="majorBidi"/>
        </w:rPr>
        <w:t xml:space="preserve"> showed that 12000 </w:t>
      </w:r>
      <w:r w:rsidR="007B437B" w:rsidRPr="00A038BF">
        <w:rPr>
          <w:rFonts w:asciiTheme="majorBidi" w:hAnsiTheme="majorBidi" w:cstheme="majorBidi"/>
        </w:rPr>
        <w:t xml:space="preserve"> </w:t>
      </w:r>
      <w:r w:rsidR="00B82F9B" w:rsidRPr="00A038BF">
        <w:rPr>
          <w:rFonts w:asciiTheme="majorBidi" w:hAnsiTheme="majorBidi" w:cstheme="majorBidi"/>
        </w:rPr>
        <w:t>Kg</w:t>
      </w:r>
      <w:r w:rsidR="007B437B" w:rsidRPr="00A038BF">
        <w:rPr>
          <w:rFonts w:asciiTheme="majorBidi" w:hAnsiTheme="majorBidi" w:cstheme="majorBidi"/>
        </w:rPr>
        <w:t>CO</w:t>
      </w:r>
      <w:r w:rsidR="007B437B" w:rsidRPr="00A038BF">
        <w:rPr>
          <w:rFonts w:asciiTheme="majorBidi" w:hAnsiTheme="majorBidi" w:cstheme="majorBidi"/>
          <w:vertAlign w:val="subscript"/>
        </w:rPr>
        <w:t>2</w:t>
      </w:r>
      <w:r w:rsidR="007B437B" w:rsidRPr="00A038BF">
        <w:rPr>
          <w:rFonts w:asciiTheme="majorBidi" w:hAnsiTheme="majorBidi" w:cstheme="majorBidi"/>
        </w:rPr>
        <w:t xml:space="preserve">eq </w:t>
      </w:r>
      <w:r w:rsidRPr="00A038BF">
        <w:rPr>
          <w:rFonts w:asciiTheme="majorBidi" w:hAnsiTheme="majorBidi" w:cstheme="majorBidi"/>
        </w:rPr>
        <w:t xml:space="preserve">avoided emission is related to the reuse scenario, and 8500 </w:t>
      </w:r>
      <w:r w:rsidR="007B437B" w:rsidRPr="00A038BF">
        <w:rPr>
          <w:rFonts w:asciiTheme="majorBidi" w:hAnsiTheme="majorBidi" w:cstheme="majorBidi"/>
        </w:rPr>
        <w:t xml:space="preserve"> </w:t>
      </w:r>
      <w:r w:rsidR="00291851" w:rsidRPr="00A038BF">
        <w:rPr>
          <w:rFonts w:asciiTheme="majorBidi" w:hAnsiTheme="majorBidi" w:cstheme="majorBidi"/>
        </w:rPr>
        <w:t>Kg</w:t>
      </w:r>
      <w:r w:rsidR="007B437B" w:rsidRPr="00A038BF">
        <w:rPr>
          <w:rFonts w:asciiTheme="majorBidi" w:hAnsiTheme="majorBidi" w:cstheme="majorBidi"/>
        </w:rPr>
        <w:t>CO</w:t>
      </w:r>
      <w:r w:rsidR="007B437B" w:rsidRPr="00A038BF">
        <w:rPr>
          <w:rFonts w:asciiTheme="majorBidi" w:hAnsiTheme="majorBidi" w:cstheme="majorBidi"/>
          <w:vertAlign w:val="subscript"/>
        </w:rPr>
        <w:t>2</w:t>
      </w:r>
      <w:r w:rsidR="007B437B" w:rsidRPr="00A038BF">
        <w:rPr>
          <w:rFonts w:asciiTheme="majorBidi" w:hAnsiTheme="majorBidi" w:cstheme="majorBidi"/>
        </w:rPr>
        <w:t xml:space="preserve">eq </w:t>
      </w:r>
      <w:r w:rsidRPr="00A038BF">
        <w:rPr>
          <w:rFonts w:asciiTheme="majorBidi" w:hAnsiTheme="majorBidi" w:cstheme="majorBidi"/>
        </w:rPr>
        <w:t xml:space="preserve">is contributed to the recovery of materials. However, for steel recycling </w:t>
      </w:r>
      <w:r w:rsidR="00291B83" w:rsidRPr="00A038BF">
        <w:rPr>
          <w:rFonts w:asciiTheme="majorBidi" w:hAnsiTheme="majorBidi" w:cstheme="majorBidi"/>
        </w:rPr>
        <w:t xml:space="preserve">the scenario </w:t>
      </w:r>
      <w:r w:rsidRPr="00A038BF">
        <w:rPr>
          <w:rFonts w:asciiTheme="majorBidi" w:hAnsiTheme="majorBidi" w:cstheme="majorBidi"/>
        </w:rPr>
        <w:t xml:space="preserve">is different </w:t>
      </w:r>
      <w:r w:rsidR="00561A58" w:rsidRPr="00A038BF">
        <w:rPr>
          <w:rFonts w:asciiTheme="majorBidi" w:hAnsiTheme="majorBidi" w:cstheme="majorBidi"/>
        </w:rPr>
        <w:t>as</w:t>
      </w:r>
      <w:r w:rsidR="00ED2FF7" w:rsidRPr="00A038BF">
        <w:rPr>
          <w:rFonts w:asciiTheme="majorBidi" w:hAnsiTheme="majorBidi" w:cstheme="majorBidi"/>
        </w:rPr>
        <w:t xml:space="preserve"> 1500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eq, 1500 KgCO</w:t>
      </w:r>
      <w:r w:rsidRPr="00A038BF">
        <w:rPr>
          <w:rFonts w:asciiTheme="majorBidi" w:hAnsiTheme="majorBidi" w:cstheme="majorBidi"/>
          <w:vertAlign w:val="subscript"/>
        </w:rPr>
        <w:t>2</w:t>
      </w:r>
      <w:r w:rsidRPr="00A038BF">
        <w:rPr>
          <w:rFonts w:asciiTheme="majorBidi" w:hAnsiTheme="majorBidi" w:cstheme="majorBidi"/>
        </w:rPr>
        <w:t>eq</w:t>
      </w:r>
      <w:r w:rsidRPr="00A038BF">
        <w:rPr>
          <w:rFonts w:asciiTheme="majorBidi" w:hAnsiTheme="majorBidi" w:cstheme="majorBidi"/>
          <w:vertAlign w:val="subscript"/>
        </w:rPr>
        <w:t xml:space="preserve">, </w:t>
      </w:r>
      <w:r w:rsidR="00B82F9B" w:rsidRPr="00A038BF">
        <w:rPr>
          <w:rFonts w:asciiTheme="majorBidi" w:hAnsiTheme="majorBidi" w:cstheme="majorBidi"/>
        </w:rPr>
        <w:t>and 7500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hAnsiTheme="majorBidi" w:cstheme="majorBidi"/>
        </w:rPr>
        <w:t>eq</w:t>
      </w:r>
      <w:r w:rsidRPr="00A038BF">
        <w:rPr>
          <w:rFonts w:asciiTheme="majorBidi" w:hAnsiTheme="majorBidi" w:cstheme="majorBidi"/>
          <w:vertAlign w:val="subscript"/>
        </w:rPr>
        <w:t xml:space="preserve"> </w:t>
      </w:r>
      <w:r w:rsidR="00561A58" w:rsidRPr="00A038BF">
        <w:rPr>
          <w:rFonts w:asciiTheme="majorBidi" w:hAnsiTheme="majorBidi" w:cs="Times New Roman (Headings CS)"/>
        </w:rPr>
        <w:t xml:space="preserve">is contributed </w:t>
      </w:r>
      <w:r w:rsidRPr="00A038BF">
        <w:rPr>
          <w:rFonts w:asciiTheme="majorBidi" w:hAnsiTheme="majorBidi" w:cstheme="majorBidi"/>
        </w:rPr>
        <w:t>for CLT, DLT, and NLT</w:t>
      </w:r>
      <w:r w:rsidR="00561A58" w:rsidRPr="00A038BF">
        <w:rPr>
          <w:rFonts w:asciiTheme="majorBidi" w:hAnsiTheme="majorBidi" w:cstheme="majorBidi"/>
        </w:rPr>
        <w:t xml:space="preserve"> respectively</w:t>
      </w:r>
      <w:r w:rsidRPr="00A038BF">
        <w:rPr>
          <w:rFonts w:asciiTheme="majorBidi" w:hAnsiTheme="majorBidi" w:cstheme="majorBidi"/>
        </w:rPr>
        <w:t xml:space="preserve">. </w:t>
      </w:r>
    </w:p>
    <w:p w14:paraId="76873A46" w14:textId="59FA2048" w:rsidR="005F70B3" w:rsidRPr="00A038BF" w:rsidRDefault="0076583F" w:rsidP="00C30AC5">
      <w:pPr>
        <w:spacing w:line="276" w:lineRule="auto"/>
        <w:ind w:firstLine="720"/>
        <w:jc w:val="both"/>
        <w:rPr>
          <w:rFonts w:asciiTheme="majorBidi" w:hAnsiTheme="majorBidi" w:cstheme="majorBidi"/>
        </w:rPr>
      </w:pPr>
      <w:r w:rsidRPr="00A038BF">
        <w:rPr>
          <w:rFonts w:asciiTheme="majorBidi" w:hAnsiTheme="majorBidi" w:cstheme="majorBidi"/>
        </w:rPr>
        <w:t xml:space="preserve">In </w:t>
      </w:r>
      <w:r w:rsidR="00C30AC5" w:rsidRPr="00A038BF">
        <w:rPr>
          <w:rFonts w:asciiTheme="majorBidi" w:hAnsiTheme="majorBidi" w:cstheme="majorBidi"/>
        </w:rPr>
        <w:t xml:space="preserve">the </w:t>
      </w:r>
      <w:r w:rsidRPr="00A038BF">
        <w:rPr>
          <w:rFonts w:asciiTheme="majorBidi" w:hAnsiTheme="majorBidi" w:cstheme="majorBidi"/>
        </w:rPr>
        <w:t>following section</w:t>
      </w:r>
      <w:r w:rsidR="00C30AC5" w:rsidRPr="00A038BF">
        <w:rPr>
          <w:rFonts w:asciiTheme="majorBidi" w:hAnsiTheme="majorBidi" w:cstheme="majorBidi"/>
        </w:rPr>
        <w:t>,</w:t>
      </w:r>
      <w:r w:rsidRPr="00A038BF">
        <w:rPr>
          <w:rFonts w:asciiTheme="majorBidi" w:hAnsiTheme="majorBidi" w:cstheme="majorBidi"/>
        </w:rPr>
        <w:t xml:space="preserve"> other environmental criteria </w:t>
      </w:r>
      <w:r w:rsidR="00561A58" w:rsidRPr="00A038BF">
        <w:rPr>
          <w:rFonts w:asciiTheme="majorBidi" w:hAnsiTheme="majorBidi" w:cstheme="majorBidi"/>
        </w:rPr>
        <w:t>identified</w:t>
      </w:r>
      <w:r w:rsidRPr="00A038BF">
        <w:rPr>
          <w:rFonts w:asciiTheme="majorBidi" w:hAnsiTheme="majorBidi" w:cstheme="majorBidi"/>
        </w:rPr>
        <w:t xml:space="preserve"> as compulsory by EN 15804</w:t>
      </w:r>
      <w:r w:rsidR="00561A58" w:rsidRPr="00A038BF">
        <w:rPr>
          <w:rFonts w:asciiTheme="majorBidi" w:hAnsiTheme="majorBidi" w:cstheme="majorBidi"/>
        </w:rPr>
        <w:t xml:space="preserve"> have been assessed</w:t>
      </w:r>
      <w:r w:rsidRPr="00A038BF">
        <w:rPr>
          <w:rFonts w:asciiTheme="majorBidi" w:hAnsiTheme="majorBidi" w:cstheme="majorBidi"/>
        </w:rPr>
        <w:t>. Figure 6 shows the differences among</w:t>
      </w:r>
      <w:r w:rsidR="00561A58" w:rsidRPr="00A038BF">
        <w:rPr>
          <w:rFonts w:asciiTheme="majorBidi" w:hAnsiTheme="majorBidi" w:cstheme="majorBidi"/>
        </w:rPr>
        <w:t xml:space="preserve"> the</w:t>
      </w:r>
      <w:r w:rsidRPr="00A038BF">
        <w:rPr>
          <w:rFonts w:asciiTheme="majorBidi" w:hAnsiTheme="majorBidi" w:cstheme="majorBidi"/>
        </w:rPr>
        <w:t xml:space="preserve"> case</w:t>
      </w:r>
      <w:r w:rsidR="00561A58" w:rsidRPr="00A038BF">
        <w:rPr>
          <w:rFonts w:asciiTheme="majorBidi" w:hAnsiTheme="majorBidi" w:cstheme="majorBidi"/>
        </w:rPr>
        <w:t xml:space="preserve">s </w:t>
      </w:r>
      <w:r w:rsidRPr="00A038BF">
        <w:rPr>
          <w:rFonts w:asciiTheme="majorBidi" w:hAnsiTheme="majorBidi" w:cstheme="majorBidi"/>
        </w:rPr>
        <w:t xml:space="preserve">for different life cycle stages. Figure 5 and figure 6 show different environmental criteria and their contributions for each timber building. </w:t>
      </w:r>
      <w:r w:rsidR="00C30AC5" w:rsidRPr="00A038BF">
        <w:rPr>
          <w:rFonts w:asciiTheme="majorBidi" w:hAnsiTheme="majorBidi" w:cstheme="majorBidi"/>
        </w:rPr>
        <w:t>The m</w:t>
      </w:r>
      <w:r w:rsidRPr="00A038BF">
        <w:rPr>
          <w:rFonts w:asciiTheme="majorBidi" w:hAnsiTheme="majorBidi" w:cstheme="majorBidi"/>
        </w:rPr>
        <w:t>anufacturing and construction stage</w:t>
      </w:r>
      <w:r w:rsidR="00561A58" w:rsidRPr="00A038BF">
        <w:rPr>
          <w:rFonts w:asciiTheme="majorBidi" w:hAnsiTheme="majorBidi" w:cstheme="majorBidi"/>
        </w:rPr>
        <w:t>s</w:t>
      </w:r>
      <w:r w:rsidRPr="00A038BF">
        <w:rPr>
          <w:rFonts w:asciiTheme="majorBidi" w:hAnsiTheme="majorBidi" w:cstheme="majorBidi"/>
        </w:rPr>
        <w:t xml:space="preserve"> contribute the highest emission</w:t>
      </w:r>
      <w:r w:rsidR="00561A58" w:rsidRPr="00A038BF">
        <w:rPr>
          <w:rFonts w:asciiTheme="majorBidi" w:hAnsiTheme="majorBidi" w:cstheme="majorBidi"/>
        </w:rPr>
        <w:t>s,</w:t>
      </w:r>
      <w:r w:rsidRPr="00A038BF">
        <w:rPr>
          <w:rFonts w:asciiTheme="majorBidi" w:hAnsiTheme="majorBidi" w:cstheme="majorBidi"/>
        </w:rPr>
        <w:t xml:space="preserve"> followed by </w:t>
      </w:r>
      <w:r w:rsidR="00561A58" w:rsidRPr="00A038BF">
        <w:rPr>
          <w:rFonts w:asciiTheme="majorBidi" w:hAnsiTheme="majorBidi" w:cstheme="majorBidi"/>
        </w:rPr>
        <w:t xml:space="preserve">the </w:t>
      </w:r>
      <w:r w:rsidRPr="00A038BF">
        <w:rPr>
          <w:rFonts w:asciiTheme="majorBidi" w:hAnsiTheme="majorBidi" w:cstheme="majorBidi"/>
        </w:rPr>
        <w:t>maintenance and end</w:t>
      </w:r>
      <w:r w:rsidR="00561A58" w:rsidRPr="00A038BF">
        <w:rPr>
          <w:rFonts w:asciiTheme="majorBidi" w:hAnsiTheme="majorBidi" w:cstheme="majorBidi"/>
        </w:rPr>
        <w:t xml:space="preserve"> </w:t>
      </w:r>
      <w:r w:rsidRPr="00A038BF">
        <w:rPr>
          <w:rFonts w:asciiTheme="majorBidi" w:hAnsiTheme="majorBidi" w:cstheme="majorBidi"/>
        </w:rPr>
        <w:t>of life stage</w:t>
      </w:r>
      <w:r w:rsidR="00561A58" w:rsidRPr="00A038BF">
        <w:rPr>
          <w:rFonts w:asciiTheme="majorBidi" w:hAnsiTheme="majorBidi" w:cstheme="majorBidi"/>
        </w:rPr>
        <w:t>s</w:t>
      </w:r>
      <w:r w:rsidRPr="00A038BF">
        <w:rPr>
          <w:rFonts w:asciiTheme="majorBidi" w:hAnsiTheme="majorBidi" w:cstheme="majorBidi"/>
        </w:rPr>
        <w:t xml:space="preserve">. </w:t>
      </w:r>
      <w:r w:rsidR="00DB1D04" w:rsidRPr="00A038BF">
        <w:rPr>
          <w:rFonts w:asciiTheme="majorBidi" w:hAnsiTheme="majorBidi" w:cstheme="majorBidi"/>
        </w:rPr>
        <w:t xml:space="preserve">For the </w:t>
      </w:r>
      <w:r w:rsidR="00A964C9" w:rsidRPr="00A038BF">
        <w:rPr>
          <w:rFonts w:asciiTheme="majorBidi" w:hAnsiTheme="majorBidi" w:cstheme="majorBidi"/>
        </w:rPr>
        <w:t>second environmental categor</w:t>
      </w:r>
      <w:r w:rsidR="00C30AC5" w:rsidRPr="00A038BF">
        <w:rPr>
          <w:rFonts w:asciiTheme="majorBidi" w:hAnsiTheme="majorBidi" w:cstheme="majorBidi"/>
        </w:rPr>
        <w:t>y</w:t>
      </w:r>
      <w:r w:rsidR="00DB1D04" w:rsidRPr="00A038BF">
        <w:rPr>
          <w:rFonts w:asciiTheme="majorBidi" w:hAnsiTheme="majorBidi" w:cstheme="majorBidi"/>
        </w:rPr>
        <w:t xml:space="preserve">, </w:t>
      </w:r>
      <w:r w:rsidR="00A964C9" w:rsidRPr="00A038BF">
        <w:rPr>
          <w:rFonts w:asciiTheme="majorBidi" w:hAnsiTheme="majorBidi" w:cstheme="majorBidi"/>
        </w:rPr>
        <w:t xml:space="preserve">Human </w:t>
      </w:r>
      <w:r w:rsidR="00561A58" w:rsidRPr="00A038BF">
        <w:rPr>
          <w:rFonts w:asciiTheme="majorBidi" w:hAnsiTheme="majorBidi" w:cstheme="majorBidi"/>
        </w:rPr>
        <w:t xml:space="preserve">Toxicity </w:t>
      </w:r>
      <w:r w:rsidR="00A964C9" w:rsidRPr="00A038BF">
        <w:rPr>
          <w:rFonts w:asciiTheme="majorBidi" w:hAnsiTheme="majorBidi" w:cstheme="majorBidi"/>
        </w:rPr>
        <w:t>Potential (HTP)</w:t>
      </w:r>
      <w:r w:rsidR="00DB1D04" w:rsidRPr="00A038BF">
        <w:rPr>
          <w:rFonts w:asciiTheme="majorBidi" w:hAnsiTheme="majorBidi" w:cstheme="majorBidi"/>
        </w:rPr>
        <w:t>,</w:t>
      </w:r>
      <w:r w:rsidR="00A964C9" w:rsidRPr="00A038BF">
        <w:rPr>
          <w:rFonts w:asciiTheme="majorBidi" w:hAnsiTheme="majorBidi" w:cstheme="majorBidi"/>
        </w:rPr>
        <w:t xml:space="preserve"> the result </w:t>
      </w:r>
      <w:r w:rsidR="00DA7B25" w:rsidRPr="00A038BF">
        <w:rPr>
          <w:rFonts w:asciiTheme="majorBidi" w:hAnsiTheme="majorBidi" w:cstheme="majorBidi"/>
        </w:rPr>
        <w:t xml:space="preserve">is </w:t>
      </w:r>
      <w:r w:rsidR="00A964C9" w:rsidRPr="00A038BF">
        <w:rPr>
          <w:rFonts w:asciiTheme="majorBidi" w:hAnsiTheme="majorBidi" w:cstheme="majorBidi"/>
        </w:rPr>
        <w:t>consistent with GWP</w:t>
      </w:r>
      <w:r w:rsidR="00C30AC5" w:rsidRPr="00A038BF">
        <w:rPr>
          <w:rFonts w:asciiTheme="majorBidi" w:hAnsiTheme="majorBidi" w:cstheme="majorBidi"/>
        </w:rPr>
        <w:t>,</w:t>
      </w:r>
      <w:r w:rsidR="00A964C9" w:rsidRPr="00A038BF">
        <w:rPr>
          <w:rFonts w:asciiTheme="majorBidi" w:hAnsiTheme="majorBidi" w:cstheme="majorBidi"/>
        </w:rPr>
        <w:t xml:space="preserve"> and NLT has a </w:t>
      </w:r>
      <w:r w:rsidR="00B41EE9" w:rsidRPr="00A038BF">
        <w:rPr>
          <w:rFonts w:asciiTheme="majorBidi" w:hAnsiTheme="majorBidi" w:cstheme="majorBidi"/>
        </w:rPr>
        <w:t>lower</w:t>
      </w:r>
      <w:r w:rsidR="00A964C9" w:rsidRPr="00A038BF">
        <w:rPr>
          <w:rFonts w:asciiTheme="majorBidi" w:hAnsiTheme="majorBidi" w:cstheme="majorBidi"/>
        </w:rPr>
        <w:t xml:space="preserve"> emission. </w:t>
      </w:r>
      <w:r w:rsidR="008F4BEB" w:rsidRPr="00A038BF">
        <w:rPr>
          <w:rFonts w:asciiTheme="majorBidi" w:hAnsiTheme="majorBidi" w:cstheme="majorBidi"/>
        </w:rPr>
        <w:t xml:space="preserve">The HTP </w:t>
      </w:r>
      <w:r w:rsidR="00DB1D04" w:rsidRPr="00A038BF">
        <w:rPr>
          <w:rFonts w:asciiTheme="majorBidi" w:hAnsiTheme="majorBidi" w:cstheme="majorBidi"/>
        </w:rPr>
        <w:t xml:space="preserve">result </w:t>
      </w:r>
      <w:r w:rsidR="008F4BEB" w:rsidRPr="00A038BF">
        <w:rPr>
          <w:rFonts w:asciiTheme="majorBidi" w:hAnsiTheme="majorBidi" w:cstheme="majorBidi"/>
        </w:rPr>
        <w:t xml:space="preserve">shows the Manufacturing &amp; construction stage of NLT has a </w:t>
      </w:r>
      <w:r w:rsidR="008F4BEB" w:rsidRPr="00A038BF">
        <w:rPr>
          <w:rFonts w:asciiTheme="majorBidi" w:eastAsia="Times New Roman" w:hAnsiTheme="majorBidi" w:cstheme="majorBidi"/>
        </w:rPr>
        <w:t>2% and 3% higher impact than CLT and DLT</w:t>
      </w:r>
      <w:r w:rsidR="00C30AC5" w:rsidRPr="00A038BF">
        <w:rPr>
          <w:rFonts w:asciiTheme="majorBidi" w:eastAsia="Times New Roman" w:hAnsiTheme="majorBidi" w:cstheme="majorBidi"/>
        </w:rPr>
        <w:t>,</w:t>
      </w:r>
      <w:r w:rsidR="008F4BEB" w:rsidRPr="00A038BF">
        <w:rPr>
          <w:rFonts w:asciiTheme="majorBidi" w:eastAsia="Times New Roman" w:hAnsiTheme="majorBidi" w:cstheme="majorBidi"/>
        </w:rPr>
        <w:t xml:space="preserve"> respectively. </w:t>
      </w:r>
      <w:r w:rsidR="008F4BEB" w:rsidRPr="00A038BF">
        <w:rPr>
          <w:rFonts w:asciiTheme="majorBidi" w:hAnsiTheme="majorBidi" w:cstheme="majorBidi"/>
        </w:rPr>
        <w:t xml:space="preserve">On the other hand, </w:t>
      </w:r>
      <w:r w:rsidR="00C30AC5" w:rsidRPr="00A038BF">
        <w:rPr>
          <w:rFonts w:asciiTheme="majorBidi" w:hAnsiTheme="majorBidi" w:cstheme="majorBidi"/>
        </w:rPr>
        <w:t>the</w:t>
      </w:r>
      <w:r w:rsidR="00121113" w:rsidRPr="00A038BF">
        <w:rPr>
          <w:rFonts w:asciiTheme="majorBidi" w:hAnsiTheme="majorBidi" w:cstheme="majorBidi"/>
        </w:rPr>
        <w:t>benefit and loads</w:t>
      </w:r>
      <w:r w:rsidR="008F4BEB" w:rsidRPr="00A038BF">
        <w:rPr>
          <w:rFonts w:asciiTheme="majorBidi" w:hAnsiTheme="majorBidi" w:cstheme="majorBidi"/>
        </w:rPr>
        <w:t>stage (D1, D2, D3</w:t>
      </w:r>
      <w:r w:rsidR="00C30AC5" w:rsidRPr="00A038BF">
        <w:rPr>
          <w:rFonts w:asciiTheme="majorBidi" w:hAnsiTheme="majorBidi" w:cstheme="majorBidi"/>
        </w:rPr>
        <w:t>,</w:t>
      </w:r>
      <w:r w:rsidR="008F4BEB" w:rsidRPr="00A038BF">
        <w:rPr>
          <w:rFonts w:asciiTheme="majorBidi" w:hAnsiTheme="majorBidi" w:cstheme="majorBidi"/>
        </w:rPr>
        <w:t xml:space="preserve"> and D4) have </w:t>
      </w:r>
      <w:r w:rsidR="00DB1D04" w:rsidRPr="00A038BF">
        <w:rPr>
          <w:rFonts w:asciiTheme="majorBidi" w:hAnsiTheme="majorBidi" w:cstheme="majorBidi"/>
        </w:rPr>
        <w:t xml:space="preserve">approximately </w:t>
      </w:r>
      <w:r w:rsidR="00B41EE9" w:rsidRPr="00A038BF">
        <w:rPr>
          <w:rFonts w:asciiTheme="majorBidi" w:hAnsiTheme="majorBidi" w:cstheme="majorBidi"/>
        </w:rPr>
        <w:t>23</w:t>
      </w:r>
      <w:r w:rsidR="008F4BEB" w:rsidRPr="00A038BF">
        <w:rPr>
          <w:rFonts w:asciiTheme="majorBidi" w:hAnsiTheme="majorBidi" w:cstheme="majorBidi"/>
        </w:rPr>
        <w:t>%</w:t>
      </w:r>
      <w:r w:rsidR="00B41EE9" w:rsidRPr="00A038BF">
        <w:rPr>
          <w:rFonts w:asciiTheme="majorBidi" w:hAnsiTheme="majorBidi" w:cstheme="majorBidi"/>
        </w:rPr>
        <w:t xml:space="preserve"> and 15%</w:t>
      </w:r>
      <w:r w:rsidR="008F4BEB" w:rsidRPr="00A038BF">
        <w:rPr>
          <w:rFonts w:asciiTheme="majorBidi" w:hAnsiTheme="majorBidi" w:cstheme="majorBidi"/>
        </w:rPr>
        <w:t xml:space="preserve"> net positive </w:t>
      </w:r>
      <w:r w:rsidR="00DB1D04" w:rsidRPr="00A038BF">
        <w:rPr>
          <w:rFonts w:asciiTheme="majorBidi" w:hAnsiTheme="majorBidi" w:cstheme="majorBidi"/>
        </w:rPr>
        <w:t xml:space="preserve">impact </w:t>
      </w:r>
      <w:r w:rsidR="008F4BEB" w:rsidRPr="00A038BF">
        <w:rPr>
          <w:rFonts w:asciiTheme="majorBidi" w:hAnsiTheme="majorBidi" w:cstheme="majorBidi"/>
        </w:rPr>
        <w:t>compare</w:t>
      </w:r>
      <w:r w:rsidR="00C30AC5" w:rsidRPr="00A038BF">
        <w:rPr>
          <w:rFonts w:asciiTheme="majorBidi" w:hAnsiTheme="majorBidi" w:cstheme="majorBidi"/>
        </w:rPr>
        <w:t>d</w:t>
      </w:r>
      <w:r w:rsidR="008F4BEB" w:rsidRPr="00A038BF">
        <w:rPr>
          <w:rFonts w:asciiTheme="majorBidi" w:hAnsiTheme="majorBidi" w:cstheme="majorBidi"/>
        </w:rPr>
        <w:t xml:space="preserve"> to DLT and CLT due to recycling of nail</w:t>
      </w:r>
      <w:r w:rsidR="00C30AC5" w:rsidRPr="00A038BF">
        <w:rPr>
          <w:rFonts w:asciiTheme="majorBidi" w:hAnsiTheme="majorBidi" w:cstheme="majorBidi"/>
        </w:rPr>
        <w:t>s</w:t>
      </w:r>
      <w:r w:rsidR="008F4BEB" w:rsidRPr="00A038BF">
        <w:rPr>
          <w:rFonts w:asciiTheme="majorBidi" w:hAnsiTheme="majorBidi" w:cstheme="majorBidi"/>
        </w:rPr>
        <w:t>. The accumulation of different stage result</w:t>
      </w:r>
      <w:r w:rsidR="00C30AC5" w:rsidRPr="00A038BF">
        <w:rPr>
          <w:rFonts w:asciiTheme="majorBidi" w:hAnsiTheme="majorBidi" w:cstheme="majorBidi"/>
        </w:rPr>
        <w:t>s</w:t>
      </w:r>
      <w:r w:rsidR="008F4BEB" w:rsidRPr="00A038BF">
        <w:rPr>
          <w:rFonts w:asciiTheme="majorBidi" w:hAnsiTheme="majorBidi" w:cstheme="majorBidi"/>
        </w:rPr>
        <w:t xml:space="preserve"> </w:t>
      </w:r>
      <w:r w:rsidR="00B41EE9" w:rsidRPr="00A038BF">
        <w:rPr>
          <w:rFonts w:asciiTheme="majorBidi" w:hAnsiTheme="majorBidi" w:cstheme="majorBidi"/>
        </w:rPr>
        <w:t xml:space="preserve">for HTP </w:t>
      </w:r>
      <w:r w:rsidR="00DB1D04" w:rsidRPr="00A038BF">
        <w:rPr>
          <w:rFonts w:asciiTheme="majorBidi" w:hAnsiTheme="majorBidi" w:cstheme="majorBidi"/>
        </w:rPr>
        <w:t xml:space="preserve">show </w:t>
      </w:r>
      <w:r w:rsidR="008F4BEB" w:rsidRPr="00A038BF">
        <w:rPr>
          <w:rFonts w:asciiTheme="majorBidi" w:hAnsiTheme="majorBidi" w:cstheme="majorBidi"/>
        </w:rPr>
        <w:t xml:space="preserve">that </w:t>
      </w:r>
      <w:r w:rsidR="00B41EE9" w:rsidRPr="00A038BF">
        <w:rPr>
          <w:rFonts w:asciiTheme="majorBidi" w:hAnsiTheme="majorBidi" w:cstheme="majorBidi"/>
        </w:rPr>
        <w:t xml:space="preserve">NLT has 14% and 9% lower emission than CLT and DLT. </w:t>
      </w:r>
    </w:p>
    <w:p w14:paraId="3CD375C8" w14:textId="276F16C1" w:rsidR="00EE188E" w:rsidRPr="00A038BF" w:rsidRDefault="00B85213" w:rsidP="00C30AC5">
      <w:pPr>
        <w:spacing w:line="276" w:lineRule="auto"/>
        <w:ind w:left="-90" w:firstLine="810"/>
        <w:jc w:val="both"/>
        <w:rPr>
          <w:rFonts w:asciiTheme="majorBidi" w:hAnsiTheme="majorBidi" w:cstheme="majorBidi"/>
        </w:rPr>
      </w:pPr>
      <w:r w:rsidRPr="00A038BF">
        <w:rPr>
          <w:rFonts w:asciiTheme="majorBidi" w:hAnsiTheme="majorBidi" w:cstheme="majorBidi"/>
        </w:rPr>
        <w:t xml:space="preserve">The next environmental </w:t>
      </w:r>
      <w:r w:rsidR="00BE4096" w:rsidRPr="00A038BF">
        <w:rPr>
          <w:rFonts w:asciiTheme="majorBidi" w:hAnsiTheme="majorBidi" w:cstheme="majorBidi"/>
        </w:rPr>
        <w:t>categories are</w:t>
      </w:r>
      <w:r w:rsidRPr="00A038BF">
        <w:rPr>
          <w:rFonts w:asciiTheme="majorBidi" w:hAnsiTheme="majorBidi" w:cstheme="majorBidi"/>
        </w:rPr>
        <w:t xml:space="preserve"> AP</w:t>
      </w:r>
      <w:r w:rsidR="00BE4096" w:rsidRPr="00A038BF">
        <w:rPr>
          <w:rFonts w:asciiTheme="majorBidi" w:hAnsiTheme="majorBidi" w:cstheme="majorBidi"/>
        </w:rPr>
        <w:t>, TE</w:t>
      </w:r>
      <w:r w:rsidR="00C30AC5" w:rsidRPr="00A038BF">
        <w:rPr>
          <w:rFonts w:asciiTheme="majorBidi" w:hAnsiTheme="majorBidi" w:cstheme="majorBidi"/>
        </w:rPr>
        <w:t>, and FD. The result</w:t>
      </w:r>
      <w:r w:rsidR="00DB1D04" w:rsidRPr="00A038BF">
        <w:rPr>
          <w:rFonts w:asciiTheme="majorBidi" w:hAnsiTheme="majorBidi" w:cstheme="majorBidi"/>
        </w:rPr>
        <w:t>s for</w:t>
      </w:r>
      <w:r w:rsidR="00C30AC5" w:rsidRPr="00A038BF">
        <w:rPr>
          <w:rFonts w:asciiTheme="majorBidi" w:hAnsiTheme="majorBidi" w:cstheme="majorBidi"/>
        </w:rPr>
        <w:t xml:space="preserve"> these criteria </w:t>
      </w:r>
      <w:r w:rsidR="00DB1D04" w:rsidRPr="00A038BF">
        <w:rPr>
          <w:rFonts w:asciiTheme="majorBidi" w:hAnsiTheme="majorBidi" w:cstheme="majorBidi"/>
        </w:rPr>
        <w:t xml:space="preserve">are </w:t>
      </w:r>
      <w:r w:rsidRPr="00A038BF">
        <w:rPr>
          <w:rFonts w:asciiTheme="majorBidi" w:hAnsiTheme="majorBidi" w:cstheme="majorBidi"/>
        </w:rPr>
        <w:t>not consistent with previous assessment</w:t>
      </w:r>
      <w:r w:rsidR="00C30AC5" w:rsidRPr="00A038BF">
        <w:rPr>
          <w:rFonts w:asciiTheme="majorBidi" w:hAnsiTheme="majorBidi" w:cstheme="majorBidi"/>
        </w:rPr>
        <w:t>s</w:t>
      </w:r>
      <w:r w:rsidRPr="00A038BF">
        <w:rPr>
          <w:rFonts w:asciiTheme="majorBidi" w:hAnsiTheme="majorBidi" w:cstheme="majorBidi"/>
        </w:rPr>
        <w:t xml:space="preserve"> for GWP and HTP. </w:t>
      </w:r>
      <w:r w:rsidR="00EE188E" w:rsidRPr="00A038BF">
        <w:rPr>
          <w:rFonts w:asciiTheme="majorBidi" w:hAnsiTheme="majorBidi" w:cstheme="majorBidi"/>
        </w:rPr>
        <w:t>The high impact of AP, TE</w:t>
      </w:r>
      <w:r w:rsidR="00C30AC5" w:rsidRPr="00A038BF">
        <w:rPr>
          <w:rFonts w:asciiTheme="majorBidi" w:hAnsiTheme="majorBidi" w:cstheme="majorBidi"/>
        </w:rPr>
        <w:t>,</w:t>
      </w:r>
      <w:r w:rsidR="00EE188E" w:rsidRPr="00A038BF">
        <w:rPr>
          <w:rFonts w:asciiTheme="majorBidi" w:hAnsiTheme="majorBidi" w:cstheme="majorBidi"/>
        </w:rPr>
        <w:t xml:space="preserve"> and FD for NLT relate to </w:t>
      </w:r>
      <w:r w:rsidR="00C30AC5" w:rsidRPr="00A038BF">
        <w:rPr>
          <w:rFonts w:asciiTheme="majorBidi" w:hAnsiTheme="majorBidi" w:cstheme="majorBidi"/>
        </w:rPr>
        <w:t xml:space="preserve">the </w:t>
      </w:r>
      <w:r w:rsidR="00EE188E" w:rsidRPr="00A038BF">
        <w:rPr>
          <w:rFonts w:asciiTheme="majorBidi" w:hAnsiTheme="majorBidi" w:cstheme="majorBidi"/>
        </w:rPr>
        <w:t>use of nail</w:t>
      </w:r>
      <w:r w:rsidR="00C30AC5" w:rsidRPr="00A038BF">
        <w:rPr>
          <w:rFonts w:asciiTheme="majorBidi" w:hAnsiTheme="majorBidi" w:cstheme="majorBidi"/>
        </w:rPr>
        <w:t>s</w:t>
      </w:r>
      <w:r w:rsidR="00EE188E" w:rsidRPr="00A038BF">
        <w:rPr>
          <w:rFonts w:asciiTheme="majorBidi" w:hAnsiTheme="majorBidi" w:cstheme="majorBidi"/>
        </w:rPr>
        <w:t xml:space="preserve">. The </w:t>
      </w:r>
      <w:r w:rsidR="00DB1D04" w:rsidRPr="00A038BF">
        <w:rPr>
          <w:rFonts w:asciiTheme="majorBidi" w:hAnsiTheme="majorBidi" w:cstheme="majorBidi"/>
        </w:rPr>
        <w:t xml:space="preserve">manufacturing </w:t>
      </w:r>
      <w:r w:rsidR="00EE188E" w:rsidRPr="00A038BF">
        <w:rPr>
          <w:rFonts w:asciiTheme="majorBidi" w:hAnsiTheme="majorBidi" w:cstheme="majorBidi"/>
        </w:rPr>
        <w:t>and construction stage (A1, A2, A3, A4</w:t>
      </w:r>
      <w:r w:rsidR="00C30AC5" w:rsidRPr="00A038BF">
        <w:rPr>
          <w:rFonts w:asciiTheme="majorBidi" w:hAnsiTheme="majorBidi" w:cstheme="majorBidi"/>
        </w:rPr>
        <w:t>,</w:t>
      </w:r>
      <w:r w:rsidR="00EE188E" w:rsidRPr="00A038BF">
        <w:rPr>
          <w:rFonts w:asciiTheme="majorBidi" w:hAnsiTheme="majorBidi" w:cstheme="majorBidi"/>
        </w:rPr>
        <w:t xml:space="preserve"> and A4) of AP shows that NLT has </w:t>
      </w:r>
      <w:r w:rsidR="00C30AC5" w:rsidRPr="00A038BF">
        <w:rPr>
          <w:rFonts w:asciiTheme="majorBidi" w:hAnsiTheme="majorBidi" w:cstheme="majorBidi"/>
        </w:rPr>
        <w:t xml:space="preserve">a </w:t>
      </w:r>
      <w:r w:rsidR="00EE188E" w:rsidRPr="00A038BF">
        <w:rPr>
          <w:rFonts w:asciiTheme="majorBidi" w:hAnsiTheme="majorBidi" w:cstheme="majorBidi"/>
        </w:rPr>
        <w:t>12% and 18% higher impact than CLT and DLT</w:t>
      </w:r>
      <w:r w:rsidR="00C30AC5" w:rsidRPr="00A038BF">
        <w:rPr>
          <w:rFonts w:asciiTheme="majorBidi" w:hAnsiTheme="majorBidi" w:cstheme="majorBidi"/>
        </w:rPr>
        <w:t>,</w:t>
      </w:r>
      <w:r w:rsidR="00EE188E" w:rsidRPr="00A038BF">
        <w:rPr>
          <w:rFonts w:asciiTheme="majorBidi" w:hAnsiTheme="majorBidi" w:cstheme="majorBidi"/>
        </w:rPr>
        <w:t xml:space="preserve"> respectively. This impact</w:t>
      </w:r>
      <w:r w:rsidR="00DB1D04" w:rsidRPr="00A038BF">
        <w:rPr>
          <w:rFonts w:asciiTheme="majorBidi" w:hAnsiTheme="majorBidi" w:cstheme="majorBidi"/>
        </w:rPr>
        <w:t>s</w:t>
      </w:r>
      <w:r w:rsidR="00EE188E" w:rsidRPr="00A038BF">
        <w:rPr>
          <w:rFonts w:asciiTheme="majorBidi" w:hAnsiTheme="majorBidi" w:cstheme="majorBidi"/>
        </w:rPr>
        <w:t xml:space="preserve"> </w:t>
      </w:r>
      <w:r w:rsidR="00DB1D04" w:rsidRPr="00A038BF">
        <w:rPr>
          <w:rFonts w:asciiTheme="majorBidi" w:hAnsiTheme="majorBidi" w:cstheme="majorBidi"/>
        </w:rPr>
        <w:t xml:space="preserve">of this stage </w:t>
      </w:r>
      <w:r w:rsidR="00EE188E" w:rsidRPr="00A038BF">
        <w:rPr>
          <w:rFonts w:asciiTheme="majorBidi" w:hAnsiTheme="majorBidi" w:cstheme="majorBidi"/>
        </w:rPr>
        <w:t xml:space="preserve">for AP are </w:t>
      </w:r>
      <w:r w:rsidR="00EE188E" w:rsidRPr="00A038BF">
        <w:rPr>
          <w:rFonts w:asciiTheme="majorBidi" w:eastAsia="Times New Roman" w:hAnsiTheme="majorBidi" w:cstheme="majorBidi"/>
        </w:rPr>
        <w:t xml:space="preserve">379.6 </w:t>
      </w:r>
      <w:r w:rsidR="00ED2FF7" w:rsidRPr="00A038BF">
        <w:rPr>
          <w:rFonts w:asciiTheme="majorBidi" w:eastAsia="Times New Roman" w:hAnsiTheme="majorBidi" w:cstheme="majorBidi"/>
        </w:rPr>
        <w:t>kg</w:t>
      </w:r>
      <w:r w:rsidR="00C91134" w:rsidRPr="00A038BF">
        <w:rPr>
          <w:rFonts w:asciiTheme="majorBidi" w:eastAsia="Times New Roman" w:hAnsiTheme="majorBidi" w:cstheme="majorBidi"/>
        </w:rPr>
        <w:t>SO</w:t>
      </w:r>
      <w:r w:rsidR="00C91134"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 xml:space="preserve">eq, 354 </w:t>
      </w:r>
      <w:r w:rsidR="00ED2FF7" w:rsidRPr="00A038BF">
        <w:rPr>
          <w:rFonts w:asciiTheme="majorBidi" w:eastAsia="Times New Roman" w:hAnsiTheme="majorBidi" w:cstheme="majorBidi"/>
        </w:rPr>
        <w:t>kg</w:t>
      </w:r>
      <w:r w:rsidR="00C91134" w:rsidRPr="00A038BF">
        <w:rPr>
          <w:rFonts w:asciiTheme="majorBidi" w:eastAsia="Times New Roman" w:hAnsiTheme="majorBidi" w:cstheme="majorBidi"/>
        </w:rPr>
        <w:t>SO</w:t>
      </w:r>
      <w:r w:rsidR="00C91134"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eq</w:t>
      </w:r>
      <w:r w:rsidR="00EE188E" w:rsidRPr="00A038BF">
        <w:rPr>
          <w:rFonts w:asciiTheme="majorBidi" w:hAnsiTheme="majorBidi" w:cstheme="majorBidi"/>
        </w:rPr>
        <w:t xml:space="preserve"> </w:t>
      </w:r>
      <w:r w:rsidR="00EE188E" w:rsidRPr="00A038BF">
        <w:rPr>
          <w:rFonts w:asciiTheme="majorBidi" w:eastAsia="Times New Roman" w:hAnsiTheme="majorBidi" w:cstheme="majorBidi"/>
        </w:rPr>
        <w:t xml:space="preserve">and 428.9 </w:t>
      </w:r>
      <w:r w:rsidR="00ED2FF7" w:rsidRPr="00A038BF">
        <w:rPr>
          <w:rFonts w:asciiTheme="majorBidi" w:eastAsia="Times New Roman" w:hAnsiTheme="majorBidi" w:cstheme="majorBidi"/>
        </w:rPr>
        <w:t>kg</w:t>
      </w:r>
      <w:r w:rsidR="00C91134" w:rsidRPr="00A038BF">
        <w:rPr>
          <w:rFonts w:asciiTheme="majorBidi" w:eastAsia="Times New Roman" w:hAnsiTheme="majorBidi" w:cstheme="majorBidi"/>
        </w:rPr>
        <w:t>SO</w:t>
      </w:r>
      <w:r w:rsidR="00C91134"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 xml:space="preserve">eq for CLT, DLT and NLT. </w:t>
      </w:r>
      <w:r w:rsidR="00EE188E" w:rsidRPr="00A038BF">
        <w:rPr>
          <w:rFonts w:asciiTheme="majorBidi" w:hAnsiTheme="majorBidi" w:cstheme="majorBidi"/>
        </w:rPr>
        <w:t xml:space="preserve">Additionally, </w:t>
      </w:r>
      <w:r w:rsidR="00DB1D04" w:rsidRPr="00A038BF">
        <w:rPr>
          <w:rFonts w:asciiTheme="majorBidi" w:hAnsiTheme="majorBidi" w:cstheme="majorBidi"/>
        </w:rPr>
        <w:t xml:space="preserve">the </w:t>
      </w:r>
      <w:r w:rsidR="00EE188E" w:rsidRPr="00A038BF">
        <w:rPr>
          <w:rFonts w:asciiTheme="majorBidi" w:hAnsiTheme="majorBidi" w:cstheme="majorBidi"/>
        </w:rPr>
        <w:t xml:space="preserve">end of life stage for NLT also has </w:t>
      </w:r>
      <w:r w:rsidR="00C30AC5" w:rsidRPr="00A038BF">
        <w:rPr>
          <w:rFonts w:asciiTheme="majorBidi" w:hAnsiTheme="majorBidi" w:cstheme="majorBidi"/>
        </w:rPr>
        <w:t xml:space="preserve">a </w:t>
      </w:r>
      <w:r w:rsidR="00EE188E" w:rsidRPr="00A038BF">
        <w:rPr>
          <w:rFonts w:asciiTheme="majorBidi" w:hAnsiTheme="majorBidi" w:cstheme="majorBidi"/>
        </w:rPr>
        <w:t>higher impact for NLT due to remov</w:t>
      </w:r>
      <w:r w:rsidR="00DB1D04" w:rsidRPr="00A038BF">
        <w:rPr>
          <w:rFonts w:asciiTheme="majorBidi" w:hAnsiTheme="majorBidi" w:cstheme="majorBidi"/>
        </w:rPr>
        <w:t>al</w:t>
      </w:r>
      <w:r w:rsidR="00EE188E" w:rsidRPr="00A038BF">
        <w:rPr>
          <w:rFonts w:asciiTheme="majorBidi" w:hAnsiTheme="majorBidi" w:cstheme="majorBidi"/>
        </w:rPr>
        <w:t xml:space="preserve"> </w:t>
      </w:r>
      <w:r w:rsidR="00DB1D04" w:rsidRPr="00A038BF">
        <w:rPr>
          <w:rFonts w:asciiTheme="majorBidi" w:hAnsiTheme="majorBidi" w:cstheme="majorBidi"/>
        </w:rPr>
        <w:t xml:space="preserve">of the </w:t>
      </w:r>
      <w:r w:rsidR="00EE188E" w:rsidRPr="00A038BF">
        <w:rPr>
          <w:rFonts w:asciiTheme="majorBidi" w:hAnsiTheme="majorBidi" w:cstheme="majorBidi"/>
        </w:rPr>
        <w:t>nail</w:t>
      </w:r>
      <w:r w:rsidR="00DB1D04" w:rsidRPr="00A038BF">
        <w:rPr>
          <w:rFonts w:asciiTheme="majorBidi" w:hAnsiTheme="majorBidi" w:cstheme="majorBidi"/>
        </w:rPr>
        <w:t>s</w:t>
      </w:r>
      <w:r w:rsidR="00EE188E" w:rsidRPr="00A038BF">
        <w:rPr>
          <w:rFonts w:asciiTheme="majorBidi" w:hAnsiTheme="majorBidi" w:cstheme="majorBidi"/>
        </w:rPr>
        <w:t xml:space="preserve"> from panel</w:t>
      </w:r>
      <w:r w:rsidR="00DB1D04" w:rsidRPr="00A038BF">
        <w:rPr>
          <w:rFonts w:asciiTheme="majorBidi" w:hAnsiTheme="majorBidi" w:cstheme="majorBidi"/>
        </w:rPr>
        <w:t xml:space="preserve">s </w:t>
      </w:r>
      <w:r w:rsidR="00EE188E" w:rsidRPr="00A038BF">
        <w:rPr>
          <w:rFonts w:asciiTheme="majorBidi" w:hAnsiTheme="majorBidi" w:cstheme="majorBidi"/>
        </w:rPr>
        <w:t xml:space="preserve">by </w:t>
      </w:r>
      <w:r w:rsidR="00EE188E" w:rsidRPr="00A038BF">
        <w:rPr>
          <w:rFonts w:asciiTheme="majorBidi" w:eastAsia="Times New Roman" w:hAnsiTheme="majorBidi" w:cstheme="majorBidi"/>
        </w:rPr>
        <w:t xml:space="preserve">5.9 </w:t>
      </w:r>
      <w:r w:rsidR="00ED2FF7" w:rsidRPr="00A038BF">
        <w:rPr>
          <w:rFonts w:asciiTheme="majorBidi" w:eastAsia="Times New Roman" w:hAnsiTheme="majorBidi" w:cstheme="majorBidi"/>
        </w:rPr>
        <w:t>kg</w:t>
      </w:r>
      <w:r w:rsidR="00C91134" w:rsidRPr="00A038BF">
        <w:rPr>
          <w:rFonts w:asciiTheme="majorBidi" w:eastAsia="Times New Roman" w:hAnsiTheme="majorBidi" w:cstheme="majorBidi"/>
        </w:rPr>
        <w:t>SO</w:t>
      </w:r>
      <w:r w:rsidR="00C91134"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eq, 5.9</w:t>
      </w:r>
      <w:r w:rsidR="00291851" w:rsidRPr="00A038BF">
        <w:rPr>
          <w:rFonts w:asciiTheme="majorBidi" w:eastAsia="Times New Roman" w:hAnsiTheme="majorBidi" w:cstheme="majorBidi"/>
        </w:rPr>
        <w:t xml:space="preserve"> kg</w:t>
      </w:r>
      <w:r w:rsidR="00EE188E" w:rsidRPr="00A038BF">
        <w:rPr>
          <w:rFonts w:asciiTheme="majorBidi" w:eastAsia="Times New Roman" w:hAnsiTheme="majorBidi" w:cstheme="majorBidi"/>
        </w:rPr>
        <w:t>SO</w:t>
      </w:r>
      <w:r w:rsidR="00EE188E"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eq</w:t>
      </w:r>
      <w:r w:rsidR="00C30AC5" w:rsidRPr="00A038BF">
        <w:rPr>
          <w:rFonts w:asciiTheme="majorBidi" w:eastAsia="Times New Roman" w:hAnsiTheme="majorBidi" w:cstheme="majorBidi"/>
        </w:rPr>
        <w:t>,</w:t>
      </w:r>
      <w:r w:rsidR="00EE188E" w:rsidRPr="00A038BF">
        <w:rPr>
          <w:rFonts w:asciiTheme="majorBidi" w:eastAsia="Times New Roman" w:hAnsiTheme="majorBidi" w:cstheme="majorBidi"/>
        </w:rPr>
        <w:t xml:space="preserve"> and 9.2 </w:t>
      </w:r>
      <w:r w:rsidR="00ED2FF7" w:rsidRPr="00A038BF">
        <w:rPr>
          <w:rFonts w:asciiTheme="majorBidi" w:eastAsia="Times New Roman" w:hAnsiTheme="majorBidi" w:cstheme="majorBidi"/>
        </w:rPr>
        <w:t>kg</w:t>
      </w:r>
      <w:r w:rsidR="00C91134" w:rsidRPr="00A038BF">
        <w:rPr>
          <w:rFonts w:asciiTheme="majorBidi" w:eastAsia="Times New Roman" w:hAnsiTheme="majorBidi" w:cstheme="majorBidi"/>
        </w:rPr>
        <w:t>SO</w:t>
      </w:r>
      <w:r w:rsidR="00C91134" w:rsidRPr="00A038BF">
        <w:rPr>
          <w:rFonts w:asciiTheme="majorBidi" w:eastAsia="Times New Roman" w:hAnsiTheme="majorBidi" w:cstheme="majorBidi"/>
          <w:vertAlign w:val="subscript"/>
        </w:rPr>
        <w:t>2</w:t>
      </w:r>
      <w:r w:rsidR="00EE188E" w:rsidRPr="00A038BF">
        <w:rPr>
          <w:rFonts w:asciiTheme="majorBidi" w:eastAsia="Times New Roman" w:hAnsiTheme="majorBidi" w:cstheme="majorBidi"/>
        </w:rPr>
        <w:t>eq</w:t>
      </w:r>
      <w:r w:rsidR="00C30AC5" w:rsidRPr="00A038BF">
        <w:rPr>
          <w:rFonts w:asciiTheme="majorBidi" w:eastAsia="Times New Roman" w:hAnsiTheme="majorBidi" w:cstheme="majorBidi"/>
        </w:rPr>
        <w:t>,</w:t>
      </w:r>
      <w:r w:rsidR="00EE188E" w:rsidRPr="00A038BF">
        <w:rPr>
          <w:rFonts w:asciiTheme="majorBidi" w:eastAsia="Times New Roman" w:hAnsiTheme="majorBidi" w:cstheme="majorBidi"/>
        </w:rPr>
        <w:t xml:space="preserve"> show</w:t>
      </w:r>
      <w:r w:rsidR="00DB1D04" w:rsidRPr="00A038BF">
        <w:rPr>
          <w:rFonts w:asciiTheme="majorBidi" w:eastAsia="Times New Roman" w:hAnsiTheme="majorBidi" w:cstheme="majorBidi"/>
        </w:rPr>
        <w:t>ing</w:t>
      </w:r>
      <w:r w:rsidR="00EE188E" w:rsidRPr="00A038BF">
        <w:rPr>
          <w:rFonts w:asciiTheme="majorBidi" w:eastAsia="Times New Roman" w:hAnsiTheme="majorBidi" w:cstheme="majorBidi"/>
        </w:rPr>
        <w:t xml:space="preserve"> </w:t>
      </w:r>
      <w:r w:rsidR="00C30AC5" w:rsidRPr="00A038BF">
        <w:rPr>
          <w:rFonts w:asciiTheme="majorBidi" w:eastAsia="Times New Roman" w:hAnsiTheme="majorBidi" w:cstheme="majorBidi"/>
        </w:rPr>
        <w:t xml:space="preserve">a </w:t>
      </w:r>
      <w:r w:rsidR="00EE188E" w:rsidRPr="00A038BF">
        <w:rPr>
          <w:rFonts w:asciiTheme="majorBidi" w:eastAsia="Times New Roman" w:hAnsiTheme="majorBidi" w:cstheme="majorBidi"/>
        </w:rPr>
        <w:t xml:space="preserve">33% higher impact. </w:t>
      </w:r>
      <w:r w:rsidR="00C91134" w:rsidRPr="00A038BF">
        <w:rPr>
          <w:rFonts w:asciiTheme="majorBidi" w:eastAsia="Times New Roman" w:hAnsiTheme="majorBidi" w:cstheme="majorBidi"/>
        </w:rPr>
        <w:t xml:space="preserve">Additionally, </w:t>
      </w:r>
      <w:r w:rsidR="00861B4B" w:rsidRPr="00A038BF">
        <w:rPr>
          <w:rFonts w:asciiTheme="majorBidi" w:eastAsia="Times New Roman" w:hAnsiTheme="majorBidi" w:cstheme="majorBidi"/>
        </w:rPr>
        <w:t>the</w:t>
      </w:r>
      <w:r w:rsidR="00121113" w:rsidRPr="00A038BF">
        <w:rPr>
          <w:rFonts w:asciiTheme="majorBidi" w:eastAsia="Times New Roman" w:hAnsiTheme="majorBidi" w:cstheme="majorBidi"/>
        </w:rPr>
        <w:t xml:space="preserve"> benefit and loads </w:t>
      </w:r>
      <w:r w:rsidR="00861B4B" w:rsidRPr="00A038BF">
        <w:rPr>
          <w:rFonts w:asciiTheme="majorBidi" w:eastAsia="Times New Roman" w:hAnsiTheme="majorBidi" w:cstheme="majorBidi"/>
        </w:rPr>
        <w:t xml:space="preserve">stage </w:t>
      </w:r>
      <w:r w:rsidR="00121113" w:rsidRPr="00A038BF">
        <w:rPr>
          <w:rFonts w:asciiTheme="majorBidi" w:eastAsia="Times New Roman" w:hAnsiTheme="majorBidi" w:cstheme="majorBidi"/>
        </w:rPr>
        <w:t>exploit</w:t>
      </w:r>
      <w:r w:rsidR="00861B4B" w:rsidRPr="00A038BF">
        <w:rPr>
          <w:rFonts w:asciiTheme="majorBidi" w:eastAsia="Times New Roman" w:hAnsiTheme="majorBidi" w:cstheme="majorBidi"/>
        </w:rPr>
        <w:t xml:space="preserve"> circular economy </w:t>
      </w:r>
      <w:r w:rsidR="00121113" w:rsidRPr="00A038BF">
        <w:rPr>
          <w:rFonts w:asciiTheme="majorBidi" w:eastAsia="Times New Roman" w:hAnsiTheme="majorBidi" w:cstheme="majorBidi"/>
        </w:rPr>
        <w:t xml:space="preserve">principles </w:t>
      </w:r>
      <w:r w:rsidR="00861B4B" w:rsidRPr="00A038BF">
        <w:rPr>
          <w:rFonts w:asciiTheme="majorBidi" w:eastAsia="Times New Roman" w:hAnsiTheme="majorBidi" w:cstheme="majorBidi"/>
        </w:rPr>
        <w:t xml:space="preserve">by returning material to the life cycle of </w:t>
      </w:r>
      <w:r w:rsidR="00C30AC5" w:rsidRPr="00A038BF">
        <w:rPr>
          <w:rFonts w:asciiTheme="majorBidi" w:eastAsia="Times New Roman" w:hAnsiTheme="majorBidi" w:cstheme="majorBidi"/>
        </w:rPr>
        <w:t xml:space="preserve">the </w:t>
      </w:r>
      <w:r w:rsidR="00861B4B" w:rsidRPr="00A038BF">
        <w:rPr>
          <w:rFonts w:asciiTheme="majorBidi" w:eastAsia="Times New Roman" w:hAnsiTheme="majorBidi" w:cstheme="majorBidi"/>
        </w:rPr>
        <w:t>building</w:t>
      </w:r>
      <w:r w:rsidR="00121113" w:rsidRPr="00A038BF">
        <w:rPr>
          <w:rFonts w:asciiTheme="majorBidi" w:eastAsia="Times New Roman" w:hAnsiTheme="majorBidi" w:cstheme="majorBidi"/>
        </w:rPr>
        <w:t xml:space="preserve">, improving the </w:t>
      </w:r>
      <w:r w:rsidR="00861B4B" w:rsidRPr="00A038BF">
        <w:rPr>
          <w:rFonts w:asciiTheme="majorBidi" w:eastAsia="Times New Roman" w:hAnsiTheme="majorBidi" w:cstheme="majorBidi"/>
        </w:rPr>
        <w:t xml:space="preserve">performance </w:t>
      </w:r>
      <w:r w:rsidR="00121113" w:rsidRPr="00A038BF">
        <w:rPr>
          <w:rFonts w:asciiTheme="majorBidi" w:eastAsia="Times New Roman" w:hAnsiTheme="majorBidi" w:cstheme="majorBidi"/>
        </w:rPr>
        <w:t xml:space="preserve">of </w:t>
      </w:r>
      <w:r w:rsidR="00861B4B" w:rsidRPr="00A038BF">
        <w:rPr>
          <w:rFonts w:asciiTheme="majorBidi" w:eastAsia="Times New Roman" w:hAnsiTheme="majorBidi" w:cstheme="majorBidi"/>
        </w:rPr>
        <w:t>NLT due to recycling (D3) of nail</w:t>
      </w:r>
      <w:r w:rsidR="00121113" w:rsidRPr="00A038BF">
        <w:rPr>
          <w:rFonts w:asciiTheme="majorBidi" w:eastAsia="Times New Roman" w:hAnsiTheme="majorBidi" w:cstheme="majorBidi"/>
        </w:rPr>
        <w:t>s</w:t>
      </w:r>
      <w:r w:rsidR="00861B4B" w:rsidRPr="00A038BF">
        <w:rPr>
          <w:rFonts w:asciiTheme="majorBidi" w:eastAsia="Times New Roman" w:hAnsiTheme="majorBidi" w:cstheme="majorBidi"/>
        </w:rPr>
        <w:t xml:space="preserve">. </w:t>
      </w:r>
      <w:r w:rsidR="00CF507B" w:rsidRPr="00A038BF">
        <w:rPr>
          <w:rFonts w:asciiTheme="majorBidi" w:eastAsia="Times New Roman" w:hAnsiTheme="majorBidi" w:cstheme="majorBidi"/>
        </w:rPr>
        <w:t xml:space="preserve">The </w:t>
      </w:r>
      <w:r w:rsidR="00121113" w:rsidRPr="00A038BF">
        <w:rPr>
          <w:rFonts w:asciiTheme="majorBidi" w:eastAsia="Times New Roman" w:hAnsiTheme="majorBidi" w:cstheme="majorBidi"/>
        </w:rPr>
        <w:t xml:space="preserve">accumulation </w:t>
      </w:r>
      <w:r w:rsidR="00CF507B" w:rsidRPr="00A038BF">
        <w:rPr>
          <w:rFonts w:asciiTheme="majorBidi" w:eastAsia="Times New Roman" w:hAnsiTheme="majorBidi" w:cstheme="majorBidi"/>
        </w:rPr>
        <w:t>of D1, D2</w:t>
      </w:r>
      <w:r w:rsidR="00C30AC5" w:rsidRPr="00A038BF">
        <w:rPr>
          <w:rFonts w:asciiTheme="majorBidi" w:eastAsia="Times New Roman" w:hAnsiTheme="majorBidi" w:cstheme="majorBidi"/>
        </w:rPr>
        <w:t>,</w:t>
      </w:r>
      <w:r w:rsidR="00CF507B" w:rsidRPr="00A038BF">
        <w:rPr>
          <w:rFonts w:asciiTheme="majorBidi" w:eastAsia="Times New Roman" w:hAnsiTheme="majorBidi" w:cstheme="majorBidi"/>
        </w:rPr>
        <w:t xml:space="preserve"> and D3 for all scenario</w:t>
      </w:r>
      <w:r w:rsidR="00C30AC5" w:rsidRPr="00A038BF">
        <w:rPr>
          <w:rFonts w:asciiTheme="majorBidi" w:eastAsia="Times New Roman" w:hAnsiTheme="majorBidi" w:cstheme="majorBidi"/>
        </w:rPr>
        <w:t>s shows that NLT outperform</w:t>
      </w:r>
      <w:r w:rsidR="00121113" w:rsidRPr="00A038BF">
        <w:rPr>
          <w:rFonts w:asciiTheme="majorBidi" w:eastAsia="Times New Roman" w:hAnsiTheme="majorBidi" w:cstheme="majorBidi"/>
        </w:rPr>
        <w:t>ed the alternatives with</w:t>
      </w:r>
      <w:r w:rsidR="00C30AC5" w:rsidRPr="00A038BF">
        <w:rPr>
          <w:rFonts w:asciiTheme="majorBidi" w:eastAsia="Times New Roman" w:hAnsiTheme="majorBidi" w:cstheme="majorBidi"/>
        </w:rPr>
        <w:t xml:space="preserve"> 8% net positive impact </w:t>
      </w:r>
      <w:r w:rsidR="00121113" w:rsidRPr="00A038BF">
        <w:rPr>
          <w:rFonts w:asciiTheme="majorBidi" w:eastAsia="Times New Roman" w:hAnsiTheme="majorBidi" w:cstheme="majorBidi"/>
        </w:rPr>
        <w:t xml:space="preserve">over </w:t>
      </w:r>
      <w:r w:rsidR="00C30AC5" w:rsidRPr="00A038BF">
        <w:rPr>
          <w:rFonts w:asciiTheme="majorBidi" w:eastAsia="Times New Roman" w:hAnsiTheme="majorBidi" w:cstheme="majorBidi"/>
        </w:rPr>
        <w:t>CLT and NLT. T</w:t>
      </w:r>
      <w:r w:rsidR="00CF507B" w:rsidRPr="00A038BF">
        <w:rPr>
          <w:rFonts w:asciiTheme="majorBidi" w:eastAsia="Times New Roman" w:hAnsiTheme="majorBidi" w:cstheme="majorBidi"/>
        </w:rPr>
        <w:t xml:space="preserve">he wood materials only end up </w:t>
      </w:r>
      <w:r w:rsidR="00C30AC5" w:rsidRPr="00A038BF">
        <w:rPr>
          <w:rFonts w:asciiTheme="majorBidi" w:eastAsia="Times New Roman" w:hAnsiTheme="majorBidi" w:cstheme="majorBidi"/>
        </w:rPr>
        <w:t>reusing</w:t>
      </w:r>
      <w:r w:rsidR="005A0D24" w:rsidRPr="00A038BF">
        <w:rPr>
          <w:rFonts w:asciiTheme="majorBidi" w:eastAsia="Times New Roman" w:hAnsiTheme="majorBidi" w:cstheme="majorBidi"/>
        </w:rPr>
        <w:t xml:space="preserve"> (D1)</w:t>
      </w:r>
      <w:r w:rsidR="00CF507B" w:rsidRPr="00A038BF">
        <w:rPr>
          <w:rFonts w:asciiTheme="majorBidi" w:eastAsia="Times New Roman" w:hAnsiTheme="majorBidi" w:cstheme="majorBidi"/>
        </w:rPr>
        <w:t xml:space="preserve"> and recover</w:t>
      </w:r>
      <w:r w:rsidR="00C30AC5" w:rsidRPr="00A038BF">
        <w:rPr>
          <w:rFonts w:asciiTheme="majorBidi" w:eastAsia="Times New Roman" w:hAnsiTheme="majorBidi" w:cstheme="majorBidi"/>
        </w:rPr>
        <w:t>ing</w:t>
      </w:r>
      <w:r w:rsidR="005A0D24" w:rsidRPr="00A038BF">
        <w:rPr>
          <w:rFonts w:asciiTheme="majorBidi" w:eastAsia="Times New Roman" w:hAnsiTheme="majorBidi" w:cstheme="majorBidi"/>
        </w:rPr>
        <w:t xml:space="preserve"> (D2)</w:t>
      </w:r>
      <w:r w:rsidR="00CF507B" w:rsidRPr="00A038BF">
        <w:rPr>
          <w:rFonts w:asciiTheme="majorBidi" w:eastAsia="Times New Roman" w:hAnsiTheme="majorBidi" w:cstheme="majorBidi"/>
        </w:rPr>
        <w:t xml:space="preserve">. </w:t>
      </w:r>
    </w:p>
    <w:p w14:paraId="175A584B" w14:textId="3BE60E08" w:rsidR="00EE188E" w:rsidRPr="00A038BF" w:rsidRDefault="00901324" w:rsidP="00060624">
      <w:pPr>
        <w:spacing w:line="276" w:lineRule="auto"/>
        <w:ind w:left="-90" w:firstLine="810"/>
        <w:jc w:val="both"/>
        <w:rPr>
          <w:rFonts w:asciiTheme="majorBidi" w:hAnsiTheme="majorBidi" w:cstheme="majorBidi"/>
        </w:rPr>
      </w:pPr>
      <w:r w:rsidRPr="00A038BF">
        <w:rPr>
          <w:rFonts w:asciiTheme="majorBidi" w:hAnsiTheme="majorBidi" w:cstheme="majorBidi"/>
        </w:rPr>
        <w:t>The TE and FD result</w:t>
      </w:r>
      <w:r w:rsidR="00C30AC5" w:rsidRPr="00A038BF">
        <w:rPr>
          <w:rFonts w:asciiTheme="majorBidi" w:hAnsiTheme="majorBidi" w:cstheme="majorBidi"/>
        </w:rPr>
        <w:t>s</w:t>
      </w:r>
      <w:r w:rsidRPr="00A038BF">
        <w:rPr>
          <w:rFonts w:asciiTheme="majorBidi" w:hAnsiTheme="majorBidi" w:cstheme="majorBidi"/>
        </w:rPr>
        <w:t xml:space="preserve"> show that DLT perform</w:t>
      </w:r>
      <w:r w:rsidR="00121113" w:rsidRPr="00A038BF">
        <w:rPr>
          <w:rFonts w:asciiTheme="majorBidi" w:hAnsiTheme="majorBidi" w:cstheme="majorBidi"/>
        </w:rPr>
        <w:t>s best</w:t>
      </w:r>
      <w:r w:rsidRPr="00A038BF">
        <w:rPr>
          <w:rFonts w:asciiTheme="majorBidi" w:hAnsiTheme="majorBidi" w:cstheme="majorBidi"/>
        </w:rPr>
        <w:t xml:space="preserve"> compare</w:t>
      </w:r>
      <w:r w:rsidR="00C30AC5" w:rsidRPr="00A038BF">
        <w:rPr>
          <w:rFonts w:asciiTheme="majorBidi" w:hAnsiTheme="majorBidi" w:cstheme="majorBidi"/>
        </w:rPr>
        <w:t>d</w:t>
      </w:r>
      <w:r w:rsidRPr="00A038BF">
        <w:rPr>
          <w:rFonts w:asciiTheme="majorBidi" w:hAnsiTheme="majorBidi" w:cstheme="majorBidi"/>
        </w:rPr>
        <w:t xml:space="preserve"> to CLT and NLT. This is due to </w:t>
      </w:r>
      <w:r w:rsidR="00121113" w:rsidRPr="00A038BF">
        <w:rPr>
          <w:rFonts w:asciiTheme="majorBidi" w:hAnsiTheme="majorBidi" w:cstheme="majorBidi"/>
        </w:rPr>
        <w:t>the absence of</w:t>
      </w:r>
      <w:r w:rsidRPr="00A038BF">
        <w:rPr>
          <w:rFonts w:asciiTheme="majorBidi" w:hAnsiTheme="majorBidi" w:cstheme="majorBidi"/>
        </w:rPr>
        <w:t xml:space="preserve"> glue</w:t>
      </w:r>
      <w:r w:rsidR="00121113" w:rsidRPr="00A038BF">
        <w:rPr>
          <w:rFonts w:asciiTheme="majorBidi" w:hAnsiTheme="majorBidi" w:cstheme="majorBidi"/>
        </w:rPr>
        <w:t>s</w:t>
      </w:r>
      <w:r w:rsidRPr="00A038BF">
        <w:rPr>
          <w:rFonts w:asciiTheme="majorBidi" w:hAnsiTheme="majorBidi" w:cstheme="majorBidi"/>
        </w:rPr>
        <w:t xml:space="preserve"> </w:t>
      </w:r>
      <w:r w:rsidR="00121113" w:rsidRPr="00A038BF">
        <w:rPr>
          <w:rFonts w:asciiTheme="majorBidi" w:hAnsiTheme="majorBidi" w:cstheme="majorBidi"/>
        </w:rPr>
        <w:t xml:space="preserve">and </w:t>
      </w:r>
      <w:r w:rsidRPr="00A038BF">
        <w:rPr>
          <w:rFonts w:asciiTheme="majorBidi" w:hAnsiTheme="majorBidi" w:cstheme="majorBidi"/>
        </w:rPr>
        <w:t>nail</w:t>
      </w:r>
      <w:r w:rsidR="00121113" w:rsidRPr="00A038BF">
        <w:rPr>
          <w:rFonts w:asciiTheme="majorBidi" w:hAnsiTheme="majorBidi" w:cstheme="majorBidi"/>
        </w:rPr>
        <w:t>s</w:t>
      </w:r>
      <w:r w:rsidRPr="00A038BF">
        <w:rPr>
          <w:rFonts w:asciiTheme="majorBidi" w:hAnsiTheme="majorBidi" w:cstheme="majorBidi"/>
        </w:rPr>
        <w:t xml:space="preserve"> in its structure. </w:t>
      </w:r>
      <w:r w:rsidR="00A4799E" w:rsidRPr="00A038BF">
        <w:rPr>
          <w:rFonts w:asciiTheme="majorBidi" w:hAnsiTheme="majorBidi" w:cstheme="majorBidi"/>
        </w:rPr>
        <w:t xml:space="preserve">The TE result </w:t>
      </w:r>
      <w:r w:rsidR="00121113" w:rsidRPr="00A038BF">
        <w:rPr>
          <w:rFonts w:asciiTheme="majorBidi" w:hAnsiTheme="majorBidi" w:cstheme="majorBidi"/>
        </w:rPr>
        <w:t xml:space="preserve">shows </w:t>
      </w:r>
      <w:r w:rsidR="00A4799E" w:rsidRPr="00A038BF">
        <w:rPr>
          <w:rFonts w:asciiTheme="majorBidi" w:hAnsiTheme="majorBidi" w:cstheme="majorBidi"/>
        </w:rPr>
        <w:t xml:space="preserve">that DLT has a </w:t>
      </w:r>
      <w:r w:rsidR="00C30AC5" w:rsidRPr="00A038BF">
        <w:rPr>
          <w:rFonts w:asciiTheme="majorBidi" w:hAnsiTheme="majorBidi" w:cstheme="majorBidi"/>
        </w:rPr>
        <w:t>lower impact of 14% and 24% than CLT and NLT</w:t>
      </w:r>
      <w:r w:rsidR="00A4799E" w:rsidRPr="00A038BF">
        <w:rPr>
          <w:rFonts w:asciiTheme="majorBidi" w:hAnsiTheme="majorBidi" w:cstheme="majorBidi"/>
        </w:rPr>
        <w:t xml:space="preserve">. On the other hand, FD categories show </w:t>
      </w:r>
      <w:r w:rsidR="00121113" w:rsidRPr="00A038BF">
        <w:rPr>
          <w:rFonts w:asciiTheme="majorBidi" w:hAnsiTheme="majorBidi" w:cstheme="majorBidi"/>
        </w:rPr>
        <w:t xml:space="preserve">that </w:t>
      </w:r>
      <w:r w:rsidR="00A4799E" w:rsidRPr="00A038BF">
        <w:rPr>
          <w:rFonts w:asciiTheme="majorBidi" w:hAnsiTheme="majorBidi" w:cstheme="majorBidi"/>
        </w:rPr>
        <w:t xml:space="preserve">DLT has a 5% and 36% lower impact </w:t>
      </w:r>
      <w:r w:rsidR="00C30AC5" w:rsidRPr="00A038BF">
        <w:rPr>
          <w:rFonts w:asciiTheme="majorBidi" w:hAnsiTheme="majorBidi" w:cstheme="majorBidi"/>
        </w:rPr>
        <w:t>than CLT and NLT</w:t>
      </w:r>
      <w:r w:rsidR="00A4799E" w:rsidRPr="00A038BF">
        <w:rPr>
          <w:rFonts w:asciiTheme="majorBidi" w:hAnsiTheme="majorBidi" w:cstheme="majorBidi"/>
        </w:rPr>
        <w:t xml:space="preserve">. In general, two environmental categories (GWP and HTP) </w:t>
      </w:r>
      <w:r w:rsidR="00121113" w:rsidRPr="00A038BF">
        <w:rPr>
          <w:rFonts w:asciiTheme="majorBidi" w:hAnsiTheme="majorBidi" w:cstheme="majorBidi"/>
        </w:rPr>
        <w:t xml:space="preserve">indicate </w:t>
      </w:r>
      <w:r w:rsidR="00A4799E" w:rsidRPr="00A038BF">
        <w:rPr>
          <w:rFonts w:asciiTheme="majorBidi" w:hAnsiTheme="majorBidi" w:cstheme="majorBidi"/>
        </w:rPr>
        <w:t xml:space="preserve">that NLT is </w:t>
      </w:r>
      <w:r w:rsidR="00121113" w:rsidRPr="00A038BF">
        <w:rPr>
          <w:rFonts w:asciiTheme="majorBidi" w:hAnsiTheme="majorBidi" w:cstheme="majorBidi"/>
        </w:rPr>
        <w:t xml:space="preserve">the </w:t>
      </w:r>
      <w:r w:rsidR="00A4799E" w:rsidRPr="00A038BF">
        <w:rPr>
          <w:rFonts w:asciiTheme="majorBidi" w:hAnsiTheme="majorBidi" w:cstheme="majorBidi"/>
        </w:rPr>
        <w:t>preferable choice</w:t>
      </w:r>
      <w:r w:rsidR="00C30AC5" w:rsidRPr="00A038BF">
        <w:rPr>
          <w:rFonts w:asciiTheme="majorBidi" w:hAnsiTheme="majorBidi" w:cstheme="majorBidi"/>
        </w:rPr>
        <w:t>. At the same time,</w:t>
      </w:r>
      <w:r w:rsidR="00A4799E" w:rsidRPr="00A038BF">
        <w:rPr>
          <w:rFonts w:asciiTheme="majorBidi" w:hAnsiTheme="majorBidi" w:cstheme="majorBidi"/>
        </w:rPr>
        <w:t xml:space="preserve"> the other three criteria</w:t>
      </w:r>
      <w:r w:rsidR="00C30AC5" w:rsidRPr="00A038BF">
        <w:rPr>
          <w:rFonts w:asciiTheme="majorBidi" w:hAnsiTheme="majorBidi" w:cstheme="majorBidi"/>
        </w:rPr>
        <w:t>,</w:t>
      </w:r>
      <w:r w:rsidR="00A4799E" w:rsidRPr="00A038BF">
        <w:rPr>
          <w:rFonts w:asciiTheme="majorBidi" w:hAnsiTheme="majorBidi" w:cstheme="majorBidi"/>
        </w:rPr>
        <w:t xml:space="preserve"> namely, AP, TE</w:t>
      </w:r>
      <w:r w:rsidR="00C30AC5" w:rsidRPr="00A038BF">
        <w:rPr>
          <w:rFonts w:asciiTheme="majorBidi" w:hAnsiTheme="majorBidi" w:cstheme="majorBidi"/>
        </w:rPr>
        <w:t>,</w:t>
      </w:r>
      <w:r w:rsidR="00A4799E" w:rsidRPr="00A038BF">
        <w:rPr>
          <w:rFonts w:asciiTheme="majorBidi" w:hAnsiTheme="majorBidi" w:cstheme="majorBidi"/>
        </w:rPr>
        <w:t xml:space="preserve"> and FD</w:t>
      </w:r>
      <w:r w:rsidR="00C30AC5" w:rsidRPr="00A038BF">
        <w:rPr>
          <w:rFonts w:asciiTheme="majorBidi" w:hAnsiTheme="majorBidi" w:cstheme="majorBidi"/>
        </w:rPr>
        <w:t>,</w:t>
      </w:r>
      <w:r w:rsidR="00A4799E" w:rsidRPr="00A038BF">
        <w:rPr>
          <w:rFonts w:asciiTheme="majorBidi" w:hAnsiTheme="majorBidi" w:cstheme="majorBidi"/>
        </w:rPr>
        <w:t xml:space="preserve"> </w:t>
      </w:r>
      <w:r w:rsidR="00AA1466" w:rsidRPr="00A038BF">
        <w:rPr>
          <w:rFonts w:asciiTheme="majorBidi" w:hAnsiTheme="majorBidi" w:cstheme="majorBidi"/>
        </w:rPr>
        <w:t>point to</w:t>
      </w:r>
      <w:r w:rsidR="00A4799E" w:rsidRPr="00A038BF">
        <w:rPr>
          <w:rFonts w:asciiTheme="majorBidi" w:hAnsiTheme="majorBidi" w:cstheme="majorBidi"/>
        </w:rPr>
        <w:t xml:space="preserve"> DLT </w:t>
      </w:r>
      <w:r w:rsidR="00AA1466" w:rsidRPr="00A038BF">
        <w:rPr>
          <w:rFonts w:asciiTheme="majorBidi" w:hAnsiTheme="majorBidi" w:cstheme="majorBidi"/>
        </w:rPr>
        <w:t>a</w:t>
      </w:r>
      <w:r w:rsidR="00A4799E" w:rsidRPr="00A038BF">
        <w:rPr>
          <w:rFonts w:asciiTheme="majorBidi" w:hAnsiTheme="majorBidi" w:cstheme="majorBidi"/>
        </w:rPr>
        <w:t xml:space="preserve">s the best alternative. </w:t>
      </w:r>
      <w:r w:rsidR="00C30AC5" w:rsidRPr="00A038BF">
        <w:rPr>
          <w:rFonts w:asciiTheme="majorBidi" w:hAnsiTheme="majorBidi" w:cstheme="majorBidi"/>
        </w:rPr>
        <w:t>T</w:t>
      </w:r>
      <w:r w:rsidR="00A4799E" w:rsidRPr="00A038BF">
        <w:rPr>
          <w:rFonts w:asciiTheme="majorBidi" w:hAnsiTheme="majorBidi" w:cstheme="majorBidi"/>
        </w:rPr>
        <w:t xml:space="preserve">hus, there is a need </w:t>
      </w:r>
      <w:r w:rsidR="00C30AC5" w:rsidRPr="00A038BF">
        <w:rPr>
          <w:rFonts w:asciiTheme="majorBidi" w:hAnsiTheme="majorBidi" w:cstheme="majorBidi"/>
        </w:rPr>
        <w:t xml:space="preserve">for </w:t>
      </w:r>
      <w:r w:rsidR="00AA1466" w:rsidRPr="00A038BF">
        <w:rPr>
          <w:rFonts w:asciiTheme="majorBidi" w:hAnsiTheme="majorBidi" w:cstheme="majorBidi"/>
        </w:rPr>
        <w:t>additional investigation</w:t>
      </w:r>
      <w:r w:rsidR="00A4799E" w:rsidRPr="00A038BF">
        <w:rPr>
          <w:rFonts w:asciiTheme="majorBidi" w:hAnsiTheme="majorBidi" w:cstheme="majorBidi"/>
        </w:rPr>
        <w:t xml:space="preserve"> to </w:t>
      </w:r>
      <w:r w:rsidR="00AA1466" w:rsidRPr="00A038BF">
        <w:rPr>
          <w:rFonts w:asciiTheme="majorBidi" w:hAnsiTheme="majorBidi" w:cstheme="majorBidi"/>
        </w:rPr>
        <w:t>ascertain</w:t>
      </w:r>
      <w:r w:rsidR="00A4799E" w:rsidRPr="00A038BF">
        <w:rPr>
          <w:rFonts w:asciiTheme="majorBidi" w:hAnsiTheme="majorBidi" w:cstheme="majorBidi"/>
        </w:rPr>
        <w:t xml:space="preserve"> which case </w:t>
      </w:r>
      <w:r w:rsidR="00AA1466" w:rsidRPr="00A038BF">
        <w:rPr>
          <w:rFonts w:asciiTheme="majorBidi" w:hAnsiTheme="majorBidi" w:cstheme="majorBidi"/>
        </w:rPr>
        <w:t>is to be preferred</w:t>
      </w:r>
      <w:r w:rsidR="00A4799E" w:rsidRPr="00A038BF">
        <w:rPr>
          <w:rFonts w:asciiTheme="majorBidi" w:hAnsiTheme="majorBidi" w:cstheme="majorBidi"/>
        </w:rPr>
        <w:t xml:space="preserve">. </w:t>
      </w:r>
    </w:p>
    <w:p w14:paraId="7FF9F887" w14:textId="77777777" w:rsidR="00901324" w:rsidRPr="00A038BF" w:rsidRDefault="00901324" w:rsidP="00A4799E">
      <w:pPr>
        <w:spacing w:line="276" w:lineRule="auto"/>
        <w:ind w:left="-90" w:firstLine="810"/>
        <w:jc w:val="both"/>
        <w:rPr>
          <w:rFonts w:asciiTheme="majorBidi" w:hAnsiTheme="majorBidi" w:cstheme="majorBidi"/>
        </w:rPr>
      </w:pPr>
    </w:p>
    <w:p w14:paraId="33C05798" w14:textId="77777777" w:rsidR="00A4799E" w:rsidRPr="00A038BF" w:rsidRDefault="00A4799E" w:rsidP="00A4799E">
      <w:pPr>
        <w:spacing w:line="276" w:lineRule="auto"/>
        <w:ind w:left="-90" w:firstLine="810"/>
        <w:jc w:val="both"/>
        <w:rPr>
          <w:rFonts w:asciiTheme="majorBidi" w:hAnsiTheme="majorBidi" w:cstheme="majorBidi"/>
        </w:rPr>
      </w:pPr>
    </w:p>
    <w:p w14:paraId="74ED2221" w14:textId="77777777" w:rsidR="005F70B3" w:rsidRPr="00A038BF" w:rsidRDefault="005F70B3" w:rsidP="00995831">
      <w:pPr>
        <w:jc w:val="center"/>
        <w:rPr>
          <w:rFonts w:asciiTheme="majorBidi" w:hAnsiTheme="majorBidi" w:cstheme="majorBidi"/>
          <w:sz w:val="20"/>
          <w:szCs w:val="20"/>
        </w:rPr>
      </w:pPr>
    </w:p>
    <w:p w14:paraId="484349DE" w14:textId="77777777" w:rsidR="003D39B7" w:rsidRPr="00A038BF" w:rsidRDefault="003D39B7" w:rsidP="00DF2450">
      <w:pPr>
        <w:spacing w:after="0"/>
        <w:jc w:val="center"/>
        <w:rPr>
          <w:noProof/>
        </w:rPr>
      </w:pPr>
      <w:r w:rsidRPr="00A038BF">
        <w:rPr>
          <w:noProof/>
        </w:rPr>
        <w:drawing>
          <wp:inline distT="0" distB="0" distL="0" distR="0" wp14:anchorId="2CE8F19C" wp14:editId="3B86C7D8">
            <wp:extent cx="2649220" cy="2734310"/>
            <wp:effectExtent l="0" t="0" r="17780" b="889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00A96D6C" w:rsidRPr="00A038BF">
        <w:rPr>
          <w:noProof/>
        </w:rPr>
        <w:drawing>
          <wp:inline distT="0" distB="0" distL="0" distR="0" wp14:anchorId="60004911" wp14:editId="3C838ACB">
            <wp:extent cx="2649415" cy="2743200"/>
            <wp:effectExtent l="0" t="0" r="1778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sidRPr="00A038BF">
        <w:rPr>
          <w:noProof/>
        </w:rPr>
        <w:drawing>
          <wp:inline distT="0" distB="0" distL="0" distR="0" wp14:anchorId="490CA5EA" wp14:editId="602B1D41">
            <wp:extent cx="2640428" cy="2743200"/>
            <wp:effectExtent l="0" t="0" r="7620" b="0"/>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A038BF">
        <w:rPr>
          <w:noProof/>
        </w:rPr>
        <w:drawing>
          <wp:inline distT="0" distB="0" distL="0" distR="0" wp14:anchorId="638BAB73" wp14:editId="0EA181FA">
            <wp:extent cx="2625432" cy="2743200"/>
            <wp:effectExtent l="0" t="0" r="381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75A97B" w14:textId="77777777" w:rsidR="003D39B7" w:rsidRPr="00A038BF" w:rsidRDefault="003D39B7" w:rsidP="003D39B7">
      <w:pPr>
        <w:spacing w:after="0"/>
        <w:ind w:left="360"/>
        <w:jc w:val="center"/>
        <w:rPr>
          <w:noProof/>
        </w:rPr>
      </w:pPr>
      <w:r w:rsidRPr="00A038BF">
        <w:rPr>
          <w:noProof/>
        </w:rPr>
        <w:drawing>
          <wp:inline distT="0" distB="0" distL="0" distR="0" wp14:anchorId="4C70A583" wp14:editId="29BF5C03">
            <wp:extent cx="3868420" cy="2461846"/>
            <wp:effectExtent l="0" t="0" r="17780" b="15240"/>
            <wp:docPr id="26"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F3B9BD" w14:textId="77777777" w:rsidR="00136CFC" w:rsidRPr="00A038BF" w:rsidRDefault="00136CFC" w:rsidP="00995831">
      <w:pPr>
        <w:jc w:val="center"/>
        <w:rPr>
          <w:rFonts w:asciiTheme="majorBidi" w:hAnsiTheme="majorBidi" w:cstheme="majorBidi"/>
          <w:sz w:val="20"/>
          <w:szCs w:val="20"/>
        </w:rPr>
      </w:pPr>
      <w:r w:rsidRPr="00A038BF">
        <w:rPr>
          <w:rFonts w:asciiTheme="majorBidi" w:hAnsiTheme="majorBidi" w:cstheme="majorBidi"/>
          <w:sz w:val="20"/>
          <w:szCs w:val="20"/>
        </w:rPr>
        <w:t xml:space="preserve">Figure 6. </w:t>
      </w:r>
      <w:r w:rsidR="00995831" w:rsidRPr="00A038BF">
        <w:rPr>
          <w:rFonts w:asciiTheme="majorBidi" w:hAnsiTheme="majorBidi" w:cstheme="majorBidi"/>
          <w:sz w:val="20"/>
          <w:szCs w:val="20"/>
        </w:rPr>
        <w:t>Coefficients</w:t>
      </w:r>
      <w:r w:rsidRPr="00A038BF">
        <w:rPr>
          <w:rFonts w:asciiTheme="majorBidi" w:hAnsiTheme="majorBidi" w:cstheme="majorBidi"/>
          <w:sz w:val="20"/>
          <w:szCs w:val="20"/>
        </w:rPr>
        <w:t xml:space="preserve"> of three engineering woods</w:t>
      </w:r>
      <w:r w:rsidR="00995831" w:rsidRPr="00A038BF">
        <w:rPr>
          <w:rFonts w:asciiTheme="majorBidi" w:hAnsiTheme="majorBidi" w:cstheme="majorBidi"/>
          <w:sz w:val="20"/>
          <w:szCs w:val="20"/>
        </w:rPr>
        <w:t xml:space="preserve"> structure</w:t>
      </w:r>
    </w:p>
    <w:p w14:paraId="05294A46" w14:textId="77777777" w:rsidR="005A6659" w:rsidRPr="00A038BF" w:rsidRDefault="005A6659" w:rsidP="00A048C4">
      <w:pPr>
        <w:pStyle w:val="ListParagraph"/>
        <w:numPr>
          <w:ilvl w:val="1"/>
          <w:numId w:val="3"/>
        </w:numPr>
        <w:spacing w:before="240" w:line="276" w:lineRule="auto"/>
        <w:rPr>
          <w:rFonts w:asciiTheme="majorBidi" w:hAnsiTheme="majorBidi" w:cstheme="majorBidi"/>
          <w:b/>
          <w:bCs/>
          <w:sz w:val="24"/>
          <w:szCs w:val="24"/>
        </w:rPr>
      </w:pPr>
      <w:r w:rsidRPr="00A038BF">
        <w:rPr>
          <w:rFonts w:asciiTheme="majorBidi" w:hAnsiTheme="majorBidi" w:cstheme="majorBidi"/>
          <w:b/>
          <w:bCs/>
        </w:rPr>
        <w:t>Embodied energy</w:t>
      </w:r>
    </w:p>
    <w:p w14:paraId="1C132544" w14:textId="5751EA8B" w:rsidR="00DB531F" w:rsidRPr="00A038BF" w:rsidRDefault="00DB531F" w:rsidP="0018374A">
      <w:pPr>
        <w:spacing w:line="276" w:lineRule="auto"/>
        <w:ind w:firstLine="720"/>
        <w:jc w:val="both"/>
        <w:rPr>
          <w:rFonts w:asciiTheme="majorBidi" w:eastAsia="Times New Roman" w:hAnsiTheme="majorBidi" w:cstheme="majorBidi"/>
        </w:rPr>
      </w:pPr>
      <w:r w:rsidRPr="00A038BF">
        <w:rPr>
          <w:rFonts w:asciiTheme="majorBidi" w:hAnsiTheme="majorBidi" w:cstheme="majorBidi"/>
        </w:rPr>
        <w:t>The second criteri</w:t>
      </w:r>
      <w:r w:rsidR="00E64239" w:rsidRPr="00A038BF">
        <w:rPr>
          <w:rFonts w:asciiTheme="majorBidi" w:hAnsiTheme="majorBidi" w:cstheme="majorBidi"/>
        </w:rPr>
        <w:t>on</w:t>
      </w:r>
      <w:r w:rsidRPr="00A038BF">
        <w:rPr>
          <w:rFonts w:asciiTheme="majorBidi" w:hAnsiTheme="majorBidi" w:cstheme="majorBidi"/>
        </w:rPr>
        <w:t xml:space="preserve"> is embodied energy</w:t>
      </w:r>
      <w:r w:rsidR="00A12A11" w:rsidRPr="00A038BF">
        <w:rPr>
          <w:rFonts w:asciiTheme="majorBidi" w:hAnsiTheme="majorBidi" w:cstheme="majorBidi"/>
        </w:rPr>
        <w:t xml:space="preserve">. This </w:t>
      </w:r>
      <w:r w:rsidR="00E64239" w:rsidRPr="00A038BF">
        <w:rPr>
          <w:rFonts w:asciiTheme="majorBidi" w:hAnsiTheme="majorBidi" w:cstheme="majorBidi"/>
        </w:rPr>
        <w:t xml:space="preserve">has been </w:t>
      </w:r>
      <w:r w:rsidRPr="00A038BF">
        <w:rPr>
          <w:rFonts w:asciiTheme="majorBidi" w:hAnsiTheme="majorBidi" w:cstheme="majorBidi"/>
        </w:rPr>
        <w:t xml:space="preserve">recognized as equal </w:t>
      </w:r>
      <w:r w:rsidR="00E64239" w:rsidRPr="00A038BF">
        <w:rPr>
          <w:rFonts w:asciiTheme="majorBidi" w:hAnsiTheme="majorBidi" w:cstheme="majorBidi"/>
        </w:rPr>
        <w:t>to GWP in recent research</w:t>
      </w:r>
      <w:r w:rsidRPr="00A038BF">
        <w:rPr>
          <w:rFonts w:asciiTheme="majorBidi" w:hAnsiTheme="majorBidi" w:cstheme="majorBidi"/>
        </w:rPr>
        <w:t xml:space="preserve">. Figure </w:t>
      </w:r>
      <w:r w:rsidR="0018374A" w:rsidRPr="00A038BF">
        <w:rPr>
          <w:rFonts w:asciiTheme="majorBidi" w:hAnsiTheme="majorBidi" w:cstheme="majorBidi"/>
        </w:rPr>
        <w:t>7</w:t>
      </w:r>
      <w:r w:rsidRPr="00A038BF">
        <w:rPr>
          <w:rFonts w:asciiTheme="majorBidi" w:hAnsiTheme="majorBidi" w:cstheme="majorBidi"/>
        </w:rPr>
        <w:t xml:space="preserve"> shows the </w:t>
      </w:r>
      <w:r w:rsidR="00A12A11" w:rsidRPr="00A038BF">
        <w:rPr>
          <w:rFonts w:asciiTheme="majorBidi" w:hAnsiTheme="majorBidi" w:cstheme="majorBidi"/>
        </w:rPr>
        <w:t xml:space="preserve">distribution </w:t>
      </w:r>
      <w:r w:rsidR="00E64239" w:rsidRPr="00A038BF">
        <w:rPr>
          <w:rFonts w:asciiTheme="majorBidi" w:hAnsiTheme="majorBidi" w:cstheme="majorBidi"/>
        </w:rPr>
        <w:t>for manufacturing 1 M</w:t>
      </w:r>
      <w:r w:rsidR="00E64239" w:rsidRPr="00A038BF">
        <w:rPr>
          <w:rFonts w:asciiTheme="majorBidi" w:hAnsiTheme="majorBidi" w:cstheme="majorBidi"/>
          <w:vertAlign w:val="superscript"/>
        </w:rPr>
        <w:t xml:space="preserve">2 </w:t>
      </w:r>
      <w:r w:rsidR="00E64239" w:rsidRPr="00A038BF">
        <w:rPr>
          <w:rFonts w:asciiTheme="majorBidi" w:hAnsiTheme="majorBidi" w:cstheme="majorBidi"/>
        </w:rPr>
        <w:t>of those three case</w:t>
      </w:r>
      <w:r w:rsidR="00A12A11" w:rsidRPr="00A038BF">
        <w:rPr>
          <w:rFonts w:asciiTheme="majorBidi" w:hAnsiTheme="majorBidi" w:cstheme="majorBidi"/>
        </w:rPr>
        <w:t>s. T</w:t>
      </w:r>
      <w:r w:rsidR="00E64239" w:rsidRPr="00A038BF">
        <w:rPr>
          <w:rFonts w:asciiTheme="majorBidi" w:hAnsiTheme="majorBidi" w:cstheme="majorBidi"/>
        </w:rPr>
        <w:t xml:space="preserve">he result </w:t>
      </w:r>
      <w:r w:rsidR="00A12A11" w:rsidRPr="00A038BF">
        <w:rPr>
          <w:rFonts w:asciiTheme="majorBidi" w:hAnsiTheme="majorBidi" w:cstheme="majorBidi"/>
        </w:rPr>
        <w:t xml:space="preserve">showed </w:t>
      </w:r>
      <w:r w:rsidR="00E64239" w:rsidRPr="00A038BF">
        <w:rPr>
          <w:rFonts w:asciiTheme="majorBidi" w:hAnsiTheme="majorBidi" w:cstheme="majorBidi"/>
        </w:rPr>
        <w:t xml:space="preserve">the magnitude of energy </w:t>
      </w:r>
      <w:r w:rsidR="00A12A11" w:rsidRPr="00A038BF">
        <w:rPr>
          <w:rFonts w:asciiTheme="majorBidi" w:hAnsiTheme="majorBidi" w:cstheme="majorBidi"/>
        </w:rPr>
        <w:t xml:space="preserve">that </w:t>
      </w:r>
      <w:r w:rsidR="00E64239" w:rsidRPr="00A038BF">
        <w:rPr>
          <w:rFonts w:asciiTheme="majorBidi" w:hAnsiTheme="majorBidi" w:cstheme="majorBidi"/>
        </w:rPr>
        <w:t xml:space="preserve">could ultimately vary among the alternatives. </w:t>
      </w:r>
      <w:r w:rsidR="009A75F7" w:rsidRPr="00A038BF">
        <w:rPr>
          <w:rFonts w:asciiTheme="majorBidi" w:hAnsiTheme="majorBidi" w:cstheme="majorBidi"/>
        </w:rPr>
        <w:t>The first stage i</w:t>
      </w:r>
      <w:r w:rsidR="0023092A" w:rsidRPr="00A038BF">
        <w:rPr>
          <w:rFonts w:asciiTheme="majorBidi" w:hAnsiTheme="majorBidi" w:cstheme="majorBidi"/>
        </w:rPr>
        <w:t xml:space="preserve">s </w:t>
      </w:r>
      <w:r w:rsidR="00A12A11" w:rsidRPr="00A038BF">
        <w:rPr>
          <w:rFonts w:asciiTheme="majorBidi" w:hAnsiTheme="majorBidi" w:cstheme="majorBidi"/>
        </w:rPr>
        <w:t xml:space="preserve">the </w:t>
      </w:r>
      <w:r w:rsidR="0023092A" w:rsidRPr="00A038BF">
        <w:rPr>
          <w:rFonts w:asciiTheme="majorBidi" w:hAnsiTheme="majorBidi" w:cstheme="majorBidi"/>
        </w:rPr>
        <w:t>manufactur</w:t>
      </w:r>
      <w:r w:rsidR="00A12A11" w:rsidRPr="00A038BF">
        <w:rPr>
          <w:rFonts w:asciiTheme="majorBidi" w:hAnsiTheme="majorBidi" w:cstheme="majorBidi"/>
        </w:rPr>
        <w:t>e of</w:t>
      </w:r>
      <w:r w:rsidR="0023092A" w:rsidRPr="00A038BF">
        <w:rPr>
          <w:rFonts w:asciiTheme="majorBidi" w:hAnsiTheme="majorBidi" w:cstheme="majorBidi"/>
        </w:rPr>
        <w:t xml:space="preserve"> lumber in the mill</w:t>
      </w:r>
      <w:r w:rsidR="0097613B" w:rsidRPr="00A038BF">
        <w:rPr>
          <w:rFonts w:asciiTheme="majorBidi" w:hAnsiTheme="majorBidi" w:cstheme="majorBidi"/>
        </w:rPr>
        <w:t>,</w:t>
      </w:r>
      <w:r w:rsidR="0023092A" w:rsidRPr="00A038BF">
        <w:rPr>
          <w:rFonts w:asciiTheme="majorBidi" w:hAnsiTheme="majorBidi" w:cstheme="majorBidi"/>
        </w:rPr>
        <w:t xml:space="preserve"> </w:t>
      </w:r>
      <w:r w:rsidR="0097613B" w:rsidRPr="00A038BF">
        <w:rPr>
          <w:rFonts w:asciiTheme="majorBidi" w:hAnsiTheme="majorBidi" w:cstheme="majorBidi"/>
        </w:rPr>
        <w:t xml:space="preserve">which </w:t>
      </w:r>
      <w:r w:rsidR="0023092A" w:rsidRPr="00A038BF">
        <w:rPr>
          <w:rFonts w:asciiTheme="majorBidi" w:hAnsiTheme="majorBidi" w:cstheme="majorBidi"/>
        </w:rPr>
        <w:t>consum</w:t>
      </w:r>
      <w:r w:rsidR="00A12A11" w:rsidRPr="00A038BF">
        <w:rPr>
          <w:rFonts w:asciiTheme="majorBidi" w:hAnsiTheme="majorBidi" w:cstheme="majorBidi"/>
        </w:rPr>
        <w:t>es more energy</w:t>
      </w:r>
      <w:r w:rsidR="0023092A" w:rsidRPr="00A038BF">
        <w:rPr>
          <w:rFonts w:asciiTheme="majorBidi" w:hAnsiTheme="majorBidi" w:cstheme="majorBidi"/>
        </w:rPr>
        <w:t xml:space="preserve"> </w:t>
      </w:r>
      <w:r w:rsidR="0097613B" w:rsidRPr="00A038BF">
        <w:rPr>
          <w:rFonts w:asciiTheme="majorBidi" w:hAnsiTheme="majorBidi" w:cstheme="majorBidi"/>
        </w:rPr>
        <w:t>than the other construction process</w:t>
      </w:r>
      <w:r w:rsidR="00A12A11" w:rsidRPr="00A038BF">
        <w:rPr>
          <w:rFonts w:asciiTheme="majorBidi" w:hAnsiTheme="majorBidi" w:cstheme="majorBidi"/>
        </w:rPr>
        <w:t>es</w:t>
      </w:r>
      <w:r w:rsidR="009A75F7" w:rsidRPr="00A038BF">
        <w:rPr>
          <w:rFonts w:asciiTheme="majorBidi" w:hAnsiTheme="majorBidi" w:cstheme="majorBidi"/>
        </w:rPr>
        <w:t xml:space="preserve">. </w:t>
      </w:r>
      <w:r w:rsidR="00A12A11" w:rsidRPr="00A038BF">
        <w:rPr>
          <w:rFonts w:asciiTheme="majorBidi" w:hAnsiTheme="majorBidi" w:cstheme="majorBidi"/>
        </w:rPr>
        <w:t>F</w:t>
      </w:r>
      <w:r w:rsidR="009A75F7" w:rsidRPr="00A038BF">
        <w:rPr>
          <w:rFonts w:asciiTheme="majorBidi" w:hAnsiTheme="majorBidi" w:cstheme="majorBidi"/>
        </w:rPr>
        <w:t>igure</w:t>
      </w:r>
      <w:r w:rsidR="00A12A11" w:rsidRPr="00A038BF">
        <w:rPr>
          <w:rFonts w:asciiTheme="majorBidi" w:hAnsiTheme="majorBidi" w:cstheme="majorBidi"/>
        </w:rPr>
        <w:t xml:space="preserve"> </w:t>
      </w:r>
      <w:r w:rsidR="0018374A" w:rsidRPr="00A038BF">
        <w:rPr>
          <w:rFonts w:asciiTheme="majorBidi" w:hAnsiTheme="majorBidi" w:cstheme="majorBidi"/>
        </w:rPr>
        <w:t>7</w:t>
      </w:r>
      <w:r w:rsidR="009A75F7" w:rsidRPr="00A038BF">
        <w:rPr>
          <w:rFonts w:asciiTheme="majorBidi" w:hAnsiTheme="majorBidi" w:cstheme="majorBidi"/>
        </w:rPr>
        <w:t xml:space="preserve"> only shows the embodied energy </w:t>
      </w:r>
      <w:r w:rsidR="00A12A11" w:rsidRPr="00A038BF">
        <w:rPr>
          <w:rFonts w:asciiTheme="majorBidi" w:hAnsiTheme="majorBidi" w:cstheme="majorBidi"/>
        </w:rPr>
        <w:t xml:space="preserve">consumed </w:t>
      </w:r>
      <w:r w:rsidR="009A75F7" w:rsidRPr="00A038BF">
        <w:rPr>
          <w:rFonts w:asciiTheme="majorBidi" w:hAnsiTheme="majorBidi" w:cstheme="majorBidi"/>
        </w:rPr>
        <w:t xml:space="preserve">during the </w:t>
      </w:r>
      <w:r w:rsidR="00A12A11" w:rsidRPr="00A038BF">
        <w:rPr>
          <w:rFonts w:asciiTheme="majorBidi" w:hAnsiTheme="majorBidi" w:cstheme="majorBidi"/>
        </w:rPr>
        <w:t>manufacture of the materials</w:t>
      </w:r>
      <w:r w:rsidR="009A75F7" w:rsidRPr="00A038BF">
        <w:rPr>
          <w:rFonts w:asciiTheme="majorBidi" w:hAnsiTheme="majorBidi" w:cstheme="majorBidi"/>
        </w:rPr>
        <w:t xml:space="preserve"> and </w:t>
      </w:r>
      <w:r w:rsidR="00A12A11" w:rsidRPr="00A038BF">
        <w:rPr>
          <w:rFonts w:asciiTheme="majorBidi" w:hAnsiTheme="majorBidi" w:cstheme="majorBidi"/>
        </w:rPr>
        <w:t xml:space="preserve">does </w:t>
      </w:r>
      <w:r w:rsidR="009A75F7" w:rsidRPr="00A038BF">
        <w:rPr>
          <w:rFonts w:asciiTheme="majorBidi" w:hAnsiTheme="majorBidi" w:cstheme="majorBidi"/>
        </w:rPr>
        <w:t xml:space="preserve">not </w:t>
      </w:r>
      <w:r w:rsidR="00A12A11" w:rsidRPr="00A038BF">
        <w:rPr>
          <w:rFonts w:asciiTheme="majorBidi" w:hAnsiTheme="majorBidi" w:cstheme="majorBidi"/>
        </w:rPr>
        <w:t>include</w:t>
      </w:r>
      <w:r w:rsidR="009A75F7" w:rsidRPr="00A038BF">
        <w:rPr>
          <w:rFonts w:asciiTheme="majorBidi" w:hAnsiTheme="majorBidi" w:cstheme="majorBidi"/>
        </w:rPr>
        <w:t xml:space="preserve"> construction on</w:t>
      </w:r>
      <w:r w:rsidR="0097613B" w:rsidRPr="00A038BF">
        <w:rPr>
          <w:rFonts w:asciiTheme="majorBidi" w:hAnsiTheme="majorBidi" w:cstheme="majorBidi"/>
        </w:rPr>
        <w:t>-</w:t>
      </w:r>
      <w:r w:rsidR="009A75F7" w:rsidRPr="00A038BF">
        <w:rPr>
          <w:rFonts w:asciiTheme="majorBidi" w:hAnsiTheme="majorBidi" w:cstheme="majorBidi"/>
        </w:rPr>
        <w:t xml:space="preserve">site. </w:t>
      </w:r>
      <w:r w:rsidR="00A12A11" w:rsidRPr="00A038BF">
        <w:rPr>
          <w:rFonts w:asciiTheme="majorBidi" w:hAnsiTheme="majorBidi" w:cstheme="majorBidi"/>
        </w:rPr>
        <w:t>T</w:t>
      </w:r>
      <w:r w:rsidR="002223A3" w:rsidRPr="00A038BF">
        <w:rPr>
          <w:rFonts w:asciiTheme="majorBidi" w:hAnsiTheme="majorBidi" w:cstheme="majorBidi"/>
        </w:rPr>
        <w:t xml:space="preserve">he embodied energy </w:t>
      </w:r>
      <w:r w:rsidR="00AD7724" w:rsidRPr="00A038BF">
        <w:rPr>
          <w:rFonts w:asciiTheme="majorBidi" w:hAnsiTheme="majorBidi" w:cstheme="majorBidi"/>
        </w:rPr>
        <w:t xml:space="preserve">for the </w:t>
      </w:r>
      <w:r w:rsidR="002223A3" w:rsidRPr="00A038BF">
        <w:rPr>
          <w:rFonts w:asciiTheme="majorBidi" w:hAnsiTheme="majorBidi" w:cstheme="majorBidi"/>
        </w:rPr>
        <w:t>manufactur</w:t>
      </w:r>
      <w:r w:rsidR="00AD7724" w:rsidRPr="00A038BF">
        <w:rPr>
          <w:rFonts w:asciiTheme="majorBidi" w:hAnsiTheme="majorBidi" w:cstheme="majorBidi"/>
        </w:rPr>
        <w:t>e</w:t>
      </w:r>
      <w:r w:rsidR="002223A3" w:rsidRPr="00A038BF">
        <w:rPr>
          <w:rFonts w:asciiTheme="majorBidi" w:hAnsiTheme="majorBidi" w:cstheme="majorBidi"/>
        </w:rPr>
        <w:t xml:space="preserve"> of </w:t>
      </w:r>
      <w:r w:rsidR="008D36EA" w:rsidRPr="00A038BF">
        <w:rPr>
          <w:rFonts w:asciiTheme="majorBidi" w:hAnsiTheme="majorBidi" w:cstheme="majorBidi"/>
        </w:rPr>
        <w:t xml:space="preserve">mass </w:t>
      </w:r>
      <w:r w:rsidR="002223A3" w:rsidRPr="00A038BF">
        <w:rPr>
          <w:rFonts w:asciiTheme="majorBidi" w:hAnsiTheme="majorBidi" w:cstheme="majorBidi"/>
        </w:rPr>
        <w:t xml:space="preserve">timber </w:t>
      </w:r>
      <w:r w:rsidR="002223A3" w:rsidRPr="00A038BF">
        <w:rPr>
          <w:rFonts w:asciiTheme="majorBidi" w:eastAsia="Times New Roman" w:hAnsiTheme="majorBidi" w:cstheme="majorBidi"/>
        </w:rPr>
        <w:t xml:space="preserve">for </w:t>
      </w:r>
      <w:r w:rsidR="002223A3" w:rsidRPr="00A038BF">
        <w:rPr>
          <w:rFonts w:asciiTheme="majorBidi" w:hAnsiTheme="majorBidi" w:cstheme="majorBidi"/>
        </w:rPr>
        <w:t>1 M</w:t>
      </w:r>
      <w:r w:rsidR="002223A3" w:rsidRPr="00A038BF">
        <w:rPr>
          <w:rFonts w:asciiTheme="majorBidi" w:hAnsiTheme="majorBidi" w:cstheme="majorBidi"/>
          <w:vertAlign w:val="superscript"/>
        </w:rPr>
        <w:t xml:space="preserve">2 </w:t>
      </w:r>
      <w:r w:rsidR="002223A3" w:rsidRPr="00A038BF">
        <w:rPr>
          <w:rFonts w:asciiTheme="majorBidi" w:hAnsiTheme="majorBidi" w:cstheme="majorBidi"/>
        </w:rPr>
        <w:t xml:space="preserve">of wall surface </w:t>
      </w:r>
      <w:r w:rsidR="0023092A" w:rsidRPr="00A038BF">
        <w:rPr>
          <w:rFonts w:asciiTheme="majorBidi" w:hAnsiTheme="majorBidi" w:cstheme="majorBidi"/>
        </w:rPr>
        <w:t>is</w:t>
      </w:r>
      <w:r w:rsidR="002223A3" w:rsidRPr="00A038BF">
        <w:rPr>
          <w:rFonts w:asciiTheme="majorBidi" w:hAnsiTheme="majorBidi" w:cstheme="majorBidi"/>
        </w:rPr>
        <w:t xml:space="preserve"> </w:t>
      </w:r>
      <w:r w:rsidR="002223A3" w:rsidRPr="00A038BF">
        <w:rPr>
          <w:rFonts w:asciiTheme="majorBidi" w:eastAsia="Times New Roman" w:hAnsiTheme="majorBidi" w:cstheme="majorBidi"/>
        </w:rPr>
        <w:t>1921 MJ</w:t>
      </w:r>
      <w:r w:rsidR="00805819" w:rsidRPr="00A038BF">
        <w:rPr>
          <w:rFonts w:asciiTheme="majorBidi" w:eastAsia="Times New Roman" w:hAnsiTheme="majorBidi" w:cstheme="majorBidi"/>
        </w:rPr>
        <w:t>/M</w:t>
      </w:r>
      <w:r w:rsidR="00805819" w:rsidRPr="00A038BF">
        <w:rPr>
          <w:rFonts w:asciiTheme="majorBidi" w:eastAsia="Times New Roman" w:hAnsiTheme="majorBidi" w:cstheme="majorBidi"/>
          <w:vertAlign w:val="superscript"/>
        </w:rPr>
        <w:t>2</w:t>
      </w:r>
      <w:r w:rsidR="002223A3" w:rsidRPr="00A038BF">
        <w:rPr>
          <w:rFonts w:asciiTheme="majorBidi" w:eastAsia="Times New Roman" w:hAnsiTheme="majorBidi" w:cstheme="majorBidi"/>
        </w:rPr>
        <w:t>, 1902 MJ</w:t>
      </w:r>
      <w:r w:rsidR="00805819" w:rsidRPr="00A038BF">
        <w:rPr>
          <w:rFonts w:asciiTheme="majorBidi" w:eastAsia="Times New Roman" w:hAnsiTheme="majorBidi" w:cstheme="majorBidi"/>
        </w:rPr>
        <w:t>/M</w:t>
      </w:r>
      <w:r w:rsidR="00805819" w:rsidRPr="00A038BF">
        <w:rPr>
          <w:rFonts w:asciiTheme="majorBidi" w:eastAsia="Times New Roman" w:hAnsiTheme="majorBidi" w:cstheme="majorBidi"/>
          <w:vertAlign w:val="superscript"/>
        </w:rPr>
        <w:t>2</w:t>
      </w:r>
      <w:r w:rsidR="0023092A" w:rsidRPr="00A038BF">
        <w:rPr>
          <w:rFonts w:asciiTheme="majorBidi" w:eastAsia="Times New Roman" w:hAnsiTheme="majorBidi" w:cstheme="majorBidi"/>
          <w:vertAlign w:val="superscript"/>
        </w:rPr>
        <w:t>,</w:t>
      </w:r>
      <w:r w:rsidR="002223A3" w:rsidRPr="00A038BF">
        <w:rPr>
          <w:rFonts w:asciiTheme="majorBidi" w:eastAsia="Times New Roman" w:hAnsiTheme="majorBidi" w:cstheme="majorBidi"/>
        </w:rPr>
        <w:t xml:space="preserve"> and 2130 MJ</w:t>
      </w:r>
      <w:r w:rsidR="00805819" w:rsidRPr="00A038BF">
        <w:rPr>
          <w:rFonts w:asciiTheme="majorBidi" w:eastAsia="Times New Roman" w:hAnsiTheme="majorBidi" w:cstheme="majorBidi"/>
        </w:rPr>
        <w:t>/M</w:t>
      </w:r>
      <w:r w:rsidR="00805819" w:rsidRPr="00A038BF">
        <w:rPr>
          <w:rFonts w:asciiTheme="majorBidi" w:eastAsia="Times New Roman" w:hAnsiTheme="majorBidi" w:cstheme="majorBidi"/>
          <w:vertAlign w:val="superscript"/>
        </w:rPr>
        <w:t>2</w:t>
      </w:r>
      <w:r w:rsidR="002223A3" w:rsidRPr="00A038BF">
        <w:rPr>
          <w:rFonts w:asciiTheme="majorBidi" w:eastAsia="Times New Roman" w:hAnsiTheme="majorBidi" w:cstheme="majorBidi"/>
        </w:rPr>
        <w:t xml:space="preserve"> for CLT, DLT</w:t>
      </w:r>
      <w:r w:rsidR="0023092A" w:rsidRPr="00A038BF">
        <w:rPr>
          <w:rFonts w:asciiTheme="majorBidi" w:eastAsia="Times New Roman" w:hAnsiTheme="majorBidi" w:cstheme="majorBidi"/>
        </w:rPr>
        <w:t>,</w:t>
      </w:r>
      <w:r w:rsidR="002223A3" w:rsidRPr="00A038BF">
        <w:rPr>
          <w:rFonts w:asciiTheme="majorBidi" w:eastAsia="Times New Roman" w:hAnsiTheme="majorBidi" w:cstheme="majorBidi"/>
        </w:rPr>
        <w:t xml:space="preserve"> and NLT</w:t>
      </w:r>
      <w:r w:rsidR="007914A9" w:rsidRPr="00A038BF">
        <w:rPr>
          <w:rFonts w:asciiTheme="majorBidi" w:eastAsia="Times New Roman" w:hAnsiTheme="majorBidi" w:cstheme="majorBidi"/>
        </w:rPr>
        <w:t>,</w:t>
      </w:r>
      <w:r w:rsidR="002223A3" w:rsidRPr="00A038BF">
        <w:rPr>
          <w:rFonts w:asciiTheme="majorBidi" w:eastAsia="Times New Roman" w:hAnsiTheme="majorBidi" w:cstheme="majorBidi"/>
        </w:rPr>
        <w:t xml:space="preserve"> </w:t>
      </w:r>
      <w:r w:rsidR="002223A3" w:rsidRPr="00A038BF">
        <w:rPr>
          <w:rFonts w:asciiTheme="majorBidi" w:hAnsiTheme="majorBidi" w:cstheme="majorBidi"/>
        </w:rPr>
        <w:t xml:space="preserve">respectively. </w:t>
      </w:r>
    </w:p>
    <w:p w14:paraId="25896045" w14:textId="77777777" w:rsidR="00E74BE1" w:rsidRPr="00A038BF" w:rsidRDefault="00E74BE1" w:rsidP="003E6E28">
      <w:pPr>
        <w:spacing w:before="240" w:after="0"/>
        <w:jc w:val="center"/>
      </w:pPr>
      <w:bookmarkStart w:id="0" w:name="_GoBack"/>
      <w:r w:rsidRPr="00A038BF">
        <w:rPr>
          <w:noProof/>
        </w:rPr>
        <w:drawing>
          <wp:inline distT="0" distB="0" distL="0" distR="0" wp14:anchorId="1099E198" wp14:editId="1006D548">
            <wp:extent cx="2973070" cy="2356485"/>
            <wp:effectExtent l="0" t="0" r="17780" b="5715"/>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0"/>
      <w:r w:rsidRPr="00A038BF">
        <w:rPr>
          <w:noProof/>
        </w:rPr>
        <w:drawing>
          <wp:inline distT="0" distB="0" distL="0" distR="0" wp14:anchorId="3D0185C0" wp14:editId="50537681">
            <wp:extent cx="2826327" cy="2350770"/>
            <wp:effectExtent l="0" t="0" r="12700" b="1143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23F043F" w14:textId="77777777" w:rsidR="00E74BE1" w:rsidRPr="00A038BF" w:rsidRDefault="00E74BE1" w:rsidP="00E74BE1">
      <w:pPr>
        <w:spacing w:after="0"/>
        <w:jc w:val="center"/>
      </w:pPr>
      <w:r w:rsidRPr="00A038BF">
        <w:rPr>
          <w:noProof/>
        </w:rPr>
        <w:drawing>
          <wp:inline distT="0" distB="0" distL="0" distR="0" wp14:anchorId="68FF0E5A" wp14:editId="5561A9BB">
            <wp:extent cx="3156585" cy="2296886"/>
            <wp:effectExtent l="0" t="0" r="5715" b="8255"/>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929BCF" w14:textId="77777777" w:rsidR="002D63D3" w:rsidRPr="00A038BF" w:rsidRDefault="00136CFC" w:rsidP="00B22190">
      <w:pPr>
        <w:jc w:val="center"/>
        <w:rPr>
          <w:rFonts w:asciiTheme="majorBidi" w:hAnsiTheme="majorBidi" w:cstheme="majorBidi"/>
          <w:sz w:val="20"/>
          <w:szCs w:val="20"/>
          <w:vertAlign w:val="superscript"/>
        </w:rPr>
      </w:pPr>
      <w:r w:rsidRPr="00A038BF">
        <w:rPr>
          <w:rFonts w:asciiTheme="majorBidi" w:hAnsiTheme="majorBidi" w:cstheme="majorBidi"/>
          <w:sz w:val="20"/>
          <w:szCs w:val="20"/>
        </w:rPr>
        <w:t>Figure 7</w:t>
      </w:r>
      <w:r w:rsidR="003C4EE7" w:rsidRPr="00A038BF">
        <w:rPr>
          <w:rFonts w:asciiTheme="majorBidi" w:hAnsiTheme="majorBidi" w:cstheme="majorBidi"/>
          <w:sz w:val="20"/>
          <w:szCs w:val="20"/>
        </w:rPr>
        <w:t>.</w:t>
      </w:r>
      <w:r w:rsidR="002D63D3" w:rsidRPr="00A038BF">
        <w:rPr>
          <w:rFonts w:asciiTheme="majorBidi" w:hAnsiTheme="majorBidi" w:cstheme="majorBidi"/>
          <w:sz w:val="20"/>
          <w:szCs w:val="20"/>
        </w:rPr>
        <w:t xml:space="preserve"> </w:t>
      </w:r>
      <w:r w:rsidR="003C4EE7" w:rsidRPr="00A038BF">
        <w:rPr>
          <w:rFonts w:asciiTheme="majorBidi" w:hAnsiTheme="majorBidi" w:cstheme="majorBidi"/>
          <w:sz w:val="20"/>
          <w:szCs w:val="20"/>
        </w:rPr>
        <w:t>E</w:t>
      </w:r>
      <w:r w:rsidR="002D63D3" w:rsidRPr="00A038BF">
        <w:rPr>
          <w:rFonts w:asciiTheme="majorBidi" w:hAnsiTheme="majorBidi" w:cstheme="majorBidi"/>
          <w:sz w:val="20"/>
          <w:szCs w:val="20"/>
        </w:rPr>
        <w:t xml:space="preserve">mbodied energy for </w:t>
      </w:r>
      <w:r w:rsidR="00B22190" w:rsidRPr="00A038BF">
        <w:rPr>
          <w:rFonts w:asciiTheme="majorBidi" w:hAnsiTheme="majorBidi" w:cstheme="majorBidi"/>
          <w:sz w:val="20"/>
          <w:szCs w:val="20"/>
        </w:rPr>
        <w:t xml:space="preserve">manufacturing and production </w:t>
      </w:r>
      <w:r w:rsidR="002D63D3" w:rsidRPr="00A038BF">
        <w:rPr>
          <w:rFonts w:asciiTheme="majorBidi" w:hAnsiTheme="majorBidi" w:cstheme="majorBidi"/>
          <w:sz w:val="20"/>
          <w:szCs w:val="20"/>
        </w:rPr>
        <w:t>of differ</w:t>
      </w:r>
      <w:r w:rsidR="00CA7D9F" w:rsidRPr="00A038BF">
        <w:rPr>
          <w:rFonts w:asciiTheme="majorBidi" w:hAnsiTheme="majorBidi" w:cstheme="majorBidi"/>
          <w:sz w:val="20"/>
          <w:szCs w:val="20"/>
        </w:rPr>
        <w:t>en</w:t>
      </w:r>
      <w:r w:rsidR="002D63D3" w:rsidRPr="00A038BF">
        <w:rPr>
          <w:rFonts w:asciiTheme="majorBidi" w:hAnsiTheme="majorBidi" w:cstheme="majorBidi"/>
          <w:sz w:val="20"/>
          <w:szCs w:val="20"/>
        </w:rPr>
        <w:t>t</w:t>
      </w:r>
      <w:r w:rsidR="009F289F" w:rsidRPr="00A038BF">
        <w:rPr>
          <w:rFonts w:asciiTheme="majorBidi" w:hAnsiTheme="majorBidi" w:cstheme="majorBidi"/>
          <w:sz w:val="20"/>
          <w:szCs w:val="20"/>
        </w:rPr>
        <w:t xml:space="preserve"> wood materials-MJ/M</w:t>
      </w:r>
      <w:r w:rsidR="009F289F" w:rsidRPr="00A038BF">
        <w:rPr>
          <w:rFonts w:asciiTheme="majorBidi" w:hAnsiTheme="majorBidi" w:cstheme="majorBidi"/>
          <w:sz w:val="20"/>
          <w:szCs w:val="20"/>
          <w:vertAlign w:val="superscript"/>
        </w:rPr>
        <w:t>2</w:t>
      </w:r>
    </w:p>
    <w:p w14:paraId="21703383" w14:textId="0E0FE6AD" w:rsidR="00613694" w:rsidRPr="00A038BF" w:rsidRDefault="007F2BBB" w:rsidP="0018374A">
      <w:pPr>
        <w:spacing w:line="276" w:lineRule="auto"/>
        <w:ind w:firstLine="720"/>
        <w:jc w:val="both"/>
        <w:rPr>
          <w:rFonts w:asciiTheme="majorBidi" w:eastAsia="Times New Roman" w:hAnsiTheme="majorBidi" w:cstheme="majorBidi"/>
        </w:rPr>
      </w:pPr>
      <w:r w:rsidRPr="00A038BF">
        <w:rPr>
          <w:rFonts w:asciiTheme="majorBidi" w:hAnsiTheme="majorBidi" w:cstheme="majorBidi"/>
        </w:rPr>
        <w:t>It was</w:t>
      </w:r>
      <w:r w:rsidR="00613694" w:rsidRPr="00A038BF">
        <w:rPr>
          <w:rFonts w:asciiTheme="majorBidi" w:hAnsiTheme="majorBidi" w:cstheme="majorBidi"/>
        </w:rPr>
        <w:t xml:space="preserve"> found that DLT reduces the total embodied energy by about 11% and 2% compared to NLT and CLT, respectively. The embodied energy related to manufacturing CLT is 1390 MJ/M</w:t>
      </w:r>
      <w:r w:rsidR="00613694" w:rsidRPr="00A038BF">
        <w:rPr>
          <w:rFonts w:asciiTheme="majorBidi" w:hAnsiTheme="majorBidi" w:cstheme="majorBidi"/>
          <w:vertAlign w:val="superscript"/>
        </w:rPr>
        <w:t>2</w:t>
      </w:r>
      <w:r w:rsidR="00613694" w:rsidRPr="00A038BF">
        <w:rPr>
          <w:rFonts w:asciiTheme="majorBidi" w:hAnsiTheme="majorBidi" w:cstheme="majorBidi"/>
        </w:rPr>
        <w:t>, 64.4 MJ/M</w:t>
      </w:r>
      <w:r w:rsidR="00613694" w:rsidRPr="00A038BF">
        <w:rPr>
          <w:rFonts w:asciiTheme="majorBidi" w:hAnsiTheme="majorBidi" w:cstheme="majorBidi"/>
          <w:vertAlign w:val="superscript"/>
        </w:rPr>
        <w:t>2</w:t>
      </w:r>
      <w:r w:rsidR="00613694" w:rsidRPr="00A038BF">
        <w:rPr>
          <w:rFonts w:asciiTheme="majorBidi" w:hAnsiTheme="majorBidi" w:cstheme="majorBidi"/>
        </w:rPr>
        <w:t>, 208 MJ/M</w:t>
      </w:r>
      <w:r w:rsidR="00613694" w:rsidRPr="00A038BF">
        <w:rPr>
          <w:rFonts w:asciiTheme="majorBidi" w:hAnsiTheme="majorBidi" w:cstheme="majorBidi"/>
          <w:vertAlign w:val="superscript"/>
        </w:rPr>
        <w:t>2</w:t>
      </w:r>
      <w:r w:rsidR="00613694" w:rsidRPr="00A038BF">
        <w:rPr>
          <w:rFonts w:asciiTheme="majorBidi" w:hAnsiTheme="majorBidi" w:cstheme="majorBidi"/>
        </w:rPr>
        <w:t>, and 259 MJ/M</w:t>
      </w:r>
      <w:r w:rsidR="00613694" w:rsidRPr="00A038BF">
        <w:rPr>
          <w:rFonts w:asciiTheme="majorBidi" w:hAnsiTheme="majorBidi" w:cstheme="majorBidi"/>
          <w:vertAlign w:val="superscript"/>
        </w:rPr>
        <w:t xml:space="preserve">2 </w:t>
      </w:r>
      <w:r w:rsidR="00613694" w:rsidRPr="00A038BF">
        <w:rPr>
          <w:rFonts w:asciiTheme="majorBidi" w:hAnsiTheme="majorBidi" w:cstheme="majorBidi"/>
        </w:rPr>
        <w:t xml:space="preserve">for </w:t>
      </w:r>
      <w:r w:rsidR="004521CC" w:rsidRPr="00A038BF">
        <w:rPr>
          <w:rFonts w:asciiTheme="majorBidi" w:hAnsiTheme="majorBidi" w:cstheme="majorBidi"/>
        </w:rPr>
        <w:t>wood</w:t>
      </w:r>
      <w:r w:rsidR="00613694" w:rsidRPr="00A038BF">
        <w:rPr>
          <w:rFonts w:asciiTheme="majorBidi" w:hAnsiTheme="majorBidi" w:cstheme="majorBidi"/>
        </w:rPr>
        <w:t>, adhesive</w:t>
      </w:r>
      <w:r w:rsidR="004521CC" w:rsidRPr="00A038BF">
        <w:rPr>
          <w:rFonts w:asciiTheme="majorBidi" w:hAnsiTheme="majorBidi" w:cstheme="majorBidi"/>
        </w:rPr>
        <w:t>s</w:t>
      </w:r>
      <w:r w:rsidR="00613694" w:rsidRPr="00A038BF">
        <w:rPr>
          <w:rFonts w:asciiTheme="majorBidi" w:hAnsiTheme="majorBidi" w:cstheme="majorBidi"/>
        </w:rPr>
        <w:t xml:space="preserve">, </w:t>
      </w:r>
      <w:r w:rsidR="004521CC" w:rsidRPr="00A038BF">
        <w:rPr>
          <w:rFonts w:asciiTheme="majorBidi" w:hAnsiTheme="majorBidi" w:cstheme="majorBidi"/>
        </w:rPr>
        <w:t xml:space="preserve">application of </w:t>
      </w:r>
      <w:r w:rsidR="00613694" w:rsidRPr="00A038BF">
        <w:rPr>
          <w:rFonts w:asciiTheme="majorBidi" w:hAnsiTheme="majorBidi" w:cstheme="majorBidi"/>
        </w:rPr>
        <w:t>press</w:t>
      </w:r>
      <w:r w:rsidR="004521CC" w:rsidRPr="00A038BF">
        <w:rPr>
          <w:rFonts w:asciiTheme="majorBidi" w:hAnsiTheme="majorBidi" w:cstheme="majorBidi"/>
        </w:rPr>
        <w:t>ure</w:t>
      </w:r>
      <w:r w:rsidR="00613694" w:rsidRPr="00A038BF">
        <w:rPr>
          <w:rFonts w:asciiTheme="majorBidi" w:hAnsiTheme="majorBidi" w:cstheme="majorBidi"/>
        </w:rPr>
        <w:t>, and fabrication, respectively</w:t>
      </w:r>
      <w:r w:rsidR="006F4782" w:rsidRPr="00A038BF">
        <w:rPr>
          <w:rFonts w:asciiTheme="majorBidi" w:eastAsia="Times New Roman" w:hAnsiTheme="majorBidi" w:cstheme="majorBidi"/>
        </w:rPr>
        <w:t xml:space="preserve">, </w:t>
      </w:r>
      <w:r w:rsidR="00613694" w:rsidRPr="00A038BF">
        <w:rPr>
          <w:rFonts w:asciiTheme="majorBidi" w:eastAsia="Times New Roman" w:hAnsiTheme="majorBidi" w:cstheme="majorBidi"/>
        </w:rPr>
        <w:t xml:space="preserve">based on </w:t>
      </w:r>
      <w:r w:rsidR="006F4782" w:rsidRPr="00A038BF">
        <w:rPr>
          <w:rFonts w:asciiTheme="majorBidi" w:eastAsia="Times New Roman" w:hAnsiTheme="majorBidi" w:cstheme="majorBidi"/>
        </w:rPr>
        <w:t xml:space="preserve">the </w:t>
      </w:r>
      <w:r w:rsidR="00613694" w:rsidRPr="00A038BF">
        <w:rPr>
          <w:rFonts w:asciiTheme="majorBidi" w:eastAsia="Times New Roman" w:hAnsiTheme="majorBidi" w:cstheme="majorBidi"/>
        </w:rPr>
        <w:t>percentage</w:t>
      </w:r>
      <w:r w:rsidR="006F4782" w:rsidRPr="00A038BF">
        <w:rPr>
          <w:rFonts w:asciiTheme="majorBidi" w:eastAsia="Times New Roman" w:hAnsiTheme="majorBidi" w:cstheme="majorBidi"/>
        </w:rPr>
        <w:t>s</w:t>
      </w:r>
      <w:r w:rsidR="00613694" w:rsidRPr="00A038BF">
        <w:rPr>
          <w:rFonts w:asciiTheme="majorBidi" w:eastAsia="Times New Roman" w:hAnsiTheme="majorBidi" w:cstheme="majorBidi"/>
        </w:rPr>
        <w:t xml:space="preserve"> shown in figure </w:t>
      </w:r>
      <w:r w:rsidR="0018374A" w:rsidRPr="00A038BF">
        <w:rPr>
          <w:rFonts w:asciiTheme="majorBidi" w:eastAsia="Times New Roman" w:hAnsiTheme="majorBidi" w:cstheme="majorBidi"/>
        </w:rPr>
        <w:t>7</w:t>
      </w:r>
      <w:r w:rsidR="00613694" w:rsidRPr="00A038BF">
        <w:rPr>
          <w:rFonts w:asciiTheme="majorBidi" w:eastAsia="Times New Roman" w:hAnsiTheme="majorBidi" w:cstheme="majorBidi"/>
        </w:rPr>
        <w:t xml:space="preserve">. </w:t>
      </w:r>
      <w:r w:rsidR="006F4782" w:rsidRPr="00A038BF">
        <w:rPr>
          <w:rFonts w:asciiTheme="majorBidi" w:eastAsia="Times New Roman" w:hAnsiTheme="majorBidi" w:cstheme="majorBidi"/>
        </w:rPr>
        <w:t>For</w:t>
      </w:r>
      <w:r w:rsidR="00613694" w:rsidRPr="00A038BF">
        <w:rPr>
          <w:rFonts w:asciiTheme="majorBidi" w:eastAsia="Times New Roman" w:hAnsiTheme="majorBidi" w:cstheme="majorBidi"/>
        </w:rPr>
        <w:t xml:space="preserve"> DLT </w:t>
      </w:r>
      <w:r w:rsidR="006F4782" w:rsidRPr="00A038BF">
        <w:rPr>
          <w:rFonts w:asciiTheme="majorBidi" w:eastAsia="Times New Roman" w:hAnsiTheme="majorBidi" w:cstheme="majorBidi"/>
        </w:rPr>
        <w:t xml:space="preserve">the </w:t>
      </w:r>
      <w:r w:rsidR="00613694" w:rsidRPr="00A038BF">
        <w:rPr>
          <w:rFonts w:asciiTheme="majorBidi" w:eastAsia="Times New Roman" w:hAnsiTheme="majorBidi" w:cstheme="majorBidi"/>
        </w:rPr>
        <w:t>contribution is 1390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100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90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and 322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xml:space="preserve"> related to </w:t>
      </w:r>
      <w:r w:rsidR="006F4782" w:rsidRPr="00A038BF">
        <w:rPr>
          <w:rFonts w:asciiTheme="majorBidi" w:eastAsia="Times New Roman" w:hAnsiTheme="majorBidi" w:cstheme="majorBidi"/>
        </w:rPr>
        <w:t>wood</w:t>
      </w:r>
      <w:r w:rsidR="00613694" w:rsidRPr="00A038BF">
        <w:rPr>
          <w:rFonts w:asciiTheme="majorBidi" w:eastAsia="Times New Roman" w:hAnsiTheme="majorBidi" w:cstheme="majorBidi"/>
        </w:rPr>
        <w:t>, dowel, press</w:t>
      </w:r>
      <w:r w:rsidR="006F4782" w:rsidRPr="00A038BF">
        <w:rPr>
          <w:rFonts w:asciiTheme="majorBidi" w:eastAsia="Times New Roman" w:hAnsiTheme="majorBidi" w:cstheme="majorBidi"/>
        </w:rPr>
        <w:t>ure</w:t>
      </w:r>
      <w:r w:rsidR="00613694" w:rsidRPr="00A038BF">
        <w:rPr>
          <w:rFonts w:asciiTheme="majorBidi" w:eastAsia="Times New Roman" w:hAnsiTheme="majorBidi" w:cstheme="majorBidi"/>
        </w:rPr>
        <w:t>, and fabrication. Th</w:t>
      </w:r>
      <w:r w:rsidR="006F4782" w:rsidRPr="00A038BF">
        <w:rPr>
          <w:rFonts w:asciiTheme="majorBidi" w:eastAsia="Times New Roman" w:hAnsiTheme="majorBidi" w:cstheme="majorBidi"/>
        </w:rPr>
        <w:t xml:space="preserve">is </w:t>
      </w:r>
      <w:r w:rsidR="00613694" w:rsidRPr="00A038BF">
        <w:rPr>
          <w:rFonts w:asciiTheme="majorBidi" w:eastAsia="Times New Roman" w:hAnsiTheme="majorBidi" w:cstheme="majorBidi"/>
        </w:rPr>
        <w:t>indicate</w:t>
      </w:r>
      <w:r w:rsidR="006F4782" w:rsidRPr="00A038BF">
        <w:rPr>
          <w:rFonts w:asciiTheme="majorBidi" w:eastAsia="Times New Roman" w:hAnsiTheme="majorBidi" w:cstheme="majorBidi"/>
        </w:rPr>
        <w:t>s</w:t>
      </w:r>
      <w:r w:rsidR="00613694" w:rsidRPr="00A038BF">
        <w:rPr>
          <w:rFonts w:asciiTheme="majorBidi" w:eastAsia="Times New Roman" w:hAnsiTheme="majorBidi" w:cstheme="majorBidi"/>
        </w:rPr>
        <w:t xml:space="preserve"> that the fabrication embodied energy </w:t>
      </w:r>
      <w:r w:rsidR="006F4782" w:rsidRPr="00A038BF">
        <w:rPr>
          <w:rFonts w:asciiTheme="majorBidi" w:eastAsia="Times New Roman" w:hAnsiTheme="majorBidi" w:cstheme="majorBidi"/>
        </w:rPr>
        <w:t xml:space="preserve">for </w:t>
      </w:r>
      <w:r w:rsidR="00613694" w:rsidRPr="00A038BF">
        <w:rPr>
          <w:rFonts w:asciiTheme="majorBidi" w:eastAsia="Times New Roman" w:hAnsiTheme="majorBidi" w:cstheme="majorBidi"/>
        </w:rPr>
        <w:t>DLT is about 20% higher than CLT</w:t>
      </w:r>
      <w:r w:rsidR="006F4782" w:rsidRPr="00A038BF">
        <w:rPr>
          <w:rFonts w:asciiTheme="majorBidi" w:eastAsia="Times New Roman" w:hAnsiTheme="majorBidi" w:cstheme="majorBidi"/>
        </w:rPr>
        <w:t>. This is</w:t>
      </w:r>
      <w:r w:rsidR="00613694" w:rsidRPr="00A038BF">
        <w:rPr>
          <w:rFonts w:asciiTheme="majorBidi" w:eastAsia="Times New Roman" w:hAnsiTheme="majorBidi" w:cstheme="majorBidi"/>
        </w:rPr>
        <w:t xml:space="preserve"> due to the processing of </w:t>
      </w:r>
      <w:r w:rsidR="006F4782" w:rsidRPr="00A038BF">
        <w:rPr>
          <w:rFonts w:asciiTheme="majorBidi" w:eastAsia="Times New Roman" w:hAnsiTheme="majorBidi" w:cstheme="majorBidi"/>
        </w:rPr>
        <w:t xml:space="preserve">the </w:t>
      </w:r>
      <w:r w:rsidR="00613694" w:rsidRPr="00A038BF">
        <w:rPr>
          <w:rFonts w:asciiTheme="majorBidi" w:eastAsia="Times New Roman" w:hAnsiTheme="majorBidi" w:cstheme="majorBidi"/>
        </w:rPr>
        <w:t>dowel</w:t>
      </w:r>
      <w:r w:rsidR="006F4782" w:rsidRPr="00A038BF">
        <w:rPr>
          <w:rFonts w:asciiTheme="majorBidi" w:eastAsia="Times New Roman" w:hAnsiTheme="majorBidi" w:cstheme="majorBidi"/>
        </w:rPr>
        <w:t>s</w:t>
      </w:r>
      <w:r w:rsidR="00613694" w:rsidRPr="00A038BF">
        <w:rPr>
          <w:rFonts w:asciiTheme="majorBidi" w:eastAsia="Times New Roman" w:hAnsiTheme="majorBidi" w:cstheme="majorBidi"/>
        </w:rPr>
        <w:t xml:space="preserve"> in this type of engineered wood. On the other hand, the process of </w:t>
      </w:r>
      <w:r w:rsidR="006F4782" w:rsidRPr="00A038BF">
        <w:rPr>
          <w:rFonts w:asciiTheme="majorBidi" w:eastAsia="Times New Roman" w:hAnsiTheme="majorBidi" w:cstheme="majorBidi"/>
        </w:rPr>
        <w:t xml:space="preserve">applying </w:t>
      </w:r>
      <w:r w:rsidR="00613694" w:rsidRPr="00A038BF">
        <w:rPr>
          <w:rFonts w:asciiTheme="majorBidi" w:eastAsia="Times New Roman" w:hAnsiTheme="majorBidi" w:cstheme="majorBidi"/>
        </w:rPr>
        <w:t>press</w:t>
      </w:r>
      <w:r w:rsidR="006F4782" w:rsidRPr="00A038BF">
        <w:rPr>
          <w:rFonts w:asciiTheme="majorBidi" w:eastAsia="Times New Roman" w:hAnsiTheme="majorBidi" w:cstheme="majorBidi"/>
        </w:rPr>
        <w:t>ure is almost 2.3 times more</w:t>
      </w:r>
      <w:r w:rsidR="00613694" w:rsidRPr="00A038BF">
        <w:rPr>
          <w:rFonts w:asciiTheme="majorBidi" w:eastAsia="Times New Roman" w:hAnsiTheme="majorBidi" w:cstheme="majorBidi"/>
        </w:rPr>
        <w:t xml:space="preserve"> for CLT than DLT. NLT embodied energy is 1390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400 MJ/M</w:t>
      </w:r>
      <w:r w:rsidR="00613694" w:rsidRPr="00A038BF">
        <w:rPr>
          <w:rFonts w:asciiTheme="majorBidi" w:eastAsia="Times New Roman" w:hAnsiTheme="majorBidi" w:cstheme="majorBidi"/>
          <w:vertAlign w:val="superscript"/>
        </w:rPr>
        <w:t>2</w:t>
      </w:r>
      <w:r w:rsidR="00613694" w:rsidRPr="00A038BF">
        <w:rPr>
          <w:rFonts w:asciiTheme="majorBidi" w:eastAsia="Times New Roman" w:hAnsiTheme="majorBidi" w:cstheme="majorBidi"/>
        </w:rPr>
        <w:t>, 340 MJ/M</w:t>
      </w:r>
      <w:r w:rsidR="00613694" w:rsidRPr="00A038BF">
        <w:rPr>
          <w:rFonts w:asciiTheme="majorBidi" w:eastAsia="Times New Roman" w:hAnsiTheme="majorBidi" w:cstheme="majorBidi"/>
          <w:vertAlign w:val="superscript"/>
        </w:rPr>
        <w:t xml:space="preserve">2 </w:t>
      </w:r>
      <w:r w:rsidR="00613694" w:rsidRPr="00A038BF">
        <w:rPr>
          <w:rFonts w:asciiTheme="majorBidi" w:eastAsia="Times New Roman" w:hAnsiTheme="majorBidi" w:cstheme="majorBidi"/>
        </w:rPr>
        <w:t xml:space="preserve">for </w:t>
      </w:r>
      <w:r w:rsidR="00294603" w:rsidRPr="00A038BF">
        <w:rPr>
          <w:rFonts w:asciiTheme="majorBidi" w:eastAsia="Times New Roman" w:hAnsiTheme="majorBidi" w:cstheme="majorBidi"/>
        </w:rPr>
        <w:t>wood</w:t>
      </w:r>
      <w:r w:rsidR="00613694" w:rsidRPr="00A038BF">
        <w:rPr>
          <w:rFonts w:asciiTheme="majorBidi" w:eastAsia="Times New Roman" w:hAnsiTheme="majorBidi" w:cstheme="majorBidi"/>
        </w:rPr>
        <w:t>, nail</w:t>
      </w:r>
      <w:r w:rsidR="00294603" w:rsidRPr="00A038BF">
        <w:rPr>
          <w:rFonts w:asciiTheme="majorBidi" w:eastAsia="Times New Roman" w:hAnsiTheme="majorBidi" w:cstheme="majorBidi"/>
        </w:rPr>
        <w:t>s</w:t>
      </w:r>
      <w:r w:rsidR="00613694" w:rsidRPr="00A038BF">
        <w:rPr>
          <w:rFonts w:asciiTheme="majorBidi" w:eastAsia="Times New Roman" w:hAnsiTheme="majorBidi" w:cstheme="majorBidi"/>
        </w:rPr>
        <w:t xml:space="preserve">, and fabrication, respectively. </w:t>
      </w:r>
    </w:p>
    <w:p w14:paraId="6874DDDD" w14:textId="3D45CB3D" w:rsidR="00344B1D" w:rsidRPr="00A038BF" w:rsidRDefault="008B4994" w:rsidP="0018374A">
      <w:pPr>
        <w:spacing w:line="276" w:lineRule="auto"/>
        <w:ind w:firstLine="720"/>
        <w:jc w:val="both"/>
        <w:rPr>
          <w:rFonts w:asciiTheme="majorBidi" w:eastAsia="Times New Roman" w:hAnsiTheme="majorBidi" w:cstheme="majorBidi"/>
        </w:rPr>
      </w:pPr>
      <w:r w:rsidRPr="00A038BF">
        <w:rPr>
          <w:rFonts w:asciiTheme="majorBidi" w:hAnsiTheme="majorBidi" w:cstheme="majorBidi"/>
        </w:rPr>
        <w:t xml:space="preserve">Figure </w:t>
      </w:r>
      <w:r w:rsidR="0018374A" w:rsidRPr="00A038BF">
        <w:rPr>
          <w:rFonts w:asciiTheme="majorBidi" w:hAnsiTheme="majorBidi" w:cstheme="majorBidi"/>
        </w:rPr>
        <w:t>8</w:t>
      </w:r>
      <w:r w:rsidRPr="00A038BF">
        <w:rPr>
          <w:rFonts w:asciiTheme="majorBidi" w:hAnsiTheme="majorBidi" w:cstheme="majorBidi"/>
        </w:rPr>
        <w:t xml:space="preserve"> </w:t>
      </w:r>
      <w:r w:rsidR="00294603" w:rsidRPr="00A038BF">
        <w:rPr>
          <w:rFonts w:asciiTheme="majorBidi" w:hAnsiTheme="majorBidi" w:cstheme="majorBidi"/>
        </w:rPr>
        <w:t xml:space="preserve">shows the </w:t>
      </w:r>
      <w:r w:rsidRPr="00A038BF">
        <w:rPr>
          <w:rFonts w:asciiTheme="majorBidi" w:hAnsiTheme="majorBidi" w:cstheme="majorBidi"/>
        </w:rPr>
        <w:t xml:space="preserve">embodied energy coefficients for </w:t>
      </w:r>
      <w:r w:rsidR="00CA7D9F" w:rsidRPr="00A038BF">
        <w:rPr>
          <w:rFonts w:asciiTheme="majorBidi" w:hAnsiTheme="majorBidi" w:cstheme="majorBidi"/>
        </w:rPr>
        <w:t xml:space="preserve">the </w:t>
      </w:r>
      <w:r w:rsidRPr="00A038BF">
        <w:rPr>
          <w:rFonts w:asciiTheme="majorBidi" w:hAnsiTheme="majorBidi" w:cstheme="majorBidi"/>
        </w:rPr>
        <w:t>whole structure</w:t>
      </w:r>
      <w:r w:rsidR="00CA7D9F" w:rsidRPr="00A038BF">
        <w:rPr>
          <w:rFonts w:asciiTheme="majorBidi" w:hAnsiTheme="majorBidi" w:cstheme="majorBidi"/>
        </w:rPr>
        <w:t>,</w:t>
      </w:r>
      <w:r w:rsidRPr="00A038BF">
        <w:rPr>
          <w:rFonts w:asciiTheme="majorBidi" w:hAnsiTheme="majorBidi" w:cstheme="majorBidi"/>
        </w:rPr>
        <w:t xml:space="preserve"> starting </w:t>
      </w:r>
      <w:r w:rsidR="00294603" w:rsidRPr="00A038BF">
        <w:rPr>
          <w:rFonts w:asciiTheme="majorBidi" w:hAnsiTheme="majorBidi" w:cstheme="majorBidi"/>
        </w:rPr>
        <w:t xml:space="preserve">with </w:t>
      </w:r>
      <w:r w:rsidR="00CA7D9F" w:rsidRPr="00A038BF">
        <w:rPr>
          <w:rFonts w:asciiTheme="majorBidi" w:hAnsiTheme="majorBidi" w:cstheme="majorBidi"/>
        </w:rPr>
        <w:t xml:space="preserve">the </w:t>
      </w:r>
      <w:r w:rsidRPr="00A038BF">
        <w:rPr>
          <w:rFonts w:asciiTheme="majorBidi" w:hAnsiTheme="majorBidi" w:cstheme="majorBidi"/>
        </w:rPr>
        <w:t xml:space="preserve">manufacturing stage till benefit and loads. </w:t>
      </w:r>
      <w:r w:rsidR="00817353" w:rsidRPr="00A038BF">
        <w:rPr>
          <w:rFonts w:asciiTheme="majorBidi" w:hAnsiTheme="majorBidi" w:cstheme="majorBidi"/>
        </w:rPr>
        <w:t xml:space="preserve">The embodied energy of manufacturing of </w:t>
      </w:r>
      <w:r w:rsidR="00294603" w:rsidRPr="00A038BF">
        <w:rPr>
          <w:rFonts w:asciiTheme="majorBidi" w:hAnsiTheme="majorBidi" w:cstheme="majorBidi"/>
        </w:rPr>
        <w:t xml:space="preserve">the </w:t>
      </w:r>
      <w:r w:rsidR="00817353" w:rsidRPr="00A038BF">
        <w:rPr>
          <w:rFonts w:asciiTheme="majorBidi" w:hAnsiTheme="majorBidi" w:cstheme="majorBidi"/>
        </w:rPr>
        <w:t xml:space="preserve">whole structure </w:t>
      </w:r>
      <w:r w:rsidR="00CA7D9F" w:rsidRPr="00A038BF">
        <w:rPr>
          <w:rFonts w:asciiTheme="majorBidi" w:hAnsiTheme="majorBidi" w:cstheme="majorBidi"/>
        </w:rPr>
        <w:t>is</w:t>
      </w:r>
      <w:r w:rsidR="00817353" w:rsidRPr="00A038BF">
        <w:rPr>
          <w:rFonts w:asciiTheme="majorBidi" w:hAnsiTheme="majorBidi" w:cstheme="majorBidi"/>
        </w:rPr>
        <w:t xml:space="preserve"> </w:t>
      </w:r>
      <w:r w:rsidR="00817353" w:rsidRPr="00A038BF">
        <w:rPr>
          <w:rFonts w:asciiTheme="majorBidi" w:eastAsia="Times New Roman" w:hAnsiTheme="majorBidi" w:cstheme="majorBidi"/>
        </w:rPr>
        <w:t>719122 MJ, 712590 MJ</w:t>
      </w:r>
      <w:r w:rsidR="00CA7D9F" w:rsidRPr="00A038BF">
        <w:rPr>
          <w:rFonts w:asciiTheme="majorBidi" w:eastAsia="Times New Roman" w:hAnsiTheme="majorBidi" w:cstheme="majorBidi"/>
        </w:rPr>
        <w:t>,</w:t>
      </w:r>
      <w:r w:rsidR="00817353" w:rsidRPr="00A038BF">
        <w:rPr>
          <w:rFonts w:asciiTheme="majorBidi" w:eastAsia="Times New Roman" w:hAnsiTheme="majorBidi" w:cstheme="majorBidi"/>
        </w:rPr>
        <w:t xml:space="preserve"> and 793090 MJ for CLT, DLT</w:t>
      </w:r>
      <w:r w:rsidR="00CA7D9F" w:rsidRPr="00A038BF">
        <w:rPr>
          <w:rFonts w:asciiTheme="majorBidi" w:eastAsia="Times New Roman" w:hAnsiTheme="majorBidi" w:cstheme="majorBidi"/>
        </w:rPr>
        <w:t>,</w:t>
      </w:r>
      <w:r w:rsidR="00817353" w:rsidRPr="00A038BF">
        <w:rPr>
          <w:rFonts w:asciiTheme="majorBidi" w:eastAsia="Times New Roman" w:hAnsiTheme="majorBidi" w:cstheme="majorBidi"/>
        </w:rPr>
        <w:t xml:space="preserve"> and NLT, respectively</w:t>
      </w:r>
      <w:r w:rsidR="00095257" w:rsidRPr="00A038BF">
        <w:rPr>
          <w:rFonts w:asciiTheme="majorBidi" w:eastAsia="Times New Roman" w:hAnsiTheme="majorBidi" w:cstheme="majorBidi"/>
        </w:rPr>
        <w:t xml:space="preserve"> (</w:t>
      </w:r>
      <w:r w:rsidR="00294603" w:rsidRPr="00A038BF">
        <w:rPr>
          <w:rFonts w:asciiTheme="majorBidi" w:eastAsia="Times New Roman" w:hAnsiTheme="majorBidi" w:cstheme="majorBidi"/>
        </w:rPr>
        <w:t xml:space="preserve">Further details are provided in </w:t>
      </w:r>
      <w:r w:rsidR="00095257" w:rsidRPr="00A038BF">
        <w:rPr>
          <w:rFonts w:asciiTheme="majorBidi" w:hAnsiTheme="majorBidi" w:cstheme="majorBidi"/>
        </w:rPr>
        <w:t>Appendix 2)</w:t>
      </w:r>
      <w:r w:rsidR="00817353" w:rsidRPr="00A038BF">
        <w:rPr>
          <w:rFonts w:asciiTheme="majorBidi" w:eastAsia="Times New Roman" w:hAnsiTheme="majorBidi" w:cstheme="majorBidi"/>
        </w:rPr>
        <w:t>. The result</w:t>
      </w:r>
      <w:r w:rsidR="00294603" w:rsidRPr="00A038BF">
        <w:rPr>
          <w:rFonts w:asciiTheme="majorBidi" w:eastAsia="Times New Roman" w:hAnsiTheme="majorBidi" w:cstheme="majorBidi"/>
        </w:rPr>
        <w:t>s</w:t>
      </w:r>
      <w:r w:rsidR="00817353" w:rsidRPr="00A038BF">
        <w:rPr>
          <w:rFonts w:asciiTheme="majorBidi" w:eastAsia="Times New Roman" w:hAnsiTheme="majorBidi" w:cstheme="majorBidi"/>
        </w:rPr>
        <w:t xml:space="preserve"> indicated that the NLT structure has a higher </w:t>
      </w:r>
      <w:r w:rsidR="00817353" w:rsidRPr="00A038BF">
        <w:rPr>
          <w:rFonts w:asciiTheme="majorBidi" w:hAnsiTheme="majorBidi" w:cstheme="majorBidi"/>
        </w:rPr>
        <w:t xml:space="preserve">embodied energy coefficient than </w:t>
      </w:r>
      <w:r w:rsidR="00294603" w:rsidRPr="00A038BF">
        <w:rPr>
          <w:rFonts w:asciiTheme="majorBidi" w:hAnsiTheme="majorBidi" w:cstheme="majorBidi"/>
        </w:rPr>
        <w:t xml:space="preserve">the </w:t>
      </w:r>
      <w:r w:rsidR="00817353" w:rsidRPr="00A038BF">
        <w:rPr>
          <w:rFonts w:asciiTheme="majorBidi" w:hAnsiTheme="majorBidi" w:cstheme="majorBidi"/>
        </w:rPr>
        <w:t>alternatives by 10% and 12% (CLT and DLT)</w:t>
      </w:r>
      <w:r w:rsidR="00CA7D9F" w:rsidRPr="00A038BF">
        <w:rPr>
          <w:rFonts w:asciiTheme="majorBidi" w:hAnsiTheme="majorBidi" w:cstheme="majorBidi"/>
        </w:rPr>
        <w:t>,</w:t>
      </w:r>
      <w:r w:rsidR="00817353" w:rsidRPr="00A038BF">
        <w:rPr>
          <w:rFonts w:asciiTheme="majorBidi" w:hAnsiTheme="majorBidi" w:cstheme="majorBidi"/>
        </w:rPr>
        <w:t xml:space="preserve"> </w:t>
      </w:r>
      <w:r w:rsidR="00095257" w:rsidRPr="00A038BF">
        <w:rPr>
          <w:rFonts w:asciiTheme="majorBidi" w:hAnsiTheme="majorBidi" w:cstheme="majorBidi"/>
        </w:rPr>
        <w:t xml:space="preserve">respectively. </w:t>
      </w:r>
      <w:r w:rsidR="00911E89" w:rsidRPr="00A038BF">
        <w:rPr>
          <w:rFonts w:asciiTheme="majorBidi" w:hAnsiTheme="majorBidi" w:cstheme="majorBidi"/>
        </w:rPr>
        <w:t>What happens after</w:t>
      </w:r>
      <w:r w:rsidR="00C70013" w:rsidRPr="00A038BF">
        <w:rPr>
          <w:rFonts w:asciiTheme="majorBidi" w:hAnsiTheme="majorBidi" w:cstheme="majorBidi"/>
        </w:rPr>
        <w:t xml:space="preserve"> demolition </w:t>
      </w:r>
      <w:r w:rsidR="00911E89" w:rsidRPr="00A038BF">
        <w:rPr>
          <w:rFonts w:asciiTheme="majorBidi" w:hAnsiTheme="majorBidi" w:cstheme="majorBidi"/>
        </w:rPr>
        <w:t xml:space="preserve">has </w:t>
      </w:r>
      <w:r w:rsidR="00C70013" w:rsidRPr="00A038BF">
        <w:rPr>
          <w:rFonts w:asciiTheme="majorBidi" w:hAnsiTheme="majorBidi" w:cstheme="majorBidi"/>
        </w:rPr>
        <w:t xml:space="preserve">a </w:t>
      </w:r>
      <w:r w:rsidR="00CA7D9F" w:rsidRPr="00A038BF">
        <w:rPr>
          <w:rFonts w:asciiTheme="majorBidi" w:hAnsiTheme="majorBidi" w:cstheme="majorBidi"/>
        </w:rPr>
        <w:t>signific</w:t>
      </w:r>
      <w:r w:rsidR="00C70013" w:rsidRPr="00A038BF">
        <w:rPr>
          <w:rFonts w:asciiTheme="majorBidi" w:hAnsiTheme="majorBidi" w:cstheme="majorBidi"/>
        </w:rPr>
        <w:t>ant impact o</w:t>
      </w:r>
      <w:r w:rsidR="00911E89" w:rsidRPr="00A038BF">
        <w:rPr>
          <w:rFonts w:asciiTheme="majorBidi" w:hAnsiTheme="majorBidi" w:cstheme="majorBidi"/>
        </w:rPr>
        <w:t>n the</w:t>
      </w:r>
      <w:r w:rsidR="00C70013" w:rsidRPr="00A038BF">
        <w:rPr>
          <w:rFonts w:asciiTheme="majorBidi" w:hAnsiTheme="majorBidi" w:cstheme="majorBidi"/>
        </w:rPr>
        <w:t xml:space="preserve"> total energy </w:t>
      </w:r>
      <w:r w:rsidR="00CA7D9F" w:rsidRPr="00A038BF">
        <w:rPr>
          <w:rFonts w:asciiTheme="majorBidi" w:hAnsiTheme="majorBidi" w:cstheme="majorBidi"/>
        </w:rPr>
        <w:t>o</w:t>
      </w:r>
      <w:r w:rsidR="00C70013" w:rsidRPr="00A038BF">
        <w:rPr>
          <w:rFonts w:asciiTheme="majorBidi" w:hAnsiTheme="majorBidi" w:cstheme="majorBidi"/>
        </w:rPr>
        <w:t xml:space="preserve">n </w:t>
      </w:r>
      <w:r w:rsidR="00CA7D9F" w:rsidRPr="00A038BF">
        <w:rPr>
          <w:rFonts w:asciiTheme="majorBidi" w:hAnsiTheme="majorBidi" w:cstheme="majorBidi"/>
        </w:rPr>
        <w:t xml:space="preserve">the </w:t>
      </w:r>
      <w:r w:rsidR="00C70013" w:rsidRPr="00A038BF">
        <w:rPr>
          <w:rFonts w:asciiTheme="majorBidi" w:hAnsiTheme="majorBidi" w:cstheme="majorBidi"/>
        </w:rPr>
        <w:t xml:space="preserve">whole structure. The positive net </w:t>
      </w:r>
      <w:r w:rsidR="00911E89" w:rsidRPr="00A038BF">
        <w:rPr>
          <w:rFonts w:asciiTheme="majorBidi" w:hAnsiTheme="majorBidi" w:cstheme="majorBidi"/>
        </w:rPr>
        <w:t xml:space="preserve">contribution </w:t>
      </w:r>
      <w:r w:rsidR="00C70013" w:rsidRPr="00A038BF">
        <w:rPr>
          <w:rFonts w:asciiTheme="majorBidi" w:hAnsiTheme="majorBidi" w:cstheme="majorBidi"/>
        </w:rPr>
        <w:t xml:space="preserve">of this stage </w:t>
      </w:r>
      <w:r w:rsidR="00CA7D9F" w:rsidRPr="00A038BF">
        <w:rPr>
          <w:rFonts w:asciiTheme="majorBidi" w:hAnsiTheme="majorBidi" w:cstheme="majorBidi"/>
        </w:rPr>
        <w:t>is</w:t>
      </w:r>
      <w:r w:rsidR="00C70013" w:rsidRPr="00A038BF">
        <w:rPr>
          <w:rFonts w:asciiTheme="majorBidi" w:hAnsiTheme="majorBidi" w:cstheme="majorBidi"/>
        </w:rPr>
        <w:t xml:space="preserve"> </w:t>
      </w:r>
      <w:r w:rsidR="002E53FC" w:rsidRPr="00A038BF">
        <w:rPr>
          <w:rFonts w:asciiTheme="majorBidi" w:eastAsia="Times New Roman" w:hAnsiTheme="majorBidi" w:cstheme="majorBidi"/>
        </w:rPr>
        <w:t xml:space="preserve">-287649 </w:t>
      </w:r>
      <w:r w:rsidR="00C70013" w:rsidRPr="00A038BF">
        <w:rPr>
          <w:rFonts w:asciiTheme="majorBidi" w:eastAsia="Times New Roman" w:hAnsiTheme="majorBidi" w:cstheme="majorBidi"/>
        </w:rPr>
        <w:t xml:space="preserve">MJ, </w:t>
      </w:r>
      <w:r w:rsidR="002E53FC" w:rsidRPr="00A038BF">
        <w:rPr>
          <w:rFonts w:asciiTheme="majorBidi" w:eastAsia="Times New Roman" w:hAnsiTheme="majorBidi" w:cstheme="majorBidi"/>
        </w:rPr>
        <w:t xml:space="preserve">-285036 </w:t>
      </w:r>
      <w:r w:rsidR="00C70013" w:rsidRPr="00A038BF">
        <w:rPr>
          <w:rFonts w:asciiTheme="majorBidi" w:eastAsia="Times New Roman" w:hAnsiTheme="majorBidi" w:cstheme="majorBidi"/>
        </w:rPr>
        <w:t>MJ</w:t>
      </w:r>
      <w:r w:rsidR="00CA7D9F" w:rsidRPr="00A038BF">
        <w:rPr>
          <w:rFonts w:asciiTheme="majorBidi" w:eastAsia="Times New Roman" w:hAnsiTheme="majorBidi" w:cstheme="majorBidi"/>
        </w:rPr>
        <w:t>,</w:t>
      </w:r>
      <w:r w:rsidR="00C70013" w:rsidRPr="00A038BF">
        <w:rPr>
          <w:rFonts w:asciiTheme="majorBidi" w:eastAsia="Times New Roman" w:hAnsiTheme="majorBidi" w:cstheme="majorBidi"/>
        </w:rPr>
        <w:t xml:space="preserve"> and </w:t>
      </w:r>
      <w:r w:rsidR="002E53FC" w:rsidRPr="00A038BF">
        <w:rPr>
          <w:rFonts w:asciiTheme="majorBidi" w:eastAsia="Times New Roman" w:hAnsiTheme="majorBidi" w:cstheme="majorBidi"/>
        </w:rPr>
        <w:t xml:space="preserve">-293737 </w:t>
      </w:r>
      <w:r w:rsidR="00C70013" w:rsidRPr="00A038BF">
        <w:rPr>
          <w:rFonts w:asciiTheme="majorBidi" w:eastAsia="Times New Roman" w:hAnsiTheme="majorBidi" w:cstheme="majorBidi"/>
        </w:rPr>
        <w:t>MJ for CLT, DLT</w:t>
      </w:r>
      <w:r w:rsidR="00CA7D9F" w:rsidRPr="00A038BF">
        <w:rPr>
          <w:rFonts w:asciiTheme="majorBidi" w:eastAsia="Times New Roman" w:hAnsiTheme="majorBidi" w:cstheme="majorBidi"/>
        </w:rPr>
        <w:t>,</w:t>
      </w:r>
      <w:r w:rsidR="00C70013" w:rsidRPr="00A038BF">
        <w:rPr>
          <w:rFonts w:asciiTheme="majorBidi" w:eastAsia="Times New Roman" w:hAnsiTheme="majorBidi" w:cstheme="majorBidi"/>
        </w:rPr>
        <w:t xml:space="preserve"> and NLT. Th</w:t>
      </w:r>
      <w:r w:rsidR="00CA7D9F" w:rsidRPr="00A038BF">
        <w:rPr>
          <w:rFonts w:asciiTheme="majorBidi" w:eastAsia="Times New Roman" w:hAnsiTheme="majorBidi" w:cstheme="majorBidi"/>
        </w:rPr>
        <w:t xml:space="preserve">is </w:t>
      </w:r>
      <w:r w:rsidR="00911E89" w:rsidRPr="00A038BF">
        <w:rPr>
          <w:rFonts w:asciiTheme="majorBidi" w:eastAsia="Times New Roman" w:hAnsiTheme="majorBidi" w:cstheme="majorBidi"/>
        </w:rPr>
        <w:t xml:space="preserve">indicates </w:t>
      </w:r>
      <w:r w:rsidR="00C70013" w:rsidRPr="00A038BF">
        <w:rPr>
          <w:rFonts w:asciiTheme="majorBidi" w:eastAsia="Times New Roman" w:hAnsiTheme="majorBidi" w:cstheme="majorBidi"/>
        </w:rPr>
        <w:t>that NLT perform</w:t>
      </w:r>
      <w:r w:rsidR="007F28A8" w:rsidRPr="00A038BF">
        <w:rPr>
          <w:rFonts w:asciiTheme="majorBidi" w:eastAsia="Times New Roman" w:hAnsiTheme="majorBidi" w:cstheme="majorBidi"/>
        </w:rPr>
        <w:t>s best</w:t>
      </w:r>
      <w:r w:rsidR="00C70013" w:rsidRPr="00A038BF">
        <w:rPr>
          <w:rFonts w:asciiTheme="majorBidi" w:eastAsia="Times New Roman" w:hAnsiTheme="majorBidi" w:cstheme="majorBidi"/>
        </w:rPr>
        <w:t xml:space="preserve"> due to </w:t>
      </w:r>
      <w:r w:rsidR="00CA7D9F" w:rsidRPr="00A038BF">
        <w:rPr>
          <w:rFonts w:asciiTheme="majorBidi" w:eastAsia="Times New Roman" w:hAnsiTheme="majorBidi" w:cstheme="majorBidi"/>
        </w:rPr>
        <w:t xml:space="preserve">the </w:t>
      </w:r>
      <w:r w:rsidR="00C70013" w:rsidRPr="00A038BF">
        <w:rPr>
          <w:rFonts w:asciiTheme="majorBidi" w:eastAsia="Times New Roman" w:hAnsiTheme="majorBidi" w:cstheme="majorBidi"/>
        </w:rPr>
        <w:t>recycl</w:t>
      </w:r>
      <w:r w:rsidR="007F28A8" w:rsidRPr="00A038BF">
        <w:rPr>
          <w:rFonts w:asciiTheme="majorBidi" w:eastAsia="Times New Roman" w:hAnsiTheme="majorBidi" w:cstheme="majorBidi"/>
        </w:rPr>
        <w:t xml:space="preserve">ed </w:t>
      </w:r>
      <w:r w:rsidR="00C70013" w:rsidRPr="00A038BF">
        <w:rPr>
          <w:rFonts w:asciiTheme="majorBidi" w:eastAsia="Times New Roman" w:hAnsiTheme="majorBidi" w:cstheme="majorBidi"/>
        </w:rPr>
        <w:t xml:space="preserve">steel for NLT. The steel in </w:t>
      </w:r>
      <w:r w:rsidR="00CA7D9F" w:rsidRPr="00A038BF">
        <w:rPr>
          <w:rFonts w:asciiTheme="majorBidi" w:eastAsia="Times New Roman" w:hAnsiTheme="majorBidi" w:cstheme="majorBidi"/>
        </w:rPr>
        <w:t xml:space="preserve">the </w:t>
      </w:r>
      <w:r w:rsidR="00C70013" w:rsidRPr="00A038BF">
        <w:rPr>
          <w:rFonts w:asciiTheme="majorBidi" w:eastAsia="Times New Roman" w:hAnsiTheme="majorBidi" w:cstheme="majorBidi"/>
        </w:rPr>
        <w:t xml:space="preserve">NLT structure </w:t>
      </w:r>
      <w:r w:rsidR="007F28A8" w:rsidRPr="00A038BF">
        <w:rPr>
          <w:rFonts w:asciiTheme="majorBidi" w:eastAsia="Times New Roman" w:hAnsiTheme="majorBidi" w:cstheme="majorBidi"/>
        </w:rPr>
        <w:t>contributed to</w:t>
      </w:r>
      <w:r w:rsidR="00CA7D9F" w:rsidRPr="00A038BF">
        <w:rPr>
          <w:rFonts w:asciiTheme="majorBidi" w:eastAsia="Times New Roman" w:hAnsiTheme="majorBidi" w:cstheme="majorBidi"/>
        </w:rPr>
        <w:t xml:space="preserve"> a higher impact </w:t>
      </w:r>
      <w:r w:rsidR="007F28A8" w:rsidRPr="00A038BF">
        <w:rPr>
          <w:rFonts w:asciiTheme="majorBidi" w:eastAsia="Times New Roman" w:hAnsiTheme="majorBidi" w:cstheme="majorBidi"/>
        </w:rPr>
        <w:t xml:space="preserve">at </w:t>
      </w:r>
      <w:r w:rsidR="00CA7D9F" w:rsidRPr="00A038BF">
        <w:rPr>
          <w:rFonts w:asciiTheme="majorBidi" w:eastAsia="Times New Roman" w:hAnsiTheme="majorBidi" w:cstheme="majorBidi"/>
        </w:rPr>
        <w:t>the construction stage,</w:t>
      </w:r>
      <w:r w:rsidR="007F28A8" w:rsidRPr="00A038BF">
        <w:rPr>
          <w:rFonts w:asciiTheme="majorBidi" w:eastAsia="Times New Roman" w:hAnsiTheme="majorBidi" w:cstheme="majorBidi"/>
        </w:rPr>
        <w:t xml:space="preserve"> but</w:t>
      </w:r>
      <w:r w:rsidR="00C70013" w:rsidRPr="00A038BF">
        <w:rPr>
          <w:rFonts w:asciiTheme="majorBidi" w:eastAsia="Times New Roman" w:hAnsiTheme="majorBidi" w:cstheme="majorBidi"/>
        </w:rPr>
        <w:t xml:space="preserve"> recycling </w:t>
      </w:r>
      <w:r w:rsidR="007F28A8" w:rsidRPr="00A038BF">
        <w:rPr>
          <w:rFonts w:asciiTheme="majorBidi" w:eastAsia="Times New Roman" w:hAnsiTheme="majorBidi" w:cstheme="majorBidi"/>
        </w:rPr>
        <w:t xml:space="preserve">the steel </w:t>
      </w:r>
      <w:r w:rsidR="00C70013" w:rsidRPr="00A038BF">
        <w:rPr>
          <w:rFonts w:asciiTheme="majorBidi" w:eastAsia="Times New Roman" w:hAnsiTheme="majorBidi" w:cstheme="majorBidi"/>
        </w:rPr>
        <w:t xml:space="preserve">reversed the result. </w:t>
      </w:r>
      <w:r w:rsidR="00D63FB9" w:rsidRPr="00A038BF">
        <w:rPr>
          <w:rFonts w:asciiTheme="majorBidi" w:eastAsia="Times New Roman" w:hAnsiTheme="majorBidi" w:cstheme="majorBidi"/>
        </w:rPr>
        <w:t>The embodied energy for reuse and recovery are 215000 MJ and 105000 MJ.</w:t>
      </w:r>
    </w:p>
    <w:p w14:paraId="667046BE" w14:textId="383EB143" w:rsidR="008B4994" w:rsidRPr="00A038BF" w:rsidRDefault="00D63FB9" w:rsidP="00344B1D">
      <w:pPr>
        <w:spacing w:line="276" w:lineRule="auto"/>
        <w:ind w:firstLine="720"/>
        <w:jc w:val="both"/>
        <w:rPr>
          <w:rFonts w:asciiTheme="majorBidi" w:hAnsiTheme="majorBidi" w:cstheme="majorBidi"/>
        </w:rPr>
      </w:pPr>
      <w:r w:rsidRPr="00A038BF">
        <w:rPr>
          <w:rFonts w:asciiTheme="majorBidi" w:eastAsia="Times New Roman" w:hAnsiTheme="majorBidi" w:cstheme="majorBidi"/>
        </w:rPr>
        <w:t>On the other hand</w:t>
      </w:r>
      <w:r w:rsidR="00CA7D9F" w:rsidRPr="00A038BF">
        <w:rPr>
          <w:rFonts w:asciiTheme="majorBidi" w:eastAsia="Times New Roman" w:hAnsiTheme="majorBidi" w:cstheme="majorBidi"/>
        </w:rPr>
        <w:t>,</w:t>
      </w:r>
      <w:r w:rsidRPr="00A038BF">
        <w:rPr>
          <w:rFonts w:asciiTheme="majorBidi" w:eastAsia="Times New Roman" w:hAnsiTheme="majorBidi" w:cstheme="majorBidi"/>
        </w:rPr>
        <w:t xml:space="preserve"> the energy coefficient of </w:t>
      </w:r>
      <w:r w:rsidR="00CA7D9F" w:rsidRPr="00A038BF">
        <w:rPr>
          <w:rFonts w:asciiTheme="majorBidi" w:eastAsia="Times New Roman" w:hAnsiTheme="majorBidi" w:cstheme="majorBidi"/>
        </w:rPr>
        <w:t>steel recycling is</w:t>
      </w:r>
      <w:r w:rsidRPr="00A038BF">
        <w:rPr>
          <w:rFonts w:asciiTheme="majorBidi" w:eastAsia="Times New Roman" w:hAnsiTheme="majorBidi" w:cstheme="majorBidi"/>
        </w:rPr>
        <w:t xml:space="preserve"> 41000 MJ, 38000 MJ, and 146500 MJ for CLT, DLT</w:t>
      </w:r>
      <w:r w:rsidR="00CA7D9F" w:rsidRPr="00A038BF">
        <w:rPr>
          <w:rFonts w:asciiTheme="majorBidi" w:eastAsia="Times New Roman" w:hAnsiTheme="majorBidi" w:cstheme="majorBidi"/>
        </w:rPr>
        <w:t>,</w:t>
      </w:r>
      <w:r w:rsidRPr="00A038BF">
        <w:rPr>
          <w:rFonts w:asciiTheme="majorBidi" w:eastAsia="Times New Roman" w:hAnsiTheme="majorBidi" w:cstheme="majorBidi"/>
        </w:rPr>
        <w:t xml:space="preserve"> and NLT, respectively.  </w:t>
      </w:r>
      <w:r w:rsidR="00C70013" w:rsidRPr="00A038BF">
        <w:rPr>
          <w:rFonts w:asciiTheme="majorBidi" w:hAnsiTheme="majorBidi" w:cstheme="majorBidi"/>
        </w:rPr>
        <w:t>Thus</w:t>
      </w:r>
      <w:r w:rsidR="008F0DDE" w:rsidRPr="00A038BF">
        <w:rPr>
          <w:rFonts w:asciiTheme="majorBidi" w:hAnsiTheme="majorBidi" w:cstheme="majorBidi"/>
        </w:rPr>
        <w:t>, considering the whole life cycle stage</w:t>
      </w:r>
      <w:r w:rsidR="00CA7D9F" w:rsidRPr="00A038BF">
        <w:rPr>
          <w:rFonts w:asciiTheme="majorBidi" w:hAnsiTheme="majorBidi" w:cstheme="majorBidi"/>
        </w:rPr>
        <w:t>,</w:t>
      </w:r>
      <w:r w:rsidR="008F0DDE" w:rsidRPr="00A038BF">
        <w:rPr>
          <w:rFonts w:asciiTheme="majorBidi" w:hAnsiTheme="majorBidi" w:cstheme="majorBidi"/>
        </w:rPr>
        <w:t xml:space="preserve"> including the benefit and loads, the result changed</w:t>
      </w:r>
      <w:r w:rsidR="00CA7D9F" w:rsidRPr="00A038BF">
        <w:rPr>
          <w:rFonts w:asciiTheme="majorBidi" w:hAnsiTheme="majorBidi" w:cstheme="majorBidi"/>
        </w:rPr>
        <w:t>,</w:t>
      </w:r>
      <w:r w:rsidR="008F0DDE" w:rsidRPr="00A038BF">
        <w:rPr>
          <w:rFonts w:asciiTheme="majorBidi" w:hAnsiTheme="majorBidi" w:cstheme="majorBidi"/>
        </w:rPr>
        <w:t xml:space="preserve"> and NLT bec</w:t>
      </w:r>
      <w:r w:rsidR="00CA7D9F" w:rsidRPr="00A038BF">
        <w:rPr>
          <w:rFonts w:asciiTheme="majorBidi" w:hAnsiTheme="majorBidi" w:cstheme="majorBidi"/>
        </w:rPr>
        <w:t>a</w:t>
      </w:r>
      <w:r w:rsidR="008F0DDE" w:rsidRPr="00A038BF">
        <w:rPr>
          <w:rFonts w:asciiTheme="majorBidi" w:hAnsiTheme="majorBidi" w:cstheme="majorBidi"/>
        </w:rPr>
        <w:t xml:space="preserve">me the best alternative. </w:t>
      </w:r>
      <w:r w:rsidR="005945FF" w:rsidRPr="00A038BF">
        <w:rPr>
          <w:rFonts w:asciiTheme="majorBidi" w:hAnsiTheme="majorBidi" w:cstheme="majorBidi"/>
        </w:rPr>
        <w:t>The</w:t>
      </w:r>
      <w:r w:rsidR="00C70013" w:rsidRPr="00A038BF">
        <w:rPr>
          <w:rFonts w:asciiTheme="majorBidi" w:hAnsiTheme="majorBidi" w:cstheme="majorBidi"/>
        </w:rPr>
        <w:t xml:space="preserve"> total embodied energy of </w:t>
      </w:r>
      <w:r w:rsidR="00CA7D9F" w:rsidRPr="00A038BF">
        <w:rPr>
          <w:rFonts w:asciiTheme="majorBidi" w:hAnsiTheme="majorBidi" w:cstheme="majorBidi"/>
        </w:rPr>
        <w:t xml:space="preserve">the </w:t>
      </w:r>
      <w:r w:rsidR="00C70013" w:rsidRPr="00A038BF">
        <w:rPr>
          <w:rFonts w:asciiTheme="majorBidi" w:hAnsiTheme="majorBidi" w:cstheme="majorBidi"/>
        </w:rPr>
        <w:t xml:space="preserve">whole structure </w:t>
      </w:r>
      <w:r w:rsidR="00CA7D9F" w:rsidRPr="00A038BF">
        <w:rPr>
          <w:rFonts w:asciiTheme="majorBidi" w:hAnsiTheme="majorBidi" w:cstheme="majorBidi"/>
        </w:rPr>
        <w:t>is</w:t>
      </w:r>
      <w:r w:rsidR="00C70013" w:rsidRPr="00A038BF">
        <w:rPr>
          <w:rFonts w:asciiTheme="majorBidi" w:hAnsiTheme="majorBidi" w:cstheme="majorBidi"/>
        </w:rPr>
        <w:t xml:space="preserve"> </w:t>
      </w:r>
      <w:r w:rsidR="005E7F9A" w:rsidRPr="00A038BF">
        <w:rPr>
          <w:rFonts w:asciiTheme="majorBidi" w:hAnsiTheme="majorBidi" w:cstheme="majorBidi"/>
        </w:rPr>
        <w:t>471673</w:t>
      </w:r>
      <w:r w:rsidR="00C70013" w:rsidRPr="00A038BF">
        <w:rPr>
          <w:rFonts w:asciiTheme="majorBidi" w:hAnsiTheme="majorBidi" w:cstheme="majorBidi"/>
        </w:rPr>
        <w:t xml:space="preserve"> MJ, </w:t>
      </w:r>
      <w:r w:rsidR="005E7F9A" w:rsidRPr="00A038BF">
        <w:rPr>
          <w:rFonts w:asciiTheme="majorBidi" w:hAnsiTheme="majorBidi" w:cstheme="majorBidi"/>
        </w:rPr>
        <w:t>467754</w:t>
      </w:r>
      <w:r w:rsidR="00C70013" w:rsidRPr="00A038BF">
        <w:rPr>
          <w:rFonts w:asciiTheme="majorBidi" w:hAnsiTheme="majorBidi" w:cstheme="majorBidi"/>
        </w:rPr>
        <w:t xml:space="preserve"> MJ</w:t>
      </w:r>
      <w:r w:rsidR="00CA7D9F" w:rsidRPr="00A038BF">
        <w:rPr>
          <w:rFonts w:asciiTheme="majorBidi" w:hAnsiTheme="majorBidi" w:cstheme="majorBidi"/>
        </w:rPr>
        <w:t>,</w:t>
      </w:r>
      <w:r w:rsidR="00C70013" w:rsidRPr="00A038BF">
        <w:rPr>
          <w:rFonts w:asciiTheme="majorBidi" w:hAnsiTheme="majorBidi" w:cstheme="majorBidi"/>
        </w:rPr>
        <w:t xml:space="preserve"> and </w:t>
      </w:r>
      <w:r w:rsidR="005E7F9A" w:rsidRPr="00A038BF">
        <w:rPr>
          <w:rFonts w:asciiTheme="majorBidi" w:hAnsiTheme="majorBidi" w:cstheme="majorBidi"/>
        </w:rPr>
        <w:t>539553</w:t>
      </w:r>
      <w:r w:rsidR="00C70013" w:rsidRPr="00A038BF">
        <w:rPr>
          <w:rFonts w:asciiTheme="majorBidi" w:hAnsiTheme="majorBidi" w:cstheme="majorBidi"/>
        </w:rPr>
        <w:t xml:space="preserve"> MJ for CLT, DLT</w:t>
      </w:r>
      <w:r w:rsidR="00CA7D9F" w:rsidRPr="00A038BF">
        <w:rPr>
          <w:rFonts w:asciiTheme="majorBidi" w:hAnsiTheme="majorBidi" w:cstheme="majorBidi"/>
        </w:rPr>
        <w:t>,</w:t>
      </w:r>
      <w:r w:rsidR="00C70013" w:rsidRPr="00A038BF">
        <w:rPr>
          <w:rFonts w:asciiTheme="majorBidi" w:hAnsiTheme="majorBidi" w:cstheme="majorBidi"/>
        </w:rPr>
        <w:t xml:space="preserve"> and NLT, respectively. </w:t>
      </w:r>
    </w:p>
    <w:p w14:paraId="7C56D098" w14:textId="77777777" w:rsidR="00746760" w:rsidRPr="00A038BF" w:rsidRDefault="001E52E5" w:rsidP="001A7EB6">
      <w:pPr>
        <w:spacing w:after="0" w:line="276" w:lineRule="auto"/>
        <w:jc w:val="both"/>
        <w:rPr>
          <w:rFonts w:asciiTheme="majorBidi" w:hAnsiTheme="majorBidi" w:cstheme="majorBidi"/>
        </w:rPr>
      </w:pPr>
      <w:r w:rsidRPr="00A038BF">
        <w:rPr>
          <w:noProof/>
        </w:rPr>
        <w:drawing>
          <wp:inline distT="0" distB="0" distL="0" distR="0" wp14:anchorId="0D6785ED" wp14:editId="5FAF207E">
            <wp:extent cx="2918460" cy="3025140"/>
            <wp:effectExtent l="0" t="0" r="15240" b="381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r w:rsidRPr="00A038BF">
        <w:rPr>
          <w:noProof/>
        </w:rPr>
        <w:t xml:space="preserve"> </w:t>
      </w:r>
      <w:r w:rsidRPr="00A038BF">
        <w:rPr>
          <w:noProof/>
        </w:rPr>
        <w:drawing>
          <wp:inline distT="0" distB="0" distL="0" distR="0" wp14:anchorId="52D8FA9B" wp14:editId="5DFEE960">
            <wp:extent cx="2918460" cy="3020060"/>
            <wp:effectExtent l="0" t="0" r="15240" b="8890"/>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98D54CD" w14:textId="77777777" w:rsidR="00140D33" w:rsidRPr="00A038BF" w:rsidRDefault="00140D33" w:rsidP="00140D33">
      <w:pPr>
        <w:jc w:val="center"/>
        <w:rPr>
          <w:rFonts w:asciiTheme="majorBidi" w:hAnsiTheme="majorBidi" w:cstheme="majorBidi"/>
          <w:sz w:val="20"/>
          <w:szCs w:val="20"/>
        </w:rPr>
      </w:pPr>
      <w:r w:rsidRPr="00A038BF">
        <w:rPr>
          <w:rFonts w:asciiTheme="majorBidi" w:hAnsiTheme="majorBidi" w:cstheme="majorBidi"/>
          <w:sz w:val="20"/>
          <w:szCs w:val="20"/>
        </w:rPr>
        <w:t xml:space="preserve">Figure </w:t>
      </w:r>
      <w:r w:rsidR="00136CFC" w:rsidRPr="00A038BF">
        <w:rPr>
          <w:rFonts w:asciiTheme="majorBidi" w:hAnsiTheme="majorBidi" w:cstheme="majorBidi"/>
          <w:sz w:val="20"/>
          <w:szCs w:val="20"/>
        </w:rPr>
        <w:t>8</w:t>
      </w:r>
      <w:r w:rsidR="002C0604" w:rsidRPr="00A038BF">
        <w:rPr>
          <w:rFonts w:asciiTheme="majorBidi" w:hAnsiTheme="majorBidi" w:cstheme="majorBidi"/>
          <w:sz w:val="20"/>
          <w:szCs w:val="20"/>
        </w:rPr>
        <w:t xml:space="preserve"> e</w:t>
      </w:r>
      <w:r w:rsidR="003C4EE7" w:rsidRPr="00A038BF">
        <w:rPr>
          <w:rFonts w:asciiTheme="majorBidi" w:hAnsiTheme="majorBidi" w:cstheme="majorBidi"/>
          <w:sz w:val="20"/>
          <w:szCs w:val="20"/>
        </w:rPr>
        <w:t xml:space="preserve">mbodied energy coefficients for </w:t>
      </w:r>
      <w:r w:rsidR="000A3163" w:rsidRPr="00A038BF">
        <w:rPr>
          <w:rFonts w:asciiTheme="majorBidi" w:hAnsiTheme="majorBidi" w:cstheme="majorBidi"/>
          <w:sz w:val="20"/>
          <w:szCs w:val="20"/>
        </w:rPr>
        <w:t xml:space="preserve">the </w:t>
      </w:r>
      <w:r w:rsidR="003C4EE7" w:rsidRPr="00A038BF">
        <w:rPr>
          <w:rFonts w:asciiTheme="majorBidi" w:hAnsiTheme="majorBidi" w:cstheme="majorBidi"/>
          <w:sz w:val="20"/>
          <w:szCs w:val="20"/>
        </w:rPr>
        <w:t>whole structure</w:t>
      </w:r>
    </w:p>
    <w:p w14:paraId="2DFB006F" w14:textId="77777777" w:rsidR="008370EB" w:rsidRPr="00A038BF" w:rsidRDefault="008370EB" w:rsidP="00EE50BB">
      <w:pPr>
        <w:spacing w:before="240"/>
        <w:rPr>
          <w:rFonts w:asciiTheme="majorBidi" w:hAnsiTheme="majorBidi" w:cstheme="majorBidi"/>
          <w:b/>
          <w:bCs/>
          <w:sz w:val="24"/>
          <w:szCs w:val="24"/>
        </w:rPr>
      </w:pPr>
    </w:p>
    <w:p w14:paraId="114C7280" w14:textId="77777777" w:rsidR="00FA7A9E" w:rsidRPr="00A038BF" w:rsidRDefault="009F4542" w:rsidP="00412018">
      <w:pPr>
        <w:pStyle w:val="ListParagraph"/>
        <w:numPr>
          <w:ilvl w:val="1"/>
          <w:numId w:val="3"/>
        </w:numPr>
        <w:spacing w:before="240"/>
        <w:rPr>
          <w:rFonts w:asciiTheme="majorBidi" w:hAnsiTheme="majorBidi" w:cstheme="majorBidi"/>
          <w:b/>
          <w:bCs/>
          <w:sz w:val="24"/>
          <w:szCs w:val="24"/>
        </w:rPr>
      </w:pPr>
      <w:r w:rsidRPr="00A038BF">
        <w:rPr>
          <w:rFonts w:asciiTheme="majorBidi" w:hAnsiTheme="majorBidi" w:cstheme="majorBidi"/>
          <w:b/>
          <w:bCs/>
          <w:sz w:val="24"/>
          <w:szCs w:val="24"/>
        </w:rPr>
        <w:t>L</w:t>
      </w:r>
      <w:r w:rsidR="00935DA0" w:rsidRPr="00A038BF">
        <w:rPr>
          <w:rFonts w:asciiTheme="majorBidi" w:hAnsiTheme="majorBidi" w:cstheme="majorBidi"/>
          <w:b/>
          <w:bCs/>
          <w:sz w:val="24"/>
          <w:szCs w:val="24"/>
        </w:rPr>
        <w:t xml:space="preserve">ife </w:t>
      </w:r>
      <w:r w:rsidRPr="00A038BF">
        <w:rPr>
          <w:rFonts w:asciiTheme="majorBidi" w:hAnsiTheme="majorBidi" w:cstheme="majorBidi"/>
          <w:b/>
          <w:bCs/>
          <w:sz w:val="24"/>
          <w:szCs w:val="24"/>
        </w:rPr>
        <w:t>C</w:t>
      </w:r>
      <w:r w:rsidR="00935DA0" w:rsidRPr="00A038BF">
        <w:rPr>
          <w:rFonts w:asciiTheme="majorBidi" w:hAnsiTheme="majorBidi" w:cstheme="majorBidi"/>
          <w:b/>
          <w:bCs/>
          <w:sz w:val="24"/>
          <w:szCs w:val="24"/>
        </w:rPr>
        <w:t xml:space="preserve">ycle </w:t>
      </w:r>
      <w:r w:rsidRPr="00A038BF">
        <w:rPr>
          <w:rFonts w:asciiTheme="majorBidi" w:hAnsiTheme="majorBidi" w:cstheme="majorBidi"/>
          <w:b/>
          <w:bCs/>
          <w:sz w:val="24"/>
          <w:szCs w:val="24"/>
        </w:rPr>
        <w:t>C</w:t>
      </w:r>
      <w:r w:rsidR="00935DA0" w:rsidRPr="00A038BF">
        <w:rPr>
          <w:rFonts w:asciiTheme="majorBidi" w:hAnsiTheme="majorBidi" w:cstheme="majorBidi"/>
          <w:b/>
          <w:bCs/>
          <w:sz w:val="24"/>
          <w:szCs w:val="24"/>
        </w:rPr>
        <w:t>ost</w:t>
      </w:r>
    </w:p>
    <w:p w14:paraId="3CD1599D" w14:textId="734DC94C" w:rsidR="00FA7A9E" w:rsidRPr="00A038BF" w:rsidRDefault="0028291E" w:rsidP="0018374A">
      <w:pPr>
        <w:spacing w:line="276" w:lineRule="auto"/>
        <w:ind w:firstLine="720"/>
        <w:jc w:val="both"/>
        <w:rPr>
          <w:rFonts w:asciiTheme="majorBidi" w:hAnsiTheme="majorBidi" w:cstheme="majorBidi"/>
        </w:rPr>
      </w:pPr>
      <w:r w:rsidRPr="00A038BF">
        <w:rPr>
          <w:rFonts w:asciiTheme="majorBidi" w:hAnsiTheme="majorBidi" w:cstheme="majorBidi"/>
        </w:rPr>
        <w:t xml:space="preserve">For </w:t>
      </w:r>
      <w:r w:rsidR="00C2014D" w:rsidRPr="00A038BF">
        <w:rPr>
          <w:rFonts w:asciiTheme="majorBidi" w:hAnsiTheme="majorBidi" w:cstheme="majorBidi"/>
        </w:rPr>
        <w:t xml:space="preserve">a product </w:t>
      </w:r>
      <w:r w:rsidRPr="00A038BF">
        <w:rPr>
          <w:rFonts w:asciiTheme="majorBidi" w:hAnsiTheme="majorBidi" w:cstheme="majorBidi"/>
        </w:rPr>
        <w:t xml:space="preserve">to be considered </w:t>
      </w:r>
      <w:r w:rsidR="00C2014D" w:rsidRPr="00A038BF">
        <w:rPr>
          <w:rFonts w:asciiTheme="majorBidi" w:hAnsiTheme="majorBidi" w:cstheme="majorBidi"/>
        </w:rPr>
        <w:t xml:space="preserve">as sustainable, fundamental arguments </w:t>
      </w:r>
      <w:r w:rsidRPr="00A038BF">
        <w:rPr>
          <w:rFonts w:asciiTheme="majorBidi" w:hAnsiTheme="majorBidi" w:cstheme="majorBidi"/>
        </w:rPr>
        <w:t xml:space="preserve">that </w:t>
      </w:r>
      <w:r w:rsidR="00C2014D" w:rsidRPr="00A038BF">
        <w:rPr>
          <w:rFonts w:asciiTheme="majorBidi" w:hAnsiTheme="majorBidi" w:cstheme="majorBidi"/>
        </w:rPr>
        <w:t xml:space="preserve">support </w:t>
      </w:r>
      <w:r w:rsidRPr="00A038BF">
        <w:rPr>
          <w:rFonts w:asciiTheme="majorBidi" w:hAnsiTheme="majorBidi" w:cstheme="majorBidi"/>
        </w:rPr>
        <w:t xml:space="preserve">economic </w:t>
      </w:r>
      <w:r w:rsidR="00C2014D" w:rsidRPr="00A038BF">
        <w:rPr>
          <w:rFonts w:asciiTheme="majorBidi" w:hAnsiTheme="majorBidi" w:cstheme="majorBidi"/>
        </w:rPr>
        <w:t>performance (LCC)</w:t>
      </w:r>
      <w:r w:rsidRPr="00A038BF">
        <w:rPr>
          <w:rFonts w:asciiTheme="majorBidi" w:hAnsiTheme="majorBidi" w:cstheme="majorBidi"/>
        </w:rPr>
        <w:t xml:space="preserve"> need to be made</w:t>
      </w:r>
      <w:r w:rsidR="00C2014D" w:rsidRPr="00A038BF">
        <w:rPr>
          <w:rFonts w:asciiTheme="majorBidi" w:hAnsiTheme="majorBidi" w:cstheme="majorBidi"/>
        </w:rPr>
        <w:t xml:space="preserve">. </w:t>
      </w:r>
      <w:r w:rsidR="008F751F" w:rsidRPr="00A038BF">
        <w:rPr>
          <w:rFonts w:asciiTheme="majorBidi" w:hAnsiTheme="majorBidi" w:cstheme="majorBidi"/>
        </w:rPr>
        <w:t xml:space="preserve">Figure </w:t>
      </w:r>
      <w:r w:rsidR="0018374A" w:rsidRPr="00A038BF">
        <w:rPr>
          <w:rFonts w:asciiTheme="majorBidi" w:hAnsiTheme="majorBidi" w:cstheme="majorBidi"/>
        </w:rPr>
        <w:t>9</w:t>
      </w:r>
      <w:r w:rsidR="00AD358C" w:rsidRPr="00A038BF">
        <w:rPr>
          <w:rFonts w:asciiTheme="majorBidi" w:hAnsiTheme="majorBidi" w:cstheme="majorBidi"/>
        </w:rPr>
        <w:t xml:space="preserve"> show</w:t>
      </w:r>
      <w:r w:rsidR="008F751F" w:rsidRPr="00A038BF">
        <w:rPr>
          <w:rFonts w:asciiTheme="majorBidi" w:hAnsiTheme="majorBidi" w:cstheme="majorBidi"/>
        </w:rPr>
        <w:t xml:space="preserve">s the </w:t>
      </w:r>
      <w:r w:rsidR="00AD358C" w:rsidRPr="00A038BF">
        <w:rPr>
          <w:rFonts w:asciiTheme="majorBidi" w:hAnsiTheme="majorBidi" w:cstheme="majorBidi"/>
        </w:rPr>
        <w:t>LCC</w:t>
      </w:r>
      <w:r w:rsidR="008F751F" w:rsidRPr="00A038BF">
        <w:rPr>
          <w:rFonts w:asciiTheme="majorBidi" w:hAnsiTheme="majorBidi" w:cstheme="majorBidi"/>
        </w:rPr>
        <w:t xml:space="preserve"> of different life cycle stage</w:t>
      </w:r>
      <w:r w:rsidR="000A3163" w:rsidRPr="00A038BF">
        <w:rPr>
          <w:rFonts w:asciiTheme="majorBidi" w:hAnsiTheme="majorBidi" w:cstheme="majorBidi"/>
        </w:rPr>
        <w:t xml:space="preserve">s of </w:t>
      </w:r>
      <w:r w:rsidR="008D36EA" w:rsidRPr="00A038BF">
        <w:rPr>
          <w:rFonts w:asciiTheme="majorBidi" w:hAnsiTheme="majorBidi" w:cstheme="majorBidi"/>
        </w:rPr>
        <w:t xml:space="preserve">mass </w:t>
      </w:r>
      <w:r w:rsidR="000A3163" w:rsidRPr="00A038BF">
        <w:rPr>
          <w:rFonts w:asciiTheme="majorBidi" w:hAnsiTheme="majorBidi" w:cstheme="majorBidi"/>
        </w:rPr>
        <w:t xml:space="preserve">timber building, including the benefit and loads stage </w:t>
      </w:r>
      <w:r w:rsidRPr="00A038BF">
        <w:rPr>
          <w:rFonts w:asciiTheme="majorBidi" w:hAnsiTheme="majorBidi" w:cstheme="majorBidi"/>
        </w:rPr>
        <w:t xml:space="preserve">(which is </w:t>
      </w:r>
      <w:r w:rsidR="000A3163" w:rsidRPr="00A038BF">
        <w:rPr>
          <w:rFonts w:asciiTheme="majorBidi" w:hAnsiTheme="majorBidi" w:cstheme="majorBidi"/>
        </w:rPr>
        <w:t>interpreted</w:t>
      </w:r>
      <w:r w:rsidR="008F751F" w:rsidRPr="00A038BF">
        <w:rPr>
          <w:rFonts w:asciiTheme="majorBidi" w:hAnsiTheme="majorBidi" w:cstheme="majorBidi"/>
        </w:rPr>
        <w:t xml:space="preserve"> as revenue</w:t>
      </w:r>
      <w:r w:rsidRPr="00A038BF">
        <w:rPr>
          <w:rFonts w:asciiTheme="majorBidi" w:hAnsiTheme="majorBidi" w:cstheme="majorBidi"/>
        </w:rPr>
        <w:t>)</w:t>
      </w:r>
      <w:r w:rsidR="008F751F" w:rsidRPr="00A038BF">
        <w:rPr>
          <w:rFonts w:asciiTheme="majorBidi" w:hAnsiTheme="majorBidi" w:cstheme="majorBidi"/>
        </w:rPr>
        <w:t xml:space="preserve">. The system boundary has </w:t>
      </w:r>
      <w:r w:rsidRPr="00A038BF">
        <w:rPr>
          <w:rFonts w:asciiTheme="majorBidi" w:hAnsiTheme="majorBidi" w:cstheme="majorBidi"/>
        </w:rPr>
        <w:t xml:space="preserve">adopted </w:t>
      </w:r>
      <w:r w:rsidR="008F751F" w:rsidRPr="00A038BF">
        <w:rPr>
          <w:rFonts w:asciiTheme="majorBidi" w:hAnsiTheme="majorBidi" w:cstheme="majorBidi"/>
        </w:rPr>
        <w:t xml:space="preserve">the life cycle assessment </w:t>
      </w:r>
      <w:r w:rsidRPr="00A038BF">
        <w:rPr>
          <w:rFonts w:asciiTheme="majorBidi" w:hAnsiTheme="majorBidi" w:cstheme="majorBidi"/>
        </w:rPr>
        <w:t>discussed</w:t>
      </w:r>
      <w:r w:rsidR="008F751F" w:rsidRPr="00A038BF">
        <w:rPr>
          <w:rFonts w:asciiTheme="majorBidi" w:hAnsiTheme="majorBidi" w:cstheme="majorBidi"/>
        </w:rPr>
        <w:t xml:space="preserve"> in section 2.1.1.</w:t>
      </w:r>
      <w:r w:rsidR="00AD358C" w:rsidRPr="00A038BF">
        <w:rPr>
          <w:rFonts w:asciiTheme="majorBidi" w:hAnsiTheme="majorBidi" w:cstheme="majorBidi"/>
        </w:rPr>
        <w:t xml:space="preserve"> The initial finding </w:t>
      </w:r>
      <w:r w:rsidRPr="00A038BF">
        <w:rPr>
          <w:rFonts w:asciiTheme="majorBidi" w:hAnsiTheme="majorBidi" w:cstheme="majorBidi"/>
        </w:rPr>
        <w:t xml:space="preserve">is </w:t>
      </w:r>
      <w:r w:rsidR="00AD358C" w:rsidRPr="00A038BF">
        <w:rPr>
          <w:rFonts w:asciiTheme="majorBidi" w:hAnsiTheme="majorBidi" w:cstheme="majorBidi"/>
        </w:rPr>
        <w:t xml:space="preserve">that </w:t>
      </w:r>
      <w:r w:rsidR="000A3163" w:rsidRPr="00A038BF">
        <w:rPr>
          <w:rFonts w:asciiTheme="majorBidi" w:hAnsiTheme="majorBidi" w:cstheme="majorBidi"/>
        </w:rPr>
        <w:t>the highest cost relate</w:t>
      </w:r>
      <w:r w:rsidRPr="00A038BF">
        <w:rPr>
          <w:rFonts w:asciiTheme="majorBidi" w:hAnsiTheme="majorBidi" w:cstheme="majorBidi"/>
        </w:rPr>
        <w:t>s</w:t>
      </w:r>
      <w:r w:rsidR="000A3163" w:rsidRPr="00A038BF">
        <w:rPr>
          <w:rFonts w:asciiTheme="majorBidi" w:hAnsiTheme="majorBidi" w:cstheme="majorBidi"/>
        </w:rPr>
        <w:t xml:space="preserve"> to the mass timber structure itself, followed by </w:t>
      </w:r>
      <w:r w:rsidRPr="00A038BF">
        <w:rPr>
          <w:rFonts w:asciiTheme="majorBidi" w:hAnsiTheme="majorBidi" w:cstheme="majorBidi"/>
        </w:rPr>
        <w:t xml:space="preserve">the </w:t>
      </w:r>
      <w:r w:rsidR="000A3163" w:rsidRPr="00A038BF">
        <w:rPr>
          <w:rFonts w:asciiTheme="majorBidi" w:hAnsiTheme="majorBidi" w:cstheme="majorBidi"/>
        </w:rPr>
        <w:t xml:space="preserve">other materials incorporated in the building scheme </w:t>
      </w:r>
      <w:r w:rsidRPr="00A038BF">
        <w:rPr>
          <w:rFonts w:asciiTheme="majorBidi" w:hAnsiTheme="majorBidi" w:cstheme="majorBidi"/>
        </w:rPr>
        <w:t>(including</w:t>
      </w:r>
      <w:r w:rsidR="000A3163" w:rsidRPr="00A038BF">
        <w:rPr>
          <w:rFonts w:asciiTheme="majorBidi" w:hAnsiTheme="majorBidi" w:cstheme="majorBidi"/>
        </w:rPr>
        <w:t xml:space="preserve"> wall insulation, gypsum plasterboard,</w:t>
      </w:r>
      <w:r w:rsidR="00506F30" w:rsidRPr="00A038BF">
        <w:rPr>
          <w:rFonts w:asciiTheme="majorBidi" w:hAnsiTheme="majorBidi" w:cstheme="majorBidi"/>
        </w:rPr>
        <w:t xml:space="preserve"> and steel</w:t>
      </w:r>
      <w:r w:rsidRPr="00A038BF">
        <w:rPr>
          <w:rFonts w:asciiTheme="majorBidi" w:hAnsiTheme="majorBidi" w:cstheme="majorBidi"/>
        </w:rPr>
        <w:t>)</w:t>
      </w:r>
      <w:r w:rsidR="00AD358C" w:rsidRPr="00A038BF">
        <w:rPr>
          <w:rFonts w:asciiTheme="majorBidi" w:hAnsiTheme="majorBidi" w:cstheme="majorBidi"/>
        </w:rPr>
        <w:t xml:space="preserve">. </w:t>
      </w:r>
      <w:r w:rsidR="00B743AB" w:rsidRPr="00A038BF">
        <w:rPr>
          <w:rFonts w:asciiTheme="majorBidi" w:hAnsiTheme="majorBidi" w:cstheme="majorBidi"/>
        </w:rPr>
        <w:t xml:space="preserve">The </w:t>
      </w:r>
      <w:r w:rsidRPr="00A038BF">
        <w:rPr>
          <w:rFonts w:asciiTheme="majorBidi" w:hAnsiTheme="majorBidi" w:cstheme="majorBidi"/>
        </w:rPr>
        <w:t xml:space="preserve">CLT option </w:t>
      </w:r>
      <w:r w:rsidR="00B743AB" w:rsidRPr="00A038BF">
        <w:rPr>
          <w:rFonts w:asciiTheme="majorBidi" w:hAnsiTheme="majorBidi" w:cstheme="majorBidi"/>
        </w:rPr>
        <w:t>has a highe</w:t>
      </w:r>
      <w:r w:rsidRPr="00A038BF">
        <w:rPr>
          <w:rFonts w:asciiTheme="majorBidi" w:hAnsiTheme="majorBidi" w:cstheme="majorBidi"/>
        </w:rPr>
        <w:t>st</w:t>
      </w:r>
      <w:r w:rsidR="00B743AB" w:rsidRPr="00A038BF">
        <w:rPr>
          <w:rFonts w:asciiTheme="majorBidi" w:hAnsiTheme="majorBidi" w:cstheme="majorBidi"/>
        </w:rPr>
        <w:t xml:space="preserve"> initial cost </w:t>
      </w:r>
      <w:r w:rsidRPr="00A038BF">
        <w:rPr>
          <w:rFonts w:asciiTheme="majorBidi" w:hAnsiTheme="majorBidi" w:cstheme="majorBidi"/>
        </w:rPr>
        <w:t xml:space="preserve">of </w:t>
      </w:r>
      <w:r w:rsidR="00B743AB" w:rsidRPr="00A038BF">
        <w:rPr>
          <w:rFonts w:asciiTheme="majorBidi" w:hAnsiTheme="majorBidi" w:cstheme="majorBidi"/>
        </w:rPr>
        <w:t>281600 MYR follow</w:t>
      </w:r>
      <w:r w:rsidRPr="00A038BF">
        <w:rPr>
          <w:rFonts w:asciiTheme="majorBidi" w:hAnsiTheme="majorBidi" w:cstheme="majorBidi"/>
        </w:rPr>
        <w:t>ed</w:t>
      </w:r>
      <w:r w:rsidR="00B743AB" w:rsidRPr="00A038BF">
        <w:rPr>
          <w:rFonts w:asciiTheme="majorBidi" w:hAnsiTheme="majorBidi" w:cstheme="majorBidi"/>
        </w:rPr>
        <w:t xml:space="preserve"> by NLT </w:t>
      </w:r>
      <w:r w:rsidRPr="00A038BF">
        <w:rPr>
          <w:rFonts w:asciiTheme="majorBidi" w:hAnsiTheme="majorBidi" w:cstheme="majorBidi"/>
        </w:rPr>
        <w:t>(</w:t>
      </w:r>
      <w:r w:rsidR="00B743AB" w:rsidRPr="00A038BF">
        <w:rPr>
          <w:rFonts w:asciiTheme="majorBidi" w:hAnsiTheme="majorBidi" w:cstheme="majorBidi"/>
        </w:rPr>
        <w:t>274560 MYR</w:t>
      </w:r>
      <w:r w:rsidRPr="00A038BF">
        <w:rPr>
          <w:rFonts w:asciiTheme="majorBidi" w:hAnsiTheme="majorBidi" w:cstheme="majorBidi"/>
        </w:rPr>
        <w:t>)</w:t>
      </w:r>
      <w:r w:rsidR="00B743AB" w:rsidRPr="00A038BF">
        <w:rPr>
          <w:rFonts w:asciiTheme="majorBidi" w:hAnsiTheme="majorBidi" w:cstheme="majorBidi"/>
        </w:rPr>
        <w:t xml:space="preserve"> and DLT </w:t>
      </w:r>
      <w:r w:rsidRPr="00A038BF">
        <w:rPr>
          <w:rFonts w:asciiTheme="majorBidi" w:hAnsiTheme="majorBidi" w:cstheme="majorBidi"/>
        </w:rPr>
        <w:t>(</w:t>
      </w:r>
      <w:r w:rsidR="00B743AB" w:rsidRPr="00A038BF">
        <w:rPr>
          <w:rFonts w:asciiTheme="majorBidi" w:hAnsiTheme="majorBidi" w:cstheme="majorBidi"/>
        </w:rPr>
        <w:t>264000 MYR</w:t>
      </w:r>
      <w:r w:rsidRPr="00A038BF">
        <w:rPr>
          <w:rFonts w:asciiTheme="majorBidi" w:hAnsiTheme="majorBidi" w:cstheme="majorBidi"/>
        </w:rPr>
        <w:t>)</w:t>
      </w:r>
      <w:r w:rsidR="00B743AB" w:rsidRPr="00A038BF">
        <w:rPr>
          <w:rFonts w:asciiTheme="majorBidi" w:hAnsiTheme="majorBidi" w:cstheme="majorBidi"/>
        </w:rPr>
        <w:t xml:space="preserve">. CLT </w:t>
      </w:r>
      <w:r w:rsidR="00A33CF1" w:rsidRPr="00A038BF">
        <w:rPr>
          <w:rFonts w:asciiTheme="majorBidi" w:hAnsiTheme="majorBidi" w:cstheme="majorBidi"/>
        </w:rPr>
        <w:t xml:space="preserve">is thus </w:t>
      </w:r>
      <w:r w:rsidR="00B743AB" w:rsidRPr="00A038BF">
        <w:rPr>
          <w:rFonts w:asciiTheme="majorBidi" w:hAnsiTheme="majorBidi" w:cstheme="majorBidi"/>
        </w:rPr>
        <w:t xml:space="preserve">3.5% and 6.2% </w:t>
      </w:r>
      <w:r w:rsidR="00A33CF1" w:rsidRPr="00A038BF">
        <w:rPr>
          <w:rFonts w:asciiTheme="majorBidi" w:hAnsiTheme="majorBidi" w:cstheme="majorBidi"/>
        </w:rPr>
        <w:t xml:space="preserve">more expensive </w:t>
      </w:r>
      <w:r w:rsidR="00B743AB" w:rsidRPr="00A038BF">
        <w:rPr>
          <w:rFonts w:asciiTheme="majorBidi" w:hAnsiTheme="majorBidi" w:cstheme="majorBidi"/>
        </w:rPr>
        <w:t>initial</w:t>
      </w:r>
      <w:r w:rsidR="00A33CF1" w:rsidRPr="00A038BF">
        <w:rPr>
          <w:rFonts w:asciiTheme="majorBidi" w:hAnsiTheme="majorBidi" w:cstheme="majorBidi"/>
        </w:rPr>
        <w:t xml:space="preserve">ly </w:t>
      </w:r>
      <w:r w:rsidR="00B743AB" w:rsidRPr="00A038BF">
        <w:rPr>
          <w:rFonts w:asciiTheme="majorBidi" w:hAnsiTheme="majorBidi" w:cstheme="majorBidi"/>
        </w:rPr>
        <w:t>compare</w:t>
      </w:r>
      <w:r w:rsidR="000A3163" w:rsidRPr="00A038BF">
        <w:rPr>
          <w:rFonts w:asciiTheme="majorBidi" w:hAnsiTheme="majorBidi" w:cstheme="majorBidi"/>
        </w:rPr>
        <w:t>d</w:t>
      </w:r>
      <w:r w:rsidR="00B743AB" w:rsidRPr="00A038BF">
        <w:rPr>
          <w:rFonts w:asciiTheme="majorBidi" w:hAnsiTheme="majorBidi" w:cstheme="majorBidi"/>
        </w:rPr>
        <w:t xml:space="preserve"> to NLT and DLT. The cost of the other materials </w:t>
      </w:r>
      <w:r w:rsidR="000A3163" w:rsidRPr="00A038BF">
        <w:rPr>
          <w:rFonts w:asciiTheme="majorBidi" w:hAnsiTheme="majorBidi" w:cstheme="majorBidi"/>
        </w:rPr>
        <w:t>is</w:t>
      </w:r>
      <w:r w:rsidR="00B743AB" w:rsidRPr="00A038BF">
        <w:rPr>
          <w:rFonts w:asciiTheme="majorBidi" w:hAnsiTheme="majorBidi" w:cstheme="majorBidi"/>
        </w:rPr>
        <w:t xml:space="preserve"> 23450 MYR for all structures. The economic cost of </w:t>
      </w:r>
      <w:r w:rsidR="000A3163" w:rsidRPr="00A038BF">
        <w:rPr>
          <w:rFonts w:asciiTheme="majorBidi" w:hAnsiTheme="majorBidi" w:cstheme="majorBidi"/>
        </w:rPr>
        <w:t xml:space="preserve">wages, transportation, maintenance, and demolition </w:t>
      </w:r>
      <w:r w:rsidR="00B743AB" w:rsidRPr="00A038BF">
        <w:rPr>
          <w:rFonts w:asciiTheme="majorBidi" w:hAnsiTheme="majorBidi" w:cstheme="majorBidi"/>
        </w:rPr>
        <w:t>are 3600 MYR, 7500 MYR, 2400 MYR</w:t>
      </w:r>
      <w:r w:rsidR="000A3163" w:rsidRPr="00A038BF">
        <w:rPr>
          <w:rFonts w:asciiTheme="majorBidi" w:hAnsiTheme="majorBidi" w:cstheme="majorBidi"/>
        </w:rPr>
        <w:t>,</w:t>
      </w:r>
      <w:r w:rsidR="00B743AB" w:rsidRPr="00A038BF">
        <w:rPr>
          <w:rFonts w:asciiTheme="majorBidi" w:hAnsiTheme="majorBidi" w:cstheme="majorBidi"/>
        </w:rPr>
        <w:t xml:space="preserve"> and 15000 MYR</w:t>
      </w:r>
      <w:r w:rsidR="000A3163" w:rsidRPr="00A038BF">
        <w:rPr>
          <w:rFonts w:asciiTheme="majorBidi" w:hAnsiTheme="majorBidi" w:cstheme="majorBidi"/>
        </w:rPr>
        <w:t>,</w:t>
      </w:r>
      <w:r w:rsidR="00B743AB" w:rsidRPr="00A038BF">
        <w:rPr>
          <w:rFonts w:asciiTheme="majorBidi" w:hAnsiTheme="majorBidi" w:cstheme="majorBidi"/>
        </w:rPr>
        <w:t xml:space="preserve"> respectively. </w:t>
      </w:r>
    </w:p>
    <w:p w14:paraId="4667AFF4" w14:textId="616F025E" w:rsidR="0015403F" w:rsidRPr="00A038BF" w:rsidRDefault="0079314E" w:rsidP="000A3163">
      <w:pPr>
        <w:spacing w:line="276" w:lineRule="auto"/>
        <w:ind w:firstLine="720"/>
        <w:jc w:val="both"/>
        <w:rPr>
          <w:rFonts w:asciiTheme="majorBidi" w:hAnsiTheme="majorBidi" w:cstheme="majorBidi"/>
        </w:rPr>
      </w:pPr>
      <w:r w:rsidRPr="00A038BF">
        <w:rPr>
          <w:rFonts w:asciiTheme="majorBidi" w:hAnsiTheme="majorBidi" w:cstheme="majorBidi"/>
        </w:rPr>
        <w:t>End-of-life costs need to be adjusted to account for the re-sale of building materials generated at their end of life. Th</w:t>
      </w:r>
      <w:r w:rsidR="000A3163" w:rsidRPr="00A038BF">
        <w:rPr>
          <w:rFonts w:asciiTheme="majorBidi" w:hAnsiTheme="majorBidi" w:cstheme="majorBidi"/>
        </w:rPr>
        <w:t>e cost</w:t>
      </w:r>
      <w:r w:rsidRPr="00A038BF">
        <w:rPr>
          <w:rFonts w:asciiTheme="majorBidi" w:hAnsiTheme="majorBidi" w:cstheme="majorBidi"/>
        </w:rPr>
        <w:t xml:space="preserve"> </w:t>
      </w:r>
      <w:r w:rsidR="000E5D6D" w:rsidRPr="00A038BF">
        <w:rPr>
          <w:rFonts w:asciiTheme="majorBidi" w:hAnsiTheme="majorBidi" w:cstheme="majorBidi"/>
        </w:rPr>
        <w:t>for mass timber is 48000 MYR</w:t>
      </w:r>
      <w:r w:rsidR="000A3163" w:rsidRPr="00A038BF">
        <w:rPr>
          <w:rFonts w:asciiTheme="majorBidi" w:hAnsiTheme="majorBidi" w:cstheme="majorBidi"/>
        </w:rPr>
        <w:t>,</w:t>
      </w:r>
      <w:r w:rsidR="000E5D6D" w:rsidRPr="00A038BF">
        <w:rPr>
          <w:rFonts w:asciiTheme="majorBidi" w:hAnsiTheme="majorBidi" w:cstheme="majorBidi"/>
        </w:rPr>
        <w:t xml:space="preserve"> and for steel</w:t>
      </w:r>
      <w:r w:rsidR="000A3163" w:rsidRPr="00A038BF">
        <w:rPr>
          <w:rFonts w:asciiTheme="majorBidi" w:hAnsiTheme="majorBidi" w:cstheme="majorBidi"/>
        </w:rPr>
        <w:t>,</w:t>
      </w:r>
      <w:r w:rsidR="000E5D6D" w:rsidRPr="00A038BF">
        <w:rPr>
          <w:rFonts w:asciiTheme="majorBidi" w:hAnsiTheme="majorBidi" w:cstheme="majorBidi"/>
        </w:rPr>
        <w:t xml:space="preserve"> are 500 related to the CLT and DLT structure and 1600 for NLT that </w:t>
      </w:r>
      <w:r w:rsidR="000A3163" w:rsidRPr="00A038BF">
        <w:rPr>
          <w:rFonts w:asciiTheme="majorBidi" w:hAnsiTheme="majorBidi" w:cstheme="majorBidi"/>
        </w:rPr>
        <w:t>comprises</w:t>
      </w:r>
      <w:r w:rsidR="000E5D6D" w:rsidRPr="00A038BF">
        <w:rPr>
          <w:rFonts w:asciiTheme="majorBidi" w:hAnsiTheme="majorBidi" w:cstheme="majorBidi"/>
        </w:rPr>
        <w:t xml:space="preserve"> steel connection and nail inside the panels. The final cost of DLT </w:t>
      </w:r>
      <w:r w:rsidR="00CA0FED" w:rsidRPr="00A038BF">
        <w:rPr>
          <w:rFonts w:asciiTheme="majorBidi" w:hAnsiTheme="majorBidi" w:cstheme="majorBidi"/>
        </w:rPr>
        <w:t>is</w:t>
      </w:r>
      <w:r w:rsidR="000E5D6D" w:rsidRPr="00A038BF">
        <w:rPr>
          <w:rFonts w:asciiTheme="majorBidi" w:hAnsiTheme="majorBidi" w:cstheme="majorBidi"/>
        </w:rPr>
        <w:t xml:space="preserve"> lower from </w:t>
      </w:r>
      <w:r w:rsidR="000A3163" w:rsidRPr="00A038BF">
        <w:rPr>
          <w:rFonts w:asciiTheme="majorBidi" w:hAnsiTheme="majorBidi" w:cstheme="majorBidi"/>
        </w:rPr>
        <w:t>cradle to the</w:t>
      </w:r>
      <w:r w:rsidR="000E5D6D" w:rsidRPr="00A038BF">
        <w:rPr>
          <w:rFonts w:asciiTheme="majorBidi" w:hAnsiTheme="majorBidi" w:cstheme="majorBidi"/>
        </w:rPr>
        <w:t xml:space="preserve"> grave by 267450 MYR</w:t>
      </w:r>
      <w:r w:rsidR="000A3163" w:rsidRPr="00A038BF">
        <w:rPr>
          <w:rFonts w:asciiTheme="majorBidi" w:hAnsiTheme="majorBidi" w:cstheme="majorBidi"/>
        </w:rPr>
        <w:t>,</w:t>
      </w:r>
      <w:r w:rsidR="000E5D6D" w:rsidRPr="00A038BF">
        <w:rPr>
          <w:rFonts w:asciiTheme="majorBidi" w:hAnsiTheme="majorBidi" w:cstheme="majorBidi"/>
        </w:rPr>
        <w:t xml:space="preserve"> followed by NLT with 276910 MYR and 285050 MYR for CLT. Surprisingly, the cost of </w:t>
      </w:r>
      <w:r w:rsidR="003C3B99" w:rsidRPr="00A038BF">
        <w:rPr>
          <w:rFonts w:asciiTheme="majorBidi" w:hAnsiTheme="majorBidi" w:cstheme="majorBidi"/>
        </w:rPr>
        <w:t>D</w:t>
      </w:r>
      <w:r w:rsidR="000E5D6D" w:rsidRPr="00A038BF">
        <w:rPr>
          <w:rFonts w:asciiTheme="majorBidi" w:hAnsiTheme="majorBidi" w:cstheme="majorBidi"/>
        </w:rPr>
        <w:t xml:space="preserve">LT </w:t>
      </w:r>
      <w:r w:rsidR="003C3B99" w:rsidRPr="00A038BF">
        <w:rPr>
          <w:rFonts w:asciiTheme="majorBidi" w:hAnsiTheme="majorBidi" w:cstheme="majorBidi"/>
        </w:rPr>
        <w:t xml:space="preserve">and NLT </w:t>
      </w:r>
      <w:r w:rsidR="00EC124B" w:rsidRPr="00A038BF">
        <w:rPr>
          <w:rFonts w:asciiTheme="majorBidi" w:hAnsiTheme="majorBidi" w:cstheme="majorBidi"/>
        </w:rPr>
        <w:t xml:space="preserve">are </w:t>
      </w:r>
      <w:r w:rsidR="003C3B99" w:rsidRPr="00A038BF">
        <w:rPr>
          <w:rFonts w:asciiTheme="majorBidi" w:hAnsiTheme="majorBidi" w:cstheme="majorBidi"/>
        </w:rPr>
        <w:t>7% and 3% lower than CLT</w:t>
      </w:r>
      <w:r w:rsidR="00EC124B" w:rsidRPr="00A038BF">
        <w:rPr>
          <w:rFonts w:asciiTheme="majorBidi" w:hAnsiTheme="majorBidi" w:cstheme="majorBidi"/>
        </w:rPr>
        <w:t xml:space="preserve">.  This is as a result of the </w:t>
      </w:r>
      <w:r w:rsidR="007C3CEF" w:rsidRPr="00A038BF">
        <w:rPr>
          <w:rFonts w:asciiTheme="majorBidi" w:hAnsiTheme="majorBidi" w:cstheme="majorBidi"/>
        </w:rPr>
        <w:t xml:space="preserve">re-sale </w:t>
      </w:r>
      <w:r w:rsidR="00EC124B" w:rsidRPr="00A038BF">
        <w:rPr>
          <w:rFonts w:asciiTheme="majorBidi" w:hAnsiTheme="majorBidi" w:cstheme="majorBidi"/>
        </w:rPr>
        <w:t xml:space="preserve">of used materials </w:t>
      </w:r>
      <w:r w:rsidR="007C3CEF" w:rsidRPr="00A038BF">
        <w:rPr>
          <w:rFonts w:asciiTheme="majorBidi" w:hAnsiTheme="majorBidi" w:cstheme="majorBidi"/>
        </w:rPr>
        <w:t>and considering revenue of materials have decrease</w:t>
      </w:r>
      <w:r w:rsidR="000A3163" w:rsidRPr="00A038BF">
        <w:rPr>
          <w:rFonts w:asciiTheme="majorBidi" w:hAnsiTheme="majorBidi" w:cstheme="majorBidi"/>
        </w:rPr>
        <w:t>d</w:t>
      </w:r>
      <w:r w:rsidR="007C3CEF" w:rsidRPr="00A038BF">
        <w:rPr>
          <w:rFonts w:asciiTheme="majorBidi" w:hAnsiTheme="majorBidi" w:cstheme="majorBidi"/>
        </w:rPr>
        <w:t xml:space="preserve"> the total cost of building by approximately 15%. </w:t>
      </w:r>
    </w:p>
    <w:p w14:paraId="12D60E44" w14:textId="77777777" w:rsidR="00EE50BB" w:rsidRPr="00A038BF" w:rsidRDefault="0052003E" w:rsidP="00C74D45">
      <w:pPr>
        <w:spacing w:before="240" w:after="0"/>
        <w:jc w:val="center"/>
        <w:rPr>
          <w:rFonts w:asciiTheme="majorBidi" w:hAnsiTheme="majorBidi" w:cstheme="majorBidi"/>
          <w:b/>
          <w:bCs/>
          <w:sz w:val="24"/>
          <w:szCs w:val="24"/>
        </w:rPr>
      </w:pPr>
      <w:r w:rsidRPr="00A038BF">
        <w:rPr>
          <w:noProof/>
        </w:rPr>
        <w:drawing>
          <wp:inline distT="0" distB="0" distL="0" distR="0" wp14:anchorId="18A0689D" wp14:editId="090C01C3">
            <wp:extent cx="2699385" cy="3003550"/>
            <wp:effectExtent l="0" t="0" r="5715" b="6350"/>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BB66F4" w:rsidRPr="00A038BF">
        <w:rPr>
          <w:noProof/>
        </w:rPr>
        <w:drawing>
          <wp:inline distT="0" distB="0" distL="0" distR="0" wp14:anchorId="32DE6A6B" wp14:editId="4B41969B">
            <wp:extent cx="2903220" cy="3003550"/>
            <wp:effectExtent l="0" t="0" r="11430" b="635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8EE0C63" w14:textId="77777777" w:rsidR="00140D33" w:rsidRPr="00A038BF" w:rsidRDefault="00140D33" w:rsidP="00CD6BFB">
      <w:pPr>
        <w:jc w:val="center"/>
        <w:rPr>
          <w:rFonts w:asciiTheme="majorBidi" w:hAnsiTheme="majorBidi" w:cstheme="majorBidi"/>
          <w:sz w:val="20"/>
          <w:szCs w:val="20"/>
        </w:rPr>
      </w:pPr>
      <w:r w:rsidRPr="00A038BF">
        <w:rPr>
          <w:rFonts w:asciiTheme="majorBidi" w:hAnsiTheme="majorBidi" w:cstheme="majorBidi"/>
          <w:sz w:val="20"/>
          <w:szCs w:val="20"/>
        </w:rPr>
        <w:t xml:space="preserve">Figure </w:t>
      </w:r>
      <w:r w:rsidR="00136CFC" w:rsidRPr="00A038BF">
        <w:rPr>
          <w:rFonts w:asciiTheme="majorBidi" w:hAnsiTheme="majorBidi" w:cstheme="majorBidi"/>
          <w:sz w:val="20"/>
          <w:szCs w:val="20"/>
        </w:rPr>
        <w:t>9</w:t>
      </w:r>
      <w:r w:rsidR="00CD6BFB" w:rsidRPr="00A038BF">
        <w:rPr>
          <w:rFonts w:asciiTheme="majorBidi" w:hAnsiTheme="majorBidi" w:cstheme="majorBidi"/>
          <w:sz w:val="20"/>
          <w:szCs w:val="20"/>
        </w:rPr>
        <w:t xml:space="preserve"> costs of life cycle phase for alternatives timber mass</w:t>
      </w:r>
    </w:p>
    <w:p w14:paraId="1F5E08F5" w14:textId="77777777" w:rsidR="00D0219D" w:rsidRPr="00A038BF" w:rsidRDefault="00D0219D" w:rsidP="00CD6BFB">
      <w:pPr>
        <w:jc w:val="center"/>
        <w:rPr>
          <w:rFonts w:asciiTheme="majorBidi" w:hAnsiTheme="majorBidi" w:cstheme="majorBidi"/>
          <w:sz w:val="20"/>
          <w:szCs w:val="20"/>
        </w:rPr>
      </w:pPr>
    </w:p>
    <w:p w14:paraId="758A746B" w14:textId="7ABAB4EC" w:rsidR="00711F0E" w:rsidRPr="00A038BF" w:rsidRDefault="005719D7" w:rsidP="00711F0E">
      <w:pPr>
        <w:pStyle w:val="ListParagraph"/>
        <w:numPr>
          <w:ilvl w:val="1"/>
          <w:numId w:val="3"/>
        </w:numPr>
        <w:spacing w:before="240"/>
        <w:rPr>
          <w:rFonts w:asciiTheme="majorBidi" w:hAnsiTheme="majorBidi" w:cstheme="majorBidi"/>
          <w:b/>
          <w:bCs/>
          <w:sz w:val="24"/>
          <w:szCs w:val="24"/>
        </w:rPr>
      </w:pPr>
      <w:r w:rsidRPr="00A038BF">
        <w:rPr>
          <w:rFonts w:asciiTheme="majorBidi" w:hAnsiTheme="majorBidi" w:cstheme="majorBidi"/>
          <w:b/>
          <w:bCs/>
        </w:rPr>
        <w:t xml:space="preserve">Multiple-criteria decision analysis (MDCM) </w:t>
      </w:r>
    </w:p>
    <w:p w14:paraId="5BA12FC5" w14:textId="7CD18784" w:rsidR="00E94D77" w:rsidRPr="00A038BF" w:rsidRDefault="00391321" w:rsidP="00A763E8">
      <w:pPr>
        <w:spacing w:line="276" w:lineRule="auto"/>
        <w:ind w:firstLine="720"/>
        <w:jc w:val="both"/>
        <w:rPr>
          <w:rFonts w:asciiTheme="majorBidi" w:hAnsiTheme="majorBidi" w:cstheme="majorBidi"/>
        </w:rPr>
      </w:pPr>
      <w:r w:rsidRPr="00A038BF">
        <w:rPr>
          <w:rFonts w:asciiTheme="majorBidi" w:hAnsiTheme="majorBidi" w:cstheme="majorBidi"/>
        </w:rPr>
        <w:t xml:space="preserve">MCDM was performed to rank the alternatives by balancing their environmental, embodied energy, and economic impacts. Firstly, </w:t>
      </w:r>
      <w:r w:rsidR="00E31061" w:rsidRPr="00A038BF">
        <w:rPr>
          <w:rFonts w:asciiTheme="majorBidi" w:hAnsiTheme="majorBidi" w:cstheme="majorBidi"/>
        </w:rPr>
        <w:t>designer</w:t>
      </w:r>
      <w:r w:rsidR="00344B1D" w:rsidRPr="00A038BF">
        <w:rPr>
          <w:rFonts w:asciiTheme="majorBidi" w:hAnsiTheme="majorBidi" w:cstheme="majorBidi"/>
        </w:rPr>
        <w:t>s</w:t>
      </w:r>
      <w:r w:rsidR="00E31061" w:rsidRPr="00A038BF">
        <w:rPr>
          <w:rFonts w:asciiTheme="majorBidi" w:hAnsiTheme="majorBidi" w:cstheme="majorBidi"/>
        </w:rPr>
        <w:t>, industr</w:t>
      </w:r>
      <w:r w:rsidR="00344B1D" w:rsidRPr="00A038BF">
        <w:rPr>
          <w:rFonts w:asciiTheme="majorBidi" w:hAnsiTheme="majorBidi" w:cstheme="majorBidi"/>
        </w:rPr>
        <w:t>ial</w:t>
      </w:r>
      <w:r w:rsidR="00E31061" w:rsidRPr="00A038BF">
        <w:rPr>
          <w:rFonts w:asciiTheme="majorBidi" w:hAnsiTheme="majorBidi" w:cstheme="majorBidi"/>
        </w:rPr>
        <w:t xml:space="preserve"> engineer</w:t>
      </w:r>
      <w:r w:rsidR="005719D7" w:rsidRPr="00A038BF">
        <w:rPr>
          <w:rFonts w:asciiTheme="majorBidi" w:hAnsiTheme="majorBidi" w:cstheme="majorBidi"/>
        </w:rPr>
        <w:t>s</w:t>
      </w:r>
      <w:r w:rsidR="00E31061" w:rsidRPr="00A038BF">
        <w:rPr>
          <w:rFonts w:asciiTheme="majorBidi" w:hAnsiTheme="majorBidi" w:cstheme="majorBidi"/>
        </w:rPr>
        <w:t xml:space="preserve"> and construction manager experts evaluated the importance of each criterion. </w:t>
      </w:r>
      <w:r w:rsidR="005719D7" w:rsidRPr="00A038BF">
        <w:rPr>
          <w:rFonts w:asciiTheme="majorBidi" w:hAnsiTheme="majorBidi" w:cstheme="majorBidi"/>
        </w:rPr>
        <w:t>They</w:t>
      </w:r>
      <w:r w:rsidR="00E31061" w:rsidRPr="00A038BF">
        <w:rPr>
          <w:rFonts w:asciiTheme="majorBidi" w:hAnsiTheme="majorBidi" w:cstheme="majorBidi"/>
        </w:rPr>
        <w:t xml:space="preserve"> allocate</w:t>
      </w:r>
      <w:r w:rsidR="005719D7" w:rsidRPr="00A038BF">
        <w:rPr>
          <w:rFonts w:asciiTheme="majorBidi" w:hAnsiTheme="majorBidi" w:cstheme="majorBidi"/>
        </w:rPr>
        <w:t>d</w:t>
      </w:r>
      <w:r w:rsidR="00E31061" w:rsidRPr="00A038BF">
        <w:rPr>
          <w:rFonts w:asciiTheme="majorBidi" w:hAnsiTheme="majorBidi" w:cstheme="majorBidi"/>
        </w:rPr>
        <w:t xml:space="preserve"> weighting</w:t>
      </w:r>
      <w:r w:rsidR="005719D7" w:rsidRPr="00A038BF">
        <w:rPr>
          <w:rFonts w:asciiTheme="majorBidi" w:hAnsiTheme="majorBidi" w:cstheme="majorBidi"/>
        </w:rPr>
        <w:t>s</w:t>
      </w:r>
      <w:r w:rsidR="00E31061" w:rsidRPr="00A038BF">
        <w:rPr>
          <w:rFonts w:asciiTheme="majorBidi" w:hAnsiTheme="majorBidi" w:cstheme="majorBidi"/>
        </w:rPr>
        <w:t xml:space="preserve"> </w:t>
      </w:r>
      <w:r w:rsidR="005719D7" w:rsidRPr="00A038BF">
        <w:rPr>
          <w:rFonts w:asciiTheme="majorBidi" w:hAnsiTheme="majorBidi" w:cstheme="majorBidi"/>
        </w:rPr>
        <w:t>to prioritize</w:t>
      </w:r>
      <w:r w:rsidR="00E31061" w:rsidRPr="00A038BF">
        <w:rPr>
          <w:rFonts w:asciiTheme="majorBidi" w:hAnsiTheme="majorBidi" w:cstheme="majorBidi"/>
        </w:rPr>
        <w:t xml:space="preserve"> the seven criteria by considering their importance toward</w:t>
      </w:r>
      <w:r w:rsidR="005719D7" w:rsidRPr="00A038BF">
        <w:rPr>
          <w:rFonts w:asciiTheme="majorBidi" w:hAnsiTheme="majorBidi" w:cstheme="majorBidi"/>
        </w:rPr>
        <w:t>s</w:t>
      </w:r>
      <w:r w:rsidR="00E31061" w:rsidRPr="00A038BF">
        <w:rPr>
          <w:rFonts w:asciiTheme="majorBidi" w:hAnsiTheme="majorBidi" w:cstheme="majorBidi"/>
        </w:rPr>
        <w:t xml:space="preserve"> sustainability. </w:t>
      </w:r>
      <w:r w:rsidRPr="00A038BF">
        <w:rPr>
          <w:rFonts w:asciiTheme="majorBidi" w:hAnsiTheme="majorBidi" w:cstheme="majorBidi"/>
        </w:rPr>
        <w:t xml:space="preserve">The results are shown in Table </w:t>
      </w:r>
      <w:r w:rsidR="00031358" w:rsidRPr="00A038BF">
        <w:rPr>
          <w:rFonts w:asciiTheme="majorBidi" w:hAnsiTheme="majorBidi" w:cstheme="majorBidi"/>
        </w:rPr>
        <w:t>3</w:t>
      </w:r>
      <w:r w:rsidRPr="00A038BF">
        <w:rPr>
          <w:rFonts w:asciiTheme="majorBidi" w:hAnsiTheme="majorBidi" w:cstheme="majorBidi"/>
        </w:rPr>
        <w:t xml:space="preserve">. </w:t>
      </w:r>
      <w:r w:rsidR="005719D7" w:rsidRPr="00A038BF">
        <w:rPr>
          <w:rFonts w:asciiTheme="majorBidi" w:hAnsiTheme="majorBidi" w:cstheme="majorBidi"/>
        </w:rPr>
        <w:t xml:space="preserve">A </w:t>
      </w:r>
      <w:r w:rsidRPr="00A038BF">
        <w:rPr>
          <w:rFonts w:asciiTheme="majorBidi" w:hAnsiTheme="majorBidi" w:cstheme="majorBidi"/>
        </w:rPr>
        <w:t xml:space="preserve">computed CRa of less than 0.1 indicates that the comparison matrix is consistent. </w:t>
      </w:r>
      <w:r w:rsidR="00A54D6C" w:rsidRPr="00A038BF">
        <w:rPr>
          <w:rFonts w:asciiTheme="majorBidi" w:hAnsiTheme="majorBidi" w:cstheme="majorBidi"/>
        </w:rPr>
        <w:t xml:space="preserve">The first group of </w:t>
      </w:r>
      <w:r w:rsidR="00FE4ACE" w:rsidRPr="00A038BF">
        <w:rPr>
          <w:rFonts w:asciiTheme="majorBidi" w:hAnsiTheme="majorBidi" w:cstheme="majorBidi"/>
        </w:rPr>
        <w:t>respondent</w:t>
      </w:r>
      <w:r w:rsidR="00A763E8" w:rsidRPr="00A038BF">
        <w:rPr>
          <w:rFonts w:asciiTheme="majorBidi" w:hAnsiTheme="majorBidi" w:cstheme="majorBidi"/>
        </w:rPr>
        <w:t>s</w:t>
      </w:r>
      <w:r w:rsidR="00A54D6C" w:rsidRPr="00A038BF">
        <w:rPr>
          <w:rFonts w:asciiTheme="majorBidi" w:hAnsiTheme="majorBidi" w:cstheme="majorBidi"/>
        </w:rPr>
        <w:t xml:space="preserve"> was building designer</w:t>
      </w:r>
      <w:r w:rsidR="00A763E8" w:rsidRPr="00A038BF">
        <w:rPr>
          <w:rFonts w:asciiTheme="majorBidi" w:hAnsiTheme="majorBidi" w:cstheme="majorBidi"/>
        </w:rPr>
        <w:t>s</w:t>
      </w:r>
      <w:r w:rsidR="00A54D6C" w:rsidRPr="00A038BF">
        <w:rPr>
          <w:rFonts w:asciiTheme="majorBidi" w:hAnsiTheme="majorBidi" w:cstheme="majorBidi"/>
        </w:rPr>
        <w:t xml:space="preserve"> who have experience with </w:t>
      </w:r>
      <w:r w:rsidR="00FE4ACE" w:rsidRPr="00A038BF">
        <w:rPr>
          <w:rFonts w:asciiTheme="majorBidi" w:hAnsiTheme="majorBidi" w:cstheme="majorBidi"/>
        </w:rPr>
        <w:t>engineer</w:t>
      </w:r>
      <w:r w:rsidR="005719D7" w:rsidRPr="00A038BF">
        <w:rPr>
          <w:rFonts w:asciiTheme="majorBidi" w:hAnsiTheme="majorBidi" w:cstheme="majorBidi"/>
        </w:rPr>
        <w:t>ed</w:t>
      </w:r>
      <w:r w:rsidR="00A54D6C" w:rsidRPr="00A038BF">
        <w:rPr>
          <w:rFonts w:asciiTheme="majorBidi" w:hAnsiTheme="majorBidi" w:cstheme="majorBidi"/>
        </w:rPr>
        <w:t xml:space="preserve"> wood. </w:t>
      </w:r>
      <w:r w:rsidR="005719D7" w:rsidRPr="00A038BF">
        <w:rPr>
          <w:rFonts w:asciiTheme="majorBidi" w:hAnsiTheme="majorBidi" w:cstheme="majorBidi"/>
        </w:rPr>
        <w:t xml:space="preserve">Their </w:t>
      </w:r>
      <w:r w:rsidR="00A54D6C" w:rsidRPr="00A038BF">
        <w:rPr>
          <w:rFonts w:asciiTheme="majorBidi" w:hAnsiTheme="majorBidi" w:cstheme="majorBidi"/>
        </w:rPr>
        <w:t>first pr</w:t>
      </w:r>
      <w:r w:rsidR="005719D7" w:rsidRPr="00A038BF">
        <w:rPr>
          <w:rFonts w:asciiTheme="majorBidi" w:hAnsiTheme="majorBidi" w:cstheme="majorBidi"/>
        </w:rPr>
        <w:t>ior</w:t>
      </w:r>
      <w:r w:rsidR="00A54D6C" w:rsidRPr="00A038BF">
        <w:rPr>
          <w:rFonts w:asciiTheme="majorBidi" w:hAnsiTheme="majorBidi" w:cstheme="majorBidi"/>
        </w:rPr>
        <w:t xml:space="preserve">ity </w:t>
      </w:r>
      <w:r w:rsidR="00FE4ACE" w:rsidRPr="00A038BF">
        <w:rPr>
          <w:rFonts w:asciiTheme="majorBidi" w:hAnsiTheme="majorBidi" w:cstheme="majorBidi"/>
        </w:rPr>
        <w:t>is GWP</w:t>
      </w:r>
      <w:r w:rsidR="005719D7" w:rsidRPr="00A038BF">
        <w:rPr>
          <w:rFonts w:asciiTheme="majorBidi" w:hAnsiTheme="majorBidi" w:cstheme="majorBidi"/>
        </w:rPr>
        <w:t xml:space="preserve">, being </w:t>
      </w:r>
      <w:r w:rsidR="00143E98" w:rsidRPr="00A038BF">
        <w:rPr>
          <w:rFonts w:asciiTheme="majorBidi" w:hAnsiTheme="majorBidi" w:cstheme="majorBidi"/>
        </w:rPr>
        <w:t>weight</w:t>
      </w:r>
      <w:r w:rsidR="005719D7" w:rsidRPr="00A038BF">
        <w:rPr>
          <w:rFonts w:asciiTheme="majorBidi" w:hAnsiTheme="majorBidi" w:cstheme="majorBidi"/>
        </w:rPr>
        <w:t>ed</w:t>
      </w:r>
      <w:r w:rsidR="00143E98" w:rsidRPr="00A038BF">
        <w:rPr>
          <w:rFonts w:asciiTheme="majorBidi" w:hAnsiTheme="majorBidi" w:cstheme="majorBidi"/>
        </w:rPr>
        <w:t xml:space="preserve"> twice </w:t>
      </w:r>
      <w:r w:rsidR="005719D7" w:rsidRPr="00A038BF">
        <w:rPr>
          <w:rFonts w:asciiTheme="majorBidi" w:hAnsiTheme="majorBidi" w:cstheme="majorBidi"/>
        </w:rPr>
        <w:t xml:space="preserve">as much as </w:t>
      </w:r>
      <w:r w:rsidR="00143E98" w:rsidRPr="00A038BF">
        <w:rPr>
          <w:rFonts w:asciiTheme="majorBidi" w:hAnsiTheme="majorBidi" w:cstheme="majorBidi"/>
        </w:rPr>
        <w:t xml:space="preserve">cost. Designer believed </w:t>
      </w:r>
      <w:r w:rsidR="006C68D8" w:rsidRPr="00A038BF">
        <w:rPr>
          <w:rFonts w:asciiTheme="majorBidi" w:hAnsiTheme="majorBidi" w:cstheme="majorBidi"/>
        </w:rPr>
        <w:t xml:space="preserve">strongly </w:t>
      </w:r>
      <w:r w:rsidR="00143E98" w:rsidRPr="00A038BF">
        <w:rPr>
          <w:rFonts w:asciiTheme="majorBidi" w:hAnsiTheme="majorBidi" w:cstheme="majorBidi"/>
        </w:rPr>
        <w:t>that CO</w:t>
      </w:r>
      <w:r w:rsidR="00143E98" w:rsidRPr="00A038BF">
        <w:rPr>
          <w:rFonts w:asciiTheme="majorBidi" w:hAnsiTheme="majorBidi" w:cstheme="majorBidi"/>
          <w:vertAlign w:val="subscript"/>
        </w:rPr>
        <w:t>2</w:t>
      </w:r>
      <w:r w:rsidR="00143E98" w:rsidRPr="00A038BF">
        <w:rPr>
          <w:rFonts w:asciiTheme="majorBidi" w:hAnsiTheme="majorBidi" w:cstheme="majorBidi"/>
        </w:rPr>
        <w:t xml:space="preserve"> emission</w:t>
      </w:r>
      <w:r w:rsidR="006C68D8" w:rsidRPr="00A038BF">
        <w:rPr>
          <w:rFonts w:asciiTheme="majorBidi" w:hAnsiTheme="majorBidi" w:cstheme="majorBidi"/>
        </w:rPr>
        <w:t>s</w:t>
      </w:r>
      <w:r w:rsidR="00143E98" w:rsidRPr="00A038BF">
        <w:rPr>
          <w:rFonts w:asciiTheme="majorBidi" w:hAnsiTheme="majorBidi" w:cstheme="majorBidi"/>
        </w:rPr>
        <w:t xml:space="preserve"> should </w:t>
      </w:r>
      <w:r w:rsidR="006C68D8" w:rsidRPr="00A038BF">
        <w:rPr>
          <w:rFonts w:asciiTheme="majorBidi" w:hAnsiTheme="majorBidi" w:cstheme="majorBidi"/>
        </w:rPr>
        <w:t xml:space="preserve">be </w:t>
      </w:r>
      <w:r w:rsidR="00143E98" w:rsidRPr="00A038BF">
        <w:rPr>
          <w:rFonts w:asciiTheme="majorBidi" w:hAnsiTheme="majorBidi" w:cstheme="majorBidi"/>
        </w:rPr>
        <w:t>priorit</w:t>
      </w:r>
      <w:r w:rsidR="006C68D8" w:rsidRPr="00A038BF">
        <w:rPr>
          <w:rFonts w:asciiTheme="majorBidi" w:hAnsiTheme="majorBidi" w:cstheme="majorBidi"/>
        </w:rPr>
        <w:t>ised</w:t>
      </w:r>
      <w:r w:rsidR="00143E98" w:rsidRPr="00A038BF">
        <w:rPr>
          <w:rFonts w:asciiTheme="majorBidi" w:hAnsiTheme="majorBidi" w:cstheme="majorBidi"/>
        </w:rPr>
        <w:t xml:space="preserve"> </w:t>
      </w:r>
      <w:r w:rsidR="006C68D8" w:rsidRPr="00A038BF">
        <w:rPr>
          <w:rFonts w:asciiTheme="majorBidi" w:hAnsiTheme="majorBidi" w:cstheme="majorBidi"/>
        </w:rPr>
        <w:t xml:space="preserve">when </w:t>
      </w:r>
      <w:r w:rsidR="00143E98" w:rsidRPr="00A038BF">
        <w:rPr>
          <w:rFonts w:asciiTheme="majorBidi" w:hAnsiTheme="majorBidi" w:cstheme="majorBidi"/>
        </w:rPr>
        <w:t>choosing building materials</w:t>
      </w:r>
      <w:r w:rsidR="006C68D8" w:rsidRPr="00A038BF">
        <w:rPr>
          <w:rFonts w:asciiTheme="majorBidi" w:hAnsiTheme="majorBidi" w:cstheme="majorBidi"/>
        </w:rPr>
        <w:t>. They considered</w:t>
      </w:r>
      <w:r w:rsidR="00143E98" w:rsidRPr="00A038BF">
        <w:rPr>
          <w:rFonts w:asciiTheme="majorBidi" w:hAnsiTheme="majorBidi" w:cstheme="majorBidi"/>
        </w:rPr>
        <w:t xml:space="preserve"> other environmental impact</w:t>
      </w:r>
      <w:r w:rsidR="00A763E8" w:rsidRPr="00A038BF">
        <w:rPr>
          <w:rFonts w:asciiTheme="majorBidi" w:hAnsiTheme="majorBidi" w:cstheme="majorBidi"/>
        </w:rPr>
        <w:t>s</w:t>
      </w:r>
      <w:r w:rsidR="00143E98" w:rsidRPr="00A038BF">
        <w:rPr>
          <w:rFonts w:asciiTheme="majorBidi" w:hAnsiTheme="majorBidi" w:cstheme="majorBidi"/>
        </w:rPr>
        <w:t xml:space="preserve"> as </w:t>
      </w:r>
      <w:r w:rsidR="006C68D8" w:rsidRPr="00A038BF">
        <w:rPr>
          <w:rFonts w:asciiTheme="majorBidi" w:hAnsiTheme="majorBidi" w:cstheme="majorBidi"/>
        </w:rPr>
        <w:t>secondary</w:t>
      </w:r>
      <w:r w:rsidR="00143E98" w:rsidRPr="00A038BF">
        <w:rPr>
          <w:rFonts w:asciiTheme="majorBidi" w:hAnsiTheme="majorBidi" w:cstheme="majorBidi"/>
        </w:rPr>
        <w:t xml:space="preserve">. </w:t>
      </w:r>
      <w:r w:rsidR="00C078D5" w:rsidRPr="00A038BF">
        <w:rPr>
          <w:rFonts w:asciiTheme="majorBidi" w:hAnsiTheme="majorBidi" w:cstheme="majorBidi"/>
        </w:rPr>
        <w:t>M</w:t>
      </w:r>
      <w:r w:rsidR="000B244E" w:rsidRPr="00A038BF">
        <w:rPr>
          <w:rFonts w:asciiTheme="majorBidi" w:hAnsiTheme="majorBidi" w:cstheme="majorBidi"/>
        </w:rPr>
        <w:t xml:space="preserve">oreover, </w:t>
      </w:r>
      <w:r w:rsidR="00A763E8" w:rsidRPr="00A038BF">
        <w:rPr>
          <w:rFonts w:asciiTheme="majorBidi" w:hAnsiTheme="majorBidi" w:cstheme="majorBidi"/>
        </w:rPr>
        <w:t>the</w:t>
      </w:r>
      <w:r w:rsidR="000B244E" w:rsidRPr="00A038BF">
        <w:rPr>
          <w:rFonts w:asciiTheme="majorBidi" w:hAnsiTheme="majorBidi" w:cstheme="majorBidi"/>
        </w:rPr>
        <w:t xml:space="preserve">y </w:t>
      </w:r>
      <w:r w:rsidR="00C078D5" w:rsidRPr="00A038BF">
        <w:rPr>
          <w:rFonts w:asciiTheme="majorBidi" w:hAnsiTheme="majorBidi" w:cstheme="majorBidi"/>
        </w:rPr>
        <w:t xml:space="preserve">believed </w:t>
      </w:r>
      <w:r w:rsidR="000B244E" w:rsidRPr="00A038BF">
        <w:rPr>
          <w:rFonts w:asciiTheme="majorBidi" w:hAnsiTheme="majorBidi" w:cstheme="majorBidi"/>
        </w:rPr>
        <w:t xml:space="preserve">that </w:t>
      </w:r>
      <w:r w:rsidR="00C078D5" w:rsidRPr="00A038BF">
        <w:rPr>
          <w:rFonts w:asciiTheme="majorBidi" w:hAnsiTheme="majorBidi" w:cstheme="majorBidi"/>
        </w:rPr>
        <w:t xml:space="preserve">embodied energy should be </w:t>
      </w:r>
      <w:r w:rsidR="000B244E" w:rsidRPr="00A038BF">
        <w:rPr>
          <w:rFonts w:asciiTheme="majorBidi" w:hAnsiTheme="majorBidi" w:cstheme="majorBidi"/>
        </w:rPr>
        <w:t xml:space="preserve">the </w:t>
      </w:r>
      <w:r w:rsidR="00C078D5" w:rsidRPr="00A038BF">
        <w:rPr>
          <w:rFonts w:asciiTheme="majorBidi" w:hAnsiTheme="majorBidi" w:cstheme="majorBidi"/>
        </w:rPr>
        <w:t>second priority</w:t>
      </w:r>
      <w:r w:rsidR="00A763E8" w:rsidRPr="00A038BF">
        <w:rPr>
          <w:rFonts w:asciiTheme="majorBidi" w:hAnsiTheme="majorBidi" w:cstheme="majorBidi"/>
        </w:rPr>
        <w:t>,</w:t>
      </w:r>
      <w:r w:rsidR="00C078D5" w:rsidRPr="00A038BF">
        <w:rPr>
          <w:rFonts w:asciiTheme="majorBidi" w:hAnsiTheme="majorBidi" w:cstheme="majorBidi"/>
        </w:rPr>
        <w:t xml:space="preserve"> followed by FD and cost. </w:t>
      </w:r>
      <w:r w:rsidR="00143E98" w:rsidRPr="00A038BF">
        <w:rPr>
          <w:rFonts w:asciiTheme="majorBidi" w:hAnsiTheme="majorBidi" w:cstheme="majorBidi"/>
        </w:rPr>
        <w:t xml:space="preserve">Unlike </w:t>
      </w:r>
      <w:r w:rsidR="00A763E8" w:rsidRPr="00A038BF">
        <w:rPr>
          <w:rFonts w:asciiTheme="majorBidi" w:hAnsiTheme="majorBidi" w:cstheme="majorBidi"/>
        </w:rPr>
        <w:t xml:space="preserve">the </w:t>
      </w:r>
      <w:r w:rsidR="000B244E" w:rsidRPr="00A038BF">
        <w:rPr>
          <w:rFonts w:asciiTheme="majorBidi" w:hAnsiTheme="majorBidi" w:cstheme="majorBidi"/>
        </w:rPr>
        <w:t>designers</w:t>
      </w:r>
      <w:r w:rsidR="00143E98" w:rsidRPr="00A038BF">
        <w:rPr>
          <w:rFonts w:asciiTheme="majorBidi" w:hAnsiTheme="majorBidi" w:cstheme="majorBidi"/>
        </w:rPr>
        <w:t>, the industr</w:t>
      </w:r>
      <w:r w:rsidR="00A763E8" w:rsidRPr="00A038BF">
        <w:rPr>
          <w:rFonts w:asciiTheme="majorBidi" w:hAnsiTheme="majorBidi" w:cstheme="majorBidi"/>
        </w:rPr>
        <w:t>ial</w:t>
      </w:r>
      <w:r w:rsidR="00143E98" w:rsidRPr="00A038BF">
        <w:rPr>
          <w:rFonts w:asciiTheme="majorBidi" w:hAnsiTheme="majorBidi" w:cstheme="majorBidi"/>
        </w:rPr>
        <w:t xml:space="preserve"> engineer</w:t>
      </w:r>
      <w:r w:rsidR="000B244E" w:rsidRPr="00A038BF">
        <w:rPr>
          <w:rFonts w:asciiTheme="majorBidi" w:hAnsiTheme="majorBidi" w:cstheme="majorBidi"/>
        </w:rPr>
        <w:t>s</w:t>
      </w:r>
      <w:r w:rsidR="00143E98" w:rsidRPr="00A038BF">
        <w:rPr>
          <w:rFonts w:asciiTheme="majorBidi" w:hAnsiTheme="majorBidi" w:cstheme="majorBidi"/>
        </w:rPr>
        <w:t xml:space="preserve"> and construction manager</w:t>
      </w:r>
      <w:r w:rsidR="000B244E" w:rsidRPr="00A038BF">
        <w:rPr>
          <w:rFonts w:asciiTheme="majorBidi" w:hAnsiTheme="majorBidi" w:cstheme="majorBidi"/>
        </w:rPr>
        <w:t>s</w:t>
      </w:r>
      <w:r w:rsidR="00143E98" w:rsidRPr="00A038BF">
        <w:rPr>
          <w:rFonts w:asciiTheme="majorBidi" w:hAnsiTheme="majorBidi" w:cstheme="majorBidi"/>
        </w:rPr>
        <w:t xml:space="preserve"> believed </w:t>
      </w:r>
      <w:r w:rsidR="000B244E" w:rsidRPr="00A038BF">
        <w:rPr>
          <w:rFonts w:asciiTheme="majorBidi" w:hAnsiTheme="majorBidi" w:cstheme="majorBidi"/>
        </w:rPr>
        <w:t xml:space="preserve">strongly </w:t>
      </w:r>
      <w:r w:rsidR="00143E98" w:rsidRPr="00A038BF">
        <w:rPr>
          <w:rFonts w:asciiTheme="majorBidi" w:hAnsiTheme="majorBidi" w:cstheme="majorBidi"/>
        </w:rPr>
        <w:t>that cost should be considered the highest priority</w:t>
      </w:r>
      <w:r w:rsidR="00DE7802" w:rsidRPr="00A038BF">
        <w:rPr>
          <w:rFonts w:asciiTheme="majorBidi" w:hAnsiTheme="majorBidi" w:cstheme="majorBidi"/>
        </w:rPr>
        <w:t xml:space="preserve"> </w:t>
      </w:r>
      <w:r w:rsidR="00C078D5" w:rsidRPr="00A038BF">
        <w:rPr>
          <w:rFonts w:asciiTheme="majorBidi" w:hAnsiTheme="majorBidi" w:cstheme="majorBidi"/>
        </w:rPr>
        <w:t>when choosing engineered wood</w:t>
      </w:r>
      <w:r w:rsidR="00DE7802" w:rsidRPr="00A038BF">
        <w:rPr>
          <w:rFonts w:asciiTheme="majorBidi" w:hAnsiTheme="majorBidi" w:cstheme="majorBidi"/>
        </w:rPr>
        <w:t>. The industrial engineers</w:t>
      </w:r>
      <w:r w:rsidR="00C078D5" w:rsidRPr="00A038BF">
        <w:rPr>
          <w:rFonts w:asciiTheme="majorBidi" w:hAnsiTheme="majorBidi" w:cstheme="majorBidi"/>
        </w:rPr>
        <w:t xml:space="preserve"> </w:t>
      </w:r>
      <w:r w:rsidR="00DE7802" w:rsidRPr="00A038BF">
        <w:rPr>
          <w:rFonts w:asciiTheme="majorBidi" w:hAnsiTheme="majorBidi" w:cstheme="majorBidi"/>
        </w:rPr>
        <w:t xml:space="preserve">considered </w:t>
      </w:r>
      <w:r w:rsidR="00C078D5" w:rsidRPr="00A038BF">
        <w:rPr>
          <w:rFonts w:asciiTheme="majorBidi" w:hAnsiTheme="majorBidi" w:cstheme="majorBidi"/>
        </w:rPr>
        <w:t xml:space="preserve">embodied energy and GWP </w:t>
      </w:r>
      <w:r w:rsidR="00DE7802" w:rsidRPr="00A038BF">
        <w:rPr>
          <w:rFonts w:asciiTheme="majorBidi" w:hAnsiTheme="majorBidi" w:cstheme="majorBidi"/>
        </w:rPr>
        <w:t>as</w:t>
      </w:r>
      <w:r w:rsidR="00C078D5" w:rsidRPr="00A038BF">
        <w:rPr>
          <w:rFonts w:asciiTheme="majorBidi" w:hAnsiTheme="majorBidi" w:cstheme="majorBidi"/>
        </w:rPr>
        <w:t xml:space="preserve"> second and third, respectively.</w:t>
      </w:r>
      <w:r w:rsidR="001303CD" w:rsidRPr="00A038BF">
        <w:rPr>
          <w:rFonts w:asciiTheme="majorBidi" w:hAnsiTheme="majorBidi" w:cstheme="majorBidi"/>
        </w:rPr>
        <w:t xml:space="preserve"> </w:t>
      </w:r>
      <w:r w:rsidR="00DE7802" w:rsidRPr="00A038BF">
        <w:rPr>
          <w:rFonts w:asciiTheme="majorBidi" w:hAnsiTheme="majorBidi" w:cstheme="majorBidi"/>
        </w:rPr>
        <w:t>However</w:t>
      </w:r>
      <w:r w:rsidR="00F57C80" w:rsidRPr="00A038BF">
        <w:rPr>
          <w:rFonts w:asciiTheme="majorBidi" w:hAnsiTheme="majorBidi" w:cstheme="majorBidi"/>
        </w:rPr>
        <w:t xml:space="preserve">, </w:t>
      </w:r>
      <w:r w:rsidR="00DE7802" w:rsidRPr="00A038BF">
        <w:rPr>
          <w:rFonts w:asciiTheme="majorBidi" w:hAnsiTheme="majorBidi" w:cstheme="majorBidi"/>
        </w:rPr>
        <w:t xml:space="preserve">the </w:t>
      </w:r>
      <w:r w:rsidR="00F57C80" w:rsidRPr="00A038BF">
        <w:rPr>
          <w:rFonts w:asciiTheme="majorBidi" w:hAnsiTheme="majorBidi" w:cstheme="majorBidi"/>
        </w:rPr>
        <w:t>construction manage</w:t>
      </w:r>
      <w:r w:rsidR="00DE7802" w:rsidRPr="00A038BF">
        <w:rPr>
          <w:rFonts w:asciiTheme="majorBidi" w:hAnsiTheme="majorBidi" w:cstheme="majorBidi"/>
        </w:rPr>
        <w:t>r</w:t>
      </w:r>
      <w:r w:rsidR="00A763E8" w:rsidRPr="00A038BF">
        <w:rPr>
          <w:rFonts w:asciiTheme="majorBidi" w:hAnsiTheme="majorBidi" w:cstheme="majorBidi"/>
        </w:rPr>
        <w:t>s</w:t>
      </w:r>
      <w:r w:rsidR="00DE7802" w:rsidRPr="00A038BF">
        <w:rPr>
          <w:rFonts w:asciiTheme="majorBidi" w:hAnsiTheme="majorBidi" w:cstheme="majorBidi"/>
        </w:rPr>
        <w:t>’</w:t>
      </w:r>
      <w:r w:rsidR="00F57C80" w:rsidRPr="00A038BF">
        <w:rPr>
          <w:rFonts w:asciiTheme="majorBidi" w:hAnsiTheme="majorBidi" w:cstheme="majorBidi"/>
        </w:rPr>
        <w:t xml:space="preserve"> second</w:t>
      </w:r>
      <w:r w:rsidR="001303CD" w:rsidRPr="00A038BF">
        <w:rPr>
          <w:rFonts w:asciiTheme="majorBidi" w:hAnsiTheme="majorBidi" w:cstheme="majorBidi"/>
        </w:rPr>
        <w:t xml:space="preserve"> priority </w:t>
      </w:r>
      <w:r w:rsidR="00DE7802" w:rsidRPr="00A038BF">
        <w:rPr>
          <w:rFonts w:asciiTheme="majorBidi" w:hAnsiTheme="majorBidi" w:cstheme="majorBidi"/>
        </w:rPr>
        <w:t xml:space="preserve">was </w:t>
      </w:r>
      <w:r w:rsidR="001303CD" w:rsidRPr="00A038BF">
        <w:rPr>
          <w:rFonts w:asciiTheme="majorBidi" w:hAnsiTheme="majorBidi" w:cstheme="majorBidi"/>
        </w:rPr>
        <w:t>GWP</w:t>
      </w:r>
      <w:r w:rsidR="00A763E8" w:rsidRPr="00A038BF">
        <w:rPr>
          <w:rFonts w:asciiTheme="majorBidi" w:hAnsiTheme="majorBidi" w:cstheme="majorBidi"/>
        </w:rPr>
        <w:t>,</w:t>
      </w:r>
      <w:r w:rsidR="001303CD" w:rsidRPr="00A038BF">
        <w:rPr>
          <w:rFonts w:asciiTheme="majorBidi" w:hAnsiTheme="majorBidi" w:cstheme="majorBidi"/>
        </w:rPr>
        <w:t xml:space="preserve"> followed by </w:t>
      </w:r>
      <w:r w:rsidR="003C5589" w:rsidRPr="00A038BF">
        <w:rPr>
          <w:rFonts w:asciiTheme="majorBidi" w:hAnsiTheme="majorBidi" w:cstheme="majorBidi"/>
        </w:rPr>
        <w:t>HTP</w:t>
      </w:r>
      <w:r w:rsidR="001303CD" w:rsidRPr="00A038BF">
        <w:rPr>
          <w:rFonts w:asciiTheme="majorBidi" w:hAnsiTheme="majorBidi" w:cstheme="majorBidi"/>
        </w:rPr>
        <w:t>, AP</w:t>
      </w:r>
      <w:r w:rsidR="00A763E8" w:rsidRPr="00A038BF">
        <w:rPr>
          <w:rFonts w:asciiTheme="majorBidi" w:hAnsiTheme="majorBidi" w:cstheme="majorBidi"/>
        </w:rPr>
        <w:t>,</w:t>
      </w:r>
      <w:r w:rsidR="001303CD" w:rsidRPr="00A038BF">
        <w:rPr>
          <w:rFonts w:asciiTheme="majorBidi" w:hAnsiTheme="majorBidi" w:cstheme="majorBidi"/>
        </w:rPr>
        <w:t xml:space="preserve"> </w:t>
      </w:r>
      <w:r w:rsidR="00DE7802" w:rsidRPr="00A038BF">
        <w:rPr>
          <w:rFonts w:asciiTheme="majorBidi" w:hAnsiTheme="majorBidi" w:cstheme="majorBidi"/>
        </w:rPr>
        <w:t xml:space="preserve">as </w:t>
      </w:r>
      <w:r w:rsidR="001303CD" w:rsidRPr="00A038BF">
        <w:rPr>
          <w:rFonts w:asciiTheme="majorBidi" w:hAnsiTheme="majorBidi" w:cstheme="majorBidi"/>
        </w:rPr>
        <w:t xml:space="preserve">third and fourth choices. </w:t>
      </w:r>
      <w:r w:rsidR="008D615B" w:rsidRPr="00A038BF">
        <w:rPr>
          <w:rFonts w:asciiTheme="majorBidi" w:hAnsiTheme="majorBidi" w:cstheme="majorBidi"/>
        </w:rPr>
        <w:t>Finally, the accumulation and average of these three-group</w:t>
      </w:r>
      <w:r w:rsidR="00DE7802" w:rsidRPr="00A038BF">
        <w:rPr>
          <w:rFonts w:asciiTheme="majorBidi" w:hAnsiTheme="majorBidi" w:cstheme="majorBidi"/>
        </w:rPr>
        <w:t>s of</w:t>
      </w:r>
      <w:r w:rsidR="008D615B" w:rsidRPr="00A038BF">
        <w:rPr>
          <w:rFonts w:asciiTheme="majorBidi" w:hAnsiTheme="majorBidi" w:cstheme="majorBidi"/>
        </w:rPr>
        <w:t xml:space="preserve"> respondent</w:t>
      </w:r>
      <w:r w:rsidR="00A763E8" w:rsidRPr="00A038BF">
        <w:rPr>
          <w:rFonts w:asciiTheme="majorBidi" w:hAnsiTheme="majorBidi" w:cstheme="majorBidi"/>
        </w:rPr>
        <w:t>s</w:t>
      </w:r>
      <w:r w:rsidR="008D615B" w:rsidRPr="00A038BF">
        <w:rPr>
          <w:rFonts w:asciiTheme="majorBidi" w:hAnsiTheme="majorBidi" w:cstheme="majorBidi"/>
        </w:rPr>
        <w:t xml:space="preserve"> revealed </w:t>
      </w:r>
      <w:r w:rsidR="00DE7802" w:rsidRPr="00A038BF">
        <w:rPr>
          <w:rFonts w:asciiTheme="majorBidi" w:hAnsiTheme="majorBidi" w:cstheme="majorBidi"/>
        </w:rPr>
        <w:t xml:space="preserve">that </w:t>
      </w:r>
      <w:r w:rsidR="008D615B" w:rsidRPr="00A038BF">
        <w:rPr>
          <w:rFonts w:asciiTheme="majorBidi" w:hAnsiTheme="majorBidi" w:cstheme="majorBidi"/>
        </w:rPr>
        <w:t xml:space="preserve">cost </w:t>
      </w:r>
      <w:r w:rsidR="00DE7802" w:rsidRPr="00A038BF">
        <w:rPr>
          <w:rFonts w:asciiTheme="majorBidi" w:hAnsiTheme="majorBidi" w:cstheme="majorBidi"/>
        </w:rPr>
        <w:t xml:space="preserve">was </w:t>
      </w:r>
      <w:r w:rsidR="008D615B" w:rsidRPr="00A038BF">
        <w:rPr>
          <w:rFonts w:asciiTheme="majorBidi" w:hAnsiTheme="majorBidi" w:cstheme="majorBidi"/>
        </w:rPr>
        <w:t xml:space="preserve">considered most important followed by GWP and embodied energy. </w:t>
      </w:r>
    </w:p>
    <w:p w14:paraId="51B27EFE" w14:textId="25476135" w:rsidR="0022082F" w:rsidRPr="00A038BF" w:rsidRDefault="0022082F" w:rsidP="000964D5">
      <w:pPr>
        <w:pStyle w:val="ListParagraph"/>
        <w:spacing w:after="0"/>
        <w:rPr>
          <w:rFonts w:asciiTheme="majorBidi" w:eastAsia="Calibri" w:hAnsiTheme="majorBidi" w:cstheme="majorBidi"/>
          <w:bCs/>
          <w:sz w:val="20"/>
          <w:szCs w:val="20"/>
          <w:shd w:val="clear" w:color="auto" w:fill="FFFFFF"/>
        </w:rPr>
      </w:pPr>
      <w:r w:rsidRPr="00A038BF">
        <w:rPr>
          <w:rFonts w:asciiTheme="majorBidi" w:hAnsiTheme="majorBidi" w:cstheme="majorBidi"/>
          <w:sz w:val="20"/>
          <w:szCs w:val="20"/>
        </w:rPr>
        <w:t xml:space="preserve">Table </w:t>
      </w:r>
      <w:r w:rsidR="00031358" w:rsidRPr="00A038BF">
        <w:rPr>
          <w:rFonts w:asciiTheme="majorBidi" w:hAnsiTheme="majorBidi" w:cstheme="majorBidi"/>
          <w:sz w:val="20"/>
          <w:szCs w:val="20"/>
        </w:rPr>
        <w:t>3</w:t>
      </w:r>
      <w:r w:rsidRPr="00A038BF">
        <w:rPr>
          <w:rFonts w:asciiTheme="majorBidi" w:hAnsiTheme="majorBidi" w:cstheme="majorBidi"/>
          <w:sz w:val="20"/>
          <w:szCs w:val="20"/>
        </w:rPr>
        <w:t xml:space="preserve">. The results of </w:t>
      </w:r>
      <w:r w:rsidR="00A763E8" w:rsidRPr="00A038BF">
        <w:rPr>
          <w:rFonts w:asciiTheme="majorBidi" w:hAnsiTheme="majorBidi" w:cstheme="majorBidi"/>
          <w:sz w:val="20"/>
          <w:szCs w:val="20"/>
        </w:rPr>
        <w:t xml:space="preserve">the </w:t>
      </w:r>
      <w:r w:rsidRPr="00A038BF">
        <w:rPr>
          <w:rFonts w:asciiTheme="majorBidi" w:hAnsiTheme="majorBidi" w:cstheme="majorBidi"/>
          <w:sz w:val="20"/>
          <w:szCs w:val="20"/>
        </w:rPr>
        <w:t>generalized survey</w:t>
      </w:r>
      <w:r w:rsidR="005B3001" w:rsidRPr="00A038BF">
        <w:rPr>
          <w:rFonts w:asciiTheme="majorBidi" w:hAnsiTheme="majorBidi" w:cstheme="majorBidi"/>
          <w:sz w:val="18"/>
          <w:szCs w:val="18"/>
        </w:rPr>
        <w:t xml:space="preserve"> (Weighting=W; Priority=P)</w:t>
      </w:r>
    </w:p>
    <w:tbl>
      <w:tblPr>
        <w:tblW w:w="7555" w:type="dxa"/>
        <w:jc w:val="center"/>
        <w:tblLook w:val="04A0" w:firstRow="1" w:lastRow="0" w:firstColumn="1" w:lastColumn="0" w:noHBand="0" w:noVBand="1"/>
      </w:tblPr>
      <w:tblGrid>
        <w:gridCol w:w="1379"/>
        <w:gridCol w:w="877"/>
        <w:gridCol w:w="555"/>
        <w:gridCol w:w="972"/>
        <w:gridCol w:w="615"/>
        <w:gridCol w:w="1112"/>
        <w:gridCol w:w="705"/>
        <w:gridCol w:w="710"/>
        <w:gridCol w:w="630"/>
      </w:tblGrid>
      <w:tr w:rsidR="00A038BF" w:rsidRPr="00A038BF" w14:paraId="38DACE5A" w14:textId="77777777" w:rsidTr="005B3001">
        <w:trPr>
          <w:trHeight w:val="2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47BEBBBA" w14:textId="77777777" w:rsidR="00E123EB" w:rsidRPr="00A038BF" w:rsidRDefault="00D7579B" w:rsidP="00E50567">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 xml:space="preserve">Criteria </w:t>
            </w:r>
            <w:r w:rsidR="00E123EB" w:rsidRPr="00A038BF">
              <w:rPr>
                <w:rFonts w:asciiTheme="majorBidi" w:hAnsiTheme="majorBidi" w:cstheme="majorBidi"/>
                <w:b/>
                <w:bCs/>
                <w:sz w:val="16"/>
                <w:szCs w:val="16"/>
              </w:rPr>
              <w:t> </w:t>
            </w:r>
          </w:p>
        </w:tc>
        <w:tc>
          <w:tcPr>
            <w:tcW w:w="0" w:type="auto"/>
            <w:gridSpan w:val="2"/>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7B34A628" w14:textId="77777777" w:rsidR="00E123EB" w:rsidRPr="00A038BF" w:rsidRDefault="00E123EB" w:rsidP="00E50567">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Designer</w:t>
            </w:r>
          </w:p>
        </w:tc>
        <w:tc>
          <w:tcPr>
            <w:tcW w:w="0" w:type="auto"/>
            <w:gridSpan w:val="2"/>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2DD759B3" w14:textId="77777777" w:rsidR="00E123EB" w:rsidRPr="00A038BF" w:rsidRDefault="00344B1D" w:rsidP="00E50567">
            <w:pPr>
              <w:spacing w:after="0"/>
              <w:jc w:val="center"/>
              <w:rPr>
                <w:rFonts w:asciiTheme="majorBidi" w:hAnsiTheme="majorBidi" w:cstheme="majorBidi"/>
                <w:b/>
                <w:bCs/>
                <w:sz w:val="14"/>
                <w:szCs w:val="14"/>
              </w:rPr>
            </w:pPr>
            <w:r w:rsidRPr="00A038BF">
              <w:rPr>
                <w:rFonts w:asciiTheme="majorBidi" w:hAnsiTheme="majorBidi" w:cstheme="majorBidi"/>
                <w:b/>
                <w:bCs/>
                <w:sz w:val="14"/>
                <w:szCs w:val="14"/>
              </w:rPr>
              <w:t>Industrial engineering</w:t>
            </w:r>
          </w:p>
        </w:tc>
        <w:tc>
          <w:tcPr>
            <w:tcW w:w="0" w:type="auto"/>
            <w:gridSpan w:val="2"/>
            <w:tcBorders>
              <w:top w:val="single" w:sz="4" w:space="0" w:color="auto"/>
              <w:left w:val="nil"/>
              <w:bottom w:val="single" w:sz="4" w:space="0" w:color="auto"/>
              <w:right w:val="single" w:sz="4" w:space="0" w:color="auto"/>
            </w:tcBorders>
            <w:shd w:val="clear" w:color="auto" w:fill="AEAAAA" w:themeFill="background2" w:themeFillShade="BF"/>
            <w:vAlign w:val="center"/>
            <w:hideMark/>
          </w:tcPr>
          <w:p w14:paraId="3998E399" w14:textId="77777777" w:rsidR="00E123EB" w:rsidRPr="00A038BF" w:rsidRDefault="00E123EB" w:rsidP="00E50567">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Construction Manager</w:t>
            </w:r>
          </w:p>
        </w:tc>
        <w:tc>
          <w:tcPr>
            <w:tcW w:w="1340" w:type="dxa"/>
            <w:gridSpan w:val="2"/>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9602792" w14:textId="77777777" w:rsidR="00E123EB" w:rsidRPr="00A038BF" w:rsidRDefault="00E123EB" w:rsidP="00E50567">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Total</w:t>
            </w:r>
          </w:p>
        </w:tc>
      </w:tr>
      <w:tr w:rsidR="00A038BF" w:rsidRPr="00A038BF" w14:paraId="7EA33E19" w14:textId="77777777" w:rsidTr="00CE6A0D">
        <w:trPr>
          <w:trHeight w:val="125"/>
          <w:jc w:val="center"/>
        </w:trPr>
        <w:tc>
          <w:tcPr>
            <w:tcW w:w="0" w:type="auto"/>
            <w:vMerge/>
            <w:tcBorders>
              <w:top w:val="single" w:sz="4" w:space="0" w:color="auto"/>
              <w:left w:val="single" w:sz="4" w:space="0" w:color="auto"/>
              <w:bottom w:val="single" w:sz="4" w:space="0" w:color="auto"/>
              <w:right w:val="single" w:sz="4" w:space="0" w:color="auto"/>
            </w:tcBorders>
            <w:shd w:val="clear" w:color="auto" w:fill="AEAAAA" w:themeFill="background2" w:themeFillShade="BF"/>
            <w:vAlign w:val="center"/>
            <w:hideMark/>
          </w:tcPr>
          <w:p w14:paraId="3D2B2305" w14:textId="77777777" w:rsidR="005B3001" w:rsidRPr="00A038BF" w:rsidRDefault="005B3001" w:rsidP="005B3001">
            <w:pPr>
              <w:spacing w:after="0"/>
              <w:jc w:val="center"/>
              <w:rPr>
                <w:rFonts w:asciiTheme="majorBidi" w:hAnsiTheme="majorBidi" w:cstheme="majorBidi"/>
                <w:b/>
                <w:bCs/>
                <w:sz w:val="16"/>
                <w:szCs w:val="16"/>
              </w:rPr>
            </w:pP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3AEB45DE"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W</w:t>
            </w: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6EE42153"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P</w:t>
            </w: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40DF5886"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W</w:t>
            </w: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5353F1C2"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P</w:t>
            </w: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566E7A97"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W</w:t>
            </w:r>
          </w:p>
        </w:tc>
        <w:tc>
          <w:tcPr>
            <w:tcW w:w="0" w:type="auto"/>
            <w:tcBorders>
              <w:top w:val="nil"/>
              <w:left w:val="nil"/>
              <w:bottom w:val="single" w:sz="4" w:space="0" w:color="auto"/>
              <w:right w:val="single" w:sz="4" w:space="0" w:color="auto"/>
            </w:tcBorders>
            <w:shd w:val="clear" w:color="auto" w:fill="AEAAAA" w:themeFill="background2" w:themeFillShade="BF"/>
            <w:vAlign w:val="center"/>
            <w:hideMark/>
          </w:tcPr>
          <w:p w14:paraId="6761C7E6"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P</w:t>
            </w:r>
          </w:p>
        </w:tc>
        <w:tc>
          <w:tcPr>
            <w:tcW w:w="710" w:type="dxa"/>
            <w:tcBorders>
              <w:top w:val="nil"/>
              <w:left w:val="nil"/>
              <w:bottom w:val="single" w:sz="4" w:space="0" w:color="auto"/>
              <w:right w:val="single" w:sz="4" w:space="0" w:color="auto"/>
            </w:tcBorders>
            <w:shd w:val="clear" w:color="auto" w:fill="AEAAAA" w:themeFill="background2" w:themeFillShade="BF"/>
            <w:vAlign w:val="center"/>
            <w:hideMark/>
          </w:tcPr>
          <w:p w14:paraId="2D3EA29D"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W</w:t>
            </w:r>
          </w:p>
        </w:tc>
        <w:tc>
          <w:tcPr>
            <w:tcW w:w="630" w:type="dxa"/>
            <w:tcBorders>
              <w:top w:val="nil"/>
              <w:left w:val="nil"/>
              <w:bottom w:val="single" w:sz="4" w:space="0" w:color="auto"/>
              <w:right w:val="single" w:sz="4" w:space="0" w:color="auto"/>
            </w:tcBorders>
            <w:shd w:val="clear" w:color="auto" w:fill="AEAAAA" w:themeFill="background2" w:themeFillShade="BF"/>
            <w:vAlign w:val="center"/>
            <w:hideMark/>
          </w:tcPr>
          <w:p w14:paraId="56F135A1" w14:textId="77777777" w:rsidR="005B3001" w:rsidRPr="00A038BF" w:rsidRDefault="005B3001" w:rsidP="005B3001">
            <w:pPr>
              <w:spacing w:after="0"/>
              <w:jc w:val="center"/>
              <w:rPr>
                <w:rFonts w:asciiTheme="majorBidi" w:hAnsiTheme="majorBidi" w:cstheme="majorBidi"/>
                <w:b/>
                <w:bCs/>
                <w:sz w:val="16"/>
                <w:szCs w:val="16"/>
              </w:rPr>
            </w:pPr>
            <w:r w:rsidRPr="00A038BF">
              <w:rPr>
                <w:rFonts w:asciiTheme="majorBidi" w:hAnsiTheme="majorBidi" w:cstheme="majorBidi"/>
                <w:b/>
                <w:bCs/>
                <w:sz w:val="16"/>
                <w:szCs w:val="16"/>
              </w:rPr>
              <w:t>P</w:t>
            </w:r>
          </w:p>
        </w:tc>
      </w:tr>
      <w:tr w:rsidR="00A038BF" w:rsidRPr="00A038BF" w14:paraId="47901F51"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7923267" w14:textId="77777777" w:rsidR="00E123EB" w:rsidRPr="00A038BF" w:rsidRDefault="00E123EB" w:rsidP="00637ED8">
            <w:pPr>
              <w:spacing w:after="0"/>
              <w:rPr>
                <w:rFonts w:asciiTheme="majorBidi" w:hAnsiTheme="majorBidi" w:cstheme="majorBidi"/>
                <w:sz w:val="16"/>
                <w:szCs w:val="16"/>
              </w:rPr>
            </w:pPr>
            <w:r w:rsidRPr="00A038BF">
              <w:rPr>
                <w:rFonts w:asciiTheme="majorBidi" w:hAnsiTheme="majorBidi" w:cstheme="majorBidi"/>
                <w:sz w:val="16"/>
                <w:szCs w:val="16"/>
              </w:rPr>
              <w:t>GWP</w:t>
            </w:r>
          </w:p>
        </w:tc>
        <w:tc>
          <w:tcPr>
            <w:tcW w:w="0" w:type="auto"/>
            <w:tcBorders>
              <w:top w:val="nil"/>
              <w:left w:val="nil"/>
              <w:bottom w:val="single" w:sz="4" w:space="0" w:color="auto"/>
              <w:right w:val="single" w:sz="4" w:space="0" w:color="auto"/>
            </w:tcBorders>
            <w:shd w:val="clear" w:color="auto" w:fill="auto"/>
            <w:noWrap/>
            <w:vAlign w:val="bottom"/>
            <w:hideMark/>
          </w:tcPr>
          <w:p w14:paraId="1EA473DC"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0.24</w:t>
            </w:r>
          </w:p>
        </w:tc>
        <w:tc>
          <w:tcPr>
            <w:tcW w:w="0" w:type="auto"/>
            <w:tcBorders>
              <w:top w:val="nil"/>
              <w:left w:val="nil"/>
              <w:bottom w:val="single" w:sz="4" w:space="0" w:color="auto"/>
              <w:right w:val="single" w:sz="4" w:space="0" w:color="auto"/>
            </w:tcBorders>
            <w:shd w:val="clear" w:color="auto" w:fill="auto"/>
            <w:noWrap/>
            <w:vAlign w:val="bottom"/>
            <w:hideMark/>
          </w:tcPr>
          <w:p w14:paraId="25FD7B9E"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087C14D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0.14</w:t>
            </w:r>
          </w:p>
        </w:tc>
        <w:tc>
          <w:tcPr>
            <w:tcW w:w="0" w:type="auto"/>
            <w:tcBorders>
              <w:top w:val="nil"/>
              <w:left w:val="nil"/>
              <w:bottom w:val="single" w:sz="4" w:space="0" w:color="auto"/>
              <w:right w:val="single" w:sz="4" w:space="0" w:color="auto"/>
            </w:tcBorders>
            <w:shd w:val="clear" w:color="auto" w:fill="auto"/>
            <w:noWrap/>
            <w:vAlign w:val="bottom"/>
            <w:hideMark/>
          </w:tcPr>
          <w:p w14:paraId="1B378D8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3D3CB088"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0.19</w:t>
            </w:r>
          </w:p>
        </w:tc>
        <w:tc>
          <w:tcPr>
            <w:tcW w:w="0" w:type="auto"/>
            <w:tcBorders>
              <w:top w:val="nil"/>
              <w:left w:val="nil"/>
              <w:bottom w:val="single" w:sz="4" w:space="0" w:color="auto"/>
              <w:right w:val="single" w:sz="4" w:space="0" w:color="auto"/>
            </w:tcBorders>
            <w:shd w:val="clear" w:color="auto" w:fill="auto"/>
            <w:noWrap/>
            <w:vAlign w:val="bottom"/>
            <w:hideMark/>
          </w:tcPr>
          <w:p w14:paraId="5C4D385B"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2</w:t>
            </w:r>
          </w:p>
        </w:tc>
        <w:tc>
          <w:tcPr>
            <w:tcW w:w="710" w:type="dxa"/>
            <w:tcBorders>
              <w:top w:val="nil"/>
              <w:left w:val="nil"/>
              <w:bottom w:val="single" w:sz="4" w:space="0" w:color="auto"/>
              <w:right w:val="single" w:sz="4" w:space="0" w:color="auto"/>
            </w:tcBorders>
            <w:shd w:val="clear" w:color="auto" w:fill="auto"/>
            <w:noWrap/>
            <w:vAlign w:val="bottom"/>
            <w:hideMark/>
          </w:tcPr>
          <w:p w14:paraId="1977EAEE"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0.19</w:t>
            </w:r>
          </w:p>
        </w:tc>
        <w:tc>
          <w:tcPr>
            <w:tcW w:w="630" w:type="dxa"/>
            <w:tcBorders>
              <w:top w:val="nil"/>
              <w:left w:val="nil"/>
              <w:bottom w:val="single" w:sz="4" w:space="0" w:color="auto"/>
              <w:right w:val="single" w:sz="4" w:space="0" w:color="auto"/>
            </w:tcBorders>
            <w:shd w:val="clear" w:color="auto" w:fill="auto"/>
            <w:noWrap/>
            <w:vAlign w:val="bottom"/>
            <w:hideMark/>
          </w:tcPr>
          <w:p w14:paraId="287C6735"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2</w:t>
            </w:r>
          </w:p>
        </w:tc>
      </w:tr>
      <w:tr w:rsidR="00A038BF" w:rsidRPr="00A038BF" w14:paraId="1E78493D"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0E2FB4" w14:textId="77777777" w:rsidR="00E123EB" w:rsidRPr="00A038BF" w:rsidRDefault="003C5589" w:rsidP="00637ED8">
            <w:pPr>
              <w:spacing w:after="0"/>
              <w:rPr>
                <w:rFonts w:asciiTheme="majorBidi" w:hAnsiTheme="majorBidi" w:cstheme="majorBidi"/>
                <w:sz w:val="16"/>
                <w:szCs w:val="16"/>
              </w:rPr>
            </w:pPr>
            <w:r w:rsidRPr="00A038BF">
              <w:rPr>
                <w:rFonts w:asciiTheme="majorBidi" w:hAnsiTheme="majorBidi" w:cstheme="majorBidi"/>
                <w:sz w:val="16"/>
                <w:szCs w:val="16"/>
              </w:rPr>
              <w:t>HTP</w:t>
            </w:r>
          </w:p>
        </w:tc>
        <w:tc>
          <w:tcPr>
            <w:tcW w:w="0" w:type="auto"/>
            <w:tcBorders>
              <w:top w:val="nil"/>
              <w:left w:val="nil"/>
              <w:bottom w:val="single" w:sz="4" w:space="0" w:color="auto"/>
              <w:right w:val="single" w:sz="4" w:space="0" w:color="auto"/>
            </w:tcBorders>
            <w:shd w:val="clear" w:color="auto" w:fill="auto"/>
            <w:noWrap/>
            <w:vAlign w:val="bottom"/>
            <w:hideMark/>
          </w:tcPr>
          <w:p w14:paraId="5E48FEF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3169CC81"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42D73FFD"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0.12</w:t>
            </w:r>
          </w:p>
        </w:tc>
        <w:tc>
          <w:tcPr>
            <w:tcW w:w="0" w:type="auto"/>
            <w:tcBorders>
              <w:top w:val="nil"/>
              <w:left w:val="nil"/>
              <w:bottom w:val="single" w:sz="4" w:space="0" w:color="auto"/>
              <w:right w:val="single" w:sz="4" w:space="0" w:color="auto"/>
            </w:tcBorders>
            <w:shd w:val="clear" w:color="auto" w:fill="auto"/>
            <w:noWrap/>
            <w:vAlign w:val="bottom"/>
            <w:hideMark/>
          </w:tcPr>
          <w:p w14:paraId="56BE9F8E"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69FBF1D6"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0.12</w:t>
            </w:r>
          </w:p>
        </w:tc>
        <w:tc>
          <w:tcPr>
            <w:tcW w:w="0" w:type="auto"/>
            <w:tcBorders>
              <w:top w:val="nil"/>
              <w:left w:val="nil"/>
              <w:bottom w:val="single" w:sz="4" w:space="0" w:color="auto"/>
              <w:right w:val="single" w:sz="4" w:space="0" w:color="auto"/>
            </w:tcBorders>
            <w:shd w:val="clear" w:color="auto" w:fill="auto"/>
            <w:noWrap/>
            <w:vAlign w:val="bottom"/>
            <w:hideMark/>
          </w:tcPr>
          <w:p w14:paraId="01798420"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3</w:t>
            </w:r>
          </w:p>
        </w:tc>
        <w:tc>
          <w:tcPr>
            <w:tcW w:w="710" w:type="dxa"/>
            <w:tcBorders>
              <w:top w:val="nil"/>
              <w:left w:val="nil"/>
              <w:bottom w:val="single" w:sz="4" w:space="0" w:color="auto"/>
              <w:right w:val="single" w:sz="4" w:space="0" w:color="auto"/>
            </w:tcBorders>
            <w:shd w:val="clear" w:color="auto" w:fill="auto"/>
            <w:noWrap/>
            <w:vAlign w:val="bottom"/>
            <w:hideMark/>
          </w:tcPr>
          <w:p w14:paraId="2DCE69E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0.12</w:t>
            </w:r>
          </w:p>
        </w:tc>
        <w:tc>
          <w:tcPr>
            <w:tcW w:w="630" w:type="dxa"/>
            <w:tcBorders>
              <w:top w:val="nil"/>
              <w:left w:val="nil"/>
              <w:bottom w:val="single" w:sz="4" w:space="0" w:color="auto"/>
              <w:right w:val="single" w:sz="4" w:space="0" w:color="auto"/>
            </w:tcBorders>
            <w:shd w:val="clear" w:color="auto" w:fill="auto"/>
            <w:noWrap/>
            <w:vAlign w:val="bottom"/>
            <w:hideMark/>
          </w:tcPr>
          <w:p w14:paraId="62C0EE06"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4</w:t>
            </w:r>
          </w:p>
        </w:tc>
      </w:tr>
      <w:tr w:rsidR="00A038BF" w:rsidRPr="00A038BF" w14:paraId="613C1400"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79E7E48" w14:textId="77777777" w:rsidR="00E123EB" w:rsidRPr="00A038BF" w:rsidRDefault="00E123EB" w:rsidP="00637ED8">
            <w:pPr>
              <w:spacing w:after="0"/>
              <w:rPr>
                <w:rFonts w:asciiTheme="majorBidi" w:hAnsiTheme="majorBidi" w:cstheme="majorBidi"/>
                <w:sz w:val="16"/>
                <w:szCs w:val="16"/>
              </w:rPr>
            </w:pPr>
            <w:r w:rsidRPr="00A038BF">
              <w:rPr>
                <w:rFonts w:asciiTheme="majorBidi" w:hAnsiTheme="majorBidi" w:cstheme="majorBidi"/>
                <w:sz w:val="16"/>
                <w:szCs w:val="16"/>
              </w:rPr>
              <w:t>AP</w:t>
            </w:r>
          </w:p>
        </w:tc>
        <w:tc>
          <w:tcPr>
            <w:tcW w:w="0" w:type="auto"/>
            <w:tcBorders>
              <w:top w:val="nil"/>
              <w:left w:val="nil"/>
              <w:bottom w:val="single" w:sz="4" w:space="0" w:color="auto"/>
              <w:right w:val="single" w:sz="4" w:space="0" w:color="auto"/>
            </w:tcBorders>
            <w:shd w:val="clear" w:color="auto" w:fill="auto"/>
            <w:noWrap/>
            <w:vAlign w:val="bottom"/>
            <w:hideMark/>
          </w:tcPr>
          <w:p w14:paraId="665F50D1"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71AC58C2"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7BD60DD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5DDD4186"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5</w:t>
            </w:r>
          </w:p>
        </w:tc>
        <w:tc>
          <w:tcPr>
            <w:tcW w:w="0" w:type="auto"/>
            <w:tcBorders>
              <w:top w:val="nil"/>
              <w:left w:val="nil"/>
              <w:bottom w:val="single" w:sz="4" w:space="0" w:color="auto"/>
              <w:right w:val="single" w:sz="4" w:space="0" w:color="auto"/>
            </w:tcBorders>
            <w:shd w:val="clear" w:color="auto" w:fill="auto"/>
            <w:noWrap/>
            <w:vAlign w:val="bottom"/>
            <w:hideMark/>
          </w:tcPr>
          <w:p w14:paraId="0C27A4D9"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0.12</w:t>
            </w:r>
          </w:p>
        </w:tc>
        <w:tc>
          <w:tcPr>
            <w:tcW w:w="0" w:type="auto"/>
            <w:tcBorders>
              <w:top w:val="nil"/>
              <w:left w:val="nil"/>
              <w:bottom w:val="single" w:sz="4" w:space="0" w:color="auto"/>
              <w:right w:val="single" w:sz="4" w:space="0" w:color="auto"/>
            </w:tcBorders>
            <w:shd w:val="clear" w:color="auto" w:fill="auto"/>
            <w:noWrap/>
            <w:vAlign w:val="bottom"/>
            <w:hideMark/>
          </w:tcPr>
          <w:p w14:paraId="67EBD346" w14:textId="77777777" w:rsidR="00E123EB" w:rsidRPr="00A038BF" w:rsidRDefault="001303CD"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4</w:t>
            </w:r>
          </w:p>
        </w:tc>
        <w:tc>
          <w:tcPr>
            <w:tcW w:w="710" w:type="dxa"/>
            <w:tcBorders>
              <w:top w:val="nil"/>
              <w:left w:val="nil"/>
              <w:bottom w:val="single" w:sz="4" w:space="0" w:color="auto"/>
              <w:right w:val="single" w:sz="4" w:space="0" w:color="auto"/>
            </w:tcBorders>
            <w:shd w:val="clear" w:color="auto" w:fill="auto"/>
            <w:noWrap/>
            <w:vAlign w:val="bottom"/>
            <w:hideMark/>
          </w:tcPr>
          <w:p w14:paraId="5D151858"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0.11</w:t>
            </w:r>
          </w:p>
        </w:tc>
        <w:tc>
          <w:tcPr>
            <w:tcW w:w="630" w:type="dxa"/>
            <w:tcBorders>
              <w:top w:val="nil"/>
              <w:left w:val="nil"/>
              <w:bottom w:val="single" w:sz="4" w:space="0" w:color="auto"/>
              <w:right w:val="single" w:sz="4" w:space="0" w:color="auto"/>
            </w:tcBorders>
            <w:shd w:val="clear" w:color="auto" w:fill="auto"/>
            <w:noWrap/>
            <w:vAlign w:val="bottom"/>
            <w:hideMark/>
          </w:tcPr>
          <w:p w14:paraId="0D53C1BC"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6</w:t>
            </w:r>
          </w:p>
        </w:tc>
      </w:tr>
      <w:tr w:rsidR="00A038BF" w:rsidRPr="00A038BF" w14:paraId="3D153243"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8D82182" w14:textId="77777777" w:rsidR="00E123EB" w:rsidRPr="00A038BF" w:rsidRDefault="00E123EB" w:rsidP="00637ED8">
            <w:pPr>
              <w:spacing w:after="0"/>
              <w:rPr>
                <w:rFonts w:asciiTheme="majorBidi" w:hAnsiTheme="majorBidi" w:cstheme="majorBidi"/>
                <w:sz w:val="16"/>
                <w:szCs w:val="16"/>
              </w:rPr>
            </w:pPr>
            <w:r w:rsidRPr="00A038BF">
              <w:rPr>
                <w:rFonts w:asciiTheme="majorBidi" w:hAnsiTheme="majorBidi" w:cstheme="majorBidi"/>
                <w:sz w:val="16"/>
                <w:szCs w:val="16"/>
              </w:rPr>
              <w:t>TE</w:t>
            </w:r>
          </w:p>
        </w:tc>
        <w:tc>
          <w:tcPr>
            <w:tcW w:w="0" w:type="auto"/>
            <w:tcBorders>
              <w:top w:val="nil"/>
              <w:left w:val="nil"/>
              <w:bottom w:val="single" w:sz="4" w:space="0" w:color="auto"/>
              <w:right w:val="single" w:sz="4" w:space="0" w:color="auto"/>
            </w:tcBorders>
            <w:shd w:val="clear" w:color="auto" w:fill="auto"/>
            <w:noWrap/>
            <w:vAlign w:val="bottom"/>
            <w:hideMark/>
          </w:tcPr>
          <w:p w14:paraId="768A6C70"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0.09</w:t>
            </w:r>
          </w:p>
        </w:tc>
        <w:tc>
          <w:tcPr>
            <w:tcW w:w="0" w:type="auto"/>
            <w:tcBorders>
              <w:top w:val="nil"/>
              <w:left w:val="nil"/>
              <w:bottom w:val="single" w:sz="4" w:space="0" w:color="auto"/>
              <w:right w:val="single" w:sz="4" w:space="0" w:color="auto"/>
            </w:tcBorders>
            <w:shd w:val="clear" w:color="auto" w:fill="auto"/>
            <w:noWrap/>
            <w:vAlign w:val="bottom"/>
            <w:hideMark/>
          </w:tcPr>
          <w:p w14:paraId="376EFA5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378622E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0.08</w:t>
            </w:r>
          </w:p>
        </w:tc>
        <w:tc>
          <w:tcPr>
            <w:tcW w:w="0" w:type="auto"/>
            <w:tcBorders>
              <w:top w:val="nil"/>
              <w:left w:val="nil"/>
              <w:bottom w:val="single" w:sz="4" w:space="0" w:color="auto"/>
              <w:right w:val="single" w:sz="4" w:space="0" w:color="auto"/>
            </w:tcBorders>
            <w:shd w:val="clear" w:color="auto" w:fill="auto"/>
            <w:noWrap/>
            <w:vAlign w:val="bottom"/>
            <w:hideMark/>
          </w:tcPr>
          <w:p w14:paraId="2FF5250C"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6</w:t>
            </w:r>
          </w:p>
        </w:tc>
        <w:tc>
          <w:tcPr>
            <w:tcW w:w="0" w:type="auto"/>
            <w:tcBorders>
              <w:top w:val="nil"/>
              <w:left w:val="nil"/>
              <w:bottom w:val="single" w:sz="4" w:space="0" w:color="auto"/>
              <w:right w:val="single" w:sz="4" w:space="0" w:color="auto"/>
            </w:tcBorders>
            <w:shd w:val="clear" w:color="auto" w:fill="auto"/>
            <w:noWrap/>
            <w:vAlign w:val="bottom"/>
            <w:hideMark/>
          </w:tcPr>
          <w:p w14:paraId="6A9B1B3E"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5B710A37"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5</w:t>
            </w:r>
          </w:p>
        </w:tc>
        <w:tc>
          <w:tcPr>
            <w:tcW w:w="710" w:type="dxa"/>
            <w:tcBorders>
              <w:top w:val="nil"/>
              <w:left w:val="nil"/>
              <w:bottom w:val="single" w:sz="4" w:space="0" w:color="auto"/>
              <w:right w:val="single" w:sz="4" w:space="0" w:color="auto"/>
            </w:tcBorders>
            <w:shd w:val="clear" w:color="auto" w:fill="auto"/>
            <w:noWrap/>
            <w:vAlign w:val="bottom"/>
            <w:hideMark/>
          </w:tcPr>
          <w:p w14:paraId="1AA1C10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0.09</w:t>
            </w:r>
          </w:p>
        </w:tc>
        <w:tc>
          <w:tcPr>
            <w:tcW w:w="630" w:type="dxa"/>
            <w:tcBorders>
              <w:top w:val="nil"/>
              <w:left w:val="nil"/>
              <w:bottom w:val="single" w:sz="4" w:space="0" w:color="auto"/>
              <w:right w:val="single" w:sz="4" w:space="0" w:color="auto"/>
            </w:tcBorders>
            <w:shd w:val="clear" w:color="auto" w:fill="auto"/>
            <w:noWrap/>
            <w:vAlign w:val="bottom"/>
            <w:hideMark/>
          </w:tcPr>
          <w:p w14:paraId="4A76728C"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7</w:t>
            </w:r>
          </w:p>
        </w:tc>
      </w:tr>
      <w:tr w:rsidR="00A038BF" w:rsidRPr="00A038BF" w14:paraId="23E9E129"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136002A" w14:textId="77777777" w:rsidR="00E123EB" w:rsidRPr="00A038BF" w:rsidRDefault="00E123EB" w:rsidP="00637ED8">
            <w:pPr>
              <w:spacing w:after="0"/>
              <w:rPr>
                <w:rFonts w:asciiTheme="majorBidi" w:hAnsiTheme="majorBidi" w:cstheme="majorBidi"/>
                <w:sz w:val="16"/>
                <w:szCs w:val="16"/>
              </w:rPr>
            </w:pPr>
            <w:r w:rsidRPr="00A038BF">
              <w:rPr>
                <w:rFonts w:asciiTheme="majorBidi" w:hAnsiTheme="majorBidi" w:cstheme="majorBidi"/>
                <w:sz w:val="16"/>
                <w:szCs w:val="16"/>
              </w:rPr>
              <w:t>FD</w:t>
            </w:r>
          </w:p>
        </w:tc>
        <w:tc>
          <w:tcPr>
            <w:tcW w:w="0" w:type="auto"/>
            <w:tcBorders>
              <w:top w:val="nil"/>
              <w:left w:val="nil"/>
              <w:bottom w:val="single" w:sz="4" w:space="0" w:color="auto"/>
              <w:right w:val="single" w:sz="4" w:space="0" w:color="auto"/>
            </w:tcBorders>
            <w:shd w:val="clear" w:color="auto" w:fill="auto"/>
            <w:noWrap/>
            <w:vAlign w:val="bottom"/>
            <w:hideMark/>
          </w:tcPr>
          <w:p w14:paraId="3FB14491"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0.15</w:t>
            </w:r>
          </w:p>
        </w:tc>
        <w:tc>
          <w:tcPr>
            <w:tcW w:w="0" w:type="auto"/>
            <w:tcBorders>
              <w:top w:val="nil"/>
              <w:left w:val="nil"/>
              <w:bottom w:val="single" w:sz="4" w:space="0" w:color="auto"/>
              <w:right w:val="single" w:sz="4" w:space="0" w:color="auto"/>
            </w:tcBorders>
            <w:shd w:val="clear" w:color="auto" w:fill="auto"/>
            <w:noWrap/>
            <w:vAlign w:val="bottom"/>
            <w:hideMark/>
          </w:tcPr>
          <w:p w14:paraId="0EA04B8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3</w:t>
            </w:r>
          </w:p>
        </w:tc>
        <w:tc>
          <w:tcPr>
            <w:tcW w:w="0" w:type="auto"/>
            <w:tcBorders>
              <w:top w:val="nil"/>
              <w:left w:val="nil"/>
              <w:bottom w:val="single" w:sz="4" w:space="0" w:color="auto"/>
              <w:right w:val="single" w:sz="4" w:space="0" w:color="auto"/>
            </w:tcBorders>
            <w:shd w:val="clear" w:color="auto" w:fill="auto"/>
            <w:noWrap/>
            <w:vAlign w:val="bottom"/>
            <w:hideMark/>
          </w:tcPr>
          <w:p w14:paraId="367DBC7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0.07</w:t>
            </w:r>
          </w:p>
        </w:tc>
        <w:tc>
          <w:tcPr>
            <w:tcW w:w="0" w:type="auto"/>
            <w:tcBorders>
              <w:top w:val="nil"/>
              <w:left w:val="nil"/>
              <w:bottom w:val="single" w:sz="4" w:space="0" w:color="auto"/>
              <w:right w:val="single" w:sz="4" w:space="0" w:color="auto"/>
            </w:tcBorders>
            <w:shd w:val="clear" w:color="auto" w:fill="auto"/>
            <w:noWrap/>
            <w:vAlign w:val="bottom"/>
            <w:hideMark/>
          </w:tcPr>
          <w:p w14:paraId="10B37C25"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7</w:t>
            </w:r>
          </w:p>
        </w:tc>
        <w:tc>
          <w:tcPr>
            <w:tcW w:w="0" w:type="auto"/>
            <w:tcBorders>
              <w:top w:val="nil"/>
              <w:left w:val="nil"/>
              <w:bottom w:val="single" w:sz="4" w:space="0" w:color="auto"/>
              <w:right w:val="single" w:sz="4" w:space="0" w:color="auto"/>
            </w:tcBorders>
            <w:shd w:val="clear" w:color="auto" w:fill="auto"/>
            <w:noWrap/>
            <w:vAlign w:val="bottom"/>
            <w:hideMark/>
          </w:tcPr>
          <w:p w14:paraId="50AE4E4A"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0.11</w:t>
            </w:r>
          </w:p>
        </w:tc>
        <w:tc>
          <w:tcPr>
            <w:tcW w:w="0" w:type="auto"/>
            <w:tcBorders>
              <w:top w:val="nil"/>
              <w:left w:val="nil"/>
              <w:bottom w:val="single" w:sz="4" w:space="0" w:color="auto"/>
              <w:right w:val="single" w:sz="4" w:space="0" w:color="auto"/>
            </w:tcBorders>
            <w:shd w:val="clear" w:color="auto" w:fill="auto"/>
            <w:noWrap/>
            <w:vAlign w:val="bottom"/>
            <w:hideMark/>
          </w:tcPr>
          <w:p w14:paraId="49FE4539" w14:textId="77777777" w:rsidR="00E123EB" w:rsidRPr="00A038BF" w:rsidRDefault="001303CD"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6</w:t>
            </w:r>
          </w:p>
        </w:tc>
        <w:tc>
          <w:tcPr>
            <w:tcW w:w="710" w:type="dxa"/>
            <w:tcBorders>
              <w:top w:val="nil"/>
              <w:left w:val="nil"/>
              <w:bottom w:val="single" w:sz="4" w:space="0" w:color="auto"/>
              <w:right w:val="single" w:sz="4" w:space="0" w:color="auto"/>
            </w:tcBorders>
            <w:shd w:val="clear" w:color="auto" w:fill="auto"/>
            <w:noWrap/>
            <w:vAlign w:val="bottom"/>
            <w:hideMark/>
          </w:tcPr>
          <w:p w14:paraId="3AB27B77"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0.11</w:t>
            </w:r>
          </w:p>
        </w:tc>
        <w:tc>
          <w:tcPr>
            <w:tcW w:w="630" w:type="dxa"/>
            <w:tcBorders>
              <w:top w:val="nil"/>
              <w:left w:val="nil"/>
              <w:bottom w:val="single" w:sz="4" w:space="0" w:color="auto"/>
              <w:right w:val="single" w:sz="4" w:space="0" w:color="auto"/>
            </w:tcBorders>
            <w:shd w:val="clear" w:color="auto" w:fill="auto"/>
            <w:noWrap/>
            <w:vAlign w:val="bottom"/>
            <w:hideMark/>
          </w:tcPr>
          <w:p w14:paraId="6C376350"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5</w:t>
            </w:r>
          </w:p>
        </w:tc>
      </w:tr>
      <w:tr w:rsidR="00A038BF" w:rsidRPr="00A038BF" w14:paraId="3DC41E51"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E6FA75A" w14:textId="77777777" w:rsidR="00E123EB" w:rsidRPr="00A038BF" w:rsidRDefault="00F667D2" w:rsidP="00637ED8">
            <w:pPr>
              <w:spacing w:after="0"/>
              <w:rPr>
                <w:rFonts w:asciiTheme="majorBidi" w:hAnsiTheme="majorBidi" w:cstheme="majorBidi"/>
                <w:sz w:val="16"/>
                <w:szCs w:val="16"/>
              </w:rPr>
            </w:pPr>
            <w:r w:rsidRPr="00A038BF">
              <w:rPr>
                <w:rFonts w:asciiTheme="majorBidi" w:hAnsiTheme="majorBidi" w:cstheme="majorBidi"/>
                <w:sz w:val="16"/>
                <w:szCs w:val="16"/>
              </w:rPr>
              <w:t>Embodied energy</w:t>
            </w:r>
          </w:p>
        </w:tc>
        <w:tc>
          <w:tcPr>
            <w:tcW w:w="0" w:type="auto"/>
            <w:tcBorders>
              <w:top w:val="nil"/>
              <w:left w:val="nil"/>
              <w:bottom w:val="single" w:sz="4" w:space="0" w:color="auto"/>
              <w:right w:val="single" w:sz="4" w:space="0" w:color="auto"/>
            </w:tcBorders>
            <w:shd w:val="clear" w:color="auto" w:fill="auto"/>
            <w:noWrap/>
            <w:vAlign w:val="bottom"/>
            <w:hideMark/>
          </w:tcPr>
          <w:p w14:paraId="7C74102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0.19</w:t>
            </w:r>
          </w:p>
        </w:tc>
        <w:tc>
          <w:tcPr>
            <w:tcW w:w="0" w:type="auto"/>
            <w:tcBorders>
              <w:top w:val="nil"/>
              <w:left w:val="nil"/>
              <w:bottom w:val="single" w:sz="4" w:space="0" w:color="auto"/>
              <w:right w:val="single" w:sz="4" w:space="0" w:color="auto"/>
            </w:tcBorders>
            <w:shd w:val="clear" w:color="auto" w:fill="auto"/>
            <w:noWrap/>
            <w:vAlign w:val="bottom"/>
            <w:hideMark/>
          </w:tcPr>
          <w:p w14:paraId="0B9C3D3A"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03E58F33"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0.19</w:t>
            </w:r>
          </w:p>
        </w:tc>
        <w:tc>
          <w:tcPr>
            <w:tcW w:w="0" w:type="auto"/>
            <w:tcBorders>
              <w:top w:val="nil"/>
              <w:left w:val="nil"/>
              <w:bottom w:val="single" w:sz="4" w:space="0" w:color="auto"/>
              <w:right w:val="single" w:sz="4" w:space="0" w:color="auto"/>
            </w:tcBorders>
            <w:shd w:val="clear" w:color="auto" w:fill="auto"/>
            <w:noWrap/>
            <w:vAlign w:val="bottom"/>
            <w:hideMark/>
          </w:tcPr>
          <w:p w14:paraId="18B342B0"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2</w:t>
            </w:r>
          </w:p>
        </w:tc>
        <w:tc>
          <w:tcPr>
            <w:tcW w:w="0" w:type="auto"/>
            <w:tcBorders>
              <w:top w:val="nil"/>
              <w:left w:val="nil"/>
              <w:bottom w:val="single" w:sz="4" w:space="0" w:color="auto"/>
              <w:right w:val="single" w:sz="4" w:space="0" w:color="auto"/>
            </w:tcBorders>
            <w:shd w:val="clear" w:color="auto" w:fill="auto"/>
            <w:noWrap/>
            <w:vAlign w:val="bottom"/>
            <w:hideMark/>
          </w:tcPr>
          <w:p w14:paraId="3012256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w:t>
            </w:r>
          </w:p>
        </w:tc>
        <w:tc>
          <w:tcPr>
            <w:tcW w:w="0" w:type="auto"/>
            <w:tcBorders>
              <w:top w:val="nil"/>
              <w:left w:val="nil"/>
              <w:bottom w:val="single" w:sz="4" w:space="0" w:color="auto"/>
              <w:right w:val="single" w:sz="4" w:space="0" w:color="auto"/>
            </w:tcBorders>
            <w:shd w:val="clear" w:color="auto" w:fill="auto"/>
            <w:noWrap/>
            <w:vAlign w:val="bottom"/>
            <w:hideMark/>
          </w:tcPr>
          <w:p w14:paraId="433143CC"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7</w:t>
            </w:r>
          </w:p>
        </w:tc>
        <w:tc>
          <w:tcPr>
            <w:tcW w:w="710" w:type="dxa"/>
            <w:tcBorders>
              <w:top w:val="nil"/>
              <w:left w:val="nil"/>
              <w:bottom w:val="single" w:sz="4" w:space="0" w:color="auto"/>
              <w:right w:val="single" w:sz="4" w:space="0" w:color="auto"/>
            </w:tcBorders>
            <w:shd w:val="clear" w:color="auto" w:fill="auto"/>
            <w:noWrap/>
            <w:vAlign w:val="bottom"/>
            <w:hideMark/>
          </w:tcPr>
          <w:p w14:paraId="5402B41D"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0.16</w:t>
            </w:r>
          </w:p>
        </w:tc>
        <w:tc>
          <w:tcPr>
            <w:tcW w:w="630" w:type="dxa"/>
            <w:tcBorders>
              <w:top w:val="nil"/>
              <w:left w:val="nil"/>
              <w:bottom w:val="single" w:sz="4" w:space="0" w:color="auto"/>
              <w:right w:val="single" w:sz="4" w:space="0" w:color="auto"/>
            </w:tcBorders>
            <w:shd w:val="clear" w:color="auto" w:fill="auto"/>
            <w:noWrap/>
            <w:vAlign w:val="bottom"/>
            <w:hideMark/>
          </w:tcPr>
          <w:p w14:paraId="06C48F8F"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3</w:t>
            </w:r>
          </w:p>
        </w:tc>
      </w:tr>
      <w:tr w:rsidR="00A038BF" w:rsidRPr="00A038BF" w14:paraId="0537C174"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7CBDA33" w14:textId="77777777" w:rsidR="00E123EB" w:rsidRPr="00A038BF" w:rsidRDefault="00B44483" w:rsidP="00637ED8">
            <w:pPr>
              <w:spacing w:after="0"/>
              <w:rPr>
                <w:rFonts w:asciiTheme="majorBidi" w:hAnsiTheme="majorBidi" w:cstheme="majorBidi"/>
                <w:sz w:val="16"/>
                <w:szCs w:val="16"/>
              </w:rPr>
            </w:pPr>
            <w:r w:rsidRPr="00A038BF">
              <w:rPr>
                <w:rFonts w:asciiTheme="majorBidi" w:hAnsiTheme="majorBidi" w:cstheme="majorBidi"/>
                <w:sz w:val="16"/>
                <w:szCs w:val="16"/>
              </w:rPr>
              <w:t>Cost</w:t>
            </w:r>
          </w:p>
        </w:tc>
        <w:tc>
          <w:tcPr>
            <w:tcW w:w="0" w:type="auto"/>
            <w:tcBorders>
              <w:top w:val="nil"/>
              <w:left w:val="nil"/>
              <w:bottom w:val="single" w:sz="4" w:space="0" w:color="auto"/>
              <w:right w:val="single" w:sz="4" w:space="0" w:color="auto"/>
            </w:tcBorders>
            <w:shd w:val="clear" w:color="auto" w:fill="auto"/>
            <w:noWrap/>
            <w:vAlign w:val="bottom"/>
            <w:hideMark/>
          </w:tcPr>
          <w:p w14:paraId="527EA906"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0.12</w:t>
            </w:r>
          </w:p>
        </w:tc>
        <w:tc>
          <w:tcPr>
            <w:tcW w:w="0" w:type="auto"/>
            <w:tcBorders>
              <w:top w:val="nil"/>
              <w:left w:val="nil"/>
              <w:bottom w:val="single" w:sz="4" w:space="0" w:color="auto"/>
              <w:right w:val="single" w:sz="4" w:space="0" w:color="auto"/>
            </w:tcBorders>
            <w:shd w:val="clear" w:color="auto" w:fill="auto"/>
            <w:noWrap/>
            <w:vAlign w:val="bottom"/>
            <w:hideMark/>
          </w:tcPr>
          <w:p w14:paraId="6027247E"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4</w:t>
            </w:r>
          </w:p>
        </w:tc>
        <w:tc>
          <w:tcPr>
            <w:tcW w:w="0" w:type="auto"/>
            <w:tcBorders>
              <w:top w:val="nil"/>
              <w:left w:val="nil"/>
              <w:bottom w:val="single" w:sz="4" w:space="0" w:color="auto"/>
              <w:right w:val="single" w:sz="4" w:space="0" w:color="auto"/>
            </w:tcBorders>
            <w:shd w:val="clear" w:color="auto" w:fill="auto"/>
            <w:noWrap/>
            <w:vAlign w:val="bottom"/>
            <w:hideMark/>
          </w:tcPr>
          <w:p w14:paraId="58AFE364"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0.3</w:t>
            </w:r>
          </w:p>
        </w:tc>
        <w:tc>
          <w:tcPr>
            <w:tcW w:w="0" w:type="auto"/>
            <w:tcBorders>
              <w:top w:val="nil"/>
              <w:left w:val="nil"/>
              <w:bottom w:val="single" w:sz="4" w:space="0" w:color="auto"/>
              <w:right w:val="single" w:sz="4" w:space="0" w:color="auto"/>
            </w:tcBorders>
            <w:shd w:val="clear" w:color="auto" w:fill="auto"/>
            <w:noWrap/>
            <w:vAlign w:val="bottom"/>
            <w:hideMark/>
          </w:tcPr>
          <w:p w14:paraId="6EB36990"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1</w:t>
            </w:r>
          </w:p>
        </w:tc>
        <w:tc>
          <w:tcPr>
            <w:tcW w:w="0" w:type="auto"/>
            <w:tcBorders>
              <w:top w:val="nil"/>
              <w:left w:val="nil"/>
              <w:bottom w:val="single" w:sz="4" w:space="0" w:color="auto"/>
              <w:right w:val="single" w:sz="4" w:space="0" w:color="auto"/>
            </w:tcBorders>
            <w:shd w:val="clear" w:color="auto" w:fill="auto"/>
            <w:noWrap/>
            <w:vAlign w:val="bottom"/>
            <w:hideMark/>
          </w:tcPr>
          <w:p w14:paraId="73E5AB47"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0.25</w:t>
            </w:r>
          </w:p>
        </w:tc>
        <w:tc>
          <w:tcPr>
            <w:tcW w:w="0" w:type="auto"/>
            <w:tcBorders>
              <w:top w:val="nil"/>
              <w:left w:val="nil"/>
              <w:bottom w:val="single" w:sz="4" w:space="0" w:color="auto"/>
              <w:right w:val="single" w:sz="4" w:space="0" w:color="auto"/>
            </w:tcBorders>
            <w:shd w:val="clear" w:color="auto" w:fill="auto"/>
            <w:noWrap/>
            <w:vAlign w:val="bottom"/>
            <w:hideMark/>
          </w:tcPr>
          <w:p w14:paraId="4CE8A745"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1</w:t>
            </w:r>
          </w:p>
        </w:tc>
        <w:tc>
          <w:tcPr>
            <w:tcW w:w="710" w:type="dxa"/>
            <w:tcBorders>
              <w:top w:val="nil"/>
              <w:left w:val="nil"/>
              <w:bottom w:val="single" w:sz="4" w:space="0" w:color="auto"/>
              <w:right w:val="single" w:sz="4" w:space="0" w:color="auto"/>
            </w:tcBorders>
            <w:shd w:val="clear" w:color="auto" w:fill="auto"/>
            <w:noWrap/>
            <w:vAlign w:val="bottom"/>
            <w:hideMark/>
          </w:tcPr>
          <w:p w14:paraId="1465F23D"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0.22</w:t>
            </w:r>
          </w:p>
        </w:tc>
        <w:tc>
          <w:tcPr>
            <w:tcW w:w="630" w:type="dxa"/>
            <w:tcBorders>
              <w:top w:val="nil"/>
              <w:left w:val="nil"/>
              <w:bottom w:val="single" w:sz="4" w:space="0" w:color="auto"/>
              <w:right w:val="single" w:sz="4" w:space="0" w:color="auto"/>
            </w:tcBorders>
            <w:shd w:val="clear" w:color="auto" w:fill="auto"/>
            <w:noWrap/>
            <w:vAlign w:val="bottom"/>
            <w:hideMark/>
          </w:tcPr>
          <w:p w14:paraId="260ABE6A" w14:textId="77777777" w:rsidR="00E123EB" w:rsidRPr="00A038BF" w:rsidRDefault="00E123EB"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1</w:t>
            </w:r>
          </w:p>
        </w:tc>
      </w:tr>
      <w:tr w:rsidR="00A038BF" w:rsidRPr="00A038BF" w14:paraId="65407AB4" w14:textId="77777777" w:rsidTr="005B3001">
        <w:trPr>
          <w:trHeight w:val="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705238E" w14:textId="77777777" w:rsidR="001909E5" w:rsidRPr="00A038BF" w:rsidRDefault="001909E5" w:rsidP="00637ED8">
            <w:pPr>
              <w:spacing w:after="0"/>
              <w:rPr>
                <w:rFonts w:asciiTheme="majorBidi" w:hAnsiTheme="majorBidi" w:cstheme="majorBidi"/>
                <w:sz w:val="16"/>
                <w:szCs w:val="16"/>
              </w:rPr>
            </w:pPr>
            <w:r w:rsidRPr="00A038BF">
              <w:rPr>
                <w:rFonts w:asciiTheme="majorBidi" w:hAnsiTheme="majorBidi" w:cstheme="majorBidi"/>
                <w:sz w:val="16"/>
                <w:szCs w:val="16"/>
              </w:rPr>
              <w:t> </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2B31E311" w14:textId="77777777" w:rsidR="001909E5" w:rsidRPr="00A038BF" w:rsidRDefault="001909E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CRa=   0.045 &lt;0.1</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33E0CCE8" w14:textId="77777777" w:rsidR="001909E5" w:rsidRPr="00A038BF" w:rsidRDefault="001909E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CRa=   0.051 &lt;0.1</w:t>
            </w:r>
          </w:p>
        </w:tc>
        <w:tc>
          <w:tcPr>
            <w:tcW w:w="0" w:type="auto"/>
            <w:gridSpan w:val="2"/>
            <w:tcBorders>
              <w:top w:val="nil"/>
              <w:left w:val="nil"/>
              <w:bottom w:val="single" w:sz="4" w:space="0" w:color="auto"/>
              <w:right w:val="single" w:sz="4" w:space="0" w:color="auto"/>
            </w:tcBorders>
            <w:shd w:val="clear" w:color="auto" w:fill="auto"/>
            <w:noWrap/>
            <w:vAlign w:val="bottom"/>
            <w:hideMark/>
          </w:tcPr>
          <w:p w14:paraId="5221AFEE" w14:textId="77777777" w:rsidR="001909E5" w:rsidRPr="00A038BF" w:rsidRDefault="001909E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CRa=   0.063 &lt;0.1</w:t>
            </w:r>
          </w:p>
        </w:tc>
        <w:tc>
          <w:tcPr>
            <w:tcW w:w="710" w:type="dxa"/>
            <w:tcBorders>
              <w:top w:val="nil"/>
              <w:left w:val="nil"/>
              <w:bottom w:val="single" w:sz="4" w:space="0" w:color="auto"/>
              <w:right w:val="single" w:sz="4" w:space="0" w:color="auto"/>
            </w:tcBorders>
            <w:shd w:val="clear" w:color="auto" w:fill="auto"/>
            <w:noWrap/>
            <w:vAlign w:val="bottom"/>
            <w:hideMark/>
          </w:tcPr>
          <w:p w14:paraId="71671A85" w14:textId="77777777" w:rsidR="001909E5" w:rsidRPr="00A038BF" w:rsidRDefault="001909E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=1</w:t>
            </w:r>
          </w:p>
        </w:tc>
        <w:tc>
          <w:tcPr>
            <w:tcW w:w="630" w:type="dxa"/>
            <w:tcBorders>
              <w:top w:val="nil"/>
              <w:left w:val="nil"/>
              <w:bottom w:val="single" w:sz="4" w:space="0" w:color="auto"/>
              <w:right w:val="single" w:sz="4" w:space="0" w:color="auto"/>
            </w:tcBorders>
            <w:shd w:val="clear" w:color="auto" w:fill="auto"/>
            <w:noWrap/>
            <w:vAlign w:val="bottom"/>
            <w:hideMark/>
          </w:tcPr>
          <w:p w14:paraId="1B715116" w14:textId="77777777" w:rsidR="001909E5" w:rsidRPr="00A038BF" w:rsidRDefault="001909E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 </w:t>
            </w:r>
          </w:p>
        </w:tc>
      </w:tr>
    </w:tbl>
    <w:p w14:paraId="75B030B1" w14:textId="5E6B8A9D" w:rsidR="001B424C" w:rsidRPr="00A038BF" w:rsidRDefault="001B424C" w:rsidP="00A763E8">
      <w:pPr>
        <w:spacing w:before="240" w:line="276" w:lineRule="auto"/>
        <w:ind w:firstLine="720"/>
        <w:jc w:val="both"/>
        <w:rPr>
          <w:rFonts w:asciiTheme="majorBidi" w:hAnsiTheme="majorBidi" w:cstheme="majorBidi"/>
        </w:rPr>
      </w:pPr>
      <w:r w:rsidRPr="00A038BF">
        <w:rPr>
          <w:rFonts w:asciiTheme="majorBidi" w:hAnsiTheme="majorBidi" w:cstheme="majorBidi"/>
        </w:rPr>
        <w:t>The initial decision-making matrix for the different construction methods and m</w:t>
      </w:r>
      <w:r w:rsidR="00B76F17" w:rsidRPr="00A038BF">
        <w:rPr>
          <w:rFonts w:asciiTheme="majorBidi" w:hAnsiTheme="majorBidi" w:cstheme="majorBidi"/>
        </w:rPr>
        <w:t>aterials is presented in Table 4</w:t>
      </w:r>
      <w:r w:rsidRPr="00A038BF">
        <w:rPr>
          <w:rFonts w:asciiTheme="majorBidi" w:hAnsiTheme="majorBidi" w:cstheme="majorBidi"/>
        </w:rPr>
        <w:t xml:space="preserve"> (drawn from Figures 6, 8, and 9). The </w:t>
      </w:r>
      <w:r w:rsidR="005007A6" w:rsidRPr="00A038BF">
        <w:rPr>
          <w:rFonts w:asciiTheme="majorBidi" w:hAnsiTheme="majorBidi" w:cstheme="majorBidi"/>
        </w:rPr>
        <w:t xml:space="preserve">first </w:t>
      </w:r>
      <w:r w:rsidRPr="00A038BF">
        <w:rPr>
          <w:rFonts w:asciiTheme="majorBidi" w:hAnsiTheme="majorBidi" w:cstheme="majorBidi"/>
        </w:rPr>
        <w:t xml:space="preserve">step </w:t>
      </w:r>
      <w:r w:rsidR="005007A6" w:rsidRPr="00A038BF">
        <w:rPr>
          <w:rFonts w:asciiTheme="majorBidi" w:hAnsiTheme="majorBidi" w:cstheme="majorBidi"/>
        </w:rPr>
        <w:t>is</w:t>
      </w:r>
      <w:r w:rsidRPr="00A038BF">
        <w:rPr>
          <w:rFonts w:asciiTheme="majorBidi" w:hAnsiTheme="majorBidi" w:cstheme="majorBidi"/>
        </w:rPr>
        <w:t xml:space="preserve"> to</w:t>
      </w:r>
      <w:r w:rsidR="00224BE0" w:rsidRPr="00A038BF">
        <w:rPr>
          <w:rFonts w:asciiTheme="majorBidi" w:hAnsiTheme="majorBidi" w:cstheme="majorBidi"/>
        </w:rPr>
        <w:t xml:space="preserve"> define which criteria are beneficial or non-beneficial. The beneficial dimension in th</w:t>
      </w:r>
      <w:r w:rsidR="00DE7802" w:rsidRPr="00A038BF">
        <w:rPr>
          <w:rFonts w:asciiTheme="majorBidi" w:hAnsiTheme="majorBidi" w:cstheme="majorBidi"/>
        </w:rPr>
        <w:t xml:space="preserve">is </w:t>
      </w:r>
      <w:r w:rsidR="00224BE0" w:rsidRPr="00A038BF">
        <w:rPr>
          <w:rFonts w:asciiTheme="majorBidi" w:hAnsiTheme="majorBidi" w:cstheme="majorBidi"/>
        </w:rPr>
        <w:t xml:space="preserve">study is considered as the minimum amount or value. For example, </w:t>
      </w:r>
      <w:r w:rsidR="00A763E8" w:rsidRPr="00A038BF">
        <w:rPr>
          <w:rFonts w:asciiTheme="majorBidi" w:hAnsiTheme="majorBidi" w:cstheme="majorBidi"/>
        </w:rPr>
        <w:t>comparing</w:t>
      </w:r>
      <w:r w:rsidR="00224BE0" w:rsidRPr="00A038BF">
        <w:rPr>
          <w:rFonts w:asciiTheme="majorBidi" w:hAnsiTheme="majorBidi" w:cstheme="majorBidi"/>
        </w:rPr>
        <w:t xml:space="preserve"> the cost of three case</w:t>
      </w:r>
      <w:r w:rsidR="00A763E8" w:rsidRPr="00A038BF">
        <w:rPr>
          <w:rFonts w:asciiTheme="majorBidi" w:hAnsiTheme="majorBidi" w:cstheme="majorBidi"/>
        </w:rPr>
        <w:t>s</w:t>
      </w:r>
      <w:r w:rsidR="00B76F17" w:rsidRPr="00A038BF">
        <w:rPr>
          <w:rFonts w:asciiTheme="majorBidi" w:hAnsiTheme="majorBidi" w:cstheme="majorBidi"/>
        </w:rPr>
        <w:t xml:space="preserve"> (table 4</w:t>
      </w:r>
      <w:r w:rsidR="00224BE0" w:rsidRPr="00A038BF">
        <w:rPr>
          <w:rFonts w:asciiTheme="majorBidi" w:hAnsiTheme="majorBidi" w:cstheme="majorBidi"/>
        </w:rPr>
        <w:t>)</w:t>
      </w:r>
      <w:r w:rsidR="00A763E8" w:rsidRPr="00A038BF">
        <w:rPr>
          <w:rFonts w:asciiTheme="majorBidi" w:hAnsiTheme="majorBidi" w:cstheme="majorBidi"/>
        </w:rPr>
        <w:t>,</w:t>
      </w:r>
      <w:r w:rsidR="00224BE0" w:rsidRPr="00A038BF">
        <w:rPr>
          <w:rFonts w:asciiTheme="majorBidi" w:hAnsiTheme="majorBidi" w:cstheme="majorBidi"/>
        </w:rPr>
        <w:t xml:space="preserve"> DLT has </w:t>
      </w:r>
      <w:r w:rsidR="00A763E8" w:rsidRPr="00A038BF">
        <w:rPr>
          <w:rFonts w:asciiTheme="majorBidi" w:hAnsiTheme="majorBidi" w:cstheme="majorBidi"/>
        </w:rPr>
        <w:t>the</w:t>
      </w:r>
      <w:r w:rsidR="00224BE0" w:rsidRPr="00A038BF">
        <w:rPr>
          <w:rFonts w:asciiTheme="majorBidi" w:hAnsiTheme="majorBidi" w:cstheme="majorBidi"/>
        </w:rPr>
        <w:t xml:space="preserve"> lowest </w:t>
      </w:r>
      <w:r w:rsidR="00DE7802" w:rsidRPr="00A038BF">
        <w:rPr>
          <w:rFonts w:asciiTheme="majorBidi" w:hAnsiTheme="majorBidi" w:cstheme="majorBidi"/>
        </w:rPr>
        <w:t xml:space="preserve">cost of </w:t>
      </w:r>
      <w:r w:rsidR="00224BE0" w:rsidRPr="00A038BF">
        <w:rPr>
          <w:rFonts w:asciiTheme="majorBidi" w:hAnsiTheme="majorBidi" w:cstheme="majorBidi"/>
        </w:rPr>
        <w:t xml:space="preserve">267450 MYR. </w:t>
      </w:r>
      <w:r w:rsidRPr="00A038BF">
        <w:rPr>
          <w:rFonts w:asciiTheme="majorBidi" w:hAnsiTheme="majorBidi" w:cstheme="majorBidi"/>
        </w:rPr>
        <w:t>This is also indefeasible for embodied energy, GHG and Land use</w:t>
      </w:r>
      <w:r w:rsidR="00A763E8" w:rsidRPr="00A038BF">
        <w:rPr>
          <w:rFonts w:asciiTheme="majorBidi" w:hAnsiTheme="majorBidi" w:cstheme="majorBidi"/>
        </w:rPr>
        <w:t>,</w:t>
      </w:r>
      <w:r w:rsidRPr="00A038BF">
        <w:rPr>
          <w:rFonts w:asciiTheme="majorBidi" w:hAnsiTheme="majorBidi" w:cstheme="majorBidi"/>
        </w:rPr>
        <w:t xml:space="preserve"> etc. Therefore, the minimum amount is considered beneficial </w:t>
      </w:r>
      <w:r w:rsidR="00DE7802" w:rsidRPr="00A038BF">
        <w:rPr>
          <w:rFonts w:asciiTheme="majorBidi" w:hAnsiTheme="majorBidi" w:cstheme="majorBidi"/>
        </w:rPr>
        <w:t xml:space="preserve">for </w:t>
      </w:r>
      <w:r w:rsidRPr="00A038BF">
        <w:rPr>
          <w:rFonts w:asciiTheme="majorBidi" w:hAnsiTheme="majorBidi" w:cstheme="majorBidi"/>
        </w:rPr>
        <w:t>all seven criteria.</w:t>
      </w:r>
    </w:p>
    <w:p w14:paraId="0348E653" w14:textId="58118AB2" w:rsidR="0022082F" w:rsidRPr="00A038BF" w:rsidRDefault="00B31FAC" w:rsidP="0022082F">
      <w:pPr>
        <w:tabs>
          <w:tab w:val="left" w:pos="2709"/>
        </w:tabs>
        <w:spacing w:after="0"/>
        <w:ind w:left="720"/>
        <w:rPr>
          <w:rFonts w:asciiTheme="majorBidi" w:hAnsiTheme="majorBidi" w:cstheme="majorBidi"/>
        </w:rPr>
      </w:pPr>
      <w:r w:rsidRPr="00A038BF">
        <w:rPr>
          <w:rFonts w:asciiTheme="majorBidi" w:hAnsiTheme="majorBidi" w:cstheme="majorBidi"/>
          <w:sz w:val="20"/>
          <w:szCs w:val="20"/>
        </w:rPr>
        <w:t xml:space="preserve">Table </w:t>
      </w:r>
      <w:r w:rsidR="00B76F17" w:rsidRPr="00A038BF">
        <w:rPr>
          <w:rFonts w:asciiTheme="majorBidi" w:hAnsiTheme="majorBidi" w:cstheme="majorBidi"/>
          <w:sz w:val="20"/>
          <w:szCs w:val="20"/>
        </w:rPr>
        <w:t>4</w:t>
      </w:r>
      <w:r w:rsidR="0022082F" w:rsidRPr="00A038BF">
        <w:rPr>
          <w:rFonts w:asciiTheme="majorBidi" w:hAnsiTheme="majorBidi" w:cstheme="majorBidi"/>
          <w:sz w:val="20"/>
          <w:szCs w:val="20"/>
        </w:rPr>
        <w:t xml:space="preserve"> Initial decision</w:t>
      </w:r>
      <w:r w:rsidR="0022082F" w:rsidRPr="00A038BF">
        <w:rPr>
          <w:rFonts w:asciiTheme="majorBidi" w:hAnsiTheme="majorBidi" w:cstheme="majorBidi"/>
        </w:rPr>
        <w:t>-making matrix</w:t>
      </w:r>
    </w:p>
    <w:tbl>
      <w:tblPr>
        <w:tblW w:w="6829" w:type="dxa"/>
        <w:jc w:val="center"/>
        <w:tblLook w:val="04A0" w:firstRow="1" w:lastRow="0" w:firstColumn="1" w:lastColumn="0" w:noHBand="0" w:noVBand="1"/>
      </w:tblPr>
      <w:tblGrid>
        <w:gridCol w:w="860"/>
        <w:gridCol w:w="850"/>
        <w:gridCol w:w="757"/>
        <w:gridCol w:w="757"/>
        <w:gridCol w:w="850"/>
        <w:gridCol w:w="942"/>
        <w:gridCol w:w="1009"/>
        <w:gridCol w:w="804"/>
      </w:tblGrid>
      <w:tr w:rsidR="00A038BF" w:rsidRPr="00A038BF" w14:paraId="22C63B91" w14:textId="77777777" w:rsidTr="00B5093F">
        <w:trPr>
          <w:trHeight w:val="360"/>
          <w:jc w:val="center"/>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1EB8A08C" w14:textId="77777777" w:rsidR="00653EA5" w:rsidRPr="00A038BF" w:rsidRDefault="00653EA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 Criteria</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2BF3DCA6" w14:textId="77777777" w:rsidR="00653EA5" w:rsidRPr="00A038BF" w:rsidRDefault="00653EA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GWP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4564A937" w14:textId="77777777" w:rsidR="00653EA5" w:rsidRPr="00A038BF" w:rsidRDefault="003C5589"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HTP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41BC85D0" w14:textId="77777777" w:rsidR="00653EA5" w:rsidRPr="00A038BF" w:rsidRDefault="00653EA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AP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78664670" w14:textId="77777777" w:rsidR="00653EA5" w:rsidRPr="00A038BF" w:rsidRDefault="00653EA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TE</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6A93AA4" w14:textId="77777777" w:rsidR="00653EA5" w:rsidRPr="00A038BF" w:rsidRDefault="00653EA5"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FD</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253B541C" w14:textId="77777777" w:rsidR="00F667D2" w:rsidRPr="00A038BF" w:rsidRDefault="00F667D2"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 xml:space="preserve">Embodied </w:t>
            </w:r>
          </w:p>
          <w:p w14:paraId="7016884A" w14:textId="77777777" w:rsidR="00653EA5" w:rsidRPr="00A038BF" w:rsidRDefault="00F667D2"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energy</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2B778215" w14:textId="77777777" w:rsidR="00653EA5" w:rsidRPr="00A038BF" w:rsidRDefault="00B44483" w:rsidP="00E50567">
            <w:pPr>
              <w:spacing w:after="0"/>
              <w:jc w:val="center"/>
              <w:rPr>
                <w:rFonts w:asciiTheme="majorBidi" w:hAnsiTheme="majorBidi" w:cstheme="majorBidi"/>
                <w:sz w:val="16"/>
                <w:szCs w:val="16"/>
              </w:rPr>
            </w:pPr>
            <w:r w:rsidRPr="00A038BF">
              <w:rPr>
                <w:rFonts w:asciiTheme="majorBidi" w:hAnsiTheme="majorBidi" w:cstheme="majorBidi"/>
                <w:sz w:val="16"/>
                <w:szCs w:val="16"/>
              </w:rPr>
              <w:t>Cost</w:t>
            </w:r>
          </w:p>
        </w:tc>
      </w:tr>
      <w:tr w:rsidR="00A038BF" w:rsidRPr="00A038BF" w14:paraId="113A0196" w14:textId="77777777" w:rsidTr="0001542A">
        <w:trPr>
          <w:trHeight w:val="3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29E7FEA5"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CLT</w:t>
            </w:r>
          </w:p>
        </w:tc>
        <w:tc>
          <w:tcPr>
            <w:tcW w:w="0" w:type="auto"/>
            <w:tcBorders>
              <w:top w:val="nil"/>
              <w:left w:val="nil"/>
              <w:bottom w:val="single" w:sz="4" w:space="0" w:color="auto"/>
              <w:right w:val="single" w:sz="4" w:space="0" w:color="auto"/>
            </w:tcBorders>
            <w:shd w:val="clear" w:color="000000" w:fill="FFFFFF"/>
            <w:noWrap/>
            <w:vAlign w:val="center"/>
            <w:hideMark/>
          </w:tcPr>
          <w:p w14:paraId="4420D908"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36363</w:t>
            </w:r>
          </w:p>
        </w:tc>
        <w:tc>
          <w:tcPr>
            <w:tcW w:w="0" w:type="auto"/>
            <w:tcBorders>
              <w:top w:val="nil"/>
              <w:left w:val="nil"/>
              <w:bottom w:val="single" w:sz="4" w:space="0" w:color="auto"/>
              <w:right w:val="single" w:sz="4" w:space="0" w:color="auto"/>
            </w:tcBorders>
            <w:shd w:val="clear" w:color="000000" w:fill="FFFFFF"/>
            <w:noWrap/>
            <w:vAlign w:val="center"/>
            <w:hideMark/>
          </w:tcPr>
          <w:p w14:paraId="3B32E09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505.46</w:t>
            </w:r>
          </w:p>
        </w:tc>
        <w:tc>
          <w:tcPr>
            <w:tcW w:w="0" w:type="auto"/>
            <w:tcBorders>
              <w:top w:val="nil"/>
              <w:left w:val="nil"/>
              <w:bottom w:val="single" w:sz="4" w:space="0" w:color="auto"/>
              <w:right w:val="single" w:sz="4" w:space="0" w:color="auto"/>
            </w:tcBorders>
            <w:shd w:val="clear" w:color="000000" w:fill="FFFFFF"/>
            <w:noWrap/>
            <w:vAlign w:val="center"/>
            <w:hideMark/>
          </w:tcPr>
          <w:p w14:paraId="29E01000"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251.17</w:t>
            </w:r>
          </w:p>
        </w:tc>
        <w:tc>
          <w:tcPr>
            <w:tcW w:w="0" w:type="auto"/>
            <w:tcBorders>
              <w:top w:val="nil"/>
              <w:left w:val="nil"/>
              <w:bottom w:val="single" w:sz="4" w:space="0" w:color="auto"/>
              <w:right w:val="single" w:sz="4" w:space="0" w:color="auto"/>
            </w:tcBorders>
            <w:shd w:val="clear" w:color="000000" w:fill="FFFFFF"/>
            <w:noWrap/>
            <w:vAlign w:val="center"/>
            <w:hideMark/>
          </w:tcPr>
          <w:p w14:paraId="13D29A7B"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1561.46</w:t>
            </w:r>
          </w:p>
        </w:tc>
        <w:tc>
          <w:tcPr>
            <w:tcW w:w="0" w:type="auto"/>
            <w:tcBorders>
              <w:top w:val="nil"/>
              <w:left w:val="nil"/>
              <w:bottom w:val="single" w:sz="4" w:space="0" w:color="auto"/>
              <w:right w:val="single" w:sz="4" w:space="0" w:color="auto"/>
            </w:tcBorders>
            <w:shd w:val="clear" w:color="000000" w:fill="FFFFFF"/>
            <w:noWrap/>
            <w:vAlign w:val="center"/>
            <w:hideMark/>
          </w:tcPr>
          <w:p w14:paraId="117D294B"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12745.79</w:t>
            </w:r>
          </w:p>
        </w:tc>
        <w:tc>
          <w:tcPr>
            <w:tcW w:w="0" w:type="auto"/>
            <w:tcBorders>
              <w:top w:val="nil"/>
              <w:left w:val="nil"/>
              <w:bottom w:val="single" w:sz="4" w:space="0" w:color="auto"/>
              <w:right w:val="single" w:sz="4" w:space="0" w:color="auto"/>
            </w:tcBorders>
            <w:shd w:val="clear" w:color="000000" w:fill="FFFFFF"/>
            <w:noWrap/>
            <w:vAlign w:val="center"/>
            <w:hideMark/>
          </w:tcPr>
          <w:p w14:paraId="09A5D61A"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471673</w:t>
            </w:r>
          </w:p>
        </w:tc>
        <w:tc>
          <w:tcPr>
            <w:tcW w:w="0" w:type="auto"/>
            <w:tcBorders>
              <w:top w:val="nil"/>
              <w:left w:val="nil"/>
              <w:bottom w:val="single" w:sz="4" w:space="0" w:color="auto"/>
              <w:right w:val="single" w:sz="4" w:space="0" w:color="auto"/>
            </w:tcBorders>
            <w:shd w:val="clear" w:color="000000" w:fill="FFFFFF"/>
            <w:noWrap/>
            <w:vAlign w:val="center"/>
            <w:hideMark/>
          </w:tcPr>
          <w:p w14:paraId="3A134B3C"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285050</w:t>
            </w:r>
          </w:p>
        </w:tc>
      </w:tr>
      <w:tr w:rsidR="00A038BF" w:rsidRPr="00A038BF" w14:paraId="76E9B8AC" w14:textId="77777777" w:rsidTr="0001542A">
        <w:trPr>
          <w:trHeight w:val="3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95B8139"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DLT</w:t>
            </w:r>
          </w:p>
        </w:tc>
        <w:tc>
          <w:tcPr>
            <w:tcW w:w="0" w:type="auto"/>
            <w:tcBorders>
              <w:top w:val="nil"/>
              <w:left w:val="nil"/>
              <w:bottom w:val="single" w:sz="4" w:space="0" w:color="auto"/>
              <w:right w:val="single" w:sz="4" w:space="0" w:color="auto"/>
            </w:tcBorders>
            <w:shd w:val="clear" w:color="000000" w:fill="FFFFFF"/>
            <w:noWrap/>
            <w:vAlign w:val="center"/>
            <w:hideMark/>
          </w:tcPr>
          <w:p w14:paraId="46796E94"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32600.1</w:t>
            </w:r>
          </w:p>
        </w:tc>
        <w:tc>
          <w:tcPr>
            <w:tcW w:w="0" w:type="auto"/>
            <w:tcBorders>
              <w:top w:val="nil"/>
              <w:left w:val="nil"/>
              <w:bottom w:val="single" w:sz="4" w:space="0" w:color="auto"/>
              <w:right w:val="single" w:sz="4" w:space="0" w:color="auto"/>
            </w:tcBorders>
            <w:shd w:val="clear" w:color="000000" w:fill="FFFFFF"/>
            <w:noWrap/>
            <w:vAlign w:val="center"/>
            <w:hideMark/>
          </w:tcPr>
          <w:p w14:paraId="3B93FBC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453.15</w:t>
            </w:r>
          </w:p>
        </w:tc>
        <w:tc>
          <w:tcPr>
            <w:tcW w:w="0" w:type="auto"/>
            <w:tcBorders>
              <w:top w:val="nil"/>
              <w:left w:val="nil"/>
              <w:bottom w:val="single" w:sz="4" w:space="0" w:color="auto"/>
              <w:right w:val="single" w:sz="4" w:space="0" w:color="auto"/>
            </w:tcBorders>
            <w:shd w:val="clear" w:color="000000" w:fill="FFFFFF"/>
            <w:noWrap/>
            <w:vAlign w:val="center"/>
            <w:hideMark/>
          </w:tcPr>
          <w:p w14:paraId="372FF816"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225.18</w:t>
            </w:r>
          </w:p>
        </w:tc>
        <w:tc>
          <w:tcPr>
            <w:tcW w:w="0" w:type="auto"/>
            <w:tcBorders>
              <w:top w:val="nil"/>
              <w:left w:val="nil"/>
              <w:bottom w:val="single" w:sz="4" w:space="0" w:color="auto"/>
              <w:right w:val="single" w:sz="4" w:space="0" w:color="auto"/>
            </w:tcBorders>
            <w:shd w:val="clear" w:color="000000" w:fill="FFFFFF"/>
            <w:noWrap/>
            <w:vAlign w:val="center"/>
            <w:hideMark/>
          </w:tcPr>
          <w:p w14:paraId="464D2D32"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1358.34</w:t>
            </w:r>
          </w:p>
        </w:tc>
        <w:tc>
          <w:tcPr>
            <w:tcW w:w="0" w:type="auto"/>
            <w:tcBorders>
              <w:top w:val="nil"/>
              <w:left w:val="nil"/>
              <w:bottom w:val="single" w:sz="4" w:space="0" w:color="auto"/>
              <w:right w:val="single" w:sz="4" w:space="0" w:color="auto"/>
            </w:tcBorders>
            <w:shd w:val="clear" w:color="000000" w:fill="FFFFFF"/>
            <w:noWrap/>
            <w:vAlign w:val="center"/>
            <w:hideMark/>
          </w:tcPr>
          <w:p w14:paraId="19CBC2C4"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10516.16</w:t>
            </w:r>
          </w:p>
        </w:tc>
        <w:tc>
          <w:tcPr>
            <w:tcW w:w="0" w:type="auto"/>
            <w:tcBorders>
              <w:top w:val="nil"/>
              <w:left w:val="nil"/>
              <w:bottom w:val="single" w:sz="4" w:space="0" w:color="auto"/>
              <w:right w:val="single" w:sz="4" w:space="0" w:color="auto"/>
            </w:tcBorders>
            <w:shd w:val="clear" w:color="000000" w:fill="FFFFFF"/>
            <w:noWrap/>
            <w:vAlign w:val="center"/>
            <w:hideMark/>
          </w:tcPr>
          <w:p w14:paraId="38FB8663"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467754</w:t>
            </w:r>
          </w:p>
        </w:tc>
        <w:tc>
          <w:tcPr>
            <w:tcW w:w="0" w:type="auto"/>
            <w:tcBorders>
              <w:top w:val="nil"/>
              <w:left w:val="nil"/>
              <w:bottom w:val="single" w:sz="4" w:space="0" w:color="auto"/>
              <w:right w:val="single" w:sz="4" w:space="0" w:color="auto"/>
            </w:tcBorders>
            <w:shd w:val="clear" w:color="000000" w:fill="FFFFFF"/>
            <w:noWrap/>
            <w:vAlign w:val="center"/>
            <w:hideMark/>
          </w:tcPr>
          <w:p w14:paraId="245F4BC0"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267450</w:t>
            </w:r>
          </w:p>
        </w:tc>
      </w:tr>
      <w:tr w:rsidR="00A038BF" w:rsidRPr="00A038BF" w14:paraId="24DDE722" w14:textId="77777777" w:rsidTr="0001542A">
        <w:trPr>
          <w:trHeight w:val="360"/>
          <w:jc w:val="center"/>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F5E99F6"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NLT</w:t>
            </w:r>
          </w:p>
        </w:tc>
        <w:tc>
          <w:tcPr>
            <w:tcW w:w="0" w:type="auto"/>
            <w:tcBorders>
              <w:top w:val="nil"/>
              <w:left w:val="nil"/>
              <w:bottom w:val="single" w:sz="4" w:space="0" w:color="auto"/>
              <w:right w:val="single" w:sz="4" w:space="0" w:color="auto"/>
            </w:tcBorders>
            <w:shd w:val="clear" w:color="000000" w:fill="FFFFFF"/>
            <w:noWrap/>
            <w:vAlign w:val="center"/>
            <w:hideMark/>
          </w:tcPr>
          <w:p w14:paraId="6B457FC1"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31481.5</w:t>
            </w:r>
          </w:p>
        </w:tc>
        <w:tc>
          <w:tcPr>
            <w:tcW w:w="0" w:type="auto"/>
            <w:tcBorders>
              <w:top w:val="nil"/>
              <w:left w:val="nil"/>
              <w:bottom w:val="single" w:sz="4" w:space="0" w:color="auto"/>
              <w:right w:val="single" w:sz="4" w:space="0" w:color="auto"/>
            </w:tcBorders>
            <w:shd w:val="clear" w:color="000000" w:fill="FFFFFF"/>
            <w:noWrap/>
            <w:vAlign w:val="center"/>
            <w:hideMark/>
          </w:tcPr>
          <w:p w14:paraId="64430606"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437.6</w:t>
            </w:r>
          </w:p>
        </w:tc>
        <w:tc>
          <w:tcPr>
            <w:tcW w:w="0" w:type="auto"/>
            <w:tcBorders>
              <w:top w:val="nil"/>
              <w:left w:val="nil"/>
              <w:bottom w:val="single" w:sz="4" w:space="0" w:color="auto"/>
              <w:right w:val="single" w:sz="4" w:space="0" w:color="auto"/>
            </w:tcBorders>
            <w:shd w:val="clear" w:color="000000" w:fill="FFFFFF"/>
            <w:noWrap/>
            <w:vAlign w:val="center"/>
            <w:hideMark/>
          </w:tcPr>
          <w:p w14:paraId="7A4AF835"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217.45</w:t>
            </w:r>
          </w:p>
        </w:tc>
        <w:tc>
          <w:tcPr>
            <w:tcW w:w="0" w:type="auto"/>
            <w:tcBorders>
              <w:top w:val="nil"/>
              <w:left w:val="nil"/>
              <w:bottom w:val="single" w:sz="4" w:space="0" w:color="auto"/>
              <w:right w:val="single" w:sz="4" w:space="0" w:color="auto"/>
            </w:tcBorders>
            <w:shd w:val="clear" w:color="000000" w:fill="FFFFFF"/>
            <w:noWrap/>
            <w:vAlign w:val="center"/>
            <w:hideMark/>
          </w:tcPr>
          <w:p w14:paraId="2920F5E7"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1776.41</w:t>
            </w:r>
          </w:p>
        </w:tc>
        <w:tc>
          <w:tcPr>
            <w:tcW w:w="0" w:type="auto"/>
            <w:tcBorders>
              <w:top w:val="nil"/>
              <w:left w:val="nil"/>
              <w:bottom w:val="single" w:sz="4" w:space="0" w:color="auto"/>
              <w:right w:val="single" w:sz="4" w:space="0" w:color="auto"/>
            </w:tcBorders>
            <w:shd w:val="clear" w:color="000000" w:fill="FFFFFF"/>
            <w:noWrap/>
            <w:vAlign w:val="center"/>
            <w:hideMark/>
          </w:tcPr>
          <w:p w14:paraId="70866114"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13687.61</w:t>
            </w:r>
          </w:p>
        </w:tc>
        <w:tc>
          <w:tcPr>
            <w:tcW w:w="0" w:type="auto"/>
            <w:tcBorders>
              <w:top w:val="nil"/>
              <w:left w:val="nil"/>
              <w:bottom w:val="single" w:sz="4" w:space="0" w:color="auto"/>
              <w:right w:val="single" w:sz="4" w:space="0" w:color="auto"/>
            </w:tcBorders>
            <w:shd w:val="clear" w:color="000000" w:fill="FFFFFF"/>
            <w:noWrap/>
            <w:vAlign w:val="center"/>
            <w:hideMark/>
          </w:tcPr>
          <w:p w14:paraId="6E472503"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539553</w:t>
            </w:r>
          </w:p>
        </w:tc>
        <w:tc>
          <w:tcPr>
            <w:tcW w:w="0" w:type="auto"/>
            <w:tcBorders>
              <w:top w:val="nil"/>
              <w:left w:val="nil"/>
              <w:bottom w:val="single" w:sz="4" w:space="0" w:color="auto"/>
              <w:right w:val="single" w:sz="4" w:space="0" w:color="auto"/>
            </w:tcBorders>
            <w:shd w:val="clear" w:color="000000" w:fill="FFFFFF"/>
            <w:noWrap/>
            <w:vAlign w:val="center"/>
            <w:hideMark/>
          </w:tcPr>
          <w:p w14:paraId="3A63E1E5" w14:textId="77777777" w:rsidR="001A7EB6" w:rsidRPr="00A038BF" w:rsidRDefault="001A7EB6" w:rsidP="0001542A">
            <w:pPr>
              <w:spacing w:after="0"/>
              <w:jc w:val="center"/>
              <w:rPr>
                <w:rFonts w:asciiTheme="majorBidi" w:hAnsiTheme="majorBidi" w:cstheme="majorBidi"/>
                <w:sz w:val="16"/>
                <w:szCs w:val="16"/>
              </w:rPr>
            </w:pPr>
            <w:r w:rsidRPr="00A038BF">
              <w:rPr>
                <w:rFonts w:asciiTheme="majorBidi" w:hAnsiTheme="majorBidi" w:cstheme="majorBidi"/>
                <w:sz w:val="16"/>
                <w:szCs w:val="16"/>
              </w:rPr>
              <w:t>276910</w:t>
            </w:r>
          </w:p>
        </w:tc>
      </w:tr>
    </w:tbl>
    <w:p w14:paraId="6FF8CE21" w14:textId="38509826" w:rsidR="002A75D9" w:rsidRPr="00A038BF" w:rsidRDefault="00642288" w:rsidP="00A763E8">
      <w:pPr>
        <w:spacing w:before="240" w:after="0" w:line="276" w:lineRule="auto"/>
        <w:jc w:val="both"/>
        <w:rPr>
          <w:rFonts w:asciiTheme="majorBidi" w:hAnsiTheme="majorBidi" w:cstheme="majorBidi"/>
          <w:sz w:val="16"/>
          <w:szCs w:val="16"/>
        </w:rPr>
      </w:pPr>
      <w:r w:rsidRPr="00A038BF">
        <w:rPr>
          <w:rFonts w:asciiTheme="majorBidi" w:hAnsiTheme="majorBidi" w:cstheme="majorBidi"/>
        </w:rPr>
        <w:tab/>
      </w:r>
      <w:r w:rsidR="00B76F17" w:rsidRPr="00A038BF">
        <w:rPr>
          <w:rFonts w:asciiTheme="majorBidi" w:hAnsiTheme="majorBidi" w:cstheme="majorBidi"/>
        </w:rPr>
        <w:t>Table 5</w:t>
      </w:r>
      <w:r w:rsidR="004850FD" w:rsidRPr="00A038BF">
        <w:rPr>
          <w:rFonts w:asciiTheme="majorBidi" w:hAnsiTheme="majorBidi" w:cstheme="majorBidi"/>
        </w:rPr>
        <w:t xml:space="preserve"> shows </w:t>
      </w:r>
      <w:r w:rsidR="003E3E54" w:rsidRPr="00A038BF">
        <w:rPr>
          <w:rFonts w:asciiTheme="majorBidi" w:hAnsiTheme="majorBidi" w:cstheme="majorBidi"/>
        </w:rPr>
        <w:t xml:space="preserve">how </w:t>
      </w:r>
      <w:r w:rsidR="004850FD" w:rsidRPr="00A038BF">
        <w:rPr>
          <w:rFonts w:asciiTheme="majorBidi" w:hAnsiTheme="majorBidi" w:cstheme="majorBidi"/>
        </w:rPr>
        <w:t xml:space="preserve">MCDM </w:t>
      </w:r>
      <w:r w:rsidR="003E3E54" w:rsidRPr="00A038BF">
        <w:rPr>
          <w:rFonts w:asciiTheme="majorBidi" w:hAnsiTheme="majorBidi" w:cstheme="majorBidi"/>
        </w:rPr>
        <w:t xml:space="preserve">is </w:t>
      </w:r>
      <w:r w:rsidR="005267BA" w:rsidRPr="00A038BF">
        <w:rPr>
          <w:rFonts w:asciiTheme="majorBidi" w:hAnsiTheme="majorBidi" w:cstheme="majorBidi"/>
        </w:rPr>
        <w:t>applied</w:t>
      </w:r>
      <w:r w:rsidR="003E3E54" w:rsidRPr="00A038BF">
        <w:rPr>
          <w:rFonts w:asciiTheme="majorBidi" w:hAnsiTheme="majorBidi" w:cstheme="majorBidi"/>
        </w:rPr>
        <w:t xml:space="preserve"> </w:t>
      </w:r>
      <w:r w:rsidR="004850FD" w:rsidRPr="00A038BF">
        <w:rPr>
          <w:rFonts w:asciiTheme="majorBidi" w:hAnsiTheme="majorBidi" w:cstheme="majorBidi"/>
        </w:rPr>
        <w:t xml:space="preserve">using </w:t>
      </w:r>
      <w:r w:rsidR="00A763E8" w:rsidRPr="00A038BF">
        <w:rPr>
          <w:rFonts w:asciiTheme="majorBidi" w:hAnsiTheme="majorBidi" w:cstheme="majorBidi"/>
        </w:rPr>
        <w:t xml:space="preserve">the </w:t>
      </w:r>
      <w:r w:rsidR="004850FD" w:rsidRPr="00A038BF">
        <w:rPr>
          <w:rFonts w:asciiTheme="majorBidi" w:hAnsiTheme="majorBidi" w:cstheme="majorBidi"/>
        </w:rPr>
        <w:t xml:space="preserve">TOPSIS method. </w:t>
      </w:r>
      <w:r w:rsidR="003E3E54" w:rsidRPr="00A038BF">
        <w:rPr>
          <w:rFonts w:asciiTheme="majorBidi" w:hAnsiTheme="majorBidi" w:cstheme="majorBidi"/>
        </w:rPr>
        <w:t xml:space="preserve">This </w:t>
      </w:r>
      <w:r w:rsidR="004850FD" w:rsidRPr="00A038BF">
        <w:rPr>
          <w:rFonts w:asciiTheme="majorBidi" w:hAnsiTheme="majorBidi" w:cstheme="majorBidi"/>
        </w:rPr>
        <w:t xml:space="preserve">method </w:t>
      </w:r>
      <w:r w:rsidR="003E3E54" w:rsidRPr="00A038BF">
        <w:rPr>
          <w:rFonts w:asciiTheme="majorBidi" w:hAnsiTheme="majorBidi" w:cstheme="majorBidi"/>
        </w:rPr>
        <w:t>determines</w:t>
      </w:r>
      <w:r w:rsidR="004850FD" w:rsidRPr="00A038BF">
        <w:rPr>
          <w:rFonts w:asciiTheme="majorBidi" w:hAnsiTheme="majorBidi" w:cstheme="majorBidi"/>
        </w:rPr>
        <w:t xml:space="preserve"> the best of </w:t>
      </w:r>
      <w:r w:rsidR="003E3E54" w:rsidRPr="00A038BF">
        <w:rPr>
          <w:rFonts w:asciiTheme="majorBidi" w:hAnsiTheme="majorBidi" w:cstheme="majorBidi"/>
        </w:rPr>
        <w:t>the</w:t>
      </w:r>
      <w:r w:rsidR="004850FD" w:rsidRPr="00A038BF">
        <w:rPr>
          <w:rFonts w:asciiTheme="majorBidi" w:hAnsiTheme="majorBidi" w:cstheme="majorBidi"/>
        </w:rPr>
        <w:t xml:space="preserve"> three alternative</w:t>
      </w:r>
      <w:r w:rsidR="00A763E8" w:rsidRPr="00A038BF">
        <w:rPr>
          <w:rFonts w:asciiTheme="majorBidi" w:hAnsiTheme="majorBidi" w:cstheme="majorBidi"/>
        </w:rPr>
        <w:t>s</w:t>
      </w:r>
      <w:r w:rsidR="004850FD" w:rsidRPr="00A038BF">
        <w:rPr>
          <w:rFonts w:asciiTheme="majorBidi" w:hAnsiTheme="majorBidi" w:cstheme="majorBidi"/>
        </w:rPr>
        <w:t xml:space="preserve"> based on seven criteria </w:t>
      </w:r>
      <w:r w:rsidR="00A763E8" w:rsidRPr="00A038BF">
        <w:rPr>
          <w:rFonts w:asciiTheme="majorBidi" w:hAnsiTheme="majorBidi" w:cstheme="majorBidi"/>
        </w:rPr>
        <w:t>comprising five environmental impact</w:t>
      </w:r>
      <w:r w:rsidR="005267BA" w:rsidRPr="00A038BF">
        <w:rPr>
          <w:rFonts w:asciiTheme="majorBidi" w:hAnsiTheme="majorBidi" w:cstheme="majorBidi"/>
        </w:rPr>
        <w:t>s</w:t>
      </w:r>
      <w:r w:rsidR="00A763E8" w:rsidRPr="00A038BF">
        <w:rPr>
          <w:rFonts w:asciiTheme="majorBidi" w:hAnsiTheme="majorBidi" w:cstheme="majorBidi"/>
        </w:rPr>
        <w:t>, embodied energy, and</w:t>
      </w:r>
      <w:r w:rsidR="004850FD" w:rsidRPr="00A038BF">
        <w:rPr>
          <w:rFonts w:asciiTheme="majorBidi" w:hAnsiTheme="majorBidi" w:cstheme="majorBidi"/>
        </w:rPr>
        <w:t xml:space="preserve"> cost. First</w:t>
      </w:r>
      <w:r w:rsidR="005267BA" w:rsidRPr="00A038BF">
        <w:rPr>
          <w:rFonts w:asciiTheme="majorBidi" w:hAnsiTheme="majorBidi" w:cstheme="majorBidi"/>
        </w:rPr>
        <w:t>,</w:t>
      </w:r>
      <w:r w:rsidR="004850FD" w:rsidRPr="00A038BF">
        <w:rPr>
          <w:rFonts w:asciiTheme="majorBidi" w:hAnsiTheme="majorBidi" w:cstheme="majorBidi"/>
        </w:rPr>
        <w:t xml:space="preserve"> </w:t>
      </w:r>
      <w:r w:rsidR="00A763E8" w:rsidRPr="00A038BF">
        <w:rPr>
          <w:rFonts w:asciiTheme="majorBidi" w:hAnsiTheme="majorBidi" w:cstheme="majorBidi"/>
        </w:rPr>
        <w:t xml:space="preserve">the </w:t>
      </w:r>
      <w:r w:rsidR="004850FD" w:rsidRPr="00A038BF">
        <w:rPr>
          <w:rFonts w:asciiTheme="majorBidi" w:hAnsiTheme="majorBidi" w:cstheme="majorBidi"/>
        </w:rPr>
        <w:t xml:space="preserve">normalized </w:t>
      </w:r>
      <w:r w:rsidR="000B5BC7" w:rsidRPr="00A038BF">
        <w:rPr>
          <w:rFonts w:asciiTheme="majorBidi" w:hAnsiTheme="majorBidi" w:cstheme="majorBidi"/>
        </w:rPr>
        <w:t>matrix</w:t>
      </w:r>
      <w:r w:rsidR="005267BA" w:rsidRPr="00A038BF">
        <w:rPr>
          <w:rFonts w:asciiTheme="majorBidi" w:hAnsiTheme="majorBidi" w:cstheme="majorBidi"/>
        </w:rPr>
        <w:t xml:space="preserve"> needs to be calculated</w:t>
      </w:r>
      <w:r w:rsidR="000B5BC7" w:rsidRPr="00A038BF">
        <w:rPr>
          <w:rFonts w:asciiTheme="majorBidi" w:hAnsiTheme="majorBidi" w:cstheme="majorBidi"/>
        </w:rPr>
        <w:t xml:space="preserve"> using equation 2</w:t>
      </w:r>
      <w:r w:rsidR="005267BA" w:rsidRPr="00A038BF">
        <w:rPr>
          <w:rFonts w:asciiTheme="majorBidi" w:hAnsiTheme="majorBidi" w:cstheme="majorBidi"/>
        </w:rPr>
        <w:t>. T</w:t>
      </w:r>
      <w:r w:rsidR="000B5BC7" w:rsidRPr="00A038BF">
        <w:rPr>
          <w:rFonts w:asciiTheme="majorBidi" w:hAnsiTheme="majorBidi" w:cstheme="majorBidi"/>
        </w:rPr>
        <w:t xml:space="preserve">he result of this stage </w:t>
      </w:r>
      <w:r w:rsidR="005267BA" w:rsidRPr="00A038BF">
        <w:rPr>
          <w:rFonts w:asciiTheme="majorBidi" w:hAnsiTheme="majorBidi" w:cstheme="majorBidi"/>
        </w:rPr>
        <w:t xml:space="preserve">is </w:t>
      </w:r>
      <w:r w:rsidR="000B5BC7" w:rsidRPr="00A038BF">
        <w:rPr>
          <w:rFonts w:asciiTheme="majorBidi" w:hAnsiTheme="majorBidi" w:cstheme="majorBidi"/>
        </w:rPr>
        <w:t>show</w:t>
      </w:r>
      <w:r w:rsidR="005267BA" w:rsidRPr="00A038BF">
        <w:rPr>
          <w:rFonts w:asciiTheme="majorBidi" w:hAnsiTheme="majorBidi" w:cstheme="majorBidi"/>
        </w:rPr>
        <w:t>n</w:t>
      </w:r>
      <w:r w:rsidR="000B5BC7" w:rsidRPr="00A038BF">
        <w:rPr>
          <w:rFonts w:asciiTheme="majorBidi" w:hAnsiTheme="majorBidi" w:cstheme="majorBidi"/>
        </w:rPr>
        <w:t xml:space="preserve"> in Appendix 3. </w:t>
      </w:r>
      <w:r w:rsidR="005267BA" w:rsidRPr="00A038BF">
        <w:rPr>
          <w:rFonts w:asciiTheme="majorBidi" w:hAnsiTheme="majorBidi" w:cstheme="majorBidi"/>
        </w:rPr>
        <w:t>N</w:t>
      </w:r>
      <w:r w:rsidR="00D92EEC" w:rsidRPr="00A038BF">
        <w:rPr>
          <w:rFonts w:asciiTheme="majorBidi" w:hAnsiTheme="majorBidi" w:cstheme="majorBidi"/>
        </w:rPr>
        <w:t>ext</w:t>
      </w:r>
      <w:r w:rsidR="005267BA" w:rsidRPr="00A038BF">
        <w:rPr>
          <w:rFonts w:asciiTheme="majorBidi" w:hAnsiTheme="majorBidi" w:cstheme="majorBidi"/>
        </w:rPr>
        <w:t>,</w:t>
      </w:r>
      <w:r w:rsidR="00D92EEC" w:rsidRPr="00A038BF">
        <w:rPr>
          <w:rFonts w:asciiTheme="majorBidi" w:hAnsiTheme="majorBidi" w:cstheme="majorBidi"/>
        </w:rPr>
        <w:t xml:space="preserve"> the weighted normalized matrix </w:t>
      </w:r>
      <w:r w:rsidR="005267BA" w:rsidRPr="00A038BF">
        <w:rPr>
          <w:rFonts w:asciiTheme="majorBidi" w:hAnsiTheme="majorBidi" w:cstheme="majorBidi"/>
        </w:rPr>
        <w:t xml:space="preserve">is calculated </w:t>
      </w:r>
      <w:r w:rsidR="00D92EEC" w:rsidRPr="00A038BF">
        <w:rPr>
          <w:rFonts w:asciiTheme="majorBidi" w:hAnsiTheme="majorBidi" w:cstheme="majorBidi"/>
        </w:rPr>
        <w:t xml:space="preserve">using </w:t>
      </w:r>
      <w:r w:rsidR="00C30AC5" w:rsidRPr="00A038BF">
        <w:rPr>
          <w:rFonts w:asciiTheme="majorBidi" w:hAnsiTheme="majorBidi" w:cstheme="majorBidi"/>
        </w:rPr>
        <w:t>e</w:t>
      </w:r>
      <w:r w:rsidR="00D92EEC" w:rsidRPr="00A038BF">
        <w:rPr>
          <w:rFonts w:asciiTheme="majorBidi" w:hAnsiTheme="majorBidi" w:cstheme="majorBidi"/>
        </w:rPr>
        <w:t xml:space="preserve">quation (3). </w:t>
      </w:r>
      <w:r w:rsidR="005267BA" w:rsidRPr="00A038BF">
        <w:rPr>
          <w:rFonts w:asciiTheme="majorBidi" w:hAnsiTheme="majorBidi" w:cstheme="majorBidi"/>
        </w:rPr>
        <w:t>Following this,</w:t>
      </w:r>
      <w:r w:rsidR="00666C35" w:rsidRPr="00A038BF">
        <w:rPr>
          <w:rFonts w:asciiTheme="majorBidi" w:hAnsiTheme="majorBidi" w:cstheme="majorBidi"/>
        </w:rPr>
        <w:t xml:space="preserve"> the positive ideal value and negative idea value </w:t>
      </w:r>
      <w:r w:rsidR="005267BA" w:rsidRPr="00A038BF">
        <w:rPr>
          <w:rFonts w:asciiTheme="majorBidi" w:hAnsiTheme="majorBidi" w:cstheme="majorBidi"/>
        </w:rPr>
        <w:t xml:space="preserve">are determined </w:t>
      </w:r>
      <w:r w:rsidR="00666C35" w:rsidRPr="00A038BF">
        <w:rPr>
          <w:rFonts w:asciiTheme="majorBidi" w:hAnsiTheme="majorBidi" w:cstheme="majorBidi"/>
        </w:rPr>
        <w:t xml:space="preserve">using equation 4. The non-beneficial value is the minimum value that </w:t>
      </w:r>
      <w:r w:rsidR="00A763E8" w:rsidRPr="00A038BF">
        <w:rPr>
          <w:rFonts w:asciiTheme="majorBidi" w:hAnsiTheme="majorBidi" w:cstheme="majorBidi"/>
        </w:rPr>
        <w:t xml:space="preserve">is </w:t>
      </w:r>
      <w:r w:rsidR="00666C35" w:rsidRPr="00A038BF">
        <w:rPr>
          <w:rFonts w:asciiTheme="majorBidi" w:hAnsiTheme="majorBidi" w:cstheme="majorBidi"/>
        </w:rPr>
        <w:t xml:space="preserve">considered as ideal for all criteria such as cost, GWP, etc. Therefore, the ideal best </w:t>
      </w:r>
      <w:r w:rsidR="005267BA" w:rsidRPr="00A038BF">
        <w:rPr>
          <w:rFonts w:asciiTheme="majorBidi" w:hAnsiTheme="majorBidi" w:cstheme="majorBidi"/>
        </w:rPr>
        <w:t xml:space="preserve">values </w:t>
      </w:r>
      <w:r w:rsidR="008A72CF" w:rsidRPr="00A038BF">
        <w:rPr>
          <w:rFonts w:asciiTheme="majorBidi" w:hAnsiTheme="majorBidi" w:cstheme="majorBidi"/>
        </w:rPr>
        <w:t>(</w:t>
      </w:r>
      <m:oMath>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r>
          <w:rPr>
            <w:rFonts w:ascii="Cambria Math" w:hAnsi="Cambria Math" w:cstheme="majorBidi"/>
          </w:rPr>
          <m:t xml:space="preserve">) </m:t>
        </m:r>
      </m:oMath>
      <w:r w:rsidR="00666C35" w:rsidRPr="00A038BF">
        <w:rPr>
          <w:rFonts w:asciiTheme="majorBidi" w:hAnsiTheme="majorBidi" w:cstheme="majorBidi"/>
        </w:rPr>
        <w:t xml:space="preserve">are </w:t>
      </w:r>
      <w:r w:rsidR="00666C35" w:rsidRPr="00A038BF">
        <w:rPr>
          <w:rFonts w:asciiTheme="majorBidi" w:eastAsia="Times New Roman" w:hAnsiTheme="majorBidi" w:cstheme="majorBidi"/>
        </w:rPr>
        <w:t xml:space="preserve">0.07740, 0.07615, 0.07204, 0.07256, 0.07153, 0.07916 and 0.07976 respectively for </w:t>
      </w:r>
      <w:r w:rsidR="00666C35" w:rsidRPr="00A038BF">
        <w:rPr>
          <w:rFonts w:asciiTheme="majorBidi" w:hAnsiTheme="majorBidi" w:cstheme="majorBidi"/>
        </w:rPr>
        <w:t xml:space="preserve">GWP, </w:t>
      </w:r>
      <w:r w:rsidR="003C5589" w:rsidRPr="00A038BF">
        <w:rPr>
          <w:rFonts w:asciiTheme="majorBidi" w:hAnsiTheme="majorBidi" w:cstheme="majorBidi"/>
        </w:rPr>
        <w:t>HTP</w:t>
      </w:r>
      <w:r w:rsidR="00666C35" w:rsidRPr="00A038BF">
        <w:rPr>
          <w:rFonts w:asciiTheme="majorBidi" w:hAnsiTheme="majorBidi" w:cstheme="majorBidi"/>
        </w:rPr>
        <w:t xml:space="preserve">, AP, TE, FD, EE, and cost. The maximum value for each </w:t>
      </w:r>
      <w:r w:rsidR="005267BA" w:rsidRPr="00A038BF">
        <w:rPr>
          <w:rFonts w:asciiTheme="majorBidi" w:hAnsiTheme="majorBidi" w:cstheme="majorBidi"/>
        </w:rPr>
        <w:t xml:space="preserve">criterion </w:t>
      </w:r>
      <w:r w:rsidR="00666C35" w:rsidRPr="00A038BF">
        <w:rPr>
          <w:rFonts w:asciiTheme="majorBidi" w:hAnsiTheme="majorBidi" w:cstheme="majorBidi"/>
        </w:rPr>
        <w:t>considered as ideal worst</w:t>
      </w:r>
      <w:r w:rsidR="008A72CF" w:rsidRPr="00A038BF">
        <w:rPr>
          <w:rFonts w:asciiTheme="majorBidi" w:hAnsiTheme="majorBidi" w:cstheme="majorBidi"/>
        </w:rPr>
        <w:t xml:space="preserve"> </w:t>
      </w:r>
      <m:oMath>
        <m:r>
          <w:rPr>
            <w:rFonts w:ascii="Cambria Math" w:hAnsi="Cambria Math" w:cstheme="majorBidi"/>
          </w:rPr>
          <m:t>(</m:t>
        </m:r>
        <m:sSup>
          <m:sSupPr>
            <m:ctrlPr>
              <w:rPr>
                <w:rFonts w:ascii="Cambria Math" w:hAnsi="Cambria Math" w:cstheme="majorBidi"/>
                <w:i/>
              </w:rPr>
            </m:ctrlPr>
          </m:sSupPr>
          <m:e>
            <m:r>
              <w:rPr>
                <w:rFonts w:ascii="Cambria Math" w:hAnsi="Cambria Math" w:cstheme="majorBidi"/>
              </w:rPr>
              <m:t>A</m:t>
            </m:r>
          </m:e>
          <m:sup>
            <m:r>
              <w:rPr>
                <w:rFonts w:ascii="Cambria Math" w:hAnsi="Cambria Math" w:cstheme="majorBidi"/>
              </w:rPr>
              <m:t>+</m:t>
            </m:r>
          </m:sup>
        </m:sSup>
        <m:r>
          <w:rPr>
            <w:rFonts w:ascii="Cambria Math" w:hAnsi="Cambria Math" w:cstheme="majorBidi"/>
          </w:rPr>
          <m:t>)</m:t>
        </m:r>
      </m:oMath>
      <w:r w:rsidR="00666C35" w:rsidRPr="00A038BF">
        <w:rPr>
          <w:rFonts w:asciiTheme="majorBidi" w:hAnsiTheme="majorBidi" w:cstheme="majorBidi"/>
        </w:rPr>
        <w:t xml:space="preserve"> </w:t>
      </w:r>
      <w:r w:rsidR="005267BA" w:rsidRPr="00A038BF">
        <w:rPr>
          <w:rFonts w:asciiTheme="majorBidi" w:hAnsiTheme="majorBidi" w:cstheme="majorBidi"/>
        </w:rPr>
        <w:t xml:space="preserve">is </w:t>
      </w:r>
      <w:r w:rsidR="00F05843" w:rsidRPr="00A038BF">
        <w:rPr>
          <w:rFonts w:asciiTheme="majorBidi" w:eastAsia="Times New Roman" w:hAnsiTheme="majorBidi" w:cstheme="majorBidi"/>
        </w:rPr>
        <w:t>0.0894</w:t>
      </w:r>
      <w:r w:rsidR="00666C35" w:rsidRPr="00A038BF">
        <w:rPr>
          <w:rFonts w:asciiTheme="majorBidi" w:eastAsia="Times New Roman" w:hAnsiTheme="majorBidi" w:cstheme="majorBidi"/>
        </w:rPr>
        <w:t xml:space="preserve">, 0.08795, </w:t>
      </w:r>
      <w:r w:rsidR="00F05843" w:rsidRPr="00A038BF">
        <w:rPr>
          <w:rFonts w:asciiTheme="majorBidi" w:eastAsia="Times New Roman" w:hAnsiTheme="majorBidi" w:cstheme="majorBidi"/>
        </w:rPr>
        <w:t>0.0936</w:t>
      </w:r>
      <w:r w:rsidR="00666C35" w:rsidRPr="00A038BF">
        <w:rPr>
          <w:rFonts w:asciiTheme="majorBidi" w:eastAsia="Times New Roman" w:hAnsiTheme="majorBidi" w:cstheme="majorBidi"/>
        </w:rPr>
        <w:t xml:space="preserve">, 0.09048, </w:t>
      </w:r>
      <w:r w:rsidR="00F05843" w:rsidRPr="00A038BF">
        <w:rPr>
          <w:rFonts w:asciiTheme="majorBidi" w:eastAsia="Times New Roman" w:hAnsiTheme="majorBidi" w:cstheme="majorBidi"/>
        </w:rPr>
        <w:t>0.0979</w:t>
      </w:r>
      <w:r w:rsidR="00666C35" w:rsidRPr="00A038BF">
        <w:rPr>
          <w:rFonts w:asciiTheme="majorBidi" w:eastAsia="Times New Roman" w:hAnsiTheme="majorBidi" w:cstheme="majorBidi"/>
        </w:rPr>
        <w:t xml:space="preserve">, </w:t>
      </w:r>
      <w:r w:rsidR="00F05843" w:rsidRPr="00A038BF">
        <w:rPr>
          <w:rFonts w:asciiTheme="majorBidi" w:eastAsia="Times New Roman" w:hAnsiTheme="majorBidi" w:cstheme="majorBidi"/>
        </w:rPr>
        <w:t>0.0881</w:t>
      </w:r>
      <w:r w:rsidR="00666C35" w:rsidRPr="00A038BF">
        <w:rPr>
          <w:rFonts w:asciiTheme="majorBidi" w:eastAsia="Times New Roman" w:hAnsiTheme="majorBidi" w:cstheme="majorBidi"/>
        </w:rPr>
        <w:t xml:space="preserve">, and </w:t>
      </w:r>
      <w:r w:rsidR="00F05843" w:rsidRPr="00A038BF">
        <w:rPr>
          <w:rFonts w:asciiTheme="majorBidi" w:eastAsia="Times New Roman" w:hAnsiTheme="majorBidi" w:cstheme="majorBidi"/>
        </w:rPr>
        <w:t>0.0850</w:t>
      </w:r>
      <w:r w:rsidR="00666C35" w:rsidRPr="00A038BF">
        <w:rPr>
          <w:rFonts w:asciiTheme="majorBidi" w:eastAsia="Times New Roman" w:hAnsiTheme="majorBidi" w:cstheme="majorBidi"/>
        </w:rPr>
        <w:t xml:space="preserve"> respectively for </w:t>
      </w:r>
      <w:r w:rsidR="00666C35" w:rsidRPr="00A038BF">
        <w:rPr>
          <w:rFonts w:asciiTheme="majorBidi" w:hAnsiTheme="majorBidi" w:cstheme="majorBidi"/>
        </w:rPr>
        <w:t xml:space="preserve">GWP, </w:t>
      </w:r>
      <w:r w:rsidR="003C5589" w:rsidRPr="00A038BF">
        <w:rPr>
          <w:rFonts w:asciiTheme="majorBidi" w:hAnsiTheme="majorBidi" w:cstheme="majorBidi"/>
        </w:rPr>
        <w:t>HTP</w:t>
      </w:r>
      <w:r w:rsidR="00666C35" w:rsidRPr="00A038BF">
        <w:rPr>
          <w:rFonts w:asciiTheme="majorBidi" w:hAnsiTheme="majorBidi" w:cstheme="majorBidi"/>
        </w:rPr>
        <w:t xml:space="preserve">, AP, TE, FD, EE, and cost. </w:t>
      </w:r>
      <w:r w:rsidR="005267BA" w:rsidRPr="00A038BF">
        <w:rPr>
          <w:rFonts w:asciiTheme="majorBidi" w:hAnsiTheme="majorBidi" w:cstheme="majorBidi"/>
        </w:rPr>
        <w:t xml:space="preserve">Next, </w:t>
      </w:r>
      <w:r w:rsidR="00203648" w:rsidRPr="00A038BF">
        <w:rPr>
          <w:rFonts w:asciiTheme="majorBidi" w:hAnsiTheme="majorBidi" w:cstheme="majorBidi"/>
        </w:rPr>
        <w:t xml:space="preserve">the Euclidean distance from the ideal best </w:t>
      </w:r>
      <w:r w:rsidRPr="00A038BF">
        <w:rPr>
          <w:rFonts w:asciiTheme="majorBidi" w:hAnsiTheme="majorBidi" w:cstheme="majorBidi"/>
        </w:rPr>
        <w:t>(</w:t>
      </w:r>
      <m:oMath>
        <m:sSubSup>
          <m:sSubSupPr>
            <m:ctrlPr>
              <w:rPr>
                <w:rFonts w:ascii="Cambria Math" w:hAnsi="Cambria Math" w:cstheme="majorBidi"/>
                <w:i/>
              </w:rPr>
            </m:ctrlPr>
          </m:sSubSupPr>
          <m:e>
            <m:r>
              <w:rPr>
                <w:rFonts w:ascii="Cambria Math" w:hAnsi="Cambria Math" w:cstheme="majorBidi"/>
              </w:rPr>
              <m:t>S</m:t>
            </m:r>
          </m:e>
          <m:sub>
            <m:r>
              <w:rPr>
                <w:rFonts w:ascii="Cambria Math" w:hAnsi="Cambria Math" w:cstheme="majorBidi"/>
              </w:rPr>
              <m:t>i</m:t>
            </m:r>
          </m:sub>
          <m:sup>
            <m:r>
              <w:rPr>
                <w:rFonts w:ascii="Cambria Math" w:hAnsi="Cambria Math" w:cstheme="majorBidi"/>
              </w:rPr>
              <m:t>+</m:t>
            </m:r>
          </m:sup>
        </m:sSubSup>
        <m:r>
          <w:rPr>
            <w:rFonts w:ascii="Cambria Math" w:hAnsi="Cambria Math" w:cstheme="majorBidi"/>
          </w:rPr>
          <m:t>)</m:t>
        </m:r>
      </m:oMath>
      <w:r w:rsidRPr="00A038BF">
        <w:rPr>
          <w:rFonts w:asciiTheme="majorBidi" w:hAnsiTheme="majorBidi" w:cstheme="majorBidi"/>
        </w:rPr>
        <w:t xml:space="preserve"> </w:t>
      </w:r>
      <w:r w:rsidR="005267BA" w:rsidRPr="00A038BF">
        <w:rPr>
          <w:rFonts w:asciiTheme="majorBidi" w:hAnsiTheme="majorBidi" w:cstheme="majorBidi"/>
        </w:rPr>
        <w:t xml:space="preserve">needs to be calculated </w:t>
      </w:r>
      <w:r w:rsidR="00203648" w:rsidRPr="00A038BF">
        <w:rPr>
          <w:rFonts w:asciiTheme="majorBidi" w:hAnsiTheme="majorBidi" w:cstheme="majorBidi"/>
        </w:rPr>
        <w:t xml:space="preserve">using </w:t>
      </w:r>
      <w:r w:rsidR="00C30AC5" w:rsidRPr="00A038BF">
        <w:rPr>
          <w:rFonts w:asciiTheme="majorBidi" w:hAnsiTheme="majorBidi" w:cstheme="majorBidi"/>
        </w:rPr>
        <w:t>e</w:t>
      </w:r>
      <w:r w:rsidR="00203648" w:rsidRPr="00A038BF">
        <w:rPr>
          <w:rFonts w:asciiTheme="majorBidi" w:hAnsiTheme="majorBidi" w:cstheme="majorBidi"/>
        </w:rPr>
        <w:t>quation (5)</w:t>
      </w:r>
      <w:r w:rsidR="005267BA" w:rsidRPr="00A038BF">
        <w:rPr>
          <w:rFonts w:asciiTheme="majorBidi" w:hAnsiTheme="majorBidi" w:cstheme="majorBidi"/>
        </w:rPr>
        <w:t>. T</w:t>
      </w:r>
      <w:r w:rsidRPr="00A038BF">
        <w:rPr>
          <w:rFonts w:asciiTheme="majorBidi" w:hAnsiTheme="majorBidi" w:cstheme="majorBidi"/>
        </w:rPr>
        <w:t xml:space="preserve">he Euclidean distance from ideal worst </w:t>
      </w:r>
      <w:r w:rsidR="00203648" w:rsidRPr="00A038BF">
        <w:rPr>
          <w:rFonts w:asciiTheme="majorBidi" w:hAnsiTheme="majorBidi" w:cstheme="majorBidi"/>
        </w:rPr>
        <w:t xml:space="preserve"> </w:t>
      </w:r>
      <m:oMath>
        <m:sSubSup>
          <m:sSubSupPr>
            <m:ctrlPr>
              <w:rPr>
                <w:rFonts w:ascii="Cambria Math" w:hAnsi="Cambria Math" w:cstheme="majorBidi"/>
                <w:i/>
              </w:rPr>
            </m:ctrlPr>
          </m:sSubSupPr>
          <m:e>
            <m:r>
              <w:rPr>
                <w:rFonts w:ascii="Cambria Math" w:hAnsi="Cambria Math" w:cstheme="majorBidi"/>
              </w:rPr>
              <m:t>S</m:t>
            </m:r>
          </m:e>
          <m:sub>
            <m:r>
              <w:rPr>
                <w:rFonts w:ascii="Cambria Math" w:hAnsi="Cambria Math" w:cstheme="majorBidi"/>
              </w:rPr>
              <m:t>i</m:t>
            </m:r>
          </m:sub>
          <m:sup>
            <m:r>
              <w:rPr>
                <w:rFonts w:ascii="Cambria Math" w:hAnsi="Cambria Math" w:cstheme="majorBidi"/>
              </w:rPr>
              <m:t>-</m:t>
            </m:r>
          </m:sup>
        </m:sSubSup>
      </m:oMath>
      <w:r w:rsidRPr="00A038BF">
        <w:rPr>
          <w:rFonts w:asciiTheme="majorBidi" w:eastAsiaTheme="minorEastAsia" w:hAnsiTheme="majorBidi" w:cstheme="majorBidi"/>
        </w:rPr>
        <w:t xml:space="preserve"> </w:t>
      </w:r>
      <w:r w:rsidR="005267BA" w:rsidRPr="00A038BF">
        <w:rPr>
          <w:rFonts w:asciiTheme="majorBidi" w:hAnsiTheme="majorBidi" w:cstheme="majorBidi"/>
        </w:rPr>
        <w:t>is determined in a similar manner u</w:t>
      </w:r>
      <w:r w:rsidRPr="00A038BF">
        <w:rPr>
          <w:rFonts w:asciiTheme="majorBidi" w:eastAsiaTheme="minorEastAsia" w:hAnsiTheme="majorBidi" w:cstheme="majorBidi"/>
        </w:rPr>
        <w:t xml:space="preserve">sing </w:t>
      </w:r>
      <w:r w:rsidR="00C30AC5" w:rsidRPr="00A038BF">
        <w:rPr>
          <w:rFonts w:asciiTheme="majorBidi" w:hAnsiTheme="majorBidi" w:cstheme="majorBidi"/>
        </w:rPr>
        <w:t>e</w:t>
      </w:r>
      <w:r w:rsidRPr="00A038BF">
        <w:rPr>
          <w:rFonts w:asciiTheme="majorBidi" w:hAnsiTheme="majorBidi" w:cstheme="majorBidi"/>
        </w:rPr>
        <w:t>quation (6)</w:t>
      </w:r>
      <w:r w:rsidR="00B76F17" w:rsidRPr="00A038BF">
        <w:rPr>
          <w:rFonts w:asciiTheme="majorBidi" w:hAnsiTheme="majorBidi" w:cstheme="majorBidi"/>
        </w:rPr>
        <w:t xml:space="preserve"> as shown in table 5</w:t>
      </w:r>
      <w:r w:rsidR="00971D25" w:rsidRPr="00A038BF">
        <w:rPr>
          <w:rFonts w:asciiTheme="majorBidi" w:hAnsiTheme="majorBidi" w:cstheme="majorBidi"/>
        </w:rPr>
        <w:t xml:space="preserve">. </w:t>
      </w:r>
      <w:r w:rsidR="00117395" w:rsidRPr="00A038BF">
        <w:rPr>
          <w:rFonts w:asciiTheme="majorBidi" w:hAnsiTheme="majorBidi" w:cstheme="majorBidi"/>
        </w:rPr>
        <w:t xml:space="preserve">Finally, the relative closeness </w:t>
      </w:r>
      <w:r w:rsidR="007059C5" w:rsidRPr="00A038BF">
        <w:rPr>
          <w:rFonts w:asciiTheme="majorBidi" w:hAnsiTheme="majorBidi" w:cstheme="majorBidi"/>
        </w:rPr>
        <w:t>performance score</w:t>
      </w:r>
      <w:r w:rsidR="002A75D9" w:rsidRPr="00A038B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r>
          <w:rPr>
            <w:rFonts w:ascii="Cambria Math" w:hAnsi="Cambria Math" w:cstheme="majorBidi"/>
          </w:rPr>
          <m:t>)</m:t>
        </m:r>
      </m:oMath>
      <w:r w:rsidR="00117395" w:rsidRPr="00A038BF">
        <w:rPr>
          <w:rFonts w:asciiTheme="majorBidi" w:hAnsiTheme="majorBidi" w:cstheme="majorBidi"/>
        </w:rPr>
        <w:t xml:space="preserve"> </w:t>
      </w:r>
      <w:r w:rsidR="005267BA" w:rsidRPr="00A038BF">
        <w:rPr>
          <w:rFonts w:asciiTheme="majorBidi" w:hAnsiTheme="majorBidi" w:cstheme="majorBidi"/>
        </w:rPr>
        <w:t>is evaluated using</w:t>
      </w:r>
      <w:r w:rsidR="00117395" w:rsidRPr="00A038BF">
        <w:rPr>
          <w:rFonts w:asciiTheme="majorBidi" w:hAnsiTheme="majorBidi" w:cstheme="majorBidi"/>
        </w:rPr>
        <w:t xml:space="preserve"> equation (7).</w:t>
      </w:r>
      <w:r w:rsidR="002A75D9" w:rsidRPr="00A038BF">
        <w:rPr>
          <w:rFonts w:asciiTheme="majorBidi" w:hAnsiTheme="majorBidi" w:cstheme="majorBidi"/>
        </w:rPr>
        <w:t xml:space="preserve"> Based on </w:t>
      </w:r>
      <w:r w:rsidR="00A763E8" w:rsidRPr="00A038BF">
        <w:rPr>
          <w:rFonts w:asciiTheme="majorBidi" w:hAnsiTheme="majorBidi" w:cstheme="majorBidi"/>
        </w:rPr>
        <w:t xml:space="preserve">the </w:t>
      </w:r>
      <w:r w:rsidR="002A75D9" w:rsidRPr="00A038BF">
        <w:rPr>
          <w:rFonts w:asciiTheme="majorBidi" w:hAnsiTheme="majorBidi" w:cstheme="majorBidi"/>
        </w:rPr>
        <w:t>performance score</w:t>
      </w:r>
      <w:r w:rsidR="001375D3" w:rsidRPr="00A038BF">
        <w:rPr>
          <w:rFonts w:asciiTheme="majorBidi" w:hAnsiTheme="majorBidi" w:cstheme="majorBidi"/>
        </w:rPr>
        <w:t xml:space="preserve"> </w:t>
      </w:r>
      <w:r w:rsidR="002A75D9" w:rsidRPr="00A038BF">
        <w:rPr>
          <w:rFonts w:asciiTheme="majorBidi" w:hAnsiTheme="majorBidi" w:cstheme="majorBidi"/>
        </w:rPr>
        <w:t>ranking the alternative buildings</w:t>
      </w:r>
      <w:r w:rsidR="001375D3" w:rsidRPr="00A038BF">
        <w:rPr>
          <w:rFonts w:asciiTheme="majorBidi" w:hAnsiTheme="majorBidi" w:cstheme="majorBidi"/>
        </w:rPr>
        <w:t>,</w:t>
      </w:r>
      <w:r w:rsidR="002A75D9" w:rsidRPr="00A038BF">
        <w:rPr>
          <w:rFonts w:asciiTheme="majorBidi" w:hAnsiTheme="majorBidi" w:cstheme="majorBidi"/>
        </w:rPr>
        <w:t xml:space="preserve"> DLT </w:t>
      </w:r>
      <w:r w:rsidR="001375D3" w:rsidRPr="00A038BF">
        <w:rPr>
          <w:rFonts w:asciiTheme="majorBidi" w:hAnsiTheme="majorBidi" w:cstheme="majorBidi"/>
        </w:rPr>
        <w:t xml:space="preserve">was identified to be </w:t>
      </w:r>
      <w:r w:rsidR="002A75D9" w:rsidRPr="00A038BF">
        <w:rPr>
          <w:rFonts w:asciiTheme="majorBidi" w:hAnsiTheme="majorBidi" w:cstheme="majorBidi"/>
        </w:rPr>
        <w:t xml:space="preserve">the best </w:t>
      </w:r>
      <w:r w:rsidR="001375D3" w:rsidRPr="00A038BF">
        <w:rPr>
          <w:rFonts w:asciiTheme="majorBidi" w:hAnsiTheme="majorBidi" w:cstheme="majorBidi"/>
        </w:rPr>
        <w:t xml:space="preserve">timber </w:t>
      </w:r>
      <w:r w:rsidR="002A75D9" w:rsidRPr="00A038BF">
        <w:rPr>
          <w:rFonts w:asciiTheme="majorBidi" w:hAnsiTheme="majorBidi" w:cstheme="majorBidi"/>
        </w:rPr>
        <w:t>material with 0.8363 followed by 0.4969 and 0.3844 relevant to CLT and NLT.</w:t>
      </w:r>
      <w:r w:rsidR="002A75D9" w:rsidRPr="00A038BF">
        <w:rPr>
          <w:rFonts w:asciiTheme="majorBidi" w:hAnsiTheme="majorBidi" w:cstheme="majorBidi"/>
          <w:sz w:val="16"/>
          <w:szCs w:val="16"/>
        </w:rPr>
        <w:t xml:space="preserve"> </w:t>
      </w:r>
    </w:p>
    <w:p w14:paraId="06E9C6DF" w14:textId="7D0B54DA" w:rsidR="00B76F17" w:rsidRPr="00A038BF" w:rsidRDefault="00B76F17" w:rsidP="00A763E8">
      <w:pPr>
        <w:spacing w:before="240" w:after="0" w:line="276" w:lineRule="auto"/>
        <w:jc w:val="both"/>
        <w:rPr>
          <w:rFonts w:asciiTheme="majorBidi" w:hAnsiTheme="majorBidi" w:cstheme="majorBidi"/>
          <w:sz w:val="16"/>
          <w:szCs w:val="16"/>
        </w:rPr>
      </w:pPr>
    </w:p>
    <w:p w14:paraId="36C336E4" w14:textId="77777777" w:rsidR="00B76F17" w:rsidRPr="00A038BF" w:rsidRDefault="00B76F17" w:rsidP="00A763E8">
      <w:pPr>
        <w:spacing w:before="240" w:after="0" w:line="276" w:lineRule="auto"/>
        <w:jc w:val="both"/>
        <w:rPr>
          <w:rFonts w:asciiTheme="majorBidi" w:hAnsiTheme="majorBidi" w:cstheme="majorBidi"/>
          <w:sz w:val="16"/>
          <w:szCs w:val="16"/>
        </w:rPr>
      </w:pPr>
    </w:p>
    <w:p w14:paraId="3708AC78" w14:textId="439DAB3C" w:rsidR="00711F0E" w:rsidRPr="00A038BF" w:rsidRDefault="00B76F17" w:rsidP="00955714">
      <w:pPr>
        <w:spacing w:before="240" w:after="0"/>
        <w:ind w:firstLine="720"/>
        <w:rPr>
          <w:rFonts w:asciiTheme="majorBidi" w:hAnsiTheme="majorBidi" w:cstheme="majorBidi"/>
          <w:sz w:val="20"/>
          <w:szCs w:val="20"/>
        </w:rPr>
      </w:pPr>
      <w:r w:rsidRPr="00A038BF">
        <w:rPr>
          <w:rFonts w:asciiTheme="majorBidi" w:hAnsiTheme="majorBidi" w:cstheme="majorBidi"/>
          <w:sz w:val="20"/>
          <w:szCs w:val="20"/>
        </w:rPr>
        <w:t>Table 5</w:t>
      </w:r>
      <w:r w:rsidR="006E6EDC" w:rsidRPr="00A038BF">
        <w:rPr>
          <w:rFonts w:asciiTheme="majorBidi" w:hAnsiTheme="majorBidi" w:cstheme="majorBidi"/>
          <w:sz w:val="20"/>
          <w:szCs w:val="20"/>
        </w:rPr>
        <w:t xml:space="preserve">, result of MCDM using TOPSIS </w:t>
      </w:r>
    </w:p>
    <w:tbl>
      <w:tblPr>
        <w:tblW w:w="0" w:type="auto"/>
        <w:jc w:val="center"/>
        <w:tblLook w:val="04A0" w:firstRow="1" w:lastRow="0" w:firstColumn="1" w:lastColumn="0" w:noHBand="0" w:noVBand="1"/>
      </w:tblPr>
      <w:tblGrid>
        <w:gridCol w:w="732"/>
        <w:gridCol w:w="656"/>
        <w:gridCol w:w="656"/>
        <w:gridCol w:w="656"/>
        <w:gridCol w:w="656"/>
        <w:gridCol w:w="656"/>
        <w:gridCol w:w="656"/>
        <w:gridCol w:w="874"/>
        <w:gridCol w:w="656"/>
        <w:gridCol w:w="656"/>
        <w:gridCol w:w="656"/>
        <w:gridCol w:w="656"/>
      </w:tblGrid>
      <w:tr w:rsidR="00A038BF" w:rsidRPr="00A038BF" w14:paraId="3A40DC36" w14:textId="77777777" w:rsidTr="001551A0">
        <w:trPr>
          <w:trHeight w:val="307"/>
          <w:jc w:val="center"/>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62CD4165"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b/>
                <w:bCs/>
                <w:i/>
                <w:iCs/>
                <w:sz w:val="16"/>
                <w:szCs w:val="16"/>
              </w:rPr>
              <w:t>Criteria</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7752BCAB"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GWP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C1CEB6D" w14:textId="77777777" w:rsidR="00E50567" w:rsidRPr="00A038BF" w:rsidRDefault="003C5589" w:rsidP="00391321">
            <w:pPr>
              <w:spacing w:after="0"/>
              <w:jc w:val="center"/>
              <w:rPr>
                <w:rFonts w:asciiTheme="majorBidi" w:hAnsiTheme="majorBidi" w:cstheme="majorBidi"/>
                <w:sz w:val="16"/>
                <w:szCs w:val="16"/>
              </w:rPr>
            </w:pPr>
            <w:r w:rsidRPr="00A038BF">
              <w:rPr>
                <w:rFonts w:asciiTheme="majorBidi" w:hAnsiTheme="majorBidi" w:cstheme="majorBidi"/>
              </w:rPr>
              <w:t>HTP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C807F74"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TE</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28A64A3A"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HTP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E7A58AF"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LUP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6A8DB3D"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FDP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6EF6657" w14:textId="77777777" w:rsidR="00F667D2" w:rsidRPr="00A038BF" w:rsidRDefault="00F667D2"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 xml:space="preserve">Embodied </w:t>
            </w:r>
          </w:p>
          <w:p w14:paraId="7935CD67" w14:textId="77777777" w:rsidR="00E50567" w:rsidRPr="00A038BF" w:rsidRDefault="00F667D2"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energy</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2015D24B" w14:textId="77777777" w:rsidR="00E50567" w:rsidRPr="00A038BF" w:rsidRDefault="00E50567" w:rsidP="00391321">
            <w:pPr>
              <w:spacing w:after="0"/>
              <w:jc w:val="center"/>
              <w:rPr>
                <w:rFonts w:asciiTheme="majorBidi" w:hAnsiTheme="majorBidi" w:cstheme="majorBidi"/>
                <w:sz w:val="16"/>
                <w:szCs w:val="16"/>
              </w:rPr>
            </w:pPr>
            <w:r w:rsidRPr="00A038BF">
              <w:rPr>
                <w:rFonts w:asciiTheme="majorBidi" w:hAnsiTheme="majorBidi" w:cstheme="majorBidi"/>
                <w:sz w:val="16"/>
                <w:szCs w:val="16"/>
              </w:rPr>
              <w:t>Cost</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031540D" w14:textId="77777777" w:rsidR="00E50567" w:rsidRPr="00A038BF" w:rsidRDefault="008E67B0" w:rsidP="00391321">
            <w:pPr>
              <w:spacing w:after="0"/>
              <w:jc w:val="center"/>
              <w:rPr>
                <w:rFonts w:asciiTheme="majorBidi" w:hAnsiTheme="majorBidi" w:cstheme="majorBidi"/>
                <w:sz w:val="16"/>
                <w:szCs w:val="16"/>
              </w:rPr>
            </w:pPr>
            <m:oMathPara>
              <m:oMath>
                <m:sSubSup>
                  <m:sSubSupPr>
                    <m:ctrlPr>
                      <w:rPr>
                        <w:rFonts w:ascii="Cambria Math" w:hAnsi="Cambria Math" w:cstheme="majorBidi"/>
                        <w:i/>
                      </w:rPr>
                    </m:ctrlPr>
                  </m:sSubSupPr>
                  <m:e>
                    <m:r>
                      <w:rPr>
                        <w:rFonts w:ascii="Cambria Math" w:hAnsi="Cambria Math" w:cstheme="majorBidi"/>
                      </w:rPr>
                      <m:t>S</m:t>
                    </m:r>
                  </m:e>
                  <m:sub>
                    <m:r>
                      <w:rPr>
                        <w:rFonts w:ascii="Cambria Math" w:hAnsi="Cambria Math" w:cstheme="majorBidi"/>
                      </w:rPr>
                      <m:t>i</m:t>
                    </m:r>
                  </m:sub>
                  <m:sup>
                    <m:r>
                      <w:rPr>
                        <w:rFonts w:ascii="Cambria Math" w:hAnsi="Cambria Math" w:cstheme="majorBidi"/>
                      </w:rPr>
                      <m:t>+</m:t>
                    </m:r>
                  </m:sup>
                </m:sSubSup>
              </m:oMath>
            </m:oMathPara>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7F72312A" w14:textId="77777777" w:rsidR="00E50567" w:rsidRPr="00A038BF" w:rsidRDefault="008E67B0" w:rsidP="00391321">
            <w:pPr>
              <w:spacing w:after="0" w:line="276" w:lineRule="auto"/>
              <w:jc w:val="both"/>
              <w:rPr>
                <w:rFonts w:asciiTheme="majorBidi" w:hAnsiTheme="majorBidi" w:cstheme="majorBidi"/>
              </w:rPr>
            </w:pPr>
            <m:oMathPara>
              <m:oMath>
                <m:sSubSup>
                  <m:sSubSupPr>
                    <m:ctrlPr>
                      <w:rPr>
                        <w:rFonts w:ascii="Cambria Math" w:hAnsi="Cambria Math" w:cstheme="majorBidi"/>
                        <w:i/>
                      </w:rPr>
                    </m:ctrlPr>
                  </m:sSubSupPr>
                  <m:e>
                    <m:r>
                      <w:rPr>
                        <w:rFonts w:ascii="Cambria Math" w:hAnsi="Cambria Math" w:cstheme="majorBidi"/>
                      </w:rPr>
                      <m:t>S</m:t>
                    </m:r>
                  </m:e>
                  <m:sub>
                    <m:r>
                      <w:rPr>
                        <w:rFonts w:ascii="Cambria Math" w:hAnsi="Cambria Math" w:cstheme="majorBidi"/>
                      </w:rPr>
                      <m:t>i</m:t>
                    </m:r>
                  </m:sub>
                  <m:sup>
                    <m:r>
                      <w:rPr>
                        <w:rFonts w:ascii="Cambria Math" w:hAnsi="Cambria Math" w:cstheme="majorBidi"/>
                      </w:rPr>
                      <m:t>-</m:t>
                    </m:r>
                  </m:sup>
                </m:sSubSup>
              </m:oMath>
            </m:oMathPara>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5AD50C2C" w14:textId="77777777" w:rsidR="00E50567" w:rsidRPr="00A038BF" w:rsidRDefault="008E67B0" w:rsidP="00391321">
            <w:pPr>
              <w:spacing w:after="0"/>
              <w:rPr>
                <w:rFonts w:asciiTheme="majorBidi" w:hAnsiTheme="majorBidi" w:cstheme="majorBidi"/>
                <w:sz w:val="16"/>
                <w:szCs w:val="16"/>
              </w:rPr>
            </w:pPr>
            <m:oMathPara>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oMath>
            </m:oMathPara>
          </w:p>
        </w:tc>
      </w:tr>
      <w:tr w:rsidR="00A038BF" w:rsidRPr="00A038BF" w14:paraId="36F12D0F" w14:textId="77777777" w:rsidTr="001551A0">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54CD07E"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CLT</w:t>
            </w:r>
          </w:p>
        </w:tc>
        <w:tc>
          <w:tcPr>
            <w:tcW w:w="0" w:type="auto"/>
            <w:tcBorders>
              <w:top w:val="nil"/>
              <w:left w:val="nil"/>
              <w:bottom w:val="single" w:sz="4" w:space="0" w:color="auto"/>
              <w:right w:val="single" w:sz="4" w:space="0" w:color="auto"/>
            </w:tcBorders>
            <w:shd w:val="clear" w:color="auto" w:fill="auto"/>
            <w:noWrap/>
            <w:vAlign w:val="center"/>
          </w:tcPr>
          <w:p w14:paraId="4EE7598C"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0.1189</w:t>
            </w:r>
          </w:p>
        </w:tc>
        <w:tc>
          <w:tcPr>
            <w:tcW w:w="0" w:type="auto"/>
            <w:tcBorders>
              <w:top w:val="nil"/>
              <w:left w:val="nil"/>
              <w:bottom w:val="single" w:sz="4" w:space="0" w:color="auto"/>
              <w:right w:val="single" w:sz="4" w:space="0" w:color="auto"/>
            </w:tcBorders>
            <w:shd w:val="clear" w:color="auto" w:fill="auto"/>
            <w:noWrap/>
            <w:vAlign w:val="center"/>
          </w:tcPr>
          <w:p w14:paraId="1C633FA8"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0.0718</w:t>
            </w:r>
          </w:p>
        </w:tc>
        <w:tc>
          <w:tcPr>
            <w:tcW w:w="0" w:type="auto"/>
            <w:tcBorders>
              <w:top w:val="nil"/>
              <w:left w:val="nil"/>
              <w:bottom w:val="single" w:sz="4" w:space="0" w:color="auto"/>
              <w:right w:val="single" w:sz="4" w:space="0" w:color="auto"/>
            </w:tcBorders>
            <w:shd w:val="clear" w:color="auto" w:fill="auto"/>
            <w:noWrap/>
            <w:vAlign w:val="center"/>
          </w:tcPr>
          <w:p w14:paraId="268DC3C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0.0600</w:t>
            </w:r>
          </w:p>
        </w:tc>
        <w:tc>
          <w:tcPr>
            <w:tcW w:w="0" w:type="auto"/>
            <w:tcBorders>
              <w:top w:val="nil"/>
              <w:left w:val="nil"/>
              <w:bottom w:val="single" w:sz="4" w:space="0" w:color="auto"/>
              <w:right w:val="single" w:sz="4" w:space="0" w:color="auto"/>
            </w:tcBorders>
            <w:shd w:val="clear" w:color="auto" w:fill="auto"/>
            <w:noWrap/>
            <w:vAlign w:val="center"/>
          </w:tcPr>
          <w:p w14:paraId="279DA362"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0.0545</w:t>
            </w:r>
          </w:p>
        </w:tc>
        <w:tc>
          <w:tcPr>
            <w:tcW w:w="0" w:type="auto"/>
            <w:tcBorders>
              <w:top w:val="nil"/>
              <w:left w:val="nil"/>
              <w:bottom w:val="single" w:sz="4" w:space="0" w:color="auto"/>
              <w:right w:val="single" w:sz="4" w:space="0" w:color="auto"/>
            </w:tcBorders>
            <w:shd w:val="clear" w:color="000000" w:fill="FFFFFF"/>
            <w:noWrap/>
            <w:vAlign w:val="center"/>
          </w:tcPr>
          <w:p w14:paraId="6591AF81"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0.0581</w:t>
            </w:r>
          </w:p>
        </w:tc>
        <w:tc>
          <w:tcPr>
            <w:tcW w:w="0" w:type="auto"/>
            <w:tcBorders>
              <w:top w:val="nil"/>
              <w:left w:val="nil"/>
              <w:bottom w:val="single" w:sz="4" w:space="0" w:color="auto"/>
              <w:right w:val="single" w:sz="4" w:space="0" w:color="auto"/>
            </w:tcBorders>
            <w:shd w:val="clear" w:color="000000" w:fill="FFFFFF"/>
            <w:noWrap/>
            <w:vAlign w:val="center"/>
          </w:tcPr>
          <w:p w14:paraId="2106DDF4"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0.0882</w:t>
            </w:r>
          </w:p>
        </w:tc>
        <w:tc>
          <w:tcPr>
            <w:tcW w:w="0" w:type="auto"/>
            <w:tcBorders>
              <w:top w:val="nil"/>
              <w:left w:val="nil"/>
              <w:bottom w:val="single" w:sz="4" w:space="0" w:color="auto"/>
              <w:right w:val="single" w:sz="4" w:space="0" w:color="auto"/>
            </w:tcBorders>
            <w:shd w:val="clear" w:color="000000" w:fill="FFFFFF"/>
            <w:noWrap/>
            <w:vAlign w:val="center"/>
          </w:tcPr>
          <w:p w14:paraId="1F7D974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0.1329</w:t>
            </w:r>
          </w:p>
        </w:tc>
        <w:tc>
          <w:tcPr>
            <w:tcW w:w="0" w:type="auto"/>
            <w:tcBorders>
              <w:top w:val="nil"/>
              <w:left w:val="nil"/>
              <w:bottom w:val="single" w:sz="4" w:space="0" w:color="auto"/>
              <w:right w:val="single" w:sz="4" w:space="0" w:color="auto"/>
            </w:tcBorders>
            <w:shd w:val="clear" w:color="000000" w:fill="FFFFFF"/>
            <w:noWrap/>
            <w:vAlign w:val="center"/>
          </w:tcPr>
          <w:p w14:paraId="302277FC"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0.1189</w:t>
            </w:r>
          </w:p>
        </w:tc>
        <w:tc>
          <w:tcPr>
            <w:tcW w:w="0" w:type="auto"/>
            <w:tcBorders>
              <w:top w:val="nil"/>
              <w:left w:val="nil"/>
              <w:bottom w:val="single" w:sz="4" w:space="0" w:color="auto"/>
              <w:right w:val="single" w:sz="4" w:space="0" w:color="auto"/>
            </w:tcBorders>
            <w:shd w:val="clear" w:color="auto" w:fill="auto"/>
            <w:noWrap/>
            <w:vAlign w:val="center"/>
          </w:tcPr>
          <w:p w14:paraId="3561C08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0.0227</w:t>
            </w:r>
          </w:p>
        </w:tc>
        <w:tc>
          <w:tcPr>
            <w:tcW w:w="0" w:type="auto"/>
            <w:tcBorders>
              <w:top w:val="nil"/>
              <w:left w:val="nil"/>
              <w:bottom w:val="single" w:sz="4" w:space="0" w:color="auto"/>
              <w:right w:val="single" w:sz="4" w:space="0" w:color="auto"/>
            </w:tcBorders>
            <w:shd w:val="clear" w:color="auto" w:fill="auto"/>
            <w:noWrap/>
            <w:vAlign w:val="center"/>
          </w:tcPr>
          <w:p w14:paraId="022508C4"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0.0224</w:t>
            </w:r>
          </w:p>
        </w:tc>
        <w:tc>
          <w:tcPr>
            <w:tcW w:w="0" w:type="auto"/>
            <w:tcBorders>
              <w:top w:val="nil"/>
              <w:left w:val="nil"/>
              <w:bottom w:val="single" w:sz="4" w:space="0" w:color="auto"/>
              <w:right w:val="single" w:sz="4" w:space="0" w:color="auto"/>
            </w:tcBorders>
            <w:shd w:val="clear" w:color="auto" w:fill="auto"/>
            <w:noWrap/>
            <w:vAlign w:val="center"/>
          </w:tcPr>
          <w:p w14:paraId="61CE005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0.4969</w:t>
            </w:r>
          </w:p>
        </w:tc>
      </w:tr>
      <w:tr w:rsidR="00A038BF" w:rsidRPr="00A038BF" w14:paraId="26F3F57A" w14:textId="77777777" w:rsidTr="001551A0">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5D5A5C2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DLT</w:t>
            </w:r>
          </w:p>
        </w:tc>
        <w:tc>
          <w:tcPr>
            <w:tcW w:w="0" w:type="auto"/>
            <w:tcBorders>
              <w:top w:val="nil"/>
              <w:left w:val="nil"/>
              <w:bottom w:val="single" w:sz="4" w:space="0" w:color="auto"/>
              <w:right w:val="single" w:sz="4" w:space="0" w:color="auto"/>
            </w:tcBorders>
            <w:shd w:val="clear" w:color="auto" w:fill="auto"/>
            <w:noWrap/>
            <w:vAlign w:val="center"/>
          </w:tcPr>
          <w:p w14:paraId="6E8F58B4"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0.1066</w:t>
            </w:r>
          </w:p>
        </w:tc>
        <w:tc>
          <w:tcPr>
            <w:tcW w:w="0" w:type="auto"/>
            <w:tcBorders>
              <w:top w:val="nil"/>
              <w:left w:val="nil"/>
              <w:bottom w:val="single" w:sz="4" w:space="0" w:color="auto"/>
              <w:right w:val="single" w:sz="4" w:space="0" w:color="auto"/>
            </w:tcBorders>
            <w:shd w:val="clear" w:color="auto" w:fill="auto"/>
            <w:noWrap/>
            <w:vAlign w:val="center"/>
          </w:tcPr>
          <w:p w14:paraId="0C4AE53C"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0.0677</w:t>
            </w:r>
          </w:p>
        </w:tc>
        <w:tc>
          <w:tcPr>
            <w:tcW w:w="0" w:type="auto"/>
            <w:tcBorders>
              <w:top w:val="nil"/>
              <w:left w:val="nil"/>
              <w:bottom w:val="single" w:sz="4" w:space="0" w:color="auto"/>
              <w:right w:val="single" w:sz="4" w:space="0" w:color="auto"/>
            </w:tcBorders>
            <w:shd w:val="clear" w:color="auto" w:fill="auto"/>
            <w:noWrap/>
            <w:vAlign w:val="center"/>
          </w:tcPr>
          <w:p w14:paraId="3048DB61"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0.0538</w:t>
            </w:r>
          </w:p>
        </w:tc>
        <w:tc>
          <w:tcPr>
            <w:tcW w:w="0" w:type="auto"/>
            <w:tcBorders>
              <w:top w:val="nil"/>
              <w:left w:val="nil"/>
              <w:bottom w:val="single" w:sz="4" w:space="0" w:color="auto"/>
              <w:right w:val="single" w:sz="4" w:space="0" w:color="auto"/>
            </w:tcBorders>
            <w:shd w:val="clear" w:color="auto" w:fill="auto"/>
            <w:noWrap/>
            <w:vAlign w:val="center"/>
          </w:tcPr>
          <w:p w14:paraId="7614F4F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0.0474</w:t>
            </w:r>
          </w:p>
        </w:tc>
        <w:tc>
          <w:tcPr>
            <w:tcW w:w="0" w:type="auto"/>
            <w:tcBorders>
              <w:top w:val="nil"/>
              <w:left w:val="nil"/>
              <w:bottom w:val="single" w:sz="4" w:space="0" w:color="auto"/>
              <w:right w:val="single" w:sz="4" w:space="0" w:color="auto"/>
            </w:tcBorders>
            <w:shd w:val="clear" w:color="000000" w:fill="FFFFFF"/>
            <w:noWrap/>
            <w:vAlign w:val="center"/>
          </w:tcPr>
          <w:p w14:paraId="1D07D5E5"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0.0551</w:t>
            </w:r>
          </w:p>
        </w:tc>
        <w:tc>
          <w:tcPr>
            <w:tcW w:w="0" w:type="auto"/>
            <w:tcBorders>
              <w:top w:val="nil"/>
              <w:left w:val="nil"/>
              <w:bottom w:val="single" w:sz="4" w:space="0" w:color="auto"/>
              <w:right w:val="single" w:sz="4" w:space="0" w:color="auto"/>
            </w:tcBorders>
            <w:shd w:val="clear" w:color="000000" w:fill="FFFFFF"/>
            <w:noWrap/>
            <w:vAlign w:val="center"/>
          </w:tcPr>
          <w:p w14:paraId="50A58463"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0.0875</w:t>
            </w:r>
          </w:p>
        </w:tc>
        <w:tc>
          <w:tcPr>
            <w:tcW w:w="0" w:type="auto"/>
            <w:tcBorders>
              <w:top w:val="nil"/>
              <w:left w:val="nil"/>
              <w:bottom w:val="single" w:sz="4" w:space="0" w:color="auto"/>
              <w:right w:val="single" w:sz="4" w:space="0" w:color="auto"/>
            </w:tcBorders>
            <w:shd w:val="clear" w:color="000000" w:fill="FFFFFF"/>
            <w:noWrap/>
            <w:vAlign w:val="center"/>
          </w:tcPr>
          <w:p w14:paraId="78D4ADC4"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0.1247</w:t>
            </w:r>
          </w:p>
        </w:tc>
        <w:tc>
          <w:tcPr>
            <w:tcW w:w="0" w:type="auto"/>
            <w:tcBorders>
              <w:top w:val="nil"/>
              <w:left w:val="nil"/>
              <w:bottom w:val="single" w:sz="4" w:space="0" w:color="auto"/>
              <w:right w:val="single" w:sz="4" w:space="0" w:color="auto"/>
            </w:tcBorders>
            <w:shd w:val="clear" w:color="000000" w:fill="FFFFFF"/>
            <w:noWrap/>
            <w:vAlign w:val="center"/>
          </w:tcPr>
          <w:p w14:paraId="121B3650"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0.1066</w:t>
            </w:r>
          </w:p>
        </w:tc>
        <w:tc>
          <w:tcPr>
            <w:tcW w:w="0" w:type="auto"/>
            <w:tcBorders>
              <w:top w:val="nil"/>
              <w:left w:val="nil"/>
              <w:bottom w:val="single" w:sz="4" w:space="0" w:color="auto"/>
              <w:right w:val="single" w:sz="4" w:space="0" w:color="auto"/>
            </w:tcBorders>
            <w:shd w:val="clear" w:color="auto" w:fill="auto"/>
            <w:noWrap/>
            <w:vAlign w:val="center"/>
          </w:tcPr>
          <w:p w14:paraId="38FF4326"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0.0066</w:t>
            </w:r>
          </w:p>
        </w:tc>
        <w:tc>
          <w:tcPr>
            <w:tcW w:w="0" w:type="auto"/>
            <w:tcBorders>
              <w:top w:val="nil"/>
              <w:left w:val="nil"/>
              <w:bottom w:val="single" w:sz="4" w:space="0" w:color="auto"/>
              <w:right w:val="single" w:sz="4" w:space="0" w:color="auto"/>
            </w:tcBorders>
            <w:shd w:val="clear" w:color="auto" w:fill="auto"/>
            <w:noWrap/>
            <w:vAlign w:val="center"/>
          </w:tcPr>
          <w:p w14:paraId="33BFE977"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0.0338</w:t>
            </w:r>
          </w:p>
        </w:tc>
        <w:tc>
          <w:tcPr>
            <w:tcW w:w="0" w:type="auto"/>
            <w:tcBorders>
              <w:top w:val="nil"/>
              <w:left w:val="nil"/>
              <w:bottom w:val="single" w:sz="4" w:space="0" w:color="auto"/>
              <w:right w:val="single" w:sz="4" w:space="0" w:color="auto"/>
            </w:tcBorders>
            <w:shd w:val="clear" w:color="auto" w:fill="auto"/>
            <w:noWrap/>
            <w:vAlign w:val="center"/>
          </w:tcPr>
          <w:p w14:paraId="646C39D8"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0.8363</w:t>
            </w:r>
          </w:p>
        </w:tc>
      </w:tr>
      <w:tr w:rsidR="00A038BF" w:rsidRPr="00A038BF" w14:paraId="7AE080B4" w14:textId="77777777" w:rsidTr="001551A0">
        <w:trPr>
          <w:trHeight w:val="307"/>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781D1345"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NLT</w:t>
            </w:r>
          </w:p>
        </w:tc>
        <w:tc>
          <w:tcPr>
            <w:tcW w:w="0" w:type="auto"/>
            <w:tcBorders>
              <w:top w:val="nil"/>
              <w:left w:val="nil"/>
              <w:bottom w:val="single" w:sz="4" w:space="0" w:color="auto"/>
              <w:right w:val="single" w:sz="4" w:space="0" w:color="auto"/>
            </w:tcBorders>
            <w:shd w:val="clear" w:color="auto" w:fill="auto"/>
            <w:noWrap/>
            <w:vAlign w:val="center"/>
          </w:tcPr>
          <w:p w14:paraId="0E7948FD"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0.1029</w:t>
            </w:r>
          </w:p>
        </w:tc>
        <w:tc>
          <w:tcPr>
            <w:tcW w:w="0" w:type="auto"/>
            <w:tcBorders>
              <w:top w:val="nil"/>
              <w:left w:val="nil"/>
              <w:bottom w:val="single" w:sz="4" w:space="0" w:color="auto"/>
              <w:right w:val="single" w:sz="4" w:space="0" w:color="auto"/>
            </w:tcBorders>
            <w:shd w:val="clear" w:color="auto" w:fill="auto"/>
            <w:noWrap/>
            <w:vAlign w:val="center"/>
          </w:tcPr>
          <w:p w14:paraId="5DF1BC65"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0.0622</w:t>
            </w:r>
          </w:p>
        </w:tc>
        <w:tc>
          <w:tcPr>
            <w:tcW w:w="0" w:type="auto"/>
            <w:tcBorders>
              <w:top w:val="nil"/>
              <w:left w:val="nil"/>
              <w:bottom w:val="single" w:sz="4" w:space="0" w:color="auto"/>
              <w:right w:val="single" w:sz="4" w:space="0" w:color="auto"/>
            </w:tcBorders>
            <w:shd w:val="clear" w:color="auto" w:fill="auto"/>
            <w:noWrap/>
            <w:vAlign w:val="center"/>
          </w:tcPr>
          <w:p w14:paraId="1DD54828"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0.0699</w:t>
            </w:r>
          </w:p>
        </w:tc>
        <w:tc>
          <w:tcPr>
            <w:tcW w:w="0" w:type="auto"/>
            <w:tcBorders>
              <w:top w:val="nil"/>
              <w:left w:val="nil"/>
              <w:bottom w:val="single" w:sz="4" w:space="0" w:color="auto"/>
              <w:right w:val="single" w:sz="4" w:space="0" w:color="auto"/>
            </w:tcBorders>
            <w:shd w:val="clear" w:color="auto" w:fill="auto"/>
            <w:noWrap/>
            <w:vAlign w:val="center"/>
          </w:tcPr>
          <w:p w14:paraId="1A3DFBBA"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0.0591</w:t>
            </w:r>
          </w:p>
        </w:tc>
        <w:tc>
          <w:tcPr>
            <w:tcW w:w="0" w:type="auto"/>
            <w:tcBorders>
              <w:top w:val="nil"/>
              <w:left w:val="nil"/>
              <w:bottom w:val="single" w:sz="4" w:space="0" w:color="auto"/>
              <w:right w:val="single" w:sz="4" w:space="0" w:color="auto"/>
            </w:tcBorders>
            <w:shd w:val="clear" w:color="000000" w:fill="FFFFFF"/>
            <w:noWrap/>
            <w:vAlign w:val="center"/>
          </w:tcPr>
          <w:p w14:paraId="56EED633"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0.0754</w:t>
            </w:r>
          </w:p>
        </w:tc>
        <w:tc>
          <w:tcPr>
            <w:tcW w:w="0" w:type="auto"/>
            <w:tcBorders>
              <w:top w:val="nil"/>
              <w:left w:val="nil"/>
              <w:bottom w:val="single" w:sz="4" w:space="0" w:color="auto"/>
              <w:right w:val="single" w:sz="4" w:space="0" w:color="auto"/>
            </w:tcBorders>
            <w:shd w:val="clear" w:color="000000" w:fill="FFFFFF"/>
            <w:noWrap/>
            <w:vAlign w:val="center"/>
          </w:tcPr>
          <w:p w14:paraId="239C553F"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0.1009</w:t>
            </w:r>
          </w:p>
        </w:tc>
        <w:tc>
          <w:tcPr>
            <w:tcW w:w="0" w:type="auto"/>
            <w:tcBorders>
              <w:top w:val="nil"/>
              <w:left w:val="nil"/>
              <w:bottom w:val="single" w:sz="4" w:space="0" w:color="auto"/>
              <w:right w:val="single" w:sz="4" w:space="0" w:color="auto"/>
            </w:tcBorders>
            <w:shd w:val="clear" w:color="000000" w:fill="FFFFFF"/>
            <w:noWrap/>
            <w:vAlign w:val="center"/>
          </w:tcPr>
          <w:p w14:paraId="3F7F08E2"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0.1291</w:t>
            </w:r>
          </w:p>
        </w:tc>
        <w:tc>
          <w:tcPr>
            <w:tcW w:w="0" w:type="auto"/>
            <w:tcBorders>
              <w:top w:val="nil"/>
              <w:left w:val="nil"/>
              <w:bottom w:val="single" w:sz="4" w:space="0" w:color="auto"/>
              <w:right w:val="single" w:sz="4" w:space="0" w:color="auto"/>
            </w:tcBorders>
            <w:shd w:val="clear" w:color="000000" w:fill="FFFFFF"/>
            <w:noWrap/>
            <w:vAlign w:val="center"/>
          </w:tcPr>
          <w:p w14:paraId="0784AC62"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0.1029</w:t>
            </w:r>
          </w:p>
        </w:tc>
        <w:tc>
          <w:tcPr>
            <w:tcW w:w="0" w:type="auto"/>
            <w:tcBorders>
              <w:top w:val="nil"/>
              <w:left w:val="nil"/>
              <w:bottom w:val="single" w:sz="4" w:space="0" w:color="auto"/>
              <w:right w:val="single" w:sz="4" w:space="0" w:color="auto"/>
            </w:tcBorders>
            <w:shd w:val="clear" w:color="auto" w:fill="auto"/>
            <w:noWrap/>
            <w:vAlign w:val="center"/>
          </w:tcPr>
          <w:p w14:paraId="07D5DCC2"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0.0305</w:t>
            </w:r>
          </w:p>
        </w:tc>
        <w:tc>
          <w:tcPr>
            <w:tcW w:w="0" w:type="auto"/>
            <w:tcBorders>
              <w:top w:val="nil"/>
              <w:left w:val="nil"/>
              <w:bottom w:val="single" w:sz="4" w:space="0" w:color="auto"/>
              <w:right w:val="single" w:sz="4" w:space="0" w:color="auto"/>
            </w:tcBorders>
            <w:shd w:val="clear" w:color="auto" w:fill="auto"/>
            <w:noWrap/>
            <w:vAlign w:val="center"/>
          </w:tcPr>
          <w:p w14:paraId="3282B7F3"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0.0190</w:t>
            </w:r>
          </w:p>
        </w:tc>
        <w:tc>
          <w:tcPr>
            <w:tcW w:w="0" w:type="auto"/>
            <w:tcBorders>
              <w:top w:val="nil"/>
              <w:left w:val="nil"/>
              <w:bottom w:val="single" w:sz="4" w:space="0" w:color="auto"/>
              <w:right w:val="single" w:sz="4" w:space="0" w:color="auto"/>
            </w:tcBorders>
            <w:shd w:val="clear" w:color="auto" w:fill="auto"/>
            <w:noWrap/>
            <w:vAlign w:val="center"/>
          </w:tcPr>
          <w:p w14:paraId="5BD7A4F7" w14:textId="77777777" w:rsidR="001A7EB6" w:rsidRPr="00A038BF" w:rsidRDefault="001A7EB6" w:rsidP="001A7EB6">
            <w:pPr>
              <w:spacing w:after="0"/>
              <w:jc w:val="center"/>
              <w:rPr>
                <w:rFonts w:asciiTheme="majorBidi" w:hAnsiTheme="majorBidi" w:cstheme="majorBidi"/>
                <w:sz w:val="16"/>
                <w:szCs w:val="16"/>
              </w:rPr>
            </w:pPr>
            <w:r w:rsidRPr="00A038BF">
              <w:rPr>
                <w:rFonts w:asciiTheme="majorBidi" w:hAnsiTheme="majorBidi" w:cstheme="majorBidi"/>
                <w:sz w:val="16"/>
                <w:szCs w:val="16"/>
              </w:rPr>
              <w:t>0.3844</w:t>
            </w:r>
          </w:p>
        </w:tc>
      </w:tr>
    </w:tbl>
    <w:p w14:paraId="11B66597" w14:textId="77777777" w:rsidR="00711F0E" w:rsidRPr="00A038BF" w:rsidRDefault="00711F0E" w:rsidP="00711F0E">
      <w:pPr>
        <w:spacing w:before="240"/>
        <w:rPr>
          <w:rFonts w:asciiTheme="majorBidi" w:hAnsiTheme="majorBidi" w:cstheme="majorBidi"/>
          <w:b/>
          <w:bCs/>
          <w:sz w:val="24"/>
          <w:szCs w:val="24"/>
        </w:rPr>
      </w:pPr>
    </w:p>
    <w:p w14:paraId="1D64106C" w14:textId="032CCE9E" w:rsidR="00D510F1" w:rsidRPr="00A038BF" w:rsidRDefault="003C1FB0" w:rsidP="003C1FB0">
      <w:pPr>
        <w:pStyle w:val="ListParagraph"/>
        <w:numPr>
          <w:ilvl w:val="0"/>
          <w:numId w:val="3"/>
        </w:numPr>
        <w:spacing w:before="240"/>
        <w:rPr>
          <w:rFonts w:asciiTheme="majorBidi" w:hAnsiTheme="majorBidi" w:cstheme="majorBidi"/>
          <w:b/>
          <w:bCs/>
          <w:sz w:val="24"/>
          <w:szCs w:val="24"/>
        </w:rPr>
      </w:pPr>
      <w:r w:rsidRPr="00A038BF">
        <w:rPr>
          <w:rFonts w:asciiTheme="majorBidi" w:hAnsiTheme="majorBidi" w:cstheme="majorBidi"/>
          <w:b/>
          <w:bCs/>
          <w:sz w:val="24"/>
          <w:szCs w:val="24"/>
        </w:rPr>
        <w:t>S</w:t>
      </w:r>
      <w:r w:rsidR="0049435C" w:rsidRPr="00A038BF">
        <w:rPr>
          <w:rFonts w:asciiTheme="majorBidi" w:hAnsiTheme="majorBidi" w:cstheme="majorBidi"/>
          <w:b/>
          <w:bCs/>
          <w:sz w:val="24"/>
          <w:szCs w:val="24"/>
        </w:rPr>
        <w:t xml:space="preserve">ensitivity analysis </w:t>
      </w:r>
      <w:r w:rsidR="009F1BF0" w:rsidRPr="00A038BF">
        <w:rPr>
          <w:rFonts w:asciiTheme="majorBidi" w:hAnsiTheme="majorBidi" w:cstheme="majorBidi"/>
          <w:b/>
          <w:bCs/>
        </w:rPr>
        <w:t>and D</w:t>
      </w:r>
      <w:r w:rsidR="00D510F1" w:rsidRPr="00A038BF">
        <w:rPr>
          <w:rFonts w:asciiTheme="majorBidi" w:hAnsiTheme="majorBidi" w:cstheme="majorBidi"/>
          <w:b/>
          <w:bCs/>
        </w:rPr>
        <w:t xml:space="preserve">iscussion </w:t>
      </w:r>
    </w:p>
    <w:p w14:paraId="22D6CC6A" w14:textId="513C1950" w:rsidR="00B918B6" w:rsidRPr="00A038BF" w:rsidRDefault="00D510F1" w:rsidP="00A763E8">
      <w:pPr>
        <w:autoSpaceDE w:val="0"/>
        <w:autoSpaceDN w:val="0"/>
        <w:adjustRightInd w:val="0"/>
        <w:spacing w:after="0" w:line="276" w:lineRule="auto"/>
        <w:ind w:firstLine="720"/>
        <w:jc w:val="both"/>
        <w:rPr>
          <w:rFonts w:asciiTheme="majorBidi" w:hAnsiTheme="majorBidi" w:cstheme="majorBidi"/>
        </w:rPr>
      </w:pPr>
      <w:r w:rsidRPr="00A038BF">
        <w:rPr>
          <w:rFonts w:asciiTheme="majorBidi" w:hAnsiTheme="majorBidi" w:cstheme="majorBidi"/>
        </w:rPr>
        <w:t>Two sensitivity analys</w:t>
      </w:r>
      <w:r w:rsidR="00A763E8" w:rsidRPr="00A038BF">
        <w:rPr>
          <w:rFonts w:asciiTheme="majorBidi" w:hAnsiTheme="majorBidi" w:cstheme="majorBidi"/>
        </w:rPr>
        <w:t>e</w:t>
      </w:r>
      <w:r w:rsidRPr="00A038BF">
        <w:rPr>
          <w:rFonts w:asciiTheme="majorBidi" w:hAnsiTheme="majorBidi" w:cstheme="majorBidi"/>
        </w:rPr>
        <w:t xml:space="preserve">s </w:t>
      </w:r>
      <w:r w:rsidR="0096056A" w:rsidRPr="00A038BF">
        <w:rPr>
          <w:rFonts w:asciiTheme="majorBidi" w:hAnsiTheme="majorBidi" w:cstheme="majorBidi"/>
        </w:rPr>
        <w:t xml:space="preserve">were </w:t>
      </w:r>
      <w:r w:rsidRPr="00A038BF">
        <w:rPr>
          <w:rFonts w:asciiTheme="majorBidi" w:hAnsiTheme="majorBidi" w:cstheme="majorBidi"/>
        </w:rPr>
        <w:t xml:space="preserve">performed to </w:t>
      </w:r>
      <w:r w:rsidR="0096056A" w:rsidRPr="00A038BF">
        <w:rPr>
          <w:rFonts w:asciiTheme="majorBidi" w:hAnsiTheme="majorBidi" w:cstheme="majorBidi"/>
        </w:rPr>
        <w:t xml:space="preserve">determine </w:t>
      </w:r>
      <w:r w:rsidRPr="00A038BF">
        <w:rPr>
          <w:rFonts w:asciiTheme="majorBidi" w:hAnsiTheme="majorBidi" w:cstheme="majorBidi"/>
        </w:rPr>
        <w:t xml:space="preserve">the outcome of this study. </w:t>
      </w:r>
      <w:r w:rsidR="00F85AC8" w:rsidRPr="00A038BF">
        <w:rPr>
          <w:rFonts w:asciiTheme="majorBidi" w:hAnsiTheme="majorBidi" w:cstheme="majorBidi"/>
        </w:rPr>
        <w:t>Firstly</w:t>
      </w:r>
      <w:r w:rsidR="0060758A" w:rsidRPr="00A038BF">
        <w:rPr>
          <w:rFonts w:asciiTheme="majorBidi" w:hAnsiTheme="majorBidi" w:cstheme="majorBidi"/>
        </w:rPr>
        <w:t>,</w:t>
      </w:r>
      <w:r w:rsidRPr="00A038BF">
        <w:rPr>
          <w:rFonts w:asciiTheme="majorBidi" w:hAnsiTheme="majorBidi" w:cstheme="majorBidi"/>
        </w:rPr>
        <w:t xml:space="preserve"> </w:t>
      </w:r>
      <w:r w:rsidR="0096056A" w:rsidRPr="00A038BF">
        <w:rPr>
          <w:rFonts w:asciiTheme="majorBidi" w:hAnsiTheme="majorBidi" w:cstheme="majorBidi"/>
        </w:rPr>
        <w:t xml:space="preserve">an </w:t>
      </w:r>
      <w:r w:rsidRPr="00A038BF">
        <w:rPr>
          <w:rFonts w:asciiTheme="majorBidi" w:hAnsiTheme="majorBidi" w:cstheme="majorBidi"/>
        </w:rPr>
        <w:t>analys</w:t>
      </w:r>
      <w:r w:rsidR="0096056A" w:rsidRPr="00A038BF">
        <w:rPr>
          <w:rFonts w:asciiTheme="majorBidi" w:hAnsiTheme="majorBidi" w:cstheme="majorBidi"/>
        </w:rPr>
        <w:t>i</w:t>
      </w:r>
      <w:r w:rsidRPr="00A038BF">
        <w:rPr>
          <w:rFonts w:asciiTheme="majorBidi" w:hAnsiTheme="majorBidi" w:cstheme="majorBidi"/>
        </w:rPr>
        <w:t xml:space="preserve">s </w:t>
      </w:r>
      <w:r w:rsidR="00A763E8" w:rsidRPr="00A038BF">
        <w:rPr>
          <w:rFonts w:asciiTheme="majorBidi" w:hAnsiTheme="majorBidi" w:cstheme="majorBidi"/>
        </w:rPr>
        <w:t xml:space="preserve">were </w:t>
      </w:r>
      <w:r w:rsidR="0096056A" w:rsidRPr="00A038BF">
        <w:rPr>
          <w:rFonts w:asciiTheme="majorBidi" w:hAnsiTheme="majorBidi" w:cstheme="majorBidi"/>
        </w:rPr>
        <w:t xml:space="preserve">was conducted </w:t>
      </w:r>
      <w:r w:rsidR="00A763E8" w:rsidRPr="00A038BF">
        <w:rPr>
          <w:rFonts w:asciiTheme="majorBidi" w:hAnsiTheme="majorBidi" w:cstheme="majorBidi"/>
        </w:rPr>
        <w:t>to determine the impact of each criterion's weighting</w:t>
      </w:r>
      <w:r w:rsidR="007B7CDC" w:rsidRPr="00A038BF">
        <w:rPr>
          <w:rFonts w:asciiTheme="majorBidi" w:hAnsiTheme="majorBidi" w:cstheme="majorBidi"/>
        </w:rPr>
        <w:t xml:space="preserve"> on the result. </w:t>
      </w:r>
      <w:r w:rsidR="00B918B6" w:rsidRPr="00A038BF">
        <w:rPr>
          <w:rFonts w:asciiTheme="majorBidi" w:hAnsiTheme="majorBidi" w:cstheme="majorBidi"/>
        </w:rPr>
        <w:t xml:space="preserve">The priority of different </w:t>
      </w:r>
      <w:r w:rsidR="0096056A" w:rsidRPr="00A038BF">
        <w:rPr>
          <w:rFonts w:asciiTheme="majorBidi" w:hAnsiTheme="majorBidi" w:cstheme="majorBidi"/>
        </w:rPr>
        <w:t xml:space="preserve">each of the </w:t>
      </w:r>
      <w:r w:rsidR="00B918B6" w:rsidRPr="00A038BF">
        <w:rPr>
          <w:rFonts w:asciiTheme="majorBidi" w:hAnsiTheme="majorBidi" w:cstheme="majorBidi"/>
        </w:rPr>
        <w:t xml:space="preserve">seven criteria </w:t>
      </w:r>
      <w:r w:rsidR="0096056A" w:rsidRPr="00A038BF">
        <w:rPr>
          <w:rFonts w:asciiTheme="majorBidi" w:hAnsiTheme="majorBidi" w:cstheme="majorBidi"/>
        </w:rPr>
        <w:t xml:space="preserve">is </w:t>
      </w:r>
      <w:r w:rsidR="00A763E8" w:rsidRPr="00A038BF">
        <w:rPr>
          <w:rFonts w:asciiTheme="majorBidi" w:hAnsiTheme="majorBidi" w:cstheme="majorBidi"/>
        </w:rPr>
        <w:t>depend</w:t>
      </w:r>
      <w:r w:rsidR="0096056A" w:rsidRPr="00A038BF">
        <w:rPr>
          <w:rFonts w:asciiTheme="majorBidi" w:hAnsiTheme="majorBidi" w:cstheme="majorBidi"/>
        </w:rPr>
        <w:t>ent</w:t>
      </w:r>
      <w:r w:rsidR="00A763E8" w:rsidRPr="00A038BF">
        <w:rPr>
          <w:rFonts w:asciiTheme="majorBidi" w:hAnsiTheme="majorBidi" w:cstheme="majorBidi"/>
        </w:rPr>
        <w:t xml:space="preserve"> on different variables</w:t>
      </w:r>
      <w:r w:rsidR="00B918B6" w:rsidRPr="00A038BF">
        <w:rPr>
          <w:rFonts w:asciiTheme="majorBidi" w:hAnsiTheme="majorBidi" w:cstheme="majorBidi"/>
        </w:rPr>
        <w:t xml:space="preserve"> </w:t>
      </w:r>
      <w:r w:rsidR="0096056A" w:rsidRPr="00A038BF">
        <w:rPr>
          <w:rFonts w:asciiTheme="majorBidi" w:hAnsiTheme="majorBidi" w:cstheme="majorBidi"/>
        </w:rPr>
        <w:t>including</w:t>
      </w:r>
      <w:r w:rsidR="00B918B6" w:rsidRPr="00A038BF">
        <w:rPr>
          <w:rFonts w:asciiTheme="majorBidi" w:hAnsiTheme="majorBidi" w:cstheme="majorBidi"/>
        </w:rPr>
        <w:t xml:space="preserve"> national priorities</w:t>
      </w:r>
      <w:r w:rsidR="000E6D90" w:rsidRPr="00A038BF">
        <w:rPr>
          <w:rFonts w:asciiTheme="majorBidi" w:hAnsiTheme="majorBidi" w:cstheme="majorBidi"/>
        </w:rPr>
        <w:t xml:space="preserve">, </w:t>
      </w:r>
      <w:r w:rsidR="00B918B6" w:rsidRPr="00A038BF">
        <w:rPr>
          <w:rFonts w:asciiTheme="majorBidi" w:hAnsiTheme="majorBidi" w:cstheme="majorBidi"/>
        </w:rPr>
        <w:t xml:space="preserve">organizational </w:t>
      </w:r>
      <w:r w:rsidR="000E6D90" w:rsidRPr="00A038BF">
        <w:rPr>
          <w:rFonts w:asciiTheme="majorBidi" w:hAnsiTheme="majorBidi" w:cstheme="majorBidi"/>
        </w:rPr>
        <w:t>perspectives,</w:t>
      </w:r>
      <w:r w:rsidR="00B918B6" w:rsidRPr="00A038BF">
        <w:rPr>
          <w:rFonts w:asciiTheme="majorBidi" w:hAnsiTheme="majorBidi" w:cstheme="majorBidi"/>
        </w:rPr>
        <w:t xml:space="preserve"> </w:t>
      </w:r>
      <w:r w:rsidR="000E6D90" w:rsidRPr="00A038BF">
        <w:rPr>
          <w:rFonts w:asciiTheme="majorBidi" w:hAnsiTheme="majorBidi" w:cstheme="majorBidi"/>
        </w:rPr>
        <w:t xml:space="preserve">and </w:t>
      </w:r>
      <w:r w:rsidR="00B918B6" w:rsidRPr="00A038BF">
        <w:rPr>
          <w:rFonts w:asciiTheme="majorBidi" w:hAnsiTheme="majorBidi" w:cstheme="majorBidi"/>
        </w:rPr>
        <w:t>different attitude</w:t>
      </w:r>
      <w:r w:rsidR="00A763E8" w:rsidRPr="00A038BF">
        <w:rPr>
          <w:rFonts w:asciiTheme="majorBidi" w:hAnsiTheme="majorBidi" w:cstheme="majorBidi"/>
        </w:rPr>
        <w:t>s</w:t>
      </w:r>
      <w:r w:rsidR="00B918B6" w:rsidRPr="00A038BF">
        <w:rPr>
          <w:rFonts w:asciiTheme="majorBidi" w:hAnsiTheme="majorBidi" w:cstheme="majorBidi"/>
        </w:rPr>
        <w:t xml:space="preserve"> </w:t>
      </w:r>
      <w:r w:rsidR="000E6D90" w:rsidRPr="00A038BF">
        <w:rPr>
          <w:rFonts w:asciiTheme="majorBidi" w:hAnsiTheme="majorBidi" w:cstheme="majorBidi"/>
        </w:rPr>
        <w:t xml:space="preserve">to the use of timber construction </w:t>
      </w:r>
      <w:r w:rsidR="00B918B6" w:rsidRPr="00A038BF">
        <w:rPr>
          <w:rFonts w:asciiTheme="majorBidi" w:hAnsiTheme="majorBidi" w:cstheme="majorBidi"/>
        </w:rPr>
        <w:t>in different societ</w:t>
      </w:r>
      <w:r w:rsidR="00A763E8" w:rsidRPr="00A038BF">
        <w:rPr>
          <w:rFonts w:asciiTheme="majorBidi" w:hAnsiTheme="majorBidi" w:cstheme="majorBidi"/>
        </w:rPr>
        <w:t>ies</w:t>
      </w:r>
      <w:r w:rsidR="00B918B6" w:rsidRPr="00A038BF">
        <w:rPr>
          <w:rFonts w:asciiTheme="majorBidi" w:hAnsiTheme="majorBidi" w:cstheme="majorBidi"/>
        </w:rPr>
        <w:t xml:space="preserve"> and countr</w:t>
      </w:r>
      <w:r w:rsidR="00A763E8" w:rsidRPr="00A038BF">
        <w:rPr>
          <w:rFonts w:asciiTheme="majorBidi" w:hAnsiTheme="majorBidi" w:cstheme="majorBidi"/>
        </w:rPr>
        <w:t>ies</w:t>
      </w:r>
      <w:r w:rsidR="00B918B6" w:rsidRPr="00A038BF">
        <w:rPr>
          <w:rFonts w:asciiTheme="majorBidi" w:hAnsiTheme="majorBidi" w:cstheme="majorBidi"/>
        </w:rPr>
        <w:t>. The</w:t>
      </w:r>
      <w:r w:rsidR="000E6D90" w:rsidRPr="00A038BF">
        <w:rPr>
          <w:rFonts w:asciiTheme="majorBidi" w:hAnsiTheme="majorBidi" w:cstheme="majorBidi"/>
        </w:rPr>
        <w:t xml:space="preserve"> first</w:t>
      </w:r>
      <w:r w:rsidR="00B918B6" w:rsidRPr="00A038BF">
        <w:rPr>
          <w:rFonts w:asciiTheme="majorBidi" w:hAnsiTheme="majorBidi" w:cstheme="majorBidi"/>
        </w:rPr>
        <w:t xml:space="preserve"> sensitivity analysis </w:t>
      </w:r>
      <w:r w:rsidR="000E6D90" w:rsidRPr="00A038BF">
        <w:rPr>
          <w:rFonts w:asciiTheme="majorBidi" w:hAnsiTheme="majorBidi" w:cstheme="majorBidi"/>
        </w:rPr>
        <w:t>was conducted</w:t>
      </w:r>
      <w:r w:rsidR="00B918B6" w:rsidRPr="00A038BF">
        <w:rPr>
          <w:rFonts w:asciiTheme="majorBidi" w:hAnsiTheme="majorBidi" w:cstheme="majorBidi"/>
        </w:rPr>
        <w:t xml:space="preserve"> to </w:t>
      </w:r>
      <w:r w:rsidR="000E6D90" w:rsidRPr="00A038BF">
        <w:rPr>
          <w:rFonts w:asciiTheme="majorBidi" w:hAnsiTheme="majorBidi" w:cstheme="majorBidi"/>
        </w:rPr>
        <w:t xml:space="preserve">support </w:t>
      </w:r>
      <w:r w:rsidR="00B918B6" w:rsidRPr="00A038BF">
        <w:rPr>
          <w:rFonts w:asciiTheme="majorBidi" w:hAnsiTheme="majorBidi" w:cstheme="majorBidi"/>
        </w:rPr>
        <w:t xml:space="preserve">decision </w:t>
      </w:r>
      <w:r w:rsidR="000E6D90" w:rsidRPr="00A038BF">
        <w:rPr>
          <w:rFonts w:asciiTheme="majorBidi" w:hAnsiTheme="majorBidi" w:cstheme="majorBidi"/>
        </w:rPr>
        <w:t>making</w:t>
      </w:r>
      <w:r w:rsidR="00B918B6" w:rsidRPr="00A038BF">
        <w:rPr>
          <w:rFonts w:asciiTheme="majorBidi" w:hAnsiTheme="majorBidi" w:cstheme="majorBidi"/>
        </w:rPr>
        <w:t xml:space="preserve">. </w:t>
      </w:r>
      <w:r w:rsidR="000E6D90" w:rsidRPr="00A038BF">
        <w:rPr>
          <w:rFonts w:asciiTheme="majorBidi" w:hAnsiTheme="majorBidi" w:cstheme="majorBidi"/>
        </w:rPr>
        <w:t>It is particularly helpful and</w:t>
      </w:r>
      <w:r w:rsidR="00B918B6" w:rsidRPr="00A038BF">
        <w:rPr>
          <w:rFonts w:asciiTheme="majorBidi" w:hAnsiTheme="majorBidi" w:cstheme="majorBidi"/>
        </w:rPr>
        <w:t xml:space="preserve"> important when criteria are closely ranked</w:t>
      </w:r>
      <w:r w:rsidR="000E6D90" w:rsidRPr="00A038BF">
        <w:rPr>
          <w:rFonts w:asciiTheme="majorBidi" w:hAnsiTheme="majorBidi" w:cstheme="majorBidi"/>
        </w:rPr>
        <w:t xml:space="preserve">, such as HTP, AP, TE, and FD </w:t>
      </w:r>
      <w:r w:rsidR="00B918B6" w:rsidRPr="00A038BF">
        <w:rPr>
          <w:rFonts w:asciiTheme="majorBidi" w:hAnsiTheme="majorBidi" w:cstheme="majorBidi"/>
        </w:rPr>
        <w:t xml:space="preserve">in the present study. In </w:t>
      </w:r>
      <w:r w:rsidR="00E8045F" w:rsidRPr="00A038BF">
        <w:rPr>
          <w:rFonts w:asciiTheme="majorBidi" w:hAnsiTheme="majorBidi" w:cstheme="majorBidi"/>
        </w:rPr>
        <w:t>such a</w:t>
      </w:r>
      <w:r w:rsidR="00B918B6" w:rsidRPr="00A038BF">
        <w:rPr>
          <w:rFonts w:asciiTheme="majorBidi" w:hAnsiTheme="majorBidi" w:cstheme="majorBidi"/>
        </w:rPr>
        <w:t xml:space="preserve"> case, all the criteria are considered and rechecked when </w:t>
      </w:r>
      <w:r w:rsidR="00A763E8" w:rsidRPr="00A038BF">
        <w:rPr>
          <w:rFonts w:asciiTheme="majorBidi" w:hAnsiTheme="majorBidi" w:cstheme="majorBidi"/>
        </w:rPr>
        <w:t xml:space="preserve">they </w:t>
      </w:r>
      <w:r w:rsidR="00B918B6" w:rsidRPr="00A038BF">
        <w:rPr>
          <w:rFonts w:asciiTheme="majorBidi" w:hAnsiTheme="majorBidi" w:cstheme="majorBidi"/>
        </w:rPr>
        <w:t xml:space="preserve">have </w:t>
      </w:r>
      <w:r w:rsidR="00A763E8" w:rsidRPr="00A038BF">
        <w:rPr>
          <w:rFonts w:asciiTheme="majorBidi" w:hAnsiTheme="majorBidi" w:cstheme="majorBidi"/>
        </w:rPr>
        <w:t xml:space="preserve">the </w:t>
      </w:r>
      <w:r w:rsidR="00F57C80" w:rsidRPr="00A038BF">
        <w:rPr>
          <w:rFonts w:asciiTheme="majorBidi" w:hAnsiTheme="majorBidi" w:cstheme="majorBidi"/>
        </w:rPr>
        <w:t>same</w:t>
      </w:r>
      <w:r w:rsidR="00B918B6" w:rsidRPr="00A038BF">
        <w:rPr>
          <w:rFonts w:asciiTheme="majorBidi" w:hAnsiTheme="majorBidi" w:cstheme="majorBidi"/>
        </w:rPr>
        <w:t xml:space="preserve"> weights (all criteria have the weight of 0.14). </w:t>
      </w:r>
      <w:r w:rsidR="00694064" w:rsidRPr="00A038BF">
        <w:rPr>
          <w:rFonts w:asciiTheme="majorBidi" w:hAnsiTheme="majorBidi" w:cstheme="majorBidi"/>
        </w:rPr>
        <w:t>T</w:t>
      </w:r>
      <w:r w:rsidR="00B918B6" w:rsidRPr="00A038BF">
        <w:rPr>
          <w:rFonts w:asciiTheme="majorBidi" w:hAnsiTheme="majorBidi" w:cstheme="majorBidi"/>
        </w:rPr>
        <w:t xml:space="preserve">he result showed that the </w:t>
      </w:r>
      <w:r w:rsidR="00E8045F" w:rsidRPr="00A038BF">
        <w:rPr>
          <w:rFonts w:asciiTheme="majorBidi" w:hAnsiTheme="majorBidi" w:cstheme="majorBidi"/>
        </w:rPr>
        <w:t>ranking for</w:t>
      </w:r>
      <w:r w:rsidR="00B918B6" w:rsidRPr="00A038BF">
        <w:rPr>
          <w:rFonts w:asciiTheme="majorBidi" w:hAnsiTheme="majorBidi" w:cstheme="majorBidi"/>
        </w:rPr>
        <w:t xml:space="preserve"> different timber mass buildings </w:t>
      </w:r>
      <w:r w:rsidR="00E8045F" w:rsidRPr="00A038BF">
        <w:rPr>
          <w:rFonts w:asciiTheme="majorBidi" w:hAnsiTheme="majorBidi" w:cstheme="majorBidi"/>
        </w:rPr>
        <w:t xml:space="preserve">did </w:t>
      </w:r>
      <w:r w:rsidR="00B918B6" w:rsidRPr="00A038BF">
        <w:rPr>
          <w:rFonts w:asciiTheme="majorBidi" w:hAnsiTheme="majorBidi" w:cstheme="majorBidi"/>
        </w:rPr>
        <w:t>not change</w:t>
      </w:r>
      <w:r w:rsidR="00E8045F" w:rsidRPr="00A038BF">
        <w:rPr>
          <w:rFonts w:asciiTheme="majorBidi" w:hAnsiTheme="majorBidi" w:cstheme="majorBidi"/>
        </w:rPr>
        <w:t xml:space="preserve"> (</w:t>
      </w:r>
      <w:r w:rsidR="00B918B6" w:rsidRPr="00A038BF">
        <w:rPr>
          <w:rFonts w:asciiTheme="majorBidi" w:hAnsiTheme="majorBidi" w:cstheme="majorBidi"/>
        </w:rPr>
        <w:t>as shown in appendix 4</w:t>
      </w:r>
      <w:r w:rsidR="00E8045F" w:rsidRPr="00A038BF">
        <w:rPr>
          <w:rFonts w:asciiTheme="majorBidi" w:hAnsiTheme="majorBidi" w:cstheme="majorBidi"/>
        </w:rPr>
        <w:t>)</w:t>
      </w:r>
      <w:r w:rsidR="00B918B6" w:rsidRPr="00A038BF">
        <w:rPr>
          <w:rFonts w:asciiTheme="majorBidi" w:hAnsiTheme="majorBidi" w:cstheme="majorBidi"/>
        </w:rPr>
        <w:t xml:space="preserve">, but </w:t>
      </w:r>
      <w:r w:rsidR="00E8045F" w:rsidRPr="00A038BF">
        <w:rPr>
          <w:rFonts w:asciiTheme="majorBidi" w:hAnsiTheme="majorBidi" w:cstheme="majorBidi"/>
        </w:rPr>
        <w:t xml:space="preserve">unique </w:t>
      </w:r>
      <w:r w:rsidR="00B918B6" w:rsidRPr="00A038BF">
        <w:rPr>
          <w:rFonts w:asciiTheme="majorBidi" w:hAnsiTheme="majorBidi" w:cstheme="majorBidi"/>
        </w:rPr>
        <w:t>performance score</w:t>
      </w:r>
      <w:r w:rsidR="00A763E8" w:rsidRPr="00A038BF">
        <w:rPr>
          <w:rFonts w:asciiTheme="majorBidi" w:hAnsiTheme="majorBidi" w:cstheme="majorBidi"/>
        </w:rPr>
        <w:t>s</w:t>
      </w:r>
      <w:r w:rsidR="00B918B6" w:rsidRPr="00A038BF">
        <w:rPr>
          <w:rFonts w:asciiTheme="majorBidi" w:hAnsiTheme="majorBidi" w:cstheme="majorBidi"/>
        </w:rPr>
        <w:t xml:space="preserve">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r>
          <w:rPr>
            <w:rFonts w:ascii="Cambria Math" w:hAnsi="Cambria Math" w:cstheme="majorBidi"/>
          </w:rPr>
          <m:t>)</m:t>
        </m:r>
      </m:oMath>
      <w:r w:rsidR="00B918B6" w:rsidRPr="00A038BF">
        <w:rPr>
          <w:rFonts w:asciiTheme="majorBidi" w:eastAsiaTheme="minorEastAsia" w:hAnsiTheme="majorBidi" w:cstheme="majorBidi"/>
        </w:rPr>
        <w:t xml:space="preserve"> </w:t>
      </w:r>
      <w:r w:rsidR="00E8045F" w:rsidRPr="00A038BF">
        <w:rPr>
          <w:rFonts w:asciiTheme="majorBidi" w:eastAsiaTheme="minorEastAsia" w:hAnsiTheme="majorBidi" w:cstheme="majorBidi"/>
        </w:rPr>
        <w:t xml:space="preserve">were </w:t>
      </w:r>
      <w:r w:rsidR="00B918B6" w:rsidRPr="00A038BF">
        <w:rPr>
          <w:rFonts w:asciiTheme="majorBidi" w:eastAsiaTheme="minorEastAsia" w:hAnsiTheme="majorBidi" w:cstheme="majorBidi"/>
        </w:rPr>
        <w:t>obtained: CLT (</w:t>
      </w:r>
      <w:r w:rsidR="00B918B6" w:rsidRPr="00A038BF">
        <w:rPr>
          <w:rFonts w:asciiTheme="majorBidi" w:hAnsiTheme="majorBidi" w:cstheme="majorBidi"/>
        </w:rPr>
        <w:t xml:space="preserve">0.5542), DLT (0.8496) and NLT (0.3004). </w:t>
      </w:r>
      <w:r w:rsidR="00694064" w:rsidRPr="00A038BF">
        <w:rPr>
          <w:rFonts w:asciiTheme="majorBidi" w:hAnsiTheme="majorBidi" w:cstheme="majorBidi"/>
        </w:rPr>
        <w:t xml:space="preserve">With this in mind, </w:t>
      </w:r>
      <w:r w:rsidR="00E8045F" w:rsidRPr="00A038BF">
        <w:rPr>
          <w:rFonts w:asciiTheme="majorBidi" w:hAnsiTheme="majorBidi" w:cstheme="majorBidi"/>
        </w:rPr>
        <w:t xml:space="preserve">the </w:t>
      </w:r>
      <w:r w:rsidR="00694064" w:rsidRPr="00A038BF">
        <w:rPr>
          <w:rFonts w:asciiTheme="majorBidi" w:hAnsiTheme="majorBidi" w:cstheme="majorBidi"/>
        </w:rPr>
        <w:t xml:space="preserve">sensitivity analysis </w:t>
      </w:r>
      <w:r w:rsidR="00E8045F" w:rsidRPr="00A038BF">
        <w:rPr>
          <w:rFonts w:asciiTheme="majorBidi" w:hAnsiTheme="majorBidi" w:cstheme="majorBidi"/>
        </w:rPr>
        <w:t xml:space="preserve">identified </w:t>
      </w:r>
      <w:r w:rsidR="00694064" w:rsidRPr="00A038BF">
        <w:rPr>
          <w:rFonts w:asciiTheme="majorBidi" w:hAnsiTheme="majorBidi" w:cstheme="majorBidi"/>
        </w:rPr>
        <w:t xml:space="preserve">DLT </w:t>
      </w:r>
      <w:r w:rsidR="00E8045F" w:rsidRPr="00A038BF">
        <w:rPr>
          <w:rFonts w:asciiTheme="majorBidi" w:hAnsiTheme="majorBidi" w:cstheme="majorBidi"/>
        </w:rPr>
        <w:t xml:space="preserve">as the best choice  with </w:t>
      </w:r>
      <w:r w:rsidR="00A763E8" w:rsidRPr="00A038BF">
        <w:rPr>
          <w:rFonts w:asciiTheme="majorBidi" w:hAnsiTheme="majorBidi" w:cstheme="majorBidi"/>
        </w:rPr>
        <w:t>the</w:t>
      </w:r>
      <w:r w:rsidR="00694064" w:rsidRPr="00A038BF">
        <w:rPr>
          <w:rFonts w:asciiTheme="majorBidi" w:hAnsiTheme="majorBidi" w:cstheme="majorBidi"/>
        </w:rPr>
        <w:t xml:space="preserve"> highest (</w:t>
      </w:r>
      <m:oMath>
        <m:sSub>
          <m:sSubPr>
            <m:ctrlPr>
              <w:rPr>
                <w:rFonts w:ascii="Cambria Math" w:hAnsi="Cambria Math" w:cstheme="majorBidi"/>
                <w:i/>
              </w:rPr>
            </m:ctrlPr>
          </m:sSubPr>
          <m:e>
            <m:r>
              <w:rPr>
                <w:rFonts w:ascii="Cambria Math" w:hAnsi="Cambria Math" w:cstheme="majorBidi"/>
              </w:rPr>
              <m:t>P</m:t>
            </m:r>
          </m:e>
          <m:sub>
            <m:r>
              <w:rPr>
                <w:rFonts w:ascii="Cambria Math" w:hAnsi="Cambria Math" w:cstheme="majorBidi"/>
              </w:rPr>
              <m:t>i</m:t>
            </m:r>
          </m:sub>
        </m:sSub>
        <m:r>
          <w:rPr>
            <w:rFonts w:ascii="Cambria Math" w:hAnsi="Cambria Math" w:cstheme="majorBidi"/>
          </w:rPr>
          <m:t>)</m:t>
        </m:r>
      </m:oMath>
      <w:r w:rsidR="00E8045F" w:rsidRPr="00A038BF">
        <w:rPr>
          <w:rFonts w:asciiTheme="majorBidi" w:eastAsiaTheme="minorEastAsia" w:hAnsiTheme="majorBidi" w:cstheme="majorBidi"/>
        </w:rPr>
        <w:t xml:space="preserve"> value</w:t>
      </w:r>
      <w:r w:rsidR="00694064" w:rsidRPr="00A038BF">
        <w:rPr>
          <w:rFonts w:asciiTheme="majorBidi" w:eastAsiaTheme="minorEastAsia" w:hAnsiTheme="majorBidi" w:cstheme="majorBidi"/>
        </w:rPr>
        <w:t xml:space="preserve">. </w:t>
      </w:r>
    </w:p>
    <w:p w14:paraId="256CB56F" w14:textId="669E86A9" w:rsidR="00537015" w:rsidRPr="00A038BF" w:rsidRDefault="00E8045F" w:rsidP="00FD324B">
      <w:pPr>
        <w:spacing w:line="276" w:lineRule="auto"/>
        <w:ind w:firstLine="720"/>
        <w:jc w:val="both"/>
      </w:pPr>
      <w:r w:rsidRPr="00A038BF">
        <w:rPr>
          <w:rFonts w:asciiTheme="majorBidi" w:hAnsiTheme="majorBidi" w:cstheme="majorBidi"/>
        </w:rPr>
        <w:t>The s</w:t>
      </w:r>
      <w:r w:rsidR="00F85AC8" w:rsidRPr="00A038BF">
        <w:rPr>
          <w:rFonts w:asciiTheme="majorBidi" w:hAnsiTheme="majorBidi" w:cstheme="majorBidi"/>
        </w:rPr>
        <w:t>econd</w:t>
      </w:r>
      <w:r w:rsidRPr="00A038BF">
        <w:rPr>
          <w:rFonts w:asciiTheme="majorBidi" w:hAnsiTheme="majorBidi" w:cstheme="majorBidi"/>
        </w:rPr>
        <w:t xml:space="preserve"> sensitivity analysis drew on </w:t>
      </w:r>
      <w:r w:rsidR="00F57C80" w:rsidRPr="00A038BF">
        <w:rPr>
          <w:rFonts w:asciiTheme="majorBidi" w:hAnsiTheme="majorBidi" w:cstheme="majorBidi"/>
        </w:rPr>
        <w:t>the</w:t>
      </w:r>
      <w:r w:rsidR="004A6082" w:rsidRPr="00A038BF">
        <w:rPr>
          <w:rFonts w:asciiTheme="majorBidi" w:hAnsiTheme="majorBidi" w:cstheme="majorBidi"/>
        </w:rPr>
        <w:t xml:space="preserve"> basic assumptions made in </w:t>
      </w:r>
      <w:r w:rsidR="0097613B" w:rsidRPr="00A038BF">
        <w:rPr>
          <w:rFonts w:asciiTheme="majorBidi" w:hAnsiTheme="majorBidi" w:cstheme="majorBidi"/>
        </w:rPr>
        <w:t xml:space="preserve">the </w:t>
      </w:r>
      <w:r w:rsidR="004A6082" w:rsidRPr="00A038BF">
        <w:rPr>
          <w:rFonts w:asciiTheme="majorBidi" w:hAnsiTheme="majorBidi" w:cstheme="majorBidi"/>
        </w:rPr>
        <w:t>previous section (Section 2.3) about raw materials. However, th</w:t>
      </w:r>
      <w:r w:rsidRPr="00A038BF">
        <w:rPr>
          <w:rFonts w:asciiTheme="majorBidi" w:hAnsiTheme="majorBidi" w:cstheme="majorBidi"/>
        </w:rPr>
        <w:t>e</w:t>
      </w:r>
      <w:r w:rsidR="004A6082" w:rsidRPr="00A038BF">
        <w:rPr>
          <w:rFonts w:asciiTheme="majorBidi" w:hAnsiTheme="majorBidi" w:cstheme="majorBidi"/>
        </w:rPr>
        <w:t>se assumption</w:t>
      </w:r>
      <w:r w:rsidR="0097613B" w:rsidRPr="00A038BF">
        <w:rPr>
          <w:rFonts w:asciiTheme="majorBidi" w:hAnsiTheme="majorBidi" w:cstheme="majorBidi"/>
        </w:rPr>
        <w:t>s</w:t>
      </w:r>
      <w:r w:rsidR="004A6082" w:rsidRPr="00A038BF">
        <w:rPr>
          <w:rFonts w:asciiTheme="majorBidi" w:hAnsiTheme="majorBidi" w:cstheme="majorBidi"/>
        </w:rPr>
        <w:t xml:space="preserve"> </w:t>
      </w:r>
      <w:r w:rsidR="00EE067F" w:rsidRPr="00A038BF">
        <w:rPr>
          <w:rFonts w:asciiTheme="majorBidi" w:hAnsiTheme="majorBidi" w:cstheme="majorBidi"/>
        </w:rPr>
        <w:t>pertained</w:t>
      </w:r>
      <w:r w:rsidR="004A6082" w:rsidRPr="00A038BF">
        <w:rPr>
          <w:rFonts w:asciiTheme="majorBidi" w:hAnsiTheme="majorBidi" w:cstheme="majorBidi"/>
        </w:rPr>
        <w:t xml:space="preserve"> to the reference building characterizations using softwood as building materials. </w:t>
      </w:r>
      <w:r w:rsidR="00EE067F" w:rsidRPr="00A038BF">
        <w:rPr>
          <w:rFonts w:asciiTheme="majorBidi" w:hAnsiTheme="majorBidi" w:cstheme="majorBidi"/>
        </w:rPr>
        <w:t>The</w:t>
      </w:r>
      <w:r w:rsidR="007F7359" w:rsidRPr="00A038BF">
        <w:rPr>
          <w:rFonts w:asciiTheme="majorBidi" w:hAnsiTheme="majorBidi" w:cstheme="majorBidi"/>
        </w:rPr>
        <w:t xml:space="preserve"> analysis </w:t>
      </w:r>
      <w:r w:rsidR="00EE067F" w:rsidRPr="00A038BF">
        <w:rPr>
          <w:rFonts w:asciiTheme="majorBidi" w:hAnsiTheme="majorBidi" w:cstheme="majorBidi"/>
        </w:rPr>
        <w:t>highlighted</w:t>
      </w:r>
      <w:r w:rsidR="007F7359" w:rsidRPr="00A038BF">
        <w:rPr>
          <w:rFonts w:asciiTheme="majorBidi" w:hAnsiTheme="majorBidi" w:cstheme="majorBidi"/>
        </w:rPr>
        <w:t xml:space="preserve"> </w:t>
      </w:r>
      <w:r w:rsidR="00AC0C5B" w:rsidRPr="00A038BF">
        <w:rPr>
          <w:rFonts w:asciiTheme="majorBidi" w:hAnsiTheme="majorBidi" w:cstheme="majorBidi"/>
        </w:rPr>
        <w:t xml:space="preserve">alternative </w:t>
      </w:r>
      <w:r w:rsidR="007F7359" w:rsidRPr="00A038BF">
        <w:rPr>
          <w:rFonts w:asciiTheme="majorBidi" w:hAnsiTheme="majorBidi" w:cstheme="majorBidi"/>
        </w:rPr>
        <w:t xml:space="preserve">scenarios and </w:t>
      </w:r>
      <w:r w:rsidR="00CA7D9F" w:rsidRPr="00A038BF">
        <w:rPr>
          <w:rFonts w:asciiTheme="majorBidi" w:hAnsiTheme="majorBidi" w:cstheme="majorBidi"/>
        </w:rPr>
        <w:t>investigate</w:t>
      </w:r>
      <w:r w:rsidR="00EE067F" w:rsidRPr="00A038BF">
        <w:rPr>
          <w:rFonts w:asciiTheme="majorBidi" w:hAnsiTheme="majorBidi" w:cstheme="majorBidi"/>
        </w:rPr>
        <w:t>d</w:t>
      </w:r>
      <w:r w:rsidR="00CA7D9F" w:rsidRPr="00A038BF">
        <w:rPr>
          <w:rFonts w:asciiTheme="majorBidi" w:hAnsiTheme="majorBidi" w:cstheme="majorBidi"/>
        </w:rPr>
        <w:t xml:space="preserve"> how the system reacts to</w:t>
      </w:r>
      <w:r w:rsidR="007F7359" w:rsidRPr="00A038BF">
        <w:rPr>
          <w:rFonts w:asciiTheme="majorBidi" w:hAnsiTheme="majorBidi" w:cstheme="majorBidi"/>
        </w:rPr>
        <w:t xml:space="preserve"> changes in different input parameters.</w:t>
      </w:r>
      <w:r w:rsidR="00387BCD" w:rsidRPr="00A038BF">
        <w:rPr>
          <w:rFonts w:asciiTheme="majorBidi" w:hAnsiTheme="majorBidi" w:cstheme="majorBidi"/>
        </w:rPr>
        <w:t xml:space="preserve"> </w:t>
      </w:r>
      <w:r w:rsidR="00A36529" w:rsidRPr="00A038BF">
        <w:rPr>
          <w:rFonts w:asciiTheme="majorBidi" w:hAnsiTheme="majorBidi" w:cstheme="majorBidi"/>
        </w:rPr>
        <w:t xml:space="preserve">Given uncertainty regarding future life cycle interventions, </w:t>
      </w:r>
      <w:r w:rsidR="00CA7D9F" w:rsidRPr="00A038BF">
        <w:rPr>
          <w:rFonts w:asciiTheme="majorBidi" w:hAnsiTheme="majorBidi" w:cstheme="majorBidi"/>
        </w:rPr>
        <w:t xml:space="preserve">an </w:t>
      </w:r>
      <w:r w:rsidR="00A36529" w:rsidRPr="00A038BF">
        <w:rPr>
          <w:rFonts w:asciiTheme="majorBidi" w:hAnsiTheme="majorBidi" w:cstheme="majorBidi"/>
        </w:rPr>
        <w:t xml:space="preserve">additional manufacturing scenario </w:t>
      </w:r>
      <w:r w:rsidR="00EE067F" w:rsidRPr="00A038BF">
        <w:rPr>
          <w:rFonts w:asciiTheme="majorBidi" w:hAnsiTheme="majorBidi" w:cstheme="majorBidi"/>
        </w:rPr>
        <w:t xml:space="preserve">was </w:t>
      </w:r>
      <w:r w:rsidR="00A36529" w:rsidRPr="00A038BF">
        <w:rPr>
          <w:rFonts w:asciiTheme="majorBidi" w:hAnsiTheme="majorBidi" w:cstheme="majorBidi"/>
        </w:rPr>
        <w:t>included as a sensitivity analysis. In the general scenario, a</w:t>
      </w:r>
      <w:r w:rsidR="0005768D" w:rsidRPr="00A038BF">
        <w:rPr>
          <w:rFonts w:asciiTheme="majorBidi" w:hAnsiTheme="majorBidi" w:cstheme="majorBidi"/>
        </w:rPr>
        <w:t xml:space="preserve"> </w:t>
      </w:r>
      <w:r w:rsidR="00AC0C5B" w:rsidRPr="00A038BF">
        <w:rPr>
          <w:rFonts w:asciiTheme="majorBidi" w:hAnsiTheme="majorBidi" w:cstheme="majorBidi"/>
        </w:rPr>
        <w:t>s</w:t>
      </w:r>
      <w:r w:rsidR="00567743" w:rsidRPr="00A038BF">
        <w:rPr>
          <w:rFonts w:asciiTheme="majorBidi" w:hAnsiTheme="majorBidi" w:cstheme="majorBidi"/>
        </w:rPr>
        <w:t xml:space="preserve">ensitivity analysis </w:t>
      </w:r>
      <w:r w:rsidR="00AC0C5B" w:rsidRPr="00A038BF">
        <w:rPr>
          <w:rFonts w:asciiTheme="majorBidi" w:hAnsiTheme="majorBidi" w:cstheme="majorBidi"/>
        </w:rPr>
        <w:t>r</w:t>
      </w:r>
      <w:r w:rsidR="0095692D" w:rsidRPr="00A038BF">
        <w:rPr>
          <w:rFonts w:asciiTheme="majorBidi" w:hAnsiTheme="majorBidi" w:cstheme="majorBidi"/>
        </w:rPr>
        <w:t xml:space="preserve">eanalysis </w:t>
      </w:r>
      <w:r w:rsidR="00EE067F" w:rsidRPr="00A038BF">
        <w:rPr>
          <w:rFonts w:asciiTheme="majorBidi" w:hAnsiTheme="majorBidi" w:cstheme="majorBidi"/>
        </w:rPr>
        <w:t xml:space="preserve">was conducted </w:t>
      </w:r>
      <w:r w:rsidR="00AC0C5B" w:rsidRPr="00A038BF">
        <w:rPr>
          <w:rFonts w:asciiTheme="majorBidi" w:hAnsiTheme="majorBidi" w:cstheme="majorBidi"/>
        </w:rPr>
        <w:t>using</w:t>
      </w:r>
      <w:r w:rsidR="0005768D" w:rsidRPr="00A038BF">
        <w:rPr>
          <w:rFonts w:asciiTheme="majorBidi" w:hAnsiTheme="majorBidi" w:cstheme="majorBidi"/>
        </w:rPr>
        <w:t xml:space="preserve"> </w:t>
      </w:r>
      <w:r w:rsidR="00FD324B" w:rsidRPr="00A038BF">
        <w:rPr>
          <w:rFonts w:asciiTheme="majorBidi" w:hAnsiTheme="majorBidi" w:cstheme="majorBidi"/>
        </w:rPr>
        <w:t>h</w:t>
      </w:r>
      <w:r w:rsidR="0095692D" w:rsidRPr="00A038BF">
        <w:rPr>
          <w:rFonts w:asciiTheme="majorBidi" w:hAnsiTheme="majorBidi" w:cstheme="majorBidi"/>
        </w:rPr>
        <w:t>ardwood Air-dried</w:t>
      </w:r>
      <w:r w:rsidR="00AC0C5B" w:rsidRPr="00A038BF">
        <w:rPr>
          <w:rFonts w:asciiTheme="majorBidi" w:hAnsiTheme="majorBidi" w:cstheme="majorBidi"/>
        </w:rPr>
        <w:t xml:space="preserve"> as life cycle inventory</w:t>
      </w:r>
      <w:r w:rsidR="0005768D" w:rsidRPr="00A038BF">
        <w:rPr>
          <w:rFonts w:asciiTheme="majorBidi" w:hAnsiTheme="majorBidi" w:cstheme="majorBidi"/>
        </w:rPr>
        <w:t xml:space="preserve"> with </w:t>
      </w:r>
      <w:r w:rsidR="00CA7D9F" w:rsidRPr="00A038BF">
        <w:rPr>
          <w:rFonts w:asciiTheme="majorBidi" w:hAnsiTheme="majorBidi" w:cstheme="majorBidi"/>
        </w:rPr>
        <w:t xml:space="preserve">a </w:t>
      </w:r>
      <w:r w:rsidR="0095692D" w:rsidRPr="00A038BF">
        <w:rPr>
          <w:rFonts w:asciiTheme="majorBidi" w:hAnsiTheme="majorBidi" w:cstheme="majorBidi"/>
        </w:rPr>
        <w:t xml:space="preserve">density </w:t>
      </w:r>
      <w:r w:rsidR="00CA7D9F" w:rsidRPr="00A038BF">
        <w:rPr>
          <w:rFonts w:asciiTheme="majorBidi" w:hAnsiTheme="majorBidi" w:cstheme="majorBidi"/>
        </w:rPr>
        <w:t xml:space="preserve">of </w:t>
      </w:r>
      <w:r w:rsidR="0095692D" w:rsidRPr="00A038BF">
        <w:rPr>
          <w:rFonts w:asciiTheme="majorBidi" w:hAnsiTheme="majorBidi" w:cstheme="majorBidi"/>
        </w:rPr>
        <w:t xml:space="preserve">720 </w:t>
      </w:r>
      <w:r w:rsidR="0095692D" w:rsidRPr="00680936">
        <w:rPr>
          <w:rFonts w:asciiTheme="majorBidi" w:hAnsiTheme="majorBidi" w:cstheme="majorBidi"/>
          <w:color w:val="00B050"/>
        </w:rPr>
        <w:t>kg/</w:t>
      </w:r>
      <w:r w:rsidR="004C1232" w:rsidRPr="00680936">
        <w:rPr>
          <w:rFonts w:asciiTheme="majorBidi" w:hAnsiTheme="majorBidi" w:cstheme="majorBidi"/>
          <w:color w:val="00B050"/>
        </w:rPr>
        <w:t>m</w:t>
      </w:r>
      <w:r w:rsidR="0095692D" w:rsidRPr="00680936">
        <w:rPr>
          <w:rFonts w:asciiTheme="majorBidi" w:hAnsiTheme="majorBidi" w:cstheme="majorBidi"/>
          <w:color w:val="00B050"/>
          <w:vertAlign w:val="superscript"/>
        </w:rPr>
        <w:t>3</w:t>
      </w:r>
      <w:r w:rsidR="0005768D" w:rsidRPr="00A038BF">
        <w:rPr>
          <w:rFonts w:asciiTheme="majorBidi" w:hAnsiTheme="majorBidi" w:cstheme="majorBidi"/>
        </w:rPr>
        <w:t>.</w:t>
      </w:r>
      <w:r w:rsidR="00387BCD" w:rsidRPr="00A038BF">
        <w:rPr>
          <w:rFonts w:asciiTheme="majorBidi" w:hAnsiTheme="majorBidi" w:cstheme="majorBidi"/>
        </w:rPr>
        <w:t xml:space="preserve"> </w:t>
      </w:r>
    </w:p>
    <w:p w14:paraId="56791C45" w14:textId="701CD15B" w:rsidR="003C1FB0" w:rsidRPr="00A038BF" w:rsidRDefault="00E73B95" w:rsidP="00A763E8">
      <w:pPr>
        <w:spacing w:line="276" w:lineRule="auto"/>
        <w:ind w:firstLine="720"/>
        <w:jc w:val="both"/>
        <w:rPr>
          <w:rFonts w:asciiTheme="majorBidi" w:hAnsiTheme="majorBidi" w:cstheme="majorBidi"/>
        </w:rPr>
      </w:pPr>
      <w:r w:rsidRPr="00A038BF">
        <w:rPr>
          <w:rFonts w:asciiTheme="majorBidi" w:hAnsiTheme="majorBidi" w:cstheme="majorBidi"/>
        </w:rPr>
        <w:t xml:space="preserve">The result </w:t>
      </w:r>
      <w:r w:rsidR="00EE067F" w:rsidRPr="00A038BF">
        <w:rPr>
          <w:rFonts w:asciiTheme="majorBidi" w:hAnsiTheme="majorBidi" w:cstheme="majorBidi"/>
        </w:rPr>
        <w:t xml:space="preserve">is shown </w:t>
      </w:r>
      <w:r w:rsidR="00FD324B" w:rsidRPr="00A038BF">
        <w:rPr>
          <w:rFonts w:asciiTheme="majorBidi" w:hAnsiTheme="majorBidi" w:cstheme="majorBidi"/>
        </w:rPr>
        <w:t>in figure 10</w:t>
      </w:r>
      <w:r w:rsidR="00EE067F" w:rsidRPr="00A038BF">
        <w:rPr>
          <w:rFonts w:asciiTheme="majorBidi" w:hAnsiTheme="majorBidi" w:cstheme="majorBidi"/>
        </w:rPr>
        <w:t>,</w:t>
      </w:r>
      <w:r w:rsidRPr="00A038BF">
        <w:rPr>
          <w:rFonts w:asciiTheme="majorBidi" w:hAnsiTheme="majorBidi" w:cstheme="majorBidi"/>
        </w:rPr>
        <w:t xml:space="preserve"> assum</w:t>
      </w:r>
      <w:r w:rsidR="00EE067F" w:rsidRPr="00A038BF">
        <w:rPr>
          <w:rFonts w:asciiTheme="majorBidi" w:hAnsiTheme="majorBidi" w:cstheme="majorBidi"/>
        </w:rPr>
        <w:t>ing</w:t>
      </w:r>
      <w:r w:rsidRPr="00A038BF">
        <w:rPr>
          <w:rFonts w:asciiTheme="majorBidi" w:hAnsiTheme="majorBidi" w:cstheme="majorBidi"/>
        </w:rPr>
        <w:t xml:space="preserve"> that hardwood </w:t>
      </w:r>
      <w:r w:rsidR="00EE067F" w:rsidRPr="00A038BF">
        <w:rPr>
          <w:rFonts w:asciiTheme="majorBidi" w:hAnsiTheme="majorBidi" w:cstheme="majorBidi"/>
        </w:rPr>
        <w:t xml:space="preserve">is used </w:t>
      </w:r>
      <w:r w:rsidRPr="00A038BF">
        <w:rPr>
          <w:rFonts w:asciiTheme="majorBidi" w:hAnsiTheme="majorBidi" w:cstheme="majorBidi"/>
        </w:rPr>
        <w:t>instead of softwood for all the three case</w:t>
      </w:r>
      <w:r w:rsidR="00EE067F" w:rsidRPr="00A038BF">
        <w:rPr>
          <w:rFonts w:asciiTheme="majorBidi" w:hAnsiTheme="majorBidi" w:cstheme="majorBidi"/>
        </w:rPr>
        <w:t>s</w:t>
      </w:r>
      <w:r w:rsidRPr="00A038BF">
        <w:rPr>
          <w:rFonts w:asciiTheme="majorBidi" w:hAnsiTheme="majorBidi" w:cstheme="majorBidi"/>
        </w:rPr>
        <w:t>. By changing the raw materials from softwood to hardwood</w:t>
      </w:r>
      <w:r w:rsidR="00CA7D9F" w:rsidRPr="00A038BF">
        <w:rPr>
          <w:rFonts w:asciiTheme="majorBidi" w:hAnsiTheme="majorBidi" w:cstheme="majorBidi"/>
        </w:rPr>
        <w:t>,</w:t>
      </w:r>
      <w:r w:rsidRPr="00A038BF">
        <w:rPr>
          <w:rFonts w:asciiTheme="majorBidi" w:hAnsiTheme="majorBidi" w:cstheme="majorBidi"/>
        </w:rPr>
        <w:t xml:space="preserve"> the manufacturing stage emission </w:t>
      </w:r>
      <w:r w:rsidR="00EE067F" w:rsidRPr="00A038BF">
        <w:rPr>
          <w:rFonts w:asciiTheme="majorBidi" w:hAnsiTheme="majorBidi" w:cstheme="majorBidi"/>
        </w:rPr>
        <w:t>rose</w:t>
      </w:r>
      <w:r w:rsidRPr="00A038BF">
        <w:rPr>
          <w:rFonts w:asciiTheme="majorBidi" w:hAnsiTheme="majorBidi" w:cstheme="majorBidi"/>
        </w:rPr>
        <w:t xml:space="preserve"> from </w:t>
      </w:r>
      <w:r w:rsidRPr="00A038BF">
        <w:rPr>
          <w:rFonts w:asciiTheme="majorBidi" w:eastAsia="Times New Roman" w:hAnsiTheme="majorBidi" w:cstheme="majorBidi"/>
        </w:rPr>
        <w:t>45408</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eastAsia="Times New Roman" w:hAnsiTheme="majorBidi" w:cstheme="majorBidi"/>
        </w:rPr>
        <w:t xml:space="preserve"> to</w:t>
      </w:r>
      <w:r w:rsidRPr="00A038BF">
        <w:rPr>
          <w:rFonts w:asciiTheme="majorBidi" w:hAnsiTheme="majorBidi" w:cstheme="majorBidi"/>
        </w:rPr>
        <w:t xml:space="preserve"> </w:t>
      </w:r>
      <w:r w:rsidRPr="00A038BF">
        <w:rPr>
          <w:rFonts w:asciiTheme="majorBidi" w:eastAsia="Times New Roman" w:hAnsiTheme="majorBidi" w:cstheme="majorBidi"/>
        </w:rPr>
        <w:t>4858</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eastAsia="Times New Roman" w:hAnsiTheme="majorBidi" w:cstheme="majorBidi"/>
        </w:rPr>
        <w:t xml:space="preserve">, from 41700 </w:t>
      </w:r>
      <w:r w:rsidR="00ED2FF7" w:rsidRPr="00A038BF">
        <w:rPr>
          <w:rFonts w:asciiTheme="majorBidi" w:hAnsiTheme="majorBidi" w:cstheme="majorBidi"/>
        </w:rPr>
        <w:t>Kg</w:t>
      </w:r>
      <w:r w:rsidRPr="00A038BF">
        <w:rPr>
          <w:rFonts w:asciiTheme="majorBidi" w:hAnsiTheme="majorBidi" w:cstheme="majorBidi"/>
        </w:rPr>
        <w:t>CO</w:t>
      </w:r>
      <w:r w:rsidRPr="00A038BF">
        <w:rPr>
          <w:rFonts w:asciiTheme="majorBidi" w:hAnsiTheme="majorBidi" w:cstheme="majorBidi"/>
          <w:vertAlign w:val="subscript"/>
        </w:rPr>
        <w:t xml:space="preserve">2 </w:t>
      </w:r>
      <w:r w:rsidRPr="00A038BF">
        <w:rPr>
          <w:rFonts w:asciiTheme="majorBidi" w:eastAsia="Times New Roman" w:hAnsiTheme="majorBidi" w:cstheme="majorBidi"/>
        </w:rPr>
        <w:t>to 44619</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00CA7D9F" w:rsidRPr="00A038BF">
        <w:rPr>
          <w:rFonts w:asciiTheme="majorBidi" w:hAnsiTheme="majorBidi" w:cstheme="majorBidi"/>
          <w:vertAlign w:val="subscript"/>
        </w:rPr>
        <w:t>,</w:t>
      </w:r>
      <w:r w:rsidRPr="00A038BF">
        <w:rPr>
          <w:rFonts w:asciiTheme="majorBidi" w:eastAsia="Times New Roman" w:hAnsiTheme="majorBidi" w:cstheme="majorBidi"/>
        </w:rPr>
        <w:t xml:space="preserve"> and from 46210 </w:t>
      </w:r>
      <w:r w:rsidR="00ED2FF7" w:rsidRPr="00A038BF">
        <w:rPr>
          <w:rFonts w:asciiTheme="majorBidi" w:hAnsiTheme="majorBidi" w:cstheme="majorBidi"/>
        </w:rPr>
        <w:t>Kg</w:t>
      </w:r>
      <w:r w:rsidRPr="00A038BF">
        <w:rPr>
          <w:rFonts w:asciiTheme="majorBidi" w:hAnsiTheme="majorBidi" w:cstheme="majorBidi"/>
        </w:rPr>
        <w:t>CO</w:t>
      </w:r>
      <w:r w:rsidRPr="00A038BF">
        <w:rPr>
          <w:rFonts w:asciiTheme="majorBidi" w:hAnsiTheme="majorBidi" w:cstheme="majorBidi"/>
          <w:vertAlign w:val="subscript"/>
        </w:rPr>
        <w:t xml:space="preserve">2 </w:t>
      </w:r>
      <w:r w:rsidRPr="00A038BF">
        <w:rPr>
          <w:rFonts w:asciiTheme="majorBidi" w:eastAsia="Times New Roman" w:hAnsiTheme="majorBidi" w:cstheme="majorBidi"/>
        </w:rPr>
        <w:t xml:space="preserve">to 49444 </w:t>
      </w:r>
      <w:r w:rsidRPr="00A038BF">
        <w:rPr>
          <w:rFonts w:asciiTheme="majorBidi" w:hAnsiTheme="majorBidi" w:cstheme="majorBidi"/>
        </w:rPr>
        <w:t>Kg CO</w:t>
      </w:r>
      <w:r w:rsidRPr="00A038BF">
        <w:rPr>
          <w:rFonts w:asciiTheme="majorBidi" w:hAnsiTheme="majorBidi" w:cstheme="majorBidi"/>
          <w:vertAlign w:val="subscript"/>
        </w:rPr>
        <w:t xml:space="preserve">2 </w:t>
      </w:r>
      <w:r w:rsidRPr="00A038BF">
        <w:rPr>
          <w:rFonts w:asciiTheme="majorBidi" w:eastAsia="Times New Roman" w:hAnsiTheme="majorBidi" w:cstheme="majorBidi"/>
        </w:rPr>
        <w:t>related to the CLT, DLT, and NLT, respectively. Thus, emission</w:t>
      </w:r>
      <w:r w:rsidR="00EE067F" w:rsidRPr="00A038BF">
        <w:rPr>
          <w:rFonts w:asciiTheme="majorBidi" w:eastAsia="Times New Roman" w:hAnsiTheme="majorBidi" w:cstheme="majorBidi"/>
        </w:rPr>
        <w:t>s</w:t>
      </w:r>
      <w:r w:rsidRPr="00A038BF">
        <w:rPr>
          <w:rFonts w:asciiTheme="majorBidi" w:eastAsia="Times New Roman" w:hAnsiTheme="majorBidi" w:cstheme="majorBidi"/>
        </w:rPr>
        <w:t xml:space="preserve"> increased by approximately 7% for all </w:t>
      </w:r>
      <w:r w:rsidR="00EE067F" w:rsidRPr="00A038BF">
        <w:rPr>
          <w:rFonts w:asciiTheme="majorBidi" w:eastAsia="Times New Roman" w:hAnsiTheme="majorBidi" w:cstheme="majorBidi"/>
        </w:rPr>
        <w:t>alternatives</w:t>
      </w:r>
      <w:r w:rsidRPr="00A038BF">
        <w:rPr>
          <w:rFonts w:asciiTheme="majorBidi" w:eastAsia="Times New Roman" w:hAnsiTheme="majorBidi" w:cstheme="majorBidi"/>
        </w:rPr>
        <w:t xml:space="preserve">. </w:t>
      </w:r>
      <w:r w:rsidR="00EE067F" w:rsidRPr="00A038BF">
        <w:rPr>
          <w:rFonts w:asciiTheme="majorBidi" w:eastAsia="Times New Roman" w:hAnsiTheme="majorBidi" w:cstheme="majorBidi"/>
        </w:rPr>
        <w:t>O</w:t>
      </w:r>
      <w:r w:rsidRPr="00A038BF">
        <w:rPr>
          <w:rFonts w:asciiTheme="majorBidi" w:eastAsia="Times New Roman" w:hAnsiTheme="majorBidi" w:cstheme="majorBidi"/>
        </w:rPr>
        <w:t xml:space="preserve">ther changes </w:t>
      </w:r>
      <w:r w:rsidR="00EE067F" w:rsidRPr="00A038BF">
        <w:rPr>
          <w:rFonts w:asciiTheme="majorBidi" w:eastAsia="Times New Roman" w:hAnsiTheme="majorBidi" w:cstheme="majorBidi"/>
        </w:rPr>
        <w:t>resulting from</w:t>
      </w:r>
      <w:r w:rsidRPr="00A038BF">
        <w:rPr>
          <w:rFonts w:asciiTheme="majorBidi" w:eastAsia="Times New Roman" w:hAnsiTheme="majorBidi" w:cstheme="majorBidi"/>
        </w:rPr>
        <w:t xml:space="preserve"> the reuse scenario </w:t>
      </w:r>
      <w:r w:rsidR="00EE067F" w:rsidRPr="00A038BF">
        <w:rPr>
          <w:rFonts w:asciiTheme="majorBidi" w:eastAsia="Times New Roman" w:hAnsiTheme="majorBidi" w:cstheme="majorBidi"/>
        </w:rPr>
        <w:t xml:space="preserve">indicate </w:t>
      </w:r>
      <w:r w:rsidRPr="00A038BF">
        <w:rPr>
          <w:rFonts w:asciiTheme="majorBidi" w:eastAsia="Times New Roman" w:hAnsiTheme="majorBidi" w:cstheme="majorBidi"/>
        </w:rPr>
        <w:t xml:space="preserve">that the net positive influence </w:t>
      </w:r>
      <w:r w:rsidR="00EE067F" w:rsidRPr="00A038BF">
        <w:rPr>
          <w:rFonts w:asciiTheme="majorBidi" w:eastAsia="Times New Roman" w:hAnsiTheme="majorBidi" w:cstheme="majorBidi"/>
        </w:rPr>
        <w:t xml:space="preserve">changed </w:t>
      </w:r>
      <w:r w:rsidRPr="00A038BF">
        <w:rPr>
          <w:rFonts w:asciiTheme="majorBidi" w:eastAsia="Times New Roman" w:hAnsiTheme="majorBidi" w:cstheme="majorBidi"/>
        </w:rPr>
        <w:t>from 12000</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eastAsia="Times New Roman" w:hAnsiTheme="majorBidi" w:cstheme="majorBidi"/>
        </w:rPr>
        <w:t xml:space="preserve"> to 12840</w:t>
      </w:r>
      <w:r w:rsidR="00ED2FF7" w:rsidRPr="00A038BF">
        <w:rPr>
          <w:rFonts w:asciiTheme="majorBidi" w:hAnsiTheme="majorBidi" w:cstheme="majorBidi"/>
        </w:rPr>
        <w:t xml:space="preserve"> Kg</w:t>
      </w:r>
      <w:r w:rsidRPr="00A038BF">
        <w:rPr>
          <w:rFonts w:asciiTheme="majorBidi" w:hAnsiTheme="majorBidi" w:cstheme="majorBidi"/>
        </w:rPr>
        <w:t>CO</w:t>
      </w:r>
      <w:r w:rsidRPr="00A038BF">
        <w:rPr>
          <w:rFonts w:asciiTheme="majorBidi" w:hAnsiTheme="majorBidi" w:cstheme="majorBidi"/>
          <w:vertAlign w:val="subscript"/>
        </w:rPr>
        <w:t>2</w:t>
      </w:r>
      <w:r w:rsidRPr="00A038BF">
        <w:rPr>
          <w:rFonts w:asciiTheme="majorBidi" w:eastAsia="Times New Roman" w:hAnsiTheme="majorBidi" w:cstheme="majorBidi"/>
        </w:rPr>
        <w:t>. Consequently, the total</w:t>
      </w:r>
      <w:r w:rsidR="00121113" w:rsidRPr="00A038BF">
        <w:rPr>
          <w:rFonts w:asciiTheme="majorBidi" w:eastAsia="Times New Roman" w:hAnsiTheme="majorBidi" w:cstheme="majorBidi"/>
        </w:rPr>
        <w:t xml:space="preserve"> benefit and loads </w:t>
      </w:r>
      <w:r w:rsidRPr="00A038BF">
        <w:rPr>
          <w:rFonts w:asciiTheme="majorBidi" w:eastAsia="Times New Roman" w:hAnsiTheme="majorBidi" w:cstheme="majorBidi"/>
        </w:rPr>
        <w:t xml:space="preserve">from </w:t>
      </w:r>
      <w:r w:rsidR="00CA7D9F" w:rsidRPr="00A038BF">
        <w:rPr>
          <w:rFonts w:asciiTheme="majorBidi" w:eastAsia="Times New Roman" w:hAnsiTheme="majorBidi" w:cstheme="majorBidi"/>
        </w:rPr>
        <w:t>the demolition stage bec</w:t>
      </w:r>
      <w:r w:rsidR="00EE067F" w:rsidRPr="00A038BF">
        <w:rPr>
          <w:rFonts w:asciiTheme="majorBidi" w:eastAsia="Times New Roman" w:hAnsiTheme="majorBidi" w:cstheme="majorBidi"/>
        </w:rPr>
        <w:t>a</w:t>
      </w:r>
      <w:r w:rsidR="00CA7D9F" w:rsidRPr="00A038BF">
        <w:rPr>
          <w:rFonts w:asciiTheme="majorBidi" w:eastAsia="Times New Roman" w:hAnsiTheme="majorBidi" w:cstheme="majorBidi"/>
        </w:rPr>
        <w:t>me 22840 Kg CO</w:t>
      </w:r>
      <w:r w:rsidR="00CA7D9F" w:rsidRPr="00A038BF">
        <w:rPr>
          <w:rFonts w:asciiTheme="majorBidi" w:eastAsia="Times New Roman" w:hAnsiTheme="majorBidi" w:cstheme="majorBidi"/>
          <w:vertAlign w:val="subscript"/>
        </w:rPr>
        <w:t>2</w:t>
      </w:r>
      <w:r w:rsidR="00ED2FF7" w:rsidRPr="00A038BF">
        <w:rPr>
          <w:rFonts w:asciiTheme="majorBidi" w:eastAsia="Times New Roman" w:hAnsiTheme="majorBidi" w:cstheme="majorBidi"/>
        </w:rPr>
        <w:t>, 22840 Kg</w:t>
      </w:r>
      <w:r w:rsidR="00CA7D9F" w:rsidRPr="00A038BF">
        <w:rPr>
          <w:rFonts w:asciiTheme="majorBidi" w:eastAsia="Times New Roman" w:hAnsiTheme="majorBidi" w:cstheme="majorBidi"/>
        </w:rPr>
        <w:t>CO</w:t>
      </w:r>
      <w:r w:rsidR="00CA7D9F" w:rsidRPr="00A038BF">
        <w:rPr>
          <w:rFonts w:asciiTheme="majorBidi" w:eastAsia="Times New Roman" w:hAnsiTheme="majorBidi" w:cstheme="majorBidi"/>
          <w:vertAlign w:val="subscript"/>
        </w:rPr>
        <w:t>2</w:t>
      </w:r>
      <w:r w:rsidR="00ED2FF7" w:rsidRPr="00A038BF">
        <w:rPr>
          <w:rFonts w:asciiTheme="majorBidi" w:eastAsia="Times New Roman" w:hAnsiTheme="majorBidi" w:cstheme="majorBidi"/>
        </w:rPr>
        <w:t xml:space="preserve"> and 28840 Kg</w:t>
      </w:r>
      <w:r w:rsidR="00CA7D9F" w:rsidRPr="00A038BF">
        <w:rPr>
          <w:rFonts w:asciiTheme="majorBidi" w:eastAsia="Times New Roman" w:hAnsiTheme="majorBidi" w:cstheme="majorBidi"/>
        </w:rPr>
        <w:t>CO</w:t>
      </w:r>
      <w:r w:rsidR="00CA7D9F" w:rsidRPr="00A038BF">
        <w:rPr>
          <w:rFonts w:asciiTheme="majorBidi" w:eastAsia="Times New Roman" w:hAnsiTheme="majorBidi" w:cstheme="majorBidi"/>
          <w:vertAlign w:val="subscript"/>
        </w:rPr>
        <w:t>2</w:t>
      </w:r>
      <w:r w:rsidR="00CA7D9F" w:rsidRPr="00A038BF">
        <w:rPr>
          <w:rFonts w:asciiTheme="majorBidi" w:eastAsia="Times New Roman" w:hAnsiTheme="majorBidi" w:cstheme="majorBidi"/>
        </w:rPr>
        <w:t xml:space="preserve"> for CLT, DLT, and NLT</w:t>
      </w:r>
      <w:r w:rsidRPr="00A038BF">
        <w:rPr>
          <w:rFonts w:asciiTheme="majorBidi" w:eastAsia="Times New Roman" w:hAnsiTheme="majorBidi" w:cstheme="majorBidi"/>
        </w:rPr>
        <w:t xml:space="preserve">. </w:t>
      </w:r>
      <w:r w:rsidR="00EE067F" w:rsidRPr="00A038BF">
        <w:rPr>
          <w:rFonts w:asciiTheme="majorBidi" w:eastAsia="Times New Roman" w:hAnsiTheme="majorBidi" w:cstheme="majorBidi"/>
        </w:rPr>
        <w:t xml:space="preserve">This </w:t>
      </w:r>
      <w:r w:rsidR="00CA7D9F" w:rsidRPr="00A038BF">
        <w:rPr>
          <w:rFonts w:asciiTheme="majorBidi" w:eastAsia="Times New Roman" w:hAnsiTheme="majorBidi" w:cstheme="majorBidi"/>
        </w:rPr>
        <w:t xml:space="preserve">result shows that changing to hardwood </w:t>
      </w:r>
      <w:r w:rsidR="00EE067F" w:rsidRPr="00A038BF">
        <w:rPr>
          <w:rFonts w:asciiTheme="majorBidi" w:eastAsia="Times New Roman" w:hAnsiTheme="majorBidi" w:cstheme="majorBidi"/>
        </w:rPr>
        <w:t xml:space="preserve">results in </w:t>
      </w:r>
      <w:r w:rsidR="00CA7D9F" w:rsidRPr="00A038BF">
        <w:rPr>
          <w:rFonts w:asciiTheme="majorBidi" w:eastAsia="Times New Roman" w:hAnsiTheme="majorBidi" w:cstheme="majorBidi"/>
        </w:rPr>
        <w:t xml:space="preserve">only </w:t>
      </w:r>
      <w:r w:rsidR="00EE067F" w:rsidRPr="00A038BF">
        <w:rPr>
          <w:rFonts w:asciiTheme="majorBidi" w:eastAsia="Times New Roman" w:hAnsiTheme="majorBidi" w:cstheme="majorBidi"/>
        </w:rPr>
        <w:t xml:space="preserve">a </w:t>
      </w:r>
      <w:r w:rsidR="00CA7D9F" w:rsidRPr="00A038BF">
        <w:rPr>
          <w:rFonts w:asciiTheme="majorBidi" w:eastAsia="Times New Roman" w:hAnsiTheme="majorBidi" w:cstheme="majorBidi"/>
        </w:rPr>
        <w:t>3% difference for reuse compared</w:t>
      </w:r>
      <w:r w:rsidRPr="00A038BF">
        <w:rPr>
          <w:rFonts w:asciiTheme="majorBidi" w:eastAsia="Times New Roman" w:hAnsiTheme="majorBidi" w:cstheme="majorBidi"/>
        </w:rPr>
        <w:t xml:space="preserve"> to softwood. </w:t>
      </w:r>
      <w:r w:rsidR="003C1FB0" w:rsidRPr="00A038BF">
        <w:rPr>
          <w:rFonts w:asciiTheme="majorBidi" w:hAnsiTheme="majorBidi" w:cstheme="majorBidi"/>
        </w:rPr>
        <w:t>Finally, the result showed that using hardwood instead of softwood as</w:t>
      </w:r>
      <w:r w:rsidR="007A0543" w:rsidRPr="00A038BF">
        <w:rPr>
          <w:rFonts w:asciiTheme="majorBidi" w:hAnsiTheme="majorBidi" w:cstheme="majorBidi"/>
        </w:rPr>
        <w:t xml:space="preserve"> a</w:t>
      </w:r>
      <w:r w:rsidR="003C1FB0" w:rsidRPr="00A038BF">
        <w:rPr>
          <w:rFonts w:asciiTheme="majorBidi" w:hAnsiTheme="majorBidi" w:cstheme="majorBidi"/>
        </w:rPr>
        <w:t xml:space="preserve"> raw material has not changed the ranking of different emission</w:t>
      </w:r>
      <w:r w:rsidR="00A763E8" w:rsidRPr="00A038BF">
        <w:rPr>
          <w:rFonts w:asciiTheme="majorBidi" w:hAnsiTheme="majorBidi" w:cstheme="majorBidi"/>
        </w:rPr>
        <w:t>s</w:t>
      </w:r>
      <w:r w:rsidR="007A0543" w:rsidRPr="00A038BF">
        <w:rPr>
          <w:rFonts w:asciiTheme="majorBidi" w:hAnsiTheme="majorBidi" w:cstheme="majorBidi"/>
        </w:rPr>
        <w:t xml:space="preserve"> for mass timber</w:t>
      </w:r>
      <w:r w:rsidR="00A763E8" w:rsidRPr="00A038BF">
        <w:rPr>
          <w:rFonts w:asciiTheme="majorBidi" w:hAnsiTheme="majorBidi" w:cstheme="majorBidi"/>
        </w:rPr>
        <w:t xml:space="preserve">. CLT </w:t>
      </w:r>
      <w:r w:rsidR="007A0543" w:rsidRPr="00A038BF">
        <w:rPr>
          <w:rFonts w:asciiTheme="majorBidi" w:hAnsiTheme="majorBidi" w:cstheme="majorBidi"/>
        </w:rPr>
        <w:t>has</w:t>
      </w:r>
      <w:r w:rsidR="003C1FB0" w:rsidRPr="00A038BF">
        <w:rPr>
          <w:rFonts w:asciiTheme="majorBidi" w:hAnsiTheme="majorBidi" w:cstheme="majorBidi"/>
        </w:rPr>
        <w:t xml:space="preserve"> the lowe</w:t>
      </w:r>
      <w:r w:rsidR="007A0543" w:rsidRPr="00A038BF">
        <w:rPr>
          <w:rFonts w:asciiTheme="majorBidi" w:hAnsiTheme="majorBidi" w:cstheme="majorBidi"/>
        </w:rPr>
        <w:t>st</w:t>
      </w:r>
      <w:r w:rsidR="003C1FB0" w:rsidRPr="00A038BF">
        <w:rPr>
          <w:rFonts w:asciiTheme="majorBidi" w:hAnsiTheme="majorBidi" w:cstheme="majorBidi"/>
        </w:rPr>
        <w:t xml:space="preserve"> priority </w:t>
      </w:r>
      <w:r w:rsidR="007A0543" w:rsidRPr="00A038BF">
        <w:rPr>
          <w:rFonts w:asciiTheme="majorBidi" w:hAnsiTheme="majorBidi" w:cstheme="majorBidi"/>
        </w:rPr>
        <w:t xml:space="preserve">because it </w:t>
      </w:r>
      <w:r w:rsidR="003C1FB0" w:rsidRPr="00A038BF">
        <w:rPr>
          <w:rFonts w:asciiTheme="majorBidi" w:hAnsiTheme="majorBidi" w:cstheme="majorBidi"/>
        </w:rPr>
        <w:t>releas</w:t>
      </w:r>
      <w:r w:rsidR="007A0543" w:rsidRPr="00A038BF">
        <w:rPr>
          <w:rFonts w:asciiTheme="majorBidi" w:hAnsiTheme="majorBidi" w:cstheme="majorBidi"/>
        </w:rPr>
        <w:t>es the</w:t>
      </w:r>
      <w:r w:rsidR="003C1FB0" w:rsidRPr="00A038BF">
        <w:rPr>
          <w:rFonts w:asciiTheme="majorBidi" w:hAnsiTheme="majorBidi" w:cstheme="majorBidi"/>
        </w:rPr>
        <w:t xml:space="preserve"> </w:t>
      </w:r>
      <w:r w:rsidR="007A0543" w:rsidRPr="00A038BF">
        <w:rPr>
          <w:rFonts w:asciiTheme="majorBidi" w:hAnsiTheme="majorBidi" w:cstheme="majorBidi"/>
        </w:rPr>
        <w:t xml:space="preserve">highest </w:t>
      </w:r>
      <w:r w:rsidR="003C1FB0" w:rsidRPr="00A038BF">
        <w:rPr>
          <w:rFonts w:asciiTheme="majorBidi" w:hAnsiTheme="majorBidi" w:cstheme="majorBidi"/>
        </w:rPr>
        <w:t>emission</w:t>
      </w:r>
      <w:r w:rsidR="00A763E8" w:rsidRPr="00A038BF">
        <w:rPr>
          <w:rFonts w:asciiTheme="majorBidi" w:hAnsiTheme="majorBidi" w:cstheme="majorBidi"/>
        </w:rPr>
        <w:t>s</w:t>
      </w:r>
      <w:r w:rsidR="003C1FB0" w:rsidRPr="00A038BF">
        <w:rPr>
          <w:rFonts w:asciiTheme="majorBidi" w:hAnsiTheme="majorBidi" w:cstheme="majorBidi"/>
        </w:rPr>
        <w:t xml:space="preserve"> </w:t>
      </w:r>
      <w:r w:rsidR="007A0543" w:rsidRPr="00A038BF">
        <w:rPr>
          <w:rFonts w:asciiTheme="majorBidi" w:hAnsiTheme="majorBidi" w:cstheme="majorBidi"/>
        </w:rPr>
        <w:t xml:space="preserve">compared to </w:t>
      </w:r>
      <w:r w:rsidR="003C1FB0" w:rsidRPr="00A038BF">
        <w:rPr>
          <w:rFonts w:asciiTheme="majorBidi" w:hAnsiTheme="majorBidi" w:cstheme="majorBidi"/>
        </w:rPr>
        <w:t>NLT.</w:t>
      </w:r>
    </w:p>
    <w:p w14:paraId="7F9812D0" w14:textId="40E3542B" w:rsidR="00FD324B" w:rsidRPr="00A038BF" w:rsidRDefault="006B41C0" w:rsidP="00D2524C">
      <w:pPr>
        <w:pStyle w:val="Default"/>
        <w:jc w:val="center"/>
        <w:rPr>
          <w:rFonts w:asciiTheme="majorBidi" w:hAnsiTheme="majorBidi" w:cstheme="majorBidi"/>
          <w:color w:val="auto"/>
          <w:sz w:val="20"/>
          <w:szCs w:val="20"/>
        </w:rPr>
      </w:pPr>
      <w:r w:rsidRPr="00A038BF">
        <w:rPr>
          <w:noProof/>
          <w:color w:val="auto"/>
        </w:rPr>
        <w:drawing>
          <wp:inline distT="0" distB="0" distL="0" distR="0" wp14:anchorId="76ED849E" wp14:editId="523F7489">
            <wp:extent cx="2941955" cy="3185622"/>
            <wp:effectExtent l="0" t="0" r="10795" b="1524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FD324B" w:rsidRPr="00A038BF">
        <w:rPr>
          <w:noProof/>
          <w:color w:val="auto"/>
        </w:rPr>
        <w:t xml:space="preserve"> </w:t>
      </w:r>
      <w:r w:rsidR="00FD324B" w:rsidRPr="00A038BF">
        <w:rPr>
          <w:noProof/>
          <w:color w:val="auto"/>
        </w:rPr>
        <w:drawing>
          <wp:inline distT="0" distB="0" distL="0" distR="0" wp14:anchorId="44909CB7" wp14:editId="30D08BAA">
            <wp:extent cx="2936875" cy="3192145"/>
            <wp:effectExtent l="0" t="0" r="15875" b="8255"/>
            <wp:docPr id="31" name="Chart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16C3FEDA" w14:textId="16456749" w:rsidR="00F6518B" w:rsidRPr="00A038BF" w:rsidRDefault="00136CFC" w:rsidP="00E73B95">
      <w:pPr>
        <w:jc w:val="center"/>
        <w:rPr>
          <w:rFonts w:asciiTheme="majorBidi" w:hAnsiTheme="majorBidi" w:cstheme="majorBidi"/>
          <w:sz w:val="20"/>
          <w:szCs w:val="20"/>
        </w:rPr>
      </w:pPr>
      <w:r w:rsidRPr="00A038BF">
        <w:rPr>
          <w:rFonts w:asciiTheme="majorBidi" w:hAnsiTheme="majorBidi" w:cstheme="majorBidi"/>
          <w:sz w:val="20"/>
          <w:szCs w:val="20"/>
        </w:rPr>
        <w:t>Figure 10</w:t>
      </w:r>
      <w:r w:rsidR="00F6518B" w:rsidRPr="00A038BF">
        <w:rPr>
          <w:rFonts w:asciiTheme="majorBidi" w:hAnsiTheme="majorBidi" w:cstheme="majorBidi"/>
          <w:sz w:val="20"/>
          <w:szCs w:val="20"/>
        </w:rPr>
        <w:t xml:space="preserve"> GWP coefficients using hardwood for alternatives</w:t>
      </w:r>
    </w:p>
    <w:p w14:paraId="7814B48E" w14:textId="10E3272F" w:rsidR="00894353" w:rsidRPr="00A038BF" w:rsidRDefault="00C930FA" w:rsidP="00A763E8">
      <w:pPr>
        <w:spacing w:after="0" w:line="276" w:lineRule="auto"/>
        <w:ind w:firstLine="720"/>
        <w:jc w:val="both"/>
        <w:rPr>
          <w:rFonts w:asciiTheme="majorBidi" w:eastAsia="Times New Roman" w:hAnsiTheme="majorBidi" w:cstheme="majorBidi"/>
        </w:rPr>
      </w:pPr>
      <w:r w:rsidRPr="00A038BF">
        <w:rPr>
          <w:rFonts w:asciiTheme="majorBidi" w:eastAsia="Times New Roman" w:hAnsiTheme="majorBidi" w:cstheme="majorBidi"/>
        </w:rPr>
        <w:t>P</w:t>
      </w:r>
      <w:r w:rsidR="00F528A7" w:rsidRPr="00A038BF">
        <w:rPr>
          <w:rFonts w:asciiTheme="majorBidi" w:eastAsia="Times New Roman" w:hAnsiTheme="majorBidi" w:cstheme="majorBidi"/>
        </w:rPr>
        <w:t xml:space="preserve">revious LCA studies </w:t>
      </w:r>
      <w:r w:rsidRPr="00A038BF">
        <w:rPr>
          <w:rFonts w:asciiTheme="majorBidi" w:eastAsia="Times New Roman" w:hAnsiTheme="majorBidi" w:cstheme="majorBidi"/>
        </w:rPr>
        <w:t xml:space="preserve">that </w:t>
      </w:r>
      <w:r w:rsidR="00F528A7" w:rsidRPr="00A038BF">
        <w:rPr>
          <w:rFonts w:asciiTheme="majorBidi" w:eastAsia="Times New Roman" w:hAnsiTheme="majorBidi" w:cstheme="majorBidi"/>
        </w:rPr>
        <w:t>compar</w:t>
      </w:r>
      <w:r w:rsidRPr="00A038BF">
        <w:rPr>
          <w:rFonts w:asciiTheme="majorBidi" w:eastAsia="Times New Roman" w:hAnsiTheme="majorBidi" w:cstheme="majorBidi"/>
        </w:rPr>
        <w:t xml:space="preserve">e </w:t>
      </w:r>
      <w:r w:rsidR="00F528A7" w:rsidRPr="00A038BF">
        <w:rPr>
          <w:rFonts w:asciiTheme="majorBidi" w:eastAsia="Times New Roman" w:hAnsiTheme="majorBidi" w:cstheme="majorBidi"/>
        </w:rPr>
        <w:t xml:space="preserve">materials </w:t>
      </w:r>
      <w:r w:rsidR="0097613B" w:rsidRPr="00A038BF">
        <w:rPr>
          <w:rFonts w:asciiTheme="majorBidi" w:eastAsia="Times New Roman" w:hAnsiTheme="majorBidi" w:cstheme="majorBidi"/>
        </w:rPr>
        <w:t>typic</w:t>
      </w:r>
      <w:r w:rsidR="00F528A7" w:rsidRPr="00A038BF">
        <w:rPr>
          <w:rFonts w:asciiTheme="majorBidi" w:eastAsia="Times New Roman" w:hAnsiTheme="majorBidi" w:cstheme="majorBidi"/>
        </w:rPr>
        <w:t xml:space="preserve">ally consider one form of </w:t>
      </w:r>
      <w:r w:rsidRPr="00A038BF">
        <w:rPr>
          <w:rFonts w:asciiTheme="majorBidi" w:eastAsia="Times New Roman" w:hAnsiTheme="majorBidi" w:cstheme="majorBidi"/>
        </w:rPr>
        <w:t>wood</w:t>
      </w:r>
      <w:r w:rsidR="0097613B" w:rsidRPr="00A038BF">
        <w:rPr>
          <w:rFonts w:asciiTheme="majorBidi" w:eastAsia="Times New Roman" w:hAnsiTheme="majorBidi" w:cstheme="majorBidi"/>
        </w:rPr>
        <w:t>,</w:t>
      </w:r>
      <w:r w:rsidR="00F528A7" w:rsidRPr="00A038BF">
        <w:rPr>
          <w:rFonts w:asciiTheme="majorBidi" w:eastAsia="Times New Roman" w:hAnsiTheme="majorBidi" w:cstheme="majorBidi"/>
        </w:rPr>
        <w:t xml:space="preserve"> either softwood or hardwood</w:t>
      </w:r>
      <w:r w:rsidR="00A763E8" w:rsidRPr="00A038BF">
        <w:rPr>
          <w:rFonts w:asciiTheme="majorBidi" w:eastAsia="Times New Roman" w:hAnsiTheme="majorBidi" w:cstheme="majorBidi"/>
        </w:rPr>
        <w:t xml:space="preserve">. </w:t>
      </w:r>
      <w:r w:rsidRPr="00A038BF">
        <w:rPr>
          <w:rFonts w:asciiTheme="majorBidi" w:eastAsia="Times New Roman" w:hAnsiTheme="majorBidi" w:cstheme="majorBidi"/>
        </w:rPr>
        <w:t xml:space="preserve">These studies </w:t>
      </w:r>
      <w:r w:rsidR="00F528A7" w:rsidRPr="00A038BF">
        <w:rPr>
          <w:rFonts w:asciiTheme="majorBidi" w:eastAsia="Times New Roman" w:hAnsiTheme="majorBidi" w:cstheme="majorBidi"/>
        </w:rPr>
        <w:t>d</w:t>
      </w:r>
      <w:r w:rsidRPr="00A038BF">
        <w:rPr>
          <w:rFonts w:asciiTheme="majorBidi" w:eastAsia="Times New Roman" w:hAnsiTheme="majorBidi" w:cstheme="majorBidi"/>
        </w:rPr>
        <w:t>o</w:t>
      </w:r>
      <w:r w:rsidR="00F528A7" w:rsidRPr="00A038BF">
        <w:rPr>
          <w:rFonts w:asciiTheme="majorBidi" w:eastAsia="Times New Roman" w:hAnsiTheme="majorBidi" w:cstheme="majorBidi"/>
        </w:rPr>
        <w:t xml:space="preserve"> not co</w:t>
      </w:r>
      <w:r w:rsidRPr="00A038BF">
        <w:rPr>
          <w:rFonts w:asciiTheme="majorBidi" w:eastAsia="Times New Roman" w:hAnsiTheme="majorBidi" w:cstheme="majorBidi"/>
        </w:rPr>
        <w:t xml:space="preserve">nsider </w:t>
      </w:r>
      <w:r w:rsidR="00F528A7" w:rsidRPr="00A038BF">
        <w:rPr>
          <w:rFonts w:asciiTheme="majorBidi" w:eastAsia="Times New Roman" w:hAnsiTheme="majorBidi" w:cstheme="majorBidi"/>
        </w:rPr>
        <w:t>the emission</w:t>
      </w:r>
      <w:r w:rsidRPr="00A038BF">
        <w:rPr>
          <w:rFonts w:asciiTheme="majorBidi" w:eastAsia="Times New Roman" w:hAnsiTheme="majorBidi" w:cstheme="majorBidi"/>
        </w:rPr>
        <w:t>s resulting from the</w:t>
      </w:r>
      <w:r w:rsidR="00F528A7" w:rsidRPr="00A038BF">
        <w:rPr>
          <w:rFonts w:asciiTheme="majorBidi" w:eastAsia="Times New Roman" w:hAnsiTheme="majorBidi" w:cstheme="majorBidi"/>
        </w:rPr>
        <w:t xml:space="preserve"> plantation stage. </w:t>
      </w:r>
      <w:r w:rsidR="00F41980" w:rsidRPr="00A038BF">
        <w:rPr>
          <w:rFonts w:asciiTheme="majorBidi" w:eastAsia="Times New Roman" w:hAnsiTheme="majorBidi" w:cstheme="majorBidi"/>
        </w:rPr>
        <w:t>This study compare</w:t>
      </w:r>
      <w:r w:rsidRPr="00A038BF">
        <w:rPr>
          <w:rFonts w:asciiTheme="majorBidi" w:eastAsia="Times New Roman" w:hAnsiTheme="majorBidi" w:cstheme="majorBidi"/>
        </w:rPr>
        <w:t>d</w:t>
      </w:r>
      <w:r w:rsidR="00F41980" w:rsidRPr="00A038BF">
        <w:rPr>
          <w:rFonts w:asciiTheme="majorBidi" w:eastAsia="Times New Roman" w:hAnsiTheme="majorBidi" w:cstheme="majorBidi"/>
        </w:rPr>
        <w:t xml:space="preserve"> the </w:t>
      </w:r>
      <w:r w:rsidRPr="00A038BF">
        <w:rPr>
          <w:rFonts w:asciiTheme="majorBidi" w:eastAsia="Times New Roman" w:hAnsiTheme="majorBidi" w:cstheme="majorBidi"/>
        </w:rPr>
        <w:t xml:space="preserve">manufacture of </w:t>
      </w:r>
      <w:r w:rsidR="00F41980" w:rsidRPr="00A038BF">
        <w:rPr>
          <w:rFonts w:asciiTheme="majorBidi" w:eastAsia="Times New Roman" w:hAnsiTheme="majorBidi" w:cstheme="majorBidi"/>
        </w:rPr>
        <w:t xml:space="preserve">hardwood as an alternative </w:t>
      </w:r>
      <w:r w:rsidRPr="00A038BF">
        <w:rPr>
          <w:rFonts w:asciiTheme="majorBidi" w:eastAsia="Times New Roman" w:hAnsiTheme="majorBidi" w:cstheme="majorBidi"/>
        </w:rPr>
        <w:t xml:space="preserve">to </w:t>
      </w:r>
      <w:r w:rsidR="00F41980" w:rsidRPr="00A038BF">
        <w:rPr>
          <w:rFonts w:asciiTheme="majorBidi" w:eastAsia="Times New Roman" w:hAnsiTheme="majorBidi" w:cstheme="majorBidi"/>
        </w:rPr>
        <w:t>softwood to reveal difference</w:t>
      </w:r>
      <w:r w:rsidRPr="00A038BF">
        <w:rPr>
          <w:rFonts w:asciiTheme="majorBidi" w:eastAsia="Times New Roman" w:hAnsiTheme="majorBidi" w:cstheme="majorBidi"/>
        </w:rPr>
        <w:t>s when tehse materials are</w:t>
      </w:r>
      <w:r w:rsidR="00F41980" w:rsidRPr="00A038BF">
        <w:rPr>
          <w:rFonts w:asciiTheme="majorBidi" w:eastAsia="Times New Roman" w:hAnsiTheme="majorBidi" w:cstheme="majorBidi"/>
        </w:rPr>
        <w:t xml:space="preserve"> used interchangeably. </w:t>
      </w:r>
      <w:r w:rsidR="00094BF0" w:rsidRPr="00A038BF">
        <w:rPr>
          <w:rFonts w:asciiTheme="majorBidi" w:eastAsia="Times New Roman" w:hAnsiTheme="majorBidi" w:cstheme="majorBidi"/>
        </w:rPr>
        <w:t xml:space="preserve">Moreover, none of the previous studies </w:t>
      </w:r>
      <w:r w:rsidR="00CA7D9F" w:rsidRPr="00A038BF">
        <w:rPr>
          <w:rFonts w:asciiTheme="majorBidi" w:eastAsia="Times New Roman" w:hAnsiTheme="majorBidi" w:cstheme="majorBidi"/>
        </w:rPr>
        <w:t>compar</w:t>
      </w:r>
      <w:r w:rsidRPr="00A038BF">
        <w:rPr>
          <w:rFonts w:asciiTheme="majorBidi" w:eastAsia="Times New Roman" w:hAnsiTheme="majorBidi" w:cstheme="majorBidi"/>
        </w:rPr>
        <w:t>ed</w:t>
      </w:r>
      <w:r w:rsidR="00094BF0" w:rsidRPr="00A038BF">
        <w:rPr>
          <w:rFonts w:asciiTheme="majorBidi" w:eastAsia="Times New Roman" w:hAnsiTheme="majorBidi" w:cstheme="majorBidi"/>
        </w:rPr>
        <w:t xml:space="preserve"> different engineered wood products </w:t>
      </w:r>
      <w:r w:rsidRPr="00A038BF">
        <w:rPr>
          <w:rFonts w:asciiTheme="majorBidi" w:eastAsia="Times New Roman" w:hAnsiTheme="majorBidi" w:cstheme="majorBidi"/>
        </w:rPr>
        <w:t>as</w:t>
      </w:r>
      <w:r w:rsidR="00CA7D9F" w:rsidRPr="00A038BF">
        <w:rPr>
          <w:rFonts w:asciiTheme="majorBidi" w:eastAsia="Times New Roman" w:hAnsiTheme="majorBidi" w:cstheme="majorBidi"/>
        </w:rPr>
        <w:t xml:space="preserve"> </w:t>
      </w:r>
      <w:r w:rsidR="00094BF0" w:rsidRPr="00A038BF">
        <w:rPr>
          <w:rFonts w:asciiTheme="majorBidi" w:eastAsia="Times New Roman" w:hAnsiTheme="majorBidi" w:cstheme="majorBidi"/>
        </w:rPr>
        <w:t>load</w:t>
      </w:r>
      <w:r w:rsidR="00CA7D9F" w:rsidRPr="00A038BF">
        <w:rPr>
          <w:rFonts w:asciiTheme="majorBidi" w:eastAsia="Times New Roman" w:hAnsiTheme="majorBidi" w:cstheme="majorBidi"/>
        </w:rPr>
        <w:t>-</w:t>
      </w:r>
      <w:r w:rsidR="00094BF0" w:rsidRPr="00A038BF">
        <w:rPr>
          <w:rFonts w:asciiTheme="majorBidi" w:eastAsia="Times New Roman" w:hAnsiTheme="majorBidi" w:cstheme="majorBidi"/>
        </w:rPr>
        <w:t>bearing wall</w:t>
      </w:r>
      <w:r w:rsidRPr="00A038BF">
        <w:rPr>
          <w:rFonts w:asciiTheme="majorBidi" w:eastAsia="Times New Roman" w:hAnsiTheme="majorBidi" w:cstheme="majorBidi"/>
        </w:rPr>
        <w:t>s</w:t>
      </w:r>
      <w:r w:rsidR="00094BF0" w:rsidRPr="00A038BF">
        <w:rPr>
          <w:rFonts w:asciiTheme="majorBidi" w:eastAsia="Times New Roman" w:hAnsiTheme="majorBidi" w:cstheme="majorBidi"/>
        </w:rPr>
        <w:t>.</w:t>
      </w:r>
      <w:r w:rsidR="00004DCD" w:rsidRPr="00A038BF">
        <w:rPr>
          <w:rFonts w:asciiTheme="majorBidi" w:eastAsia="Times New Roman" w:hAnsiTheme="majorBidi" w:cstheme="majorBidi"/>
        </w:rPr>
        <w:t xml:space="preserve"> </w:t>
      </w:r>
      <w:r w:rsidRPr="00A038BF">
        <w:rPr>
          <w:rFonts w:asciiTheme="majorBidi" w:eastAsia="Times New Roman" w:hAnsiTheme="majorBidi" w:cstheme="majorBidi"/>
        </w:rPr>
        <w:t xml:space="preserve">In this application, </w:t>
      </w:r>
      <w:r w:rsidR="00A763E8" w:rsidRPr="00A038BF">
        <w:rPr>
          <w:rFonts w:asciiTheme="majorBidi" w:eastAsia="Times New Roman" w:hAnsiTheme="majorBidi" w:cstheme="majorBidi"/>
        </w:rPr>
        <w:t xml:space="preserve">DLT is not as strong as CLT because </w:t>
      </w:r>
      <w:r w:rsidRPr="00A038BF">
        <w:rPr>
          <w:rFonts w:asciiTheme="majorBidi" w:eastAsia="Times New Roman" w:hAnsiTheme="majorBidi" w:cstheme="majorBidi"/>
        </w:rPr>
        <w:t xml:space="preserve">the constituent timber planks in DLT tend to </w:t>
      </w:r>
      <w:r w:rsidR="00A763E8" w:rsidRPr="00A038BF">
        <w:rPr>
          <w:rFonts w:asciiTheme="majorBidi" w:eastAsia="Times New Roman" w:hAnsiTheme="majorBidi" w:cstheme="majorBidi"/>
        </w:rPr>
        <w:t>slip</w:t>
      </w:r>
      <w:r w:rsidRPr="00A038BF">
        <w:rPr>
          <w:rFonts w:asciiTheme="majorBidi" w:eastAsia="Times New Roman" w:hAnsiTheme="majorBidi" w:cstheme="majorBidi"/>
        </w:rPr>
        <w:t xml:space="preserve"> relative to each other</w:t>
      </w:r>
      <w:r w:rsidR="00894353" w:rsidRPr="00A038BF">
        <w:rPr>
          <w:rFonts w:asciiTheme="majorBidi" w:eastAsia="Times New Roman" w:hAnsiTheme="majorBidi" w:cstheme="majorBidi"/>
        </w:rPr>
        <w:t xml:space="preserve">. </w:t>
      </w:r>
      <w:r w:rsidR="00004DCD" w:rsidRPr="00A038BF">
        <w:rPr>
          <w:rFonts w:asciiTheme="majorBidi" w:eastAsia="Times New Roman" w:hAnsiTheme="majorBidi" w:cstheme="majorBidi"/>
        </w:rPr>
        <w:t>Nevertheless, t</w:t>
      </w:r>
      <w:r w:rsidR="00894353" w:rsidRPr="00A038BF">
        <w:rPr>
          <w:rFonts w:asciiTheme="majorBidi" w:eastAsia="Times New Roman" w:hAnsiTheme="majorBidi" w:cstheme="majorBidi"/>
        </w:rPr>
        <w:t xml:space="preserve">he goal is to </w:t>
      </w:r>
      <w:r w:rsidRPr="00A038BF">
        <w:rPr>
          <w:rFonts w:asciiTheme="majorBidi" w:eastAsia="Times New Roman" w:hAnsiTheme="majorBidi" w:cstheme="majorBidi"/>
        </w:rPr>
        <w:t xml:space="preserve">manufacture </w:t>
      </w:r>
      <w:r w:rsidR="00894353" w:rsidRPr="00A038BF">
        <w:rPr>
          <w:rFonts w:asciiTheme="majorBidi" w:eastAsia="Times New Roman" w:hAnsiTheme="majorBidi" w:cstheme="majorBidi"/>
        </w:rPr>
        <w:t xml:space="preserve">a 100% wood product </w:t>
      </w:r>
      <w:r w:rsidR="00CA7D9F" w:rsidRPr="00A038BF">
        <w:rPr>
          <w:rFonts w:asciiTheme="majorBidi" w:eastAsia="Times New Roman" w:hAnsiTheme="majorBidi" w:cstheme="majorBidi"/>
        </w:rPr>
        <w:t xml:space="preserve">that is easier to produce than CLT </w:t>
      </w:r>
      <w:r w:rsidRPr="00A038BF">
        <w:rPr>
          <w:rFonts w:asciiTheme="majorBidi" w:eastAsia="Times New Roman" w:hAnsiTheme="majorBidi" w:cstheme="majorBidi"/>
        </w:rPr>
        <w:t xml:space="preserve">and does not </w:t>
      </w:r>
      <w:r w:rsidR="00CA7D9F" w:rsidRPr="00A038BF">
        <w:rPr>
          <w:rFonts w:asciiTheme="majorBidi" w:eastAsia="Times New Roman" w:hAnsiTheme="majorBidi" w:cstheme="majorBidi"/>
        </w:rPr>
        <w:t>need adhesive</w:t>
      </w:r>
      <w:r w:rsidR="00894353" w:rsidRPr="00A038BF">
        <w:rPr>
          <w:rFonts w:asciiTheme="majorBidi" w:eastAsia="Times New Roman" w:hAnsiTheme="majorBidi" w:cstheme="majorBidi"/>
        </w:rPr>
        <w:t xml:space="preserve">. </w:t>
      </w:r>
      <w:r w:rsidRPr="00A038BF">
        <w:rPr>
          <w:rFonts w:asciiTheme="majorBidi" w:eastAsia="Times New Roman" w:hAnsiTheme="majorBidi" w:cstheme="majorBidi"/>
        </w:rPr>
        <w:t>S</w:t>
      </w:r>
      <w:r w:rsidR="00894353" w:rsidRPr="00A038BF">
        <w:rPr>
          <w:rFonts w:asciiTheme="majorBidi" w:eastAsia="Times New Roman" w:hAnsiTheme="majorBidi" w:cstheme="majorBidi"/>
        </w:rPr>
        <w:t>ince</w:t>
      </w:r>
      <w:r w:rsidR="00004DCD" w:rsidRPr="00A038BF">
        <w:rPr>
          <w:rFonts w:asciiTheme="majorBidi" w:eastAsia="Times New Roman" w:hAnsiTheme="majorBidi" w:cstheme="majorBidi"/>
        </w:rPr>
        <w:t xml:space="preserve"> the wood materials </w:t>
      </w:r>
      <w:r w:rsidRPr="00A038BF">
        <w:rPr>
          <w:rFonts w:asciiTheme="majorBidi" w:eastAsia="Times New Roman" w:hAnsiTheme="majorBidi" w:cstheme="majorBidi"/>
        </w:rPr>
        <w:t xml:space="preserve">considered </w:t>
      </w:r>
      <w:r w:rsidR="00004DCD" w:rsidRPr="00A038BF">
        <w:rPr>
          <w:rFonts w:asciiTheme="majorBidi" w:eastAsia="Times New Roman" w:hAnsiTheme="majorBidi" w:cstheme="majorBidi"/>
        </w:rPr>
        <w:t xml:space="preserve">in this </w:t>
      </w:r>
      <w:r w:rsidRPr="00A038BF">
        <w:rPr>
          <w:rFonts w:asciiTheme="majorBidi" w:eastAsia="Times New Roman" w:hAnsiTheme="majorBidi" w:cstheme="majorBidi"/>
        </w:rPr>
        <w:t xml:space="preserve">study </w:t>
      </w:r>
      <w:r w:rsidR="00CA7D9F" w:rsidRPr="00A038BF">
        <w:rPr>
          <w:rFonts w:asciiTheme="majorBidi" w:eastAsia="Times New Roman" w:hAnsiTheme="majorBidi" w:cstheme="majorBidi"/>
        </w:rPr>
        <w:t xml:space="preserve">are only </w:t>
      </w:r>
      <w:r w:rsidRPr="00A038BF">
        <w:rPr>
          <w:rFonts w:asciiTheme="majorBidi" w:eastAsia="Times New Roman" w:hAnsiTheme="majorBidi" w:cstheme="majorBidi"/>
        </w:rPr>
        <w:t>for</w:t>
      </w:r>
      <w:r w:rsidR="00CA7D9F" w:rsidRPr="00A038BF">
        <w:rPr>
          <w:rFonts w:asciiTheme="majorBidi" w:eastAsia="Times New Roman" w:hAnsiTheme="majorBidi" w:cstheme="majorBidi"/>
        </w:rPr>
        <w:t xml:space="preserve"> panel</w:t>
      </w:r>
      <w:r w:rsidRPr="00A038BF">
        <w:rPr>
          <w:rFonts w:asciiTheme="majorBidi" w:eastAsia="Times New Roman" w:hAnsiTheme="majorBidi" w:cstheme="majorBidi"/>
        </w:rPr>
        <w:t>s</w:t>
      </w:r>
      <w:r w:rsidR="00CA7D9F" w:rsidRPr="00A038BF">
        <w:rPr>
          <w:rFonts w:asciiTheme="majorBidi" w:eastAsia="Times New Roman" w:hAnsiTheme="majorBidi" w:cstheme="majorBidi"/>
        </w:rPr>
        <w:t xml:space="preserve">, our result is valid and sufficient for those who use this </w:t>
      </w:r>
      <w:r w:rsidRPr="00A038BF">
        <w:rPr>
          <w:rFonts w:asciiTheme="majorBidi" w:eastAsia="Times New Roman" w:hAnsiTheme="majorBidi" w:cstheme="majorBidi"/>
        </w:rPr>
        <w:t xml:space="preserve">popular </w:t>
      </w:r>
      <w:r w:rsidR="00CA7D9F" w:rsidRPr="00A038BF">
        <w:rPr>
          <w:rFonts w:asciiTheme="majorBidi" w:eastAsia="Times New Roman" w:hAnsiTheme="majorBidi" w:cstheme="majorBidi"/>
        </w:rPr>
        <w:t>construction method</w:t>
      </w:r>
      <w:r w:rsidR="00894353" w:rsidRPr="00A038BF">
        <w:rPr>
          <w:rFonts w:asciiTheme="majorBidi" w:eastAsia="Times New Roman" w:hAnsiTheme="majorBidi" w:cstheme="majorBidi"/>
        </w:rPr>
        <w:t xml:space="preserve">. </w:t>
      </w:r>
    </w:p>
    <w:p w14:paraId="4D5F90BD" w14:textId="2A739126" w:rsidR="00A763E8" w:rsidRPr="00A038BF" w:rsidRDefault="00132529" w:rsidP="00A763E8">
      <w:pPr>
        <w:spacing w:line="276" w:lineRule="auto"/>
        <w:ind w:firstLine="720"/>
        <w:jc w:val="both"/>
        <w:rPr>
          <w:rFonts w:asciiTheme="majorBidi" w:hAnsiTheme="majorBidi" w:cstheme="majorBidi"/>
        </w:rPr>
      </w:pPr>
      <w:r w:rsidRPr="00A038BF">
        <w:rPr>
          <w:rFonts w:asciiTheme="majorBidi" w:eastAsia="Times New Roman" w:hAnsiTheme="majorBidi" w:cstheme="majorBidi"/>
        </w:rPr>
        <w:t>At present</w:t>
      </w:r>
      <w:r w:rsidR="00680F35" w:rsidRPr="00A038BF">
        <w:rPr>
          <w:rFonts w:asciiTheme="majorBidi" w:eastAsia="Times New Roman" w:hAnsiTheme="majorBidi" w:cstheme="majorBidi"/>
        </w:rPr>
        <w:t xml:space="preserve">, there </w:t>
      </w:r>
      <w:r w:rsidRPr="00A038BF">
        <w:rPr>
          <w:rFonts w:asciiTheme="majorBidi" w:eastAsia="Times New Roman" w:hAnsiTheme="majorBidi" w:cstheme="majorBidi"/>
        </w:rPr>
        <w:t xml:space="preserve">are </w:t>
      </w:r>
      <w:r w:rsidR="00680F35" w:rsidRPr="00A038BF">
        <w:rPr>
          <w:rFonts w:asciiTheme="majorBidi" w:eastAsia="Times New Roman" w:hAnsiTheme="majorBidi" w:cstheme="majorBidi"/>
        </w:rPr>
        <w:t>no stud</w:t>
      </w:r>
      <w:r w:rsidRPr="00A038BF">
        <w:rPr>
          <w:rFonts w:asciiTheme="majorBidi" w:eastAsia="Times New Roman" w:hAnsiTheme="majorBidi" w:cstheme="majorBidi"/>
        </w:rPr>
        <w:t>ies</w:t>
      </w:r>
      <w:r w:rsidR="00680F35" w:rsidRPr="00A038BF">
        <w:rPr>
          <w:rFonts w:asciiTheme="majorBidi" w:eastAsia="Times New Roman" w:hAnsiTheme="majorBidi" w:cstheme="majorBidi"/>
        </w:rPr>
        <w:t xml:space="preserve"> about </w:t>
      </w:r>
      <w:r w:rsidR="00CA7D9F" w:rsidRPr="00A038BF">
        <w:rPr>
          <w:rFonts w:asciiTheme="majorBidi" w:eastAsia="Times New Roman" w:hAnsiTheme="majorBidi" w:cstheme="majorBidi"/>
        </w:rPr>
        <w:t xml:space="preserve">the </w:t>
      </w:r>
      <w:r w:rsidR="00680F35" w:rsidRPr="00A038BF">
        <w:rPr>
          <w:rFonts w:asciiTheme="majorBidi" w:eastAsia="Times New Roman" w:hAnsiTheme="majorBidi" w:cstheme="majorBidi"/>
        </w:rPr>
        <w:t xml:space="preserve">LCA or LCC of different timber mass materials such as NLT or DLT. </w:t>
      </w:r>
      <w:r w:rsidRPr="00A038BF">
        <w:rPr>
          <w:rFonts w:asciiTheme="majorBidi" w:eastAsia="Times New Roman" w:hAnsiTheme="majorBidi" w:cstheme="majorBidi"/>
        </w:rPr>
        <w:t>P</w:t>
      </w:r>
      <w:r w:rsidR="00680F35" w:rsidRPr="00A038BF">
        <w:rPr>
          <w:rFonts w:asciiTheme="majorBidi" w:eastAsia="Times New Roman" w:hAnsiTheme="majorBidi" w:cstheme="majorBidi"/>
        </w:rPr>
        <w:t xml:space="preserve">revious </w:t>
      </w:r>
      <w:r w:rsidR="002F6E2C" w:rsidRPr="00A038BF">
        <w:rPr>
          <w:rFonts w:asciiTheme="majorBidi" w:eastAsia="Times New Roman" w:hAnsiTheme="majorBidi" w:cstheme="majorBidi"/>
        </w:rPr>
        <w:t>research</w:t>
      </w:r>
      <w:r w:rsidR="00CA7D9F" w:rsidRPr="00A038BF">
        <w:rPr>
          <w:rFonts w:asciiTheme="majorBidi" w:eastAsia="Times New Roman" w:hAnsiTheme="majorBidi" w:cstheme="majorBidi"/>
        </w:rPr>
        <w:t>,</w:t>
      </w:r>
      <w:r w:rsidR="00680F35" w:rsidRPr="00A038BF">
        <w:rPr>
          <w:rFonts w:asciiTheme="majorBidi" w:eastAsia="Times New Roman" w:hAnsiTheme="majorBidi" w:cstheme="majorBidi"/>
        </w:rPr>
        <w:t xml:space="preserve"> such as </w:t>
      </w:r>
      <w:r w:rsidR="00680F35" w:rsidRPr="00A038BF">
        <w:rPr>
          <w:rFonts w:asciiTheme="majorBidi" w:eastAsia="Times New Roman" w:hAnsiTheme="majorBidi" w:cstheme="majorBidi"/>
        </w:rPr>
        <w:fldChar w:fldCharType="begin" w:fldLock="1"/>
      </w:r>
      <w:r w:rsidR="00680F35" w:rsidRPr="00A038BF">
        <w:rPr>
          <w:rFonts w:asciiTheme="majorBidi" w:eastAsia="Times New Roman" w:hAnsiTheme="majorBidi" w:cstheme="majorBidi"/>
        </w:rPr>
        <w:instrText>ADDIN CSL_CITATION {"citationItems":[{"id":"ITEM-1","itemData":{"DOI":"10.1016/j.buildenv.2021.108112","ISSN":"0360-1323","author":[{"dropping-particle":"","family":"Tighnavard","given":"Ali","non-dropping-particle":"","parse-names":false,"suffix":""},{"dropping-particle":"","family":"Sher","given":"Willy","non-dropping-particle":"","parse-names":false,"suffix":""}],"container-title":"Building and Environment","id":"ITEM-1","issue":"April","issued":{"date-parts":[["2021"]]},"page":"108112","publisher":"Elsevier Ltd","title":"Comparative sustainability evaluation of two engineered wood-based construction materials : Life cycle analysis of CLT versus GLT","type":"article-journal","volume":"204"},"uris":["http://www.mendeley.com/documents/?uuid=77d79207-0aa1-441f-8186-c0ad7dde7b88"]}],"mendeley":{"formattedCitation":"(Tighnavard &amp; Sher, 2021)","manualFormatting":"Balasbaneh &amp; Sher, (2021a)","plainTextFormattedCitation":"(Tighnavard &amp; Sher, 2021)","previouslyFormattedCitation":"(Tighnavard &amp; Sher, 2021)"},"properties":{"noteIndex":0},"schema":"https://github.com/citation-style-language/schema/raw/master/csl-citation.json"}</w:instrText>
      </w:r>
      <w:r w:rsidR="00680F35" w:rsidRPr="00A038BF">
        <w:rPr>
          <w:rFonts w:asciiTheme="majorBidi" w:eastAsia="Times New Roman" w:hAnsiTheme="majorBidi" w:cstheme="majorBidi"/>
        </w:rPr>
        <w:fldChar w:fldCharType="separate"/>
      </w:r>
      <w:r w:rsidR="00680F35" w:rsidRPr="00A038BF">
        <w:rPr>
          <w:rFonts w:asciiTheme="majorBidi" w:eastAsia="Times New Roman" w:hAnsiTheme="majorBidi" w:cstheme="majorBidi"/>
          <w:noProof/>
        </w:rPr>
        <w:t>Balasbaneh &amp; Sher, (2021a)</w:t>
      </w:r>
      <w:r w:rsidR="00680F35" w:rsidRPr="00A038BF">
        <w:rPr>
          <w:rFonts w:asciiTheme="majorBidi" w:eastAsia="Times New Roman" w:hAnsiTheme="majorBidi" w:cstheme="majorBidi"/>
        </w:rPr>
        <w:fldChar w:fldCharType="end"/>
      </w:r>
      <w:r w:rsidR="00CA7D9F" w:rsidRPr="00A038BF">
        <w:rPr>
          <w:rFonts w:asciiTheme="majorBidi" w:eastAsia="Times New Roman" w:hAnsiTheme="majorBidi" w:cstheme="majorBidi"/>
        </w:rPr>
        <w:t>,</w:t>
      </w:r>
      <w:r w:rsidR="00680F35" w:rsidRPr="00A038BF">
        <w:rPr>
          <w:rFonts w:asciiTheme="majorBidi" w:eastAsia="Times New Roman" w:hAnsiTheme="majorBidi" w:cstheme="majorBidi"/>
        </w:rPr>
        <w:t xml:space="preserve"> </w:t>
      </w:r>
      <w:r w:rsidRPr="00A038BF">
        <w:rPr>
          <w:rFonts w:asciiTheme="majorBidi" w:eastAsia="Times New Roman" w:hAnsiTheme="majorBidi" w:cstheme="majorBidi"/>
        </w:rPr>
        <w:t xml:space="preserve">has </w:t>
      </w:r>
      <w:r w:rsidR="00680F35" w:rsidRPr="00A038BF">
        <w:rPr>
          <w:rFonts w:asciiTheme="majorBidi" w:eastAsia="Times New Roman" w:hAnsiTheme="majorBidi" w:cstheme="majorBidi"/>
        </w:rPr>
        <w:t>show</w:t>
      </w:r>
      <w:r w:rsidRPr="00A038BF">
        <w:rPr>
          <w:rFonts w:asciiTheme="majorBidi" w:eastAsia="Times New Roman" w:hAnsiTheme="majorBidi" w:cstheme="majorBidi"/>
        </w:rPr>
        <w:t>n</w:t>
      </w:r>
      <w:r w:rsidR="00680F35" w:rsidRPr="00A038BF">
        <w:rPr>
          <w:rFonts w:asciiTheme="majorBidi" w:eastAsia="Times New Roman" w:hAnsiTheme="majorBidi" w:cstheme="majorBidi"/>
        </w:rPr>
        <w:t xml:space="preserve"> that CLT is considered </w:t>
      </w:r>
      <w:r w:rsidRPr="00A038BF">
        <w:rPr>
          <w:rFonts w:asciiTheme="majorBidi" w:eastAsia="Times New Roman" w:hAnsiTheme="majorBidi" w:cstheme="majorBidi"/>
        </w:rPr>
        <w:t>superior to</w:t>
      </w:r>
      <w:r w:rsidR="00680F35" w:rsidRPr="00A038BF">
        <w:rPr>
          <w:rFonts w:asciiTheme="majorBidi" w:eastAsia="Times New Roman" w:hAnsiTheme="majorBidi" w:cstheme="majorBidi"/>
        </w:rPr>
        <w:t xml:space="preserve"> </w:t>
      </w:r>
      <w:r w:rsidRPr="00A038BF">
        <w:rPr>
          <w:rFonts w:asciiTheme="majorBidi" w:eastAsia="Times New Roman" w:hAnsiTheme="majorBidi" w:cstheme="majorBidi"/>
        </w:rPr>
        <w:t xml:space="preserve">glued </w:t>
      </w:r>
      <w:r w:rsidR="00680F35" w:rsidRPr="00A038BF">
        <w:rPr>
          <w:rFonts w:asciiTheme="majorBidi" w:eastAsia="Times New Roman" w:hAnsiTheme="majorBidi" w:cstheme="majorBidi"/>
        </w:rPr>
        <w:t xml:space="preserve">laminated timber as </w:t>
      </w:r>
      <w:r w:rsidR="00CA7D9F" w:rsidRPr="00A038BF">
        <w:rPr>
          <w:rFonts w:asciiTheme="majorBidi" w:eastAsia="Times New Roman" w:hAnsiTheme="majorBidi" w:cstheme="majorBidi"/>
        </w:rPr>
        <w:t xml:space="preserve">a </w:t>
      </w:r>
      <w:r w:rsidR="00680F35" w:rsidRPr="00A038BF">
        <w:rPr>
          <w:rFonts w:asciiTheme="majorBidi" w:eastAsia="Times New Roman" w:hAnsiTheme="majorBidi" w:cstheme="majorBidi"/>
        </w:rPr>
        <w:t xml:space="preserve">building material. Therefore, based on </w:t>
      </w:r>
      <w:r w:rsidR="00CA7D9F" w:rsidRPr="00A038BF">
        <w:rPr>
          <w:rFonts w:asciiTheme="majorBidi" w:eastAsia="Times New Roman" w:hAnsiTheme="majorBidi" w:cstheme="majorBidi"/>
        </w:rPr>
        <w:t xml:space="preserve">the </w:t>
      </w:r>
      <w:r w:rsidR="00680F35" w:rsidRPr="00A038BF">
        <w:rPr>
          <w:rFonts w:asciiTheme="majorBidi" w:eastAsia="Times New Roman" w:hAnsiTheme="majorBidi" w:cstheme="majorBidi"/>
        </w:rPr>
        <w:t>current result that NLT and DLT have lower GWP emission</w:t>
      </w:r>
      <w:r w:rsidR="00CA7D9F" w:rsidRPr="00A038BF">
        <w:rPr>
          <w:rFonts w:asciiTheme="majorBidi" w:eastAsia="Times New Roman" w:hAnsiTheme="majorBidi" w:cstheme="majorBidi"/>
        </w:rPr>
        <w:t>s</w:t>
      </w:r>
      <w:r w:rsidR="00680F35" w:rsidRPr="00A038BF">
        <w:rPr>
          <w:rFonts w:asciiTheme="majorBidi" w:eastAsia="Times New Roman" w:hAnsiTheme="majorBidi" w:cstheme="majorBidi"/>
        </w:rPr>
        <w:t xml:space="preserve"> than CLT, we can conclude that </w:t>
      </w:r>
      <w:r w:rsidR="008C22A0" w:rsidRPr="00A038BF">
        <w:rPr>
          <w:rFonts w:asciiTheme="majorBidi" w:eastAsia="Times New Roman" w:hAnsiTheme="majorBidi" w:cstheme="majorBidi"/>
        </w:rPr>
        <w:t xml:space="preserve">these </w:t>
      </w:r>
      <w:r w:rsidR="00CA7D9F" w:rsidRPr="00A038BF">
        <w:rPr>
          <w:rFonts w:asciiTheme="majorBidi" w:eastAsia="Times New Roman" w:hAnsiTheme="majorBidi" w:cstheme="majorBidi"/>
        </w:rPr>
        <w:t xml:space="preserve">materials </w:t>
      </w:r>
      <w:r w:rsidR="00680F35" w:rsidRPr="00A038BF">
        <w:rPr>
          <w:rFonts w:asciiTheme="majorBidi" w:eastAsia="Times New Roman" w:hAnsiTheme="majorBidi" w:cstheme="majorBidi"/>
        </w:rPr>
        <w:t>hav</w:t>
      </w:r>
      <w:r w:rsidR="00CA7D9F" w:rsidRPr="00A038BF">
        <w:rPr>
          <w:rFonts w:asciiTheme="majorBidi" w:eastAsia="Times New Roman" w:hAnsiTheme="majorBidi" w:cstheme="majorBidi"/>
        </w:rPr>
        <w:t>e</w:t>
      </w:r>
      <w:r w:rsidR="00680F35" w:rsidRPr="00A038BF">
        <w:rPr>
          <w:rFonts w:asciiTheme="majorBidi" w:eastAsia="Times New Roman" w:hAnsiTheme="majorBidi" w:cstheme="majorBidi"/>
        </w:rPr>
        <w:t xml:space="preserve"> lower emission</w:t>
      </w:r>
      <w:r w:rsidR="008C22A0" w:rsidRPr="00A038BF">
        <w:rPr>
          <w:rFonts w:asciiTheme="majorBidi" w:eastAsia="Times New Roman" w:hAnsiTheme="majorBidi" w:cstheme="majorBidi"/>
        </w:rPr>
        <w:t>s</w:t>
      </w:r>
      <w:r w:rsidR="00680F35" w:rsidRPr="00A038BF">
        <w:rPr>
          <w:rFonts w:asciiTheme="majorBidi" w:eastAsia="Times New Roman" w:hAnsiTheme="majorBidi" w:cstheme="majorBidi"/>
        </w:rPr>
        <w:t xml:space="preserve"> (CO</w:t>
      </w:r>
      <w:r w:rsidR="00680F35" w:rsidRPr="00A038BF">
        <w:rPr>
          <w:rFonts w:asciiTheme="majorBidi" w:eastAsia="Times New Roman" w:hAnsiTheme="majorBidi" w:cstheme="majorBidi"/>
          <w:vertAlign w:val="subscript"/>
        </w:rPr>
        <w:t>2</w:t>
      </w:r>
      <w:r w:rsidR="00680F35" w:rsidRPr="00A038BF">
        <w:rPr>
          <w:rFonts w:asciiTheme="majorBidi" w:eastAsia="Times New Roman" w:hAnsiTheme="majorBidi" w:cstheme="majorBidi"/>
        </w:rPr>
        <w:t>) than glued laminated tim</w:t>
      </w:r>
      <w:r w:rsidR="00F82AF5" w:rsidRPr="00A038BF">
        <w:rPr>
          <w:rFonts w:asciiTheme="majorBidi" w:eastAsia="Times New Roman" w:hAnsiTheme="majorBidi" w:cstheme="majorBidi"/>
        </w:rPr>
        <w:t>b</w:t>
      </w:r>
      <w:r w:rsidR="00680F35" w:rsidRPr="00A038BF">
        <w:rPr>
          <w:rFonts w:asciiTheme="majorBidi" w:eastAsia="Times New Roman" w:hAnsiTheme="majorBidi" w:cstheme="majorBidi"/>
        </w:rPr>
        <w:t>er.</w:t>
      </w:r>
      <w:r w:rsidR="00DF0DAF" w:rsidRPr="00A038BF">
        <w:rPr>
          <w:rFonts w:asciiTheme="majorBidi" w:eastAsia="Times New Roman" w:hAnsiTheme="majorBidi" w:cstheme="majorBidi"/>
        </w:rPr>
        <w:t xml:space="preserve"> </w:t>
      </w:r>
      <w:r w:rsidR="00443538" w:rsidRPr="00A038BF">
        <w:rPr>
          <w:rFonts w:asciiTheme="majorBidi" w:hAnsiTheme="majorBidi" w:cstheme="majorBidi"/>
        </w:rPr>
        <w:t>The cradle-to-cradle assessment (construction stage) of GWP shows that DLT has a lower environmental emission</w:t>
      </w:r>
      <w:r w:rsidR="00A763E8" w:rsidRPr="00A038BF">
        <w:rPr>
          <w:rFonts w:asciiTheme="majorBidi" w:hAnsiTheme="majorBidi" w:cstheme="majorBidi"/>
        </w:rPr>
        <w:t>. At the same time,</w:t>
      </w:r>
      <w:r w:rsidR="00443538" w:rsidRPr="00A038BF">
        <w:rPr>
          <w:rFonts w:asciiTheme="majorBidi" w:hAnsiTheme="majorBidi" w:cstheme="majorBidi"/>
        </w:rPr>
        <w:t xml:space="preserve"> by expanding the boundary to cradle to grave and considering the end</w:t>
      </w:r>
      <w:r w:rsidR="00A763E8" w:rsidRPr="00A038BF">
        <w:rPr>
          <w:rFonts w:asciiTheme="majorBidi" w:hAnsiTheme="majorBidi" w:cstheme="majorBidi"/>
        </w:rPr>
        <w:t>-of-</w:t>
      </w:r>
      <w:r w:rsidR="00443538" w:rsidRPr="00A038BF">
        <w:rPr>
          <w:rFonts w:asciiTheme="majorBidi" w:hAnsiTheme="majorBidi" w:cstheme="majorBidi"/>
        </w:rPr>
        <w:t>life scenario</w:t>
      </w:r>
      <w:r w:rsidR="00CA7D9F" w:rsidRPr="00A038BF">
        <w:rPr>
          <w:rFonts w:asciiTheme="majorBidi" w:hAnsiTheme="majorBidi" w:cstheme="majorBidi"/>
        </w:rPr>
        <w:t>,</w:t>
      </w:r>
      <w:r w:rsidR="00443538" w:rsidRPr="00A038BF">
        <w:rPr>
          <w:rFonts w:asciiTheme="majorBidi" w:hAnsiTheme="majorBidi" w:cstheme="majorBidi"/>
        </w:rPr>
        <w:t xml:space="preserve"> NLT is the most favorable choice. This evaluation </w:t>
      </w:r>
      <w:r w:rsidR="00CA7D9F" w:rsidRPr="00A038BF">
        <w:rPr>
          <w:rFonts w:asciiTheme="majorBidi" w:hAnsiTheme="majorBidi" w:cstheme="majorBidi"/>
        </w:rPr>
        <w:t xml:space="preserve">is </w:t>
      </w:r>
      <w:r w:rsidR="00443538" w:rsidRPr="00A038BF">
        <w:rPr>
          <w:rFonts w:asciiTheme="majorBidi" w:hAnsiTheme="majorBidi" w:cstheme="majorBidi"/>
        </w:rPr>
        <w:t>also consistent for embodied energy.</w:t>
      </w:r>
    </w:p>
    <w:p w14:paraId="664084E4" w14:textId="4EDFC266" w:rsidR="004E489D" w:rsidRPr="00A038BF" w:rsidRDefault="008C22A0" w:rsidP="00A763E8">
      <w:pPr>
        <w:spacing w:line="276" w:lineRule="auto"/>
        <w:ind w:firstLine="720"/>
        <w:jc w:val="both"/>
        <w:rPr>
          <w:rFonts w:asciiTheme="majorBidi" w:hAnsiTheme="majorBidi" w:cstheme="majorBidi"/>
        </w:rPr>
      </w:pPr>
      <w:r w:rsidRPr="00A038BF">
        <w:rPr>
          <w:rFonts w:asciiTheme="majorBidi" w:hAnsiTheme="majorBidi" w:cstheme="majorBidi"/>
        </w:rPr>
        <w:t>T</w:t>
      </w:r>
      <w:r w:rsidR="00443538" w:rsidRPr="00A038BF">
        <w:rPr>
          <w:rFonts w:asciiTheme="majorBidi" w:hAnsiTheme="majorBidi" w:cstheme="majorBidi"/>
        </w:rPr>
        <w:t xml:space="preserve">he result </w:t>
      </w:r>
      <w:r w:rsidRPr="00A038BF">
        <w:rPr>
          <w:rFonts w:asciiTheme="majorBidi" w:hAnsiTheme="majorBidi" w:cstheme="majorBidi"/>
        </w:rPr>
        <w:t xml:space="preserve">for </w:t>
      </w:r>
      <w:r w:rsidR="00443538" w:rsidRPr="00A038BF">
        <w:rPr>
          <w:rFonts w:asciiTheme="majorBidi" w:hAnsiTheme="majorBidi" w:cstheme="majorBidi"/>
        </w:rPr>
        <w:t>LCC is different</w:t>
      </w:r>
      <w:r w:rsidRPr="00A038BF">
        <w:rPr>
          <w:rFonts w:asciiTheme="majorBidi" w:hAnsiTheme="majorBidi" w:cstheme="majorBidi"/>
        </w:rPr>
        <w:t>. In this context</w:t>
      </w:r>
      <w:r w:rsidR="00CA7D9F" w:rsidRPr="00A038BF">
        <w:rPr>
          <w:rFonts w:asciiTheme="majorBidi" w:hAnsiTheme="majorBidi" w:cstheme="majorBidi"/>
        </w:rPr>
        <w:t>,</w:t>
      </w:r>
      <w:r w:rsidR="00443538" w:rsidRPr="00A038BF">
        <w:rPr>
          <w:rFonts w:asciiTheme="majorBidi" w:hAnsiTheme="majorBidi" w:cstheme="majorBidi"/>
        </w:rPr>
        <w:t xml:space="preserve"> DLT </w:t>
      </w:r>
      <w:r w:rsidRPr="00A038BF">
        <w:rPr>
          <w:rFonts w:asciiTheme="majorBidi" w:hAnsiTheme="majorBidi" w:cstheme="majorBidi"/>
        </w:rPr>
        <w:t xml:space="preserve">is </w:t>
      </w:r>
      <w:r w:rsidR="00443538" w:rsidRPr="00A038BF">
        <w:rPr>
          <w:rFonts w:asciiTheme="majorBidi" w:hAnsiTheme="majorBidi" w:cstheme="majorBidi"/>
        </w:rPr>
        <w:t>consider</w:t>
      </w:r>
      <w:r w:rsidRPr="00A038BF">
        <w:rPr>
          <w:rFonts w:asciiTheme="majorBidi" w:hAnsiTheme="majorBidi" w:cstheme="majorBidi"/>
        </w:rPr>
        <w:t>ed</w:t>
      </w:r>
      <w:r w:rsidR="00443538" w:rsidRPr="00A038BF">
        <w:rPr>
          <w:rFonts w:asciiTheme="majorBidi" w:hAnsiTheme="majorBidi" w:cstheme="majorBidi"/>
        </w:rPr>
        <w:t xml:space="preserve"> as the best economic choice throughout the life cycle stages. </w:t>
      </w:r>
      <w:r w:rsidR="00CA7D9F" w:rsidRPr="00A038BF">
        <w:rPr>
          <w:rFonts w:asciiTheme="majorBidi" w:hAnsiTheme="majorBidi" w:cstheme="majorBidi"/>
        </w:rPr>
        <w:t>Although</w:t>
      </w:r>
      <w:r w:rsidR="004E489D" w:rsidRPr="00A038BF">
        <w:rPr>
          <w:rFonts w:asciiTheme="majorBidi" w:hAnsiTheme="majorBidi" w:cstheme="majorBidi"/>
        </w:rPr>
        <w:t xml:space="preserve"> DLT shows better performance</w:t>
      </w:r>
      <w:r w:rsidR="00CA7D9F" w:rsidRPr="00A038BF">
        <w:rPr>
          <w:rFonts w:asciiTheme="majorBidi" w:hAnsiTheme="majorBidi" w:cstheme="majorBidi"/>
        </w:rPr>
        <w:t>,</w:t>
      </w:r>
      <w:r w:rsidR="004E489D" w:rsidRPr="00A038BF">
        <w:rPr>
          <w:rFonts w:asciiTheme="majorBidi" w:hAnsiTheme="majorBidi" w:cstheme="majorBidi"/>
        </w:rPr>
        <w:t xml:space="preserve"> it has not been used </w:t>
      </w:r>
      <w:r w:rsidRPr="00A038BF">
        <w:rPr>
          <w:rFonts w:asciiTheme="majorBidi" w:hAnsiTheme="majorBidi" w:cstheme="majorBidi"/>
        </w:rPr>
        <w:t xml:space="preserve">to the </w:t>
      </w:r>
      <w:r w:rsidR="004E489D" w:rsidRPr="00A038BF">
        <w:rPr>
          <w:rFonts w:asciiTheme="majorBidi" w:hAnsiTheme="majorBidi" w:cstheme="majorBidi"/>
        </w:rPr>
        <w:t xml:space="preserve">same </w:t>
      </w:r>
      <w:r w:rsidRPr="00A038BF">
        <w:rPr>
          <w:rFonts w:asciiTheme="majorBidi" w:hAnsiTheme="majorBidi" w:cstheme="majorBidi"/>
        </w:rPr>
        <w:t xml:space="preserve">extent </w:t>
      </w:r>
      <w:r w:rsidR="004E489D" w:rsidRPr="00A038BF">
        <w:rPr>
          <w:rFonts w:asciiTheme="majorBidi" w:hAnsiTheme="majorBidi" w:cstheme="majorBidi"/>
        </w:rPr>
        <w:t xml:space="preserve">as CLT around the world. </w:t>
      </w:r>
      <w:r w:rsidR="00443538" w:rsidRPr="00A038BF">
        <w:rPr>
          <w:rFonts w:asciiTheme="majorBidi" w:hAnsiTheme="majorBidi" w:cstheme="majorBidi"/>
        </w:rPr>
        <w:t xml:space="preserve">This can be addressed in future research. </w:t>
      </w:r>
      <w:r w:rsidRPr="00A038BF">
        <w:rPr>
          <w:rFonts w:asciiTheme="majorBidi" w:hAnsiTheme="majorBidi" w:cstheme="majorBidi"/>
        </w:rPr>
        <w:t>O</w:t>
      </w:r>
      <w:r w:rsidR="00DF0DAF" w:rsidRPr="00A038BF">
        <w:rPr>
          <w:rFonts w:asciiTheme="majorBidi" w:hAnsiTheme="majorBidi" w:cstheme="majorBidi"/>
        </w:rPr>
        <w:t xml:space="preserve">ne </w:t>
      </w:r>
      <w:r w:rsidR="00CA7D9F" w:rsidRPr="00A038BF">
        <w:rPr>
          <w:rFonts w:asciiTheme="majorBidi" w:hAnsiTheme="majorBidi" w:cstheme="majorBidi"/>
        </w:rPr>
        <w:t>reason may be</w:t>
      </w:r>
      <w:r w:rsidRPr="00A038BF">
        <w:rPr>
          <w:rFonts w:asciiTheme="majorBidi" w:hAnsiTheme="majorBidi" w:cstheme="majorBidi"/>
        </w:rPr>
        <w:t xml:space="preserve"> that</w:t>
      </w:r>
      <w:r w:rsidR="00CA7D9F" w:rsidRPr="00A038BF">
        <w:rPr>
          <w:rFonts w:asciiTheme="majorBidi" w:hAnsiTheme="majorBidi" w:cstheme="majorBidi"/>
        </w:rPr>
        <w:t xml:space="preserve"> the manufacturing process that is not skill</w:t>
      </w:r>
      <w:r w:rsidRPr="00A038BF">
        <w:rPr>
          <w:rFonts w:asciiTheme="majorBidi" w:hAnsiTheme="majorBidi" w:cstheme="majorBidi"/>
        </w:rPr>
        <w:t>ed</w:t>
      </w:r>
      <w:r w:rsidR="00CA7D9F" w:rsidRPr="00A038BF">
        <w:rPr>
          <w:rFonts w:asciiTheme="majorBidi" w:hAnsiTheme="majorBidi" w:cstheme="majorBidi"/>
        </w:rPr>
        <w:t xml:space="preserve"> up and remains</w:t>
      </w:r>
      <w:r w:rsidR="004E489D" w:rsidRPr="00A038BF">
        <w:rPr>
          <w:rFonts w:asciiTheme="majorBidi" w:hAnsiTheme="majorBidi" w:cstheme="majorBidi"/>
        </w:rPr>
        <w:t xml:space="preserve"> in </w:t>
      </w:r>
      <w:r w:rsidRPr="00A038BF">
        <w:rPr>
          <w:rFonts w:asciiTheme="majorBidi" w:hAnsiTheme="majorBidi" w:cstheme="majorBidi"/>
        </w:rPr>
        <w:t xml:space="preserve">its </w:t>
      </w:r>
      <w:r w:rsidR="004E489D" w:rsidRPr="00A038BF">
        <w:rPr>
          <w:rFonts w:asciiTheme="majorBidi" w:hAnsiTheme="majorBidi" w:cstheme="majorBidi"/>
        </w:rPr>
        <w:t>infan</w:t>
      </w:r>
      <w:r w:rsidRPr="00A038BF">
        <w:rPr>
          <w:rFonts w:asciiTheme="majorBidi" w:hAnsiTheme="majorBidi" w:cstheme="majorBidi"/>
        </w:rPr>
        <w:t>c</w:t>
      </w:r>
      <w:r w:rsidR="004E489D" w:rsidRPr="00A038BF">
        <w:rPr>
          <w:rFonts w:asciiTheme="majorBidi" w:hAnsiTheme="majorBidi" w:cstheme="majorBidi"/>
        </w:rPr>
        <w:t>y in many countries</w:t>
      </w:r>
      <w:r w:rsidR="00DF0DAF" w:rsidRPr="00A038BF">
        <w:rPr>
          <w:rFonts w:asciiTheme="majorBidi" w:hAnsiTheme="majorBidi" w:cstheme="majorBidi"/>
        </w:rPr>
        <w:t xml:space="preserve"> </w:t>
      </w:r>
      <w:r w:rsidR="00DF0DAF" w:rsidRPr="00A038BF">
        <w:rPr>
          <w:rFonts w:asciiTheme="majorBidi" w:hAnsiTheme="majorBidi" w:cstheme="majorBidi"/>
        </w:rPr>
        <w:fldChar w:fldCharType="begin" w:fldLock="1"/>
      </w:r>
      <w:r w:rsidR="00DF0DAF" w:rsidRPr="00A038BF">
        <w:rPr>
          <w:rFonts w:asciiTheme="majorBidi" w:hAnsiTheme="majorBidi" w:cstheme="majorBidi"/>
        </w:rPr>
        <w:instrText>ADDIN CSL_CITATION {"citationItems":[{"id":"ITEM-1","itemData":{"author":[{"dropping-particle":"","family":"Sorathiya","given":"Rashmin","non-dropping-particle":"","parse-names":false,"suffix":""},{"dropping-particle":"","family":"Student","given":"Masa","non-dropping-particle":"","parse-names":false,"suffix":""},{"dropping-particle":"","family":"Ubc","given":"Sala","non-dropping-particle":"","parse-names":false,"suffix":""},{"dropping-particle":"","family":"Sustainability","given":"U B C","non-dropping-particle":"","parse-names":false,"suffix":""},{"dropping-particle":"","family":"Prepared","given":"Initiative","non-dropping-particle":"","parse-names":false,"suffix":""},{"dropping-particle":"","family":"Foofat","given":"Sabina","non-dropping-particle":"","parse-names":false,"suffix":""},{"dropping-particle":"","family":"Green","given":"Senior","non-dropping-particle":"","parse-names":false,"suffix":""},{"dropping-particle":"","family":"Planner","given":"Buildings","non-dropping-particle":"","parse-names":false,"suffix":""},{"dropping-particle":"","family":"Group","given":"Sustainability","non-dropping-particle":"","parse-names":false,"suffix":""},{"dropping-particle":"","family":"August","given":"Vancouver","non-dropping-particle":"","parse-names":false,"suffix":""}],"id":"ITEM-1","issue":"August","issued":{"date-parts":[["2019"]]},"title":"Literature Review of Cost Information on Mid-Rise Mass-Timber Building Projects","type":"article-journal"},"uris":["http://www.mendeley.com/documents/?uuid=b663b46e-5896-42fd-80f2-403eb6c31740"]}],"mendeley":{"formattedCitation":"(Sorathiya et al., 2019)","plainTextFormattedCitation":"(Sorathiya et al., 2019)"},"properties":{"noteIndex":0},"schema":"https://github.com/citation-style-language/schema/raw/master/csl-citation.json"}</w:instrText>
      </w:r>
      <w:r w:rsidR="00DF0DAF" w:rsidRPr="00A038BF">
        <w:rPr>
          <w:rFonts w:asciiTheme="majorBidi" w:hAnsiTheme="majorBidi" w:cstheme="majorBidi"/>
        </w:rPr>
        <w:fldChar w:fldCharType="separate"/>
      </w:r>
      <w:r w:rsidR="00DF0DAF" w:rsidRPr="00A038BF">
        <w:rPr>
          <w:rFonts w:asciiTheme="majorBidi" w:hAnsiTheme="majorBidi" w:cstheme="majorBidi"/>
          <w:noProof/>
        </w:rPr>
        <w:t>(Sorathiya et al., 2019)</w:t>
      </w:r>
      <w:r w:rsidR="00DF0DAF" w:rsidRPr="00A038BF">
        <w:rPr>
          <w:rFonts w:asciiTheme="majorBidi" w:hAnsiTheme="majorBidi" w:cstheme="majorBidi"/>
        </w:rPr>
        <w:fldChar w:fldCharType="end"/>
      </w:r>
      <w:r w:rsidR="004E489D" w:rsidRPr="00A038BF">
        <w:rPr>
          <w:rFonts w:asciiTheme="majorBidi" w:hAnsiTheme="majorBidi" w:cstheme="majorBidi"/>
        </w:rPr>
        <w:t xml:space="preserve">. </w:t>
      </w:r>
    </w:p>
    <w:p w14:paraId="79319194" w14:textId="0569A43C" w:rsidR="00352776" w:rsidRPr="00A038BF" w:rsidRDefault="00352776" w:rsidP="00A763E8">
      <w:pPr>
        <w:spacing w:line="276" w:lineRule="auto"/>
        <w:ind w:firstLine="720"/>
        <w:jc w:val="both"/>
        <w:rPr>
          <w:rFonts w:asciiTheme="majorBidi" w:hAnsiTheme="majorBidi" w:cstheme="majorBidi"/>
        </w:rPr>
      </w:pPr>
    </w:p>
    <w:p w14:paraId="40CE3ADC" w14:textId="77777777" w:rsidR="00352776" w:rsidRPr="00A038BF" w:rsidRDefault="00352776" w:rsidP="00A763E8">
      <w:pPr>
        <w:spacing w:line="276" w:lineRule="auto"/>
        <w:ind w:firstLine="720"/>
        <w:jc w:val="both"/>
        <w:rPr>
          <w:rFonts w:asciiTheme="majorBidi" w:hAnsiTheme="majorBidi" w:cstheme="majorBidi"/>
        </w:rPr>
      </w:pPr>
    </w:p>
    <w:p w14:paraId="5436FDB0" w14:textId="77777777" w:rsidR="00FD21DE" w:rsidRPr="00A038BF" w:rsidRDefault="00FD21DE" w:rsidP="007E73A1">
      <w:pPr>
        <w:pStyle w:val="ListParagraph"/>
        <w:numPr>
          <w:ilvl w:val="0"/>
          <w:numId w:val="3"/>
        </w:numPr>
        <w:spacing w:before="240" w:line="360" w:lineRule="auto"/>
        <w:rPr>
          <w:rFonts w:asciiTheme="majorBidi" w:hAnsiTheme="majorBidi" w:cstheme="majorBidi"/>
          <w:b/>
          <w:bCs/>
        </w:rPr>
      </w:pPr>
      <w:r w:rsidRPr="00A038BF">
        <w:rPr>
          <w:rFonts w:asciiTheme="majorBidi" w:hAnsiTheme="majorBidi" w:cstheme="majorBidi"/>
          <w:b/>
          <w:bCs/>
        </w:rPr>
        <w:t>Conclusions</w:t>
      </w:r>
    </w:p>
    <w:p w14:paraId="5ACCE047" w14:textId="010B8A2D" w:rsidR="005103FE" w:rsidRPr="00A038BF" w:rsidRDefault="00C524F3" w:rsidP="005103FE">
      <w:pPr>
        <w:pStyle w:val="ListParagraph"/>
        <w:spacing w:before="480" w:line="276" w:lineRule="auto"/>
        <w:ind w:left="0" w:firstLine="720"/>
        <w:jc w:val="both"/>
        <w:rPr>
          <w:rFonts w:asciiTheme="majorBidi" w:hAnsiTheme="majorBidi" w:cstheme="majorBidi"/>
        </w:rPr>
      </w:pPr>
      <w:r w:rsidRPr="00A038BF">
        <w:rPr>
          <w:rFonts w:asciiTheme="majorBidi" w:hAnsiTheme="majorBidi" w:cstheme="majorBidi"/>
        </w:rPr>
        <w:t>Previous research</w:t>
      </w:r>
      <w:r w:rsidR="008C22A0" w:rsidRPr="00A038BF">
        <w:rPr>
          <w:rFonts w:asciiTheme="majorBidi" w:hAnsiTheme="majorBidi" w:cstheme="majorBidi"/>
        </w:rPr>
        <w:t xml:space="preserve"> has</w:t>
      </w:r>
      <w:r w:rsidRPr="00A038BF">
        <w:rPr>
          <w:rFonts w:asciiTheme="majorBidi" w:hAnsiTheme="majorBidi" w:cstheme="majorBidi"/>
        </w:rPr>
        <w:t xml:space="preserve"> indicated that mass timber has a lower environmental impact than steel </w:t>
      </w:r>
      <w:r w:rsidR="00F528A7" w:rsidRPr="00A038BF">
        <w:rPr>
          <w:rFonts w:asciiTheme="majorBidi" w:hAnsiTheme="majorBidi" w:cstheme="majorBidi"/>
        </w:rPr>
        <w:t>or concrete</w:t>
      </w:r>
      <w:r w:rsidRPr="00A038BF">
        <w:rPr>
          <w:rFonts w:asciiTheme="majorBidi" w:hAnsiTheme="majorBidi" w:cstheme="majorBidi"/>
        </w:rPr>
        <w:t>. Thus, wood or mass timber is recognized as a sustainable choice</w:t>
      </w:r>
      <w:r w:rsidR="003632F7" w:rsidRPr="00A038BF">
        <w:rPr>
          <w:rFonts w:asciiTheme="majorBidi" w:hAnsiTheme="majorBidi" w:cstheme="majorBidi"/>
        </w:rPr>
        <w:t xml:space="preserve"> for constructing buildings</w:t>
      </w:r>
      <w:r w:rsidRPr="00A038BF">
        <w:rPr>
          <w:rFonts w:asciiTheme="majorBidi" w:hAnsiTheme="majorBidi" w:cstheme="majorBidi"/>
        </w:rPr>
        <w:t>. The current</w:t>
      </w:r>
      <w:r w:rsidR="003632F7" w:rsidRPr="00A038BF">
        <w:rPr>
          <w:rFonts w:asciiTheme="majorBidi" w:hAnsiTheme="majorBidi" w:cstheme="majorBidi"/>
        </w:rPr>
        <w:t xml:space="preserve"> construction</w:t>
      </w:r>
      <w:r w:rsidRPr="00A038BF">
        <w:rPr>
          <w:rFonts w:asciiTheme="majorBidi" w:hAnsiTheme="majorBidi" w:cstheme="majorBidi"/>
        </w:rPr>
        <w:t xml:space="preserve"> practice in Malaysia is </w:t>
      </w:r>
      <w:r w:rsidR="003632F7" w:rsidRPr="00A038BF">
        <w:rPr>
          <w:rFonts w:asciiTheme="majorBidi" w:hAnsiTheme="majorBidi" w:cstheme="majorBidi"/>
        </w:rPr>
        <w:t>to use</w:t>
      </w:r>
      <w:r w:rsidRPr="00A038BF">
        <w:rPr>
          <w:rFonts w:asciiTheme="majorBidi" w:hAnsiTheme="majorBidi" w:cstheme="majorBidi"/>
        </w:rPr>
        <w:t xml:space="preserve"> concrete</w:t>
      </w:r>
      <w:r w:rsidR="003632F7" w:rsidRPr="00A038BF">
        <w:rPr>
          <w:rFonts w:asciiTheme="majorBidi" w:hAnsiTheme="majorBidi" w:cstheme="majorBidi"/>
        </w:rPr>
        <w:t>. W</w:t>
      </w:r>
      <w:r w:rsidRPr="00A038BF">
        <w:rPr>
          <w:rFonts w:asciiTheme="majorBidi" w:hAnsiTheme="majorBidi" w:cstheme="majorBidi"/>
        </w:rPr>
        <w:t>ood is uncommon</w:t>
      </w:r>
      <w:r w:rsidR="003632F7" w:rsidRPr="00A038BF">
        <w:rPr>
          <w:rFonts w:asciiTheme="majorBidi" w:hAnsiTheme="majorBidi" w:cstheme="majorBidi"/>
        </w:rPr>
        <w:t xml:space="preserve"> and this is mainly</w:t>
      </w:r>
      <w:r w:rsidRPr="00A038BF">
        <w:rPr>
          <w:rFonts w:asciiTheme="majorBidi" w:hAnsiTheme="majorBidi" w:cstheme="majorBidi"/>
        </w:rPr>
        <w:t xml:space="preserve"> due to a lack of knowledge </w:t>
      </w:r>
      <w:r w:rsidR="00983A1F" w:rsidRPr="00A038BF">
        <w:rPr>
          <w:rFonts w:asciiTheme="majorBidi" w:hAnsiTheme="majorBidi" w:cstheme="majorBidi"/>
        </w:rPr>
        <w:t xml:space="preserve">and information </w:t>
      </w:r>
      <w:r w:rsidRPr="00A038BF">
        <w:rPr>
          <w:rFonts w:asciiTheme="majorBidi" w:hAnsiTheme="majorBidi" w:cstheme="majorBidi"/>
        </w:rPr>
        <w:t>about different engineer</w:t>
      </w:r>
      <w:r w:rsidR="00983A1F" w:rsidRPr="00A038BF">
        <w:rPr>
          <w:rFonts w:asciiTheme="majorBidi" w:hAnsiTheme="majorBidi" w:cstheme="majorBidi"/>
        </w:rPr>
        <w:t>ed timber products</w:t>
      </w:r>
      <w:r w:rsidRPr="00A038BF">
        <w:rPr>
          <w:rFonts w:asciiTheme="majorBidi" w:hAnsiTheme="majorBidi" w:cstheme="majorBidi"/>
        </w:rPr>
        <w:t xml:space="preserve">. </w:t>
      </w:r>
      <w:r w:rsidR="00633F0E" w:rsidRPr="00A038BF">
        <w:rPr>
          <w:rFonts w:asciiTheme="majorBidi" w:hAnsiTheme="majorBidi" w:cstheme="majorBidi"/>
        </w:rPr>
        <w:t>Mass timber materials have gained popularity</w:t>
      </w:r>
      <w:r w:rsidR="0055669E" w:rsidRPr="00A038BF">
        <w:rPr>
          <w:rFonts w:asciiTheme="majorBidi" w:hAnsiTheme="majorBidi" w:cstheme="majorBidi"/>
        </w:rPr>
        <w:t xml:space="preserve"> </w:t>
      </w:r>
      <w:r w:rsidR="00983A1F" w:rsidRPr="00A038BF">
        <w:rPr>
          <w:rFonts w:asciiTheme="majorBidi" w:hAnsiTheme="majorBidi" w:cstheme="majorBidi"/>
        </w:rPr>
        <w:t xml:space="preserve">recently, </w:t>
      </w:r>
      <w:r w:rsidR="0055669E" w:rsidRPr="00A038BF">
        <w:rPr>
          <w:rFonts w:asciiTheme="majorBidi" w:hAnsiTheme="majorBidi" w:cstheme="majorBidi"/>
        </w:rPr>
        <w:t>ha</w:t>
      </w:r>
      <w:r w:rsidR="0097613B" w:rsidRPr="00A038BF">
        <w:rPr>
          <w:rFonts w:asciiTheme="majorBidi" w:hAnsiTheme="majorBidi" w:cstheme="majorBidi"/>
        </w:rPr>
        <w:t>v</w:t>
      </w:r>
      <w:r w:rsidR="00983A1F" w:rsidRPr="00A038BF">
        <w:rPr>
          <w:rFonts w:asciiTheme="majorBidi" w:hAnsiTheme="majorBidi" w:cstheme="majorBidi"/>
        </w:rPr>
        <w:t>ing</w:t>
      </w:r>
      <w:r w:rsidR="0097613B" w:rsidRPr="00A038BF">
        <w:rPr>
          <w:rFonts w:asciiTheme="majorBidi" w:hAnsiTheme="majorBidi" w:cstheme="majorBidi"/>
        </w:rPr>
        <w:t xml:space="preserve"> been revived worldwide because </w:t>
      </w:r>
      <w:r w:rsidR="00983A1F" w:rsidRPr="00A038BF">
        <w:rPr>
          <w:rFonts w:asciiTheme="majorBidi" w:hAnsiTheme="majorBidi" w:cstheme="majorBidi"/>
        </w:rPr>
        <w:t>of their</w:t>
      </w:r>
      <w:r w:rsidR="00F528A7" w:rsidRPr="00A038BF">
        <w:rPr>
          <w:rFonts w:asciiTheme="majorBidi" w:hAnsiTheme="majorBidi" w:cstheme="majorBidi"/>
        </w:rPr>
        <w:t xml:space="preserve"> renewable and low environmental emissions</w:t>
      </w:r>
      <w:r w:rsidR="00983A1F" w:rsidRPr="00A038BF">
        <w:rPr>
          <w:rFonts w:asciiTheme="majorBidi" w:hAnsiTheme="majorBidi" w:cstheme="majorBidi"/>
        </w:rPr>
        <w:t xml:space="preserve"> credentials</w:t>
      </w:r>
      <w:r w:rsidR="00F528A7" w:rsidRPr="00A038BF">
        <w:rPr>
          <w:rFonts w:asciiTheme="majorBidi" w:hAnsiTheme="majorBidi" w:cstheme="majorBidi"/>
        </w:rPr>
        <w:t xml:space="preserve">. </w:t>
      </w:r>
      <w:r w:rsidR="00046312" w:rsidRPr="00A038BF">
        <w:rPr>
          <w:rFonts w:asciiTheme="majorBidi" w:hAnsiTheme="majorBidi" w:cstheme="majorBidi"/>
        </w:rPr>
        <w:t>Furthermore</w:t>
      </w:r>
      <w:r w:rsidR="00F528A7" w:rsidRPr="00A038BF">
        <w:rPr>
          <w:rFonts w:asciiTheme="majorBidi" w:hAnsiTheme="majorBidi" w:cstheme="majorBidi"/>
        </w:rPr>
        <w:t xml:space="preserve">, timber is </w:t>
      </w:r>
      <w:r w:rsidR="00046312" w:rsidRPr="00A038BF">
        <w:rPr>
          <w:rFonts w:asciiTheme="majorBidi" w:hAnsiTheme="majorBidi" w:cstheme="majorBidi"/>
        </w:rPr>
        <w:t xml:space="preserve">widely </w:t>
      </w:r>
      <w:r w:rsidR="00F528A7" w:rsidRPr="00A038BF">
        <w:rPr>
          <w:rFonts w:asciiTheme="majorBidi" w:hAnsiTheme="majorBidi" w:cstheme="majorBidi"/>
        </w:rPr>
        <w:t xml:space="preserve">recognized </w:t>
      </w:r>
      <w:r w:rsidR="00046312" w:rsidRPr="00A038BF">
        <w:rPr>
          <w:rFonts w:asciiTheme="majorBidi" w:hAnsiTheme="majorBidi" w:cstheme="majorBidi"/>
        </w:rPr>
        <w:t xml:space="preserve">as reducing </w:t>
      </w:r>
      <w:r w:rsidR="00F528A7" w:rsidRPr="00A038BF">
        <w:rPr>
          <w:rFonts w:asciiTheme="majorBidi" w:hAnsiTheme="majorBidi" w:cstheme="majorBidi"/>
        </w:rPr>
        <w:t xml:space="preserve">the embodied energy </w:t>
      </w:r>
      <w:r w:rsidR="00046312" w:rsidRPr="00A038BF">
        <w:rPr>
          <w:rFonts w:asciiTheme="majorBidi" w:hAnsiTheme="majorBidi" w:cstheme="majorBidi"/>
        </w:rPr>
        <w:t xml:space="preserve">of </w:t>
      </w:r>
      <w:r w:rsidR="00F528A7" w:rsidRPr="00A038BF">
        <w:rPr>
          <w:rFonts w:asciiTheme="majorBidi" w:hAnsiTheme="majorBidi" w:cstheme="majorBidi"/>
        </w:rPr>
        <w:t>building</w:t>
      </w:r>
      <w:r w:rsidR="0097613B" w:rsidRPr="00A038BF">
        <w:rPr>
          <w:rFonts w:asciiTheme="majorBidi" w:hAnsiTheme="majorBidi" w:cstheme="majorBidi"/>
        </w:rPr>
        <w:t>s</w:t>
      </w:r>
      <w:r w:rsidR="00F528A7" w:rsidRPr="00A038BF">
        <w:rPr>
          <w:rFonts w:asciiTheme="majorBidi" w:hAnsiTheme="majorBidi" w:cstheme="majorBidi"/>
        </w:rPr>
        <w:t xml:space="preserve"> compared to other alternatives. </w:t>
      </w:r>
      <w:r w:rsidR="0097613B" w:rsidRPr="00A038BF">
        <w:rPr>
          <w:rFonts w:asciiTheme="majorBidi" w:hAnsiTheme="majorBidi" w:cstheme="majorBidi"/>
        </w:rPr>
        <w:t>D</w:t>
      </w:r>
      <w:r w:rsidR="00F528A7" w:rsidRPr="00A038BF">
        <w:rPr>
          <w:rFonts w:asciiTheme="majorBidi" w:hAnsiTheme="majorBidi" w:cstheme="majorBidi"/>
        </w:rPr>
        <w:t xml:space="preserve">espite </w:t>
      </w:r>
      <w:r w:rsidR="00046312" w:rsidRPr="00A038BF">
        <w:rPr>
          <w:rFonts w:asciiTheme="majorBidi" w:hAnsiTheme="majorBidi" w:cstheme="majorBidi"/>
        </w:rPr>
        <w:t>this</w:t>
      </w:r>
      <w:r w:rsidR="0097613B" w:rsidRPr="00A038BF">
        <w:rPr>
          <w:rFonts w:asciiTheme="majorBidi" w:hAnsiTheme="majorBidi" w:cstheme="majorBidi"/>
        </w:rPr>
        <w:t>,</w:t>
      </w:r>
      <w:r w:rsidR="00F528A7" w:rsidRPr="00A038BF">
        <w:rPr>
          <w:rFonts w:asciiTheme="majorBidi" w:hAnsiTheme="majorBidi" w:cstheme="majorBidi"/>
        </w:rPr>
        <w:t xml:space="preserve"> </w:t>
      </w:r>
      <w:r w:rsidR="00046312" w:rsidRPr="00A038BF">
        <w:rPr>
          <w:rFonts w:asciiTheme="majorBidi" w:hAnsiTheme="majorBidi" w:cstheme="majorBidi"/>
        </w:rPr>
        <w:t xml:space="preserve">timber </w:t>
      </w:r>
      <w:r w:rsidR="00F528A7" w:rsidRPr="00A038BF">
        <w:rPr>
          <w:rFonts w:asciiTheme="majorBidi" w:hAnsiTheme="majorBidi" w:cstheme="majorBidi"/>
        </w:rPr>
        <w:t xml:space="preserve">is not </w:t>
      </w:r>
      <w:r w:rsidR="0097613B" w:rsidRPr="00A038BF">
        <w:rPr>
          <w:rFonts w:asciiTheme="majorBidi" w:hAnsiTheme="majorBidi" w:cstheme="majorBidi"/>
        </w:rPr>
        <w:t xml:space="preserve">as </w:t>
      </w:r>
      <w:r w:rsidR="00046312" w:rsidRPr="00A038BF">
        <w:rPr>
          <w:rFonts w:asciiTheme="majorBidi" w:hAnsiTheme="majorBidi" w:cstheme="majorBidi"/>
        </w:rPr>
        <w:t xml:space="preserve">popular </w:t>
      </w:r>
      <w:r w:rsidR="00F528A7" w:rsidRPr="00A038BF">
        <w:rPr>
          <w:rFonts w:asciiTheme="majorBidi" w:hAnsiTheme="majorBidi" w:cstheme="majorBidi"/>
        </w:rPr>
        <w:t xml:space="preserve">in many South Asian countries </w:t>
      </w:r>
      <w:r w:rsidR="00C770B9" w:rsidRPr="00A038BF">
        <w:rPr>
          <w:rFonts w:asciiTheme="majorBidi" w:hAnsiTheme="majorBidi" w:cstheme="majorBidi"/>
        </w:rPr>
        <w:t>because of</w:t>
      </w:r>
      <w:r w:rsidR="0097613B" w:rsidRPr="00A038BF">
        <w:rPr>
          <w:rFonts w:asciiTheme="majorBidi" w:hAnsiTheme="majorBidi" w:cstheme="majorBidi"/>
        </w:rPr>
        <w:t xml:space="preserve"> a lack of </w:t>
      </w:r>
      <w:r w:rsidR="00C770B9" w:rsidRPr="00A038BF">
        <w:rPr>
          <w:rFonts w:asciiTheme="majorBidi" w:hAnsiTheme="majorBidi" w:cstheme="majorBidi"/>
        </w:rPr>
        <w:t xml:space="preserve">reliable </w:t>
      </w:r>
      <w:r w:rsidR="0097613B" w:rsidRPr="00A038BF">
        <w:rPr>
          <w:rFonts w:asciiTheme="majorBidi" w:hAnsiTheme="majorBidi" w:cstheme="majorBidi"/>
        </w:rPr>
        <w:t>information on</w:t>
      </w:r>
      <w:r w:rsidR="00F528A7" w:rsidRPr="00A038BF">
        <w:rPr>
          <w:rFonts w:asciiTheme="majorBidi" w:hAnsiTheme="majorBidi" w:cstheme="majorBidi"/>
        </w:rPr>
        <w:t xml:space="preserve"> different mass timber</w:t>
      </w:r>
      <w:r w:rsidR="00C770B9" w:rsidRPr="00A038BF">
        <w:rPr>
          <w:rFonts w:asciiTheme="majorBidi" w:hAnsiTheme="majorBidi" w:cstheme="majorBidi"/>
        </w:rPr>
        <w:t xml:space="preserve"> products</w:t>
      </w:r>
      <w:r w:rsidR="00F528A7" w:rsidRPr="00A038BF">
        <w:rPr>
          <w:rFonts w:asciiTheme="majorBidi" w:hAnsiTheme="majorBidi" w:cstheme="majorBidi"/>
        </w:rPr>
        <w:t xml:space="preserve">. </w:t>
      </w:r>
      <w:r w:rsidR="00764C5E" w:rsidRPr="00A038BF">
        <w:rPr>
          <w:rFonts w:asciiTheme="majorBidi" w:hAnsiTheme="majorBidi" w:cstheme="majorBidi"/>
        </w:rPr>
        <w:t xml:space="preserve">In this study, we </w:t>
      </w:r>
      <w:r w:rsidR="00C770B9" w:rsidRPr="00A038BF">
        <w:rPr>
          <w:rFonts w:asciiTheme="majorBidi" w:hAnsiTheme="majorBidi" w:cstheme="majorBidi"/>
        </w:rPr>
        <w:t xml:space="preserve">have </w:t>
      </w:r>
      <w:r w:rsidR="00764C5E" w:rsidRPr="00A038BF">
        <w:rPr>
          <w:rFonts w:asciiTheme="majorBidi" w:hAnsiTheme="majorBidi" w:cstheme="majorBidi"/>
        </w:rPr>
        <w:t>compare</w:t>
      </w:r>
      <w:r w:rsidR="00C770B9" w:rsidRPr="00A038BF">
        <w:rPr>
          <w:rFonts w:asciiTheme="majorBidi" w:hAnsiTheme="majorBidi" w:cstheme="majorBidi"/>
        </w:rPr>
        <w:t>d</w:t>
      </w:r>
      <w:r w:rsidR="00764C5E" w:rsidRPr="00A038BF">
        <w:rPr>
          <w:rFonts w:asciiTheme="majorBidi" w:hAnsiTheme="majorBidi" w:cstheme="majorBidi"/>
        </w:rPr>
        <w:t xml:space="preserve"> the environmental impact of alternatives to disclose which perform</w:t>
      </w:r>
      <w:r w:rsidR="00C770B9" w:rsidRPr="00A038BF">
        <w:rPr>
          <w:rFonts w:asciiTheme="majorBidi" w:hAnsiTheme="majorBidi" w:cstheme="majorBidi"/>
        </w:rPr>
        <w:t>s better</w:t>
      </w:r>
      <w:r w:rsidR="00764C5E" w:rsidRPr="00A038BF">
        <w:rPr>
          <w:rFonts w:asciiTheme="majorBidi" w:hAnsiTheme="majorBidi" w:cstheme="majorBidi"/>
        </w:rPr>
        <w:t xml:space="preserve"> </w:t>
      </w:r>
      <w:r w:rsidR="00C770B9" w:rsidRPr="00A038BF">
        <w:rPr>
          <w:rFonts w:asciiTheme="majorBidi" w:hAnsiTheme="majorBidi" w:cstheme="majorBidi"/>
        </w:rPr>
        <w:t xml:space="preserve">over </w:t>
      </w:r>
      <w:r w:rsidR="00764C5E" w:rsidRPr="00A038BF">
        <w:rPr>
          <w:rFonts w:asciiTheme="majorBidi" w:hAnsiTheme="majorBidi" w:cstheme="majorBidi"/>
        </w:rPr>
        <w:t>their entire lifespan</w:t>
      </w:r>
      <w:r w:rsidR="00C770B9" w:rsidRPr="00A038BF">
        <w:rPr>
          <w:rFonts w:asciiTheme="majorBidi" w:hAnsiTheme="majorBidi" w:cstheme="majorBidi"/>
        </w:rPr>
        <w:t>,</w:t>
      </w:r>
      <w:r w:rsidR="00BB082C" w:rsidRPr="00A038BF">
        <w:rPr>
          <w:rFonts w:asciiTheme="majorBidi" w:hAnsiTheme="majorBidi" w:cstheme="majorBidi"/>
        </w:rPr>
        <w:t xml:space="preserve"> </w:t>
      </w:r>
      <w:r w:rsidR="00C770B9" w:rsidRPr="00A038BF">
        <w:rPr>
          <w:rFonts w:asciiTheme="majorBidi" w:hAnsiTheme="majorBidi" w:cstheme="majorBidi"/>
        </w:rPr>
        <w:t>based on</w:t>
      </w:r>
      <w:r w:rsidR="00BB082C" w:rsidRPr="00A038BF">
        <w:rPr>
          <w:rFonts w:asciiTheme="majorBidi" w:hAnsiTheme="majorBidi" w:cstheme="majorBidi"/>
        </w:rPr>
        <w:t xml:space="preserve"> three criteria </w:t>
      </w:r>
      <w:r w:rsidR="00C770B9" w:rsidRPr="00A038BF">
        <w:rPr>
          <w:rFonts w:asciiTheme="majorBidi" w:hAnsiTheme="majorBidi" w:cstheme="majorBidi"/>
        </w:rPr>
        <w:t>(</w:t>
      </w:r>
      <w:r w:rsidR="00BB082C" w:rsidRPr="00A038BF">
        <w:rPr>
          <w:rFonts w:asciiTheme="majorBidi" w:hAnsiTheme="majorBidi" w:cstheme="majorBidi"/>
        </w:rPr>
        <w:t>global warming potential, embodied energy</w:t>
      </w:r>
      <w:r w:rsidR="00CA7D9F" w:rsidRPr="00A038BF">
        <w:rPr>
          <w:rFonts w:asciiTheme="majorBidi" w:hAnsiTheme="majorBidi" w:cstheme="majorBidi"/>
        </w:rPr>
        <w:t>,</w:t>
      </w:r>
      <w:r w:rsidR="00BB082C" w:rsidRPr="00A038BF">
        <w:rPr>
          <w:rFonts w:asciiTheme="majorBidi" w:hAnsiTheme="majorBidi" w:cstheme="majorBidi"/>
        </w:rPr>
        <w:t xml:space="preserve"> and cost</w:t>
      </w:r>
      <w:r w:rsidR="00C770B9" w:rsidRPr="00A038BF">
        <w:rPr>
          <w:rFonts w:asciiTheme="majorBidi" w:hAnsiTheme="majorBidi" w:cstheme="majorBidi"/>
        </w:rPr>
        <w:t>)</w:t>
      </w:r>
      <w:r w:rsidR="00764C5E" w:rsidRPr="00A038BF">
        <w:rPr>
          <w:rFonts w:asciiTheme="majorBidi" w:hAnsiTheme="majorBidi" w:cstheme="majorBidi"/>
        </w:rPr>
        <w:t xml:space="preserve">. </w:t>
      </w:r>
      <w:r w:rsidR="00F335AD" w:rsidRPr="00A038BF">
        <w:rPr>
          <w:rFonts w:asciiTheme="majorBidi" w:hAnsiTheme="majorBidi" w:cstheme="majorBidi"/>
        </w:rPr>
        <w:t>The LCA</w:t>
      </w:r>
      <w:r w:rsidR="00B45025" w:rsidRPr="00A038BF">
        <w:rPr>
          <w:rFonts w:asciiTheme="majorBidi" w:hAnsiTheme="majorBidi" w:cstheme="majorBidi"/>
        </w:rPr>
        <w:t xml:space="preserve"> result </w:t>
      </w:r>
      <w:r w:rsidR="009A3164" w:rsidRPr="00A038BF">
        <w:rPr>
          <w:rFonts w:asciiTheme="majorBidi" w:hAnsiTheme="majorBidi" w:cstheme="majorBidi"/>
        </w:rPr>
        <w:t xml:space="preserve">of GWP and embodied energy </w:t>
      </w:r>
      <w:r w:rsidR="00B45025" w:rsidRPr="00A038BF">
        <w:rPr>
          <w:rFonts w:asciiTheme="majorBidi" w:hAnsiTheme="majorBidi" w:cstheme="majorBidi"/>
        </w:rPr>
        <w:t>show</w:t>
      </w:r>
      <w:r w:rsidR="00F335AD" w:rsidRPr="00A038BF">
        <w:rPr>
          <w:rFonts w:asciiTheme="majorBidi" w:hAnsiTheme="majorBidi" w:cstheme="majorBidi"/>
        </w:rPr>
        <w:t xml:space="preserve">s that </w:t>
      </w:r>
      <w:r w:rsidR="009A3164" w:rsidRPr="00A038BF">
        <w:rPr>
          <w:rFonts w:asciiTheme="majorBidi" w:hAnsiTheme="majorBidi" w:cstheme="majorBidi"/>
        </w:rPr>
        <w:t xml:space="preserve">nail-laminated timber is </w:t>
      </w:r>
      <w:r w:rsidR="00CA7D9F" w:rsidRPr="00A038BF">
        <w:rPr>
          <w:rFonts w:asciiTheme="majorBidi" w:hAnsiTheme="majorBidi" w:cstheme="majorBidi"/>
        </w:rPr>
        <w:t>preferable to cross-laminated timber</w:t>
      </w:r>
      <w:r w:rsidR="009A3164" w:rsidRPr="00A038BF">
        <w:rPr>
          <w:rFonts w:asciiTheme="majorBidi" w:hAnsiTheme="majorBidi" w:cstheme="majorBidi"/>
          <w:shd w:val="clear" w:color="auto" w:fill="FFFFFF"/>
        </w:rPr>
        <w:t xml:space="preserve"> and dowel laminated timber. </w:t>
      </w:r>
      <w:r w:rsidR="009A3164" w:rsidRPr="00A038BF">
        <w:rPr>
          <w:rFonts w:asciiTheme="majorBidi" w:hAnsiTheme="majorBidi" w:cstheme="majorBidi"/>
        </w:rPr>
        <w:t xml:space="preserve">However, the life cycle cost result </w:t>
      </w:r>
      <w:r w:rsidR="0096722D" w:rsidRPr="00A038BF">
        <w:rPr>
          <w:rFonts w:asciiTheme="majorBidi" w:hAnsiTheme="majorBidi" w:cstheme="majorBidi"/>
        </w:rPr>
        <w:t xml:space="preserve">also </w:t>
      </w:r>
      <w:r w:rsidR="00FF0FE9" w:rsidRPr="00A038BF">
        <w:rPr>
          <w:rFonts w:asciiTheme="majorBidi" w:hAnsiTheme="majorBidi" w:cstheme="majorBidi"/>
        </w:rPr>
        <w:t>revealed</w:t>
      </w:r>
      <w:r w:rsidR="009A3164" w:rsidRPr="00A038BF">
        <w:rPr>
          <w:rFonts w:asciiTheme="majorBidi" w:hAnsiTheme="majorBidi" w:cstheme="majorBidi"/>
        </w:rPr>
        <w:t xml:space="preserve"> that </w:t>
      </w:r>
      <w:r w:rsidR="009A3164" w:rsidRPr="00A038BF">
        <w:rPr>
          <w:rFonts w:asciiTheme="majorBidi" w:hAnsiTheme="majorBidi" w:cstheme="majorBidi"/>
          <w:shd w:val="clear" w:color="auto" w:fill="FFFFFF"/>
        </w:rPr>
        <w:t xml:space="preserve">dowel laminated timber has a lower cost. </w:t>
      </w:r>
      <w:r w:rsidR="0024271B" w:rsidRPr="00A038BF">
        <w:rPr>
          <w:rFonts w:asciiTheme="majorBidi" w:hAnsiTheme="majorBidi" w:cstheme="majorBidi"/>
        </w:rPr>
        <w:t>MCDM</w:t>
      </w:r>
      <w:r w:rsidR="003F7B5A" w:rsidRPr="00A038BF">
        <w:rPr>
          <w:rFonts w:asciiTheme="majorBidi" w:hAnsiTheme="majorBidi" w:cstheme="majorBidi"/>
        </w:rPr>
        <w:t xml:space="preserve"> </w:t>
      </w:r>
      <w:r w:rsidR="00A763E8" w:rsidRPr="00A038BF">
        <w:rPr>
          <w:rFonts w:asciiTheme="majorBidi" w:hAnsiTheme="majorBidi" w:cstheme="majorBidi"/>
        </w:rPr>
        <w:t xml:space="preserve">was </w:t>
      </w:r>
      <w:r w:rsidR="003F7B5A" w:rsidRPr="00A038BF">
        <w:rPr>
          <w:rFonts w:asciiTheme="majorBidi" w:hAnsiTheme="majorBidi" w:cstheme="majorBidi"/>
        </w:rPr>
        <w:t>used to normalize the result</w:t>
      </w:r>
      <w:r w:rsidR="0096722D" w:rsidRPr="00A038BF">
        <w:rPr>
          <w:rFonts w:asciiTheme="majorBidi" w:hAnsiTheme="majorBidi" w:cstheme="majorBidi"/>
        </w:rPr>
        <w:t>s</w:t>
      </w:r>
      <w:r w:rsidR="003F7B5A" w:rsidRPr="00A038BF">
        <w:rPr>
          <w:rFonts w:asciiTheme="majorBidi" w:hAnsiTheme="majorBidi" w:cstheme="majorBidi"/>
        </w:rPr>
        <w:t xml:space="preserve"> among seven criteria </w:t>
      </w:r>
      <w:r w:rsidR="0096722D" w:rsidRPr="00A038BF">
        <w:rPr>
          <w:rFonts w:asciiTheme="majorBidi" w:hAnsiTheme="majorBidi" w:cstheme="majorBidi"/>
        </w:rPr>
        <w:t>to enable</w:t>
      </w:r>
      <w:r w:rsidR="003F7B5A" w:rsidRPr="00A038BF">
        <w:rPr>
          <w:rFonts w:asciiTheme="majorBidi" w:hAnsiTheme="majorBidi" w:cstheme="majorBidi"/>
        </w:rPr>
        <w:t xml:space="preserve"> the result </w:t>
      </w:r>
      <w:r w:rsidR="0096722D" w:rsidRPr="00A038BF">
        <w:rPr>
          <w:rFonts w:asciiTheme="majorBidi" w:hAnsiTheme="majorBidi" w:cstheme="majorBidi"/>
        </w:rPr>
        <w:t>to be</w:t>
      </w:r>
      <w:r w:rsidR="003F7B5A" w:rsidRPr="00A038BF">
        <w:rPr>
          <w:rFonts w:asciiTheme="majorBidi" w:hAnsiTheme="majorBidi" w:cstheme="majorBidi"/>
        </w:rPr>
        <w:t xml:space="preserve"> compar</w:t>
      </w:r>
      <w:r w:rsidR="0096722D" w:rsidRPr="00A038BF">
        <w:rPr>
          <w:rFonts w:asciiTheme="majorBidi" w:hAnsiTheme="majorBidi" w:cstheme="majorBidi"/>
        </w:rPr>
        <w:t>ed</w:t>
      </w:r>
      <w:r w:rsidR="003F7B5A" w:rsidRPr="00A038BF">
        <w:rPr>
          <w:rFonts w:asciiTheme="majorBidi" w:hAnsiTheme="majorBidi" w:cstheme="majorBidi"/>
        </w:rPr>
        <w:t xml:space="preserve">. The MCDM result showed that DLT is considered the best alternative. </w:t>
      </w:r>
      <w:r w:rsidR="00B46536" w:rsidRPr="00A038BF">
        <w:rPr>
          <w:rFonts w:asciiTheme="majorBidi" w:hAnsiTheme="majorBidi" w:cstheme="majorBidi"/>
        </w:rPr>
        <w:t xml:space="preserve">The information included here is supplemental to wood design and construction best practices and is specific to </w:t>
      </w:r>
      <w:r w:rsidR="00CA7D9F" w:rsidRPr="00A038BF">
        <w:rPr>
          <w:rFonts w:asciiTheme="majorBidi" w:hAnsiTheme="majorBidi" w:cstheme="majorBidi"/>
        </w:rPr>
        <w:t>using</w:t>
      </w:r>
      <w:r w:rsidR="00B46536" w:rsidRPr="00A038BF">
        <w:rPr>
          <w:rFonts w:asciiTheme="majorBidi" w:hAnsiTheme="majorBidi" w:cstheme="majorBidi"/>
        </w:rPr>
        <w:t xml:space="preserve"> mass timber as </w:t>
      </w:r>
      <w:r w:rsidR="00CA7D9F" w:rsidRPr="00A038BF">
        <w:rPr>
          <w:rFonts w:asciiTheme="majorBidi" w:hAnsiTheme="majorBidi" w:cstheme="majorBidi"/>
        </w:rPr>
        <w:t xml:space="preserve">a </w:t>
      </w:r>
      <w:r w:rsidR="00B46536" w:rsidRPr="00A038BF">
        <w:rPr>
          <w:rFonts w:asciiTheme="majorBidi" w:hAnsiTheme="majorBidi" w:cstheme="majorBidi"/>
        </w:rPr>
        <w:t xml:space="preserve">wood frame construction technique. </w:t>
      </w:r>
      <w:r w:rsidR="0096722D" w:rsidRPr="00A038BF">
        <w:rPr>
          <w:rFonts w:asciiTheme="majorBidi" w:hAnsiTheme="majorBidi" w:cstheme="majorBidi"/>
        </w:rPr>
        <w:t xml:space="preserve">Based on this </w:t>
      </w:r>
      <w:r w:rsidR="002D0F1A" w:rsidRPr="00A038BF">
        <w:rPr>
          <w:rFonts w:asciiTheme="majorBidi" w:hAnsiTheme="majorBidi" w:cstheme="majorBidi"/>
        </w:rPr>
        <w:t>study</w:t>
      </w:r>
      <w:r w:rsidR="00CA7D9F" w:rsidRPr="00A038BF">
        <w:rPr>
          <w:rFonts w:asciiTheme="majorBidi" w:hAnsiTheme="majorBidi" w:cstheme="majorBidi"/>
        </w:rPr>
        <w:t>,</w:t>
      </w:r>
      <w:r w:rsidR="002D0F1A" w:rsidRPr="00A038BF">
        <w:rPr>
          <w:rFonts w:asciiTheme="majorBidi" w:hAnsiTheme="majorBidi" w:cstheme="majorBidi"/>
        </w:rPr>
        <w:t xml:space="preserve"> there are opportunities for future work to </w:t>
      </w:r>
      <w:r w:rsidR="00CA7D9F" w:rsidRPr="00A038BF">
        <w:rPr>
          <w:rFonts w:asciiTheme="majorBidi" w:hAnsiTheme="majorBidi" w:cstheme="majorBidi"/>
        </w:rPr>
        <w:t>explore areas</w:t>
      </w:r>
      <w:r w:rsidR="002D0F1A" w:rsidRPr="00A038BF">
        <w:rPr>
          <w:rFonts w:asciiTheme="majorBidi" w:hAnsiTheme="majorBidi" w:cstheme="majorBidi"/>
        </w:rPr>
        <w:t xml:space="preserve">. </w:t>
      </w:r>
      <w:r w:rsidR="0089042D" w:rsidRPr="00A038BF">
        <w:rPr>
          <w:rFonts w:asciiTheme="majorBidi" w:hAnsiTheme="majorBidi" w:cstheme="majorBidi"/>
        </w:rPr>
        <w:t>Firstly, LCA can be expan</w:t>
      </w:r>
      <w:r w:rsidR="00CA7D9F" w:rsidRPr="00A038BF">
        <w:rPr>
          <w:rFonts w:asciiTheme="majorBidi" w:hAnsiTheme="majorBidi" w:cstheme="majorBidi"/>
        </w:rPr>
        <w:t>de</w:t>
      </w:r>
      <w:r w:rsidR="0089042D" w:rsidRPr="00A038BF">
        <w:rPr>
          <w:rFonts w:asciiTheme="majorBidi" w:hAnsiTheme="majorBidi" w:cstheme="majorBidi"/>
        </w:rPr>
        <w:t xml:space="preserve">d to compare other criteria and attributional LCI for those case studies.  Secondly, the social aspect of alternatives </w:t>
      </w:r>
      <w:r w:rsidR="0096722D" w:rsidRPr="00A038BF">
        <w:rPr>
          <w:rFonts w:asciiTheme="majorBidi" w:hAnsiTheme="majorBidi" w:cstheme="majorBidi"/>
        </w:rPr>
        <w:t>warrants evaluation</w:t>
      </w:r>
      <w:r w:rsidR="006D07F7" w:rsidRPr="00A038BF">
        <w:rPr>
          <w:rFonts w:asciiTheme="majorBidi" w:hAnsiTheme="majorBidi" w:cstheme="majorBidi"/>
        </w:rPr>
        <w:t xml:space="preserve"> as this </w:t>
      </w:r>
      <w:r w:rsidR="006142C0" w:rsidRPr="00A038BF">
        <w:rPr>
          <w:rFonts w:asciiTheme="majorBidi" w:hAnsiTheme="majorBidi" w:cstheme="majorBidi"/>
        </w:rPr>
        <w:t xml:space="preserve">can </w:t>
      </w:r>
      <w:r w:rsidR="00CA7D9F" w:rsidRPr="00A038BF">
        <w:rPr>
          <w:rFonts w:asciiTheme="majorBidi" w:hAnsiTheme="majorBidi" w:cstheme="majorBidi"/>
        </w:rPr>
        <w:t xml:space="preserve">influence </w:t>
      </w:r>
      <w:r w:rsidR="006D07F7" w:rsidRPr="00A038BF">
        <w:rPr>
          <w:rFonts w:asciiTheme="majorBidi" w:hAnsiTheme="majorBidi" w:cstheme="majorBidi"/>
        </w:rPr>
        <w:t xml:space="preserve">the uptake of the technology and therefore </w:t>
      </w:r>
      <w:r w:rsidR="00CA7D9F" w:rsidRPr="00A038BF">
        <w:rPr>
          <w:rFonts w:asciiTheme="majorBidi" w:hAnsiTheme="majorBidi" w:cstheme="majorBidi"/>
        </w:rPr>
        <w:t>sustainability</w:t>
      </w:r>
      <w:r w:rsidR="0089042D" w:rsidRPr="00A038BF">
        <w:rPr>
          <w:rFonts w:asciiTheme="majorBidi" w:hAnsiTheme="majorBidi" w:cstheme="majorBidi"/>
        </w:rPr>
        <w:t xml:space="preserve">. </w:t>
      </w:r>
      <w:r w:rsidR="005103FE" w:rsidRPr="00A038BF">
        <w:rPr>
          <w:rFonts w:asciiTheme="majorBidi" w:hAnsiTheme="majorBidi" w:cstheme="majorBidi"/>
        </w:rPr>
        <w:t xml:space="preserve">The result of current research can be used as a road map for stakeholders to select the most valuable and optimum choices in mass timber construction among different alternatives. </w:t>
      </w:r>
    </w:p>
    <w:p w14:paraId="00A2A4AD" w14:textId="77777777" w:rsidR="005103FE" w:rsidRPr="00A038BF" w:rsidRDefault="005103FE" w:rsidP="00A763E8">
      <w:pPr>
        <w:pStyle w:val="ListParagraph"/>
        <w:spacing w:before="480" w:line="276" w:lineRule="auto"/>
        <w:ind w:left="0" w:firstLine="720"/>
        <w:jc w:val="both"/>
        <w:rPr>
          <w:rFonts w:asciiTheme="majorBidi" w:hAnsiTheme="majorBidi" w:cstheme="majorBidi"/>
        </w:rPr>
      </w:pPr>
    </w:p>
    <w:p w14:paraId="4596C0CF" w14:textId="77777777" w:rsidR="00822E97" w:rsidRPr="00A038BF" w:rsidRDefault="00822E97" w:rsidP="007C27D1">
      <w:pPr>
        <w:pStyle w:val="ListParagraph"/>
        <w:spacing w:before="480" w:line="276" w:lineRule="auto"/>
        <w:ind w:left="0" w:firstLine="720"/>
        <w:jc w:val="both"/>
        <w:rPr>
          <w:rFonts w:asciiTheme="majorBidi" w:hAnsiTheme="majorBidi" w:cstheme="majorBidi"/>
        </w:rPr>
      </w:pPr>
    </w:p>
    <w:p w14:paraId="70AC1BA0" w14:textId="5D1891BF" w:rsidR="007B437B" w:rsidRPr="00A038BF" w:rsidRDefault="007B437B" w:rsidP="007236C2">
      <w:pPr>
        <w:spacing w:after="0"/>
        <w:jc w:val="both"/>
        <w:rPr>
          <w:rFonts w:asciiTheme="majorBidi" w:hAnsiTheme="majorBidi" w:cstheme="majorBidi"/>
          <w:sz w:val="20"/>
          <w:szCs w:val="20"/>
        </w:rPr>
      </w:pPr>
    </w:p>
    <w:p w14:paraId="129C2D92" w14:textId="2E1BFE9B" w:rsidR="007B437B" w:rsidRPr="00A038BF" w:rsidRDefault="007B437B" w:rsidP="007236C2">
      <w:pPr>
        <w:spacing w:after="0"/>
        <w:jc w:val="both"/>
        <w:rPr>
          <w:rFonts w:asciiTheme="majorBidi" w:hAnsiTheme="majorBidi" w:cstheme="majorBidi"/>
          <w:sz w:val="20"/>
          <w:szCs w:val="20"/>
        </w:rPr>
      </w:pPr>
    </w:p>
    <w:p w14:paraId="38354361" w14:textId="77777777" w:rsidR="007B437B" w:rsidRDefault="007B437B" w:rsidP="007B437B">
      <w:pPr>
        <w:spacing w:after="0" w:line="240" w:lineRule="auto"/>
        <w:rPr>
          <w:rFonts w:asciiTheme="majorBidi" w:hAnsiTheme="majorBidi" w:cstheme="majorBidi"/>
          <w:b/>
          <w:bCs/>
        </w:rPr>
      </w:pPr>
      <w:r>
        <w:rPr>
          <w:rFonts w:asciiTheme="majorBidi" w:hAnsiTheme="majorBidi" w:cstheme="majorBidi"/>
          <w:b/>
          <w:bCs/>
        </w:rPr>
        <w:t xml:space="preserve">Declarations </w:t>
      </w:r>
    </w:p>
    <w:p w14:paraId="6E66C324" w14:textId="77777777" w:rsidR="007B437B" w:rsidRPr="003D0CE4" w:rsidRDefault="007B437B" w:rsidP="007B437B">
      <w:pPr>
        <w:pStyle w:val="BodyText"/>
        <w:spacing w:before="1"/>
        <w:ind w:left="0" w:right="1"/>
        <w:rPr>
          <w:rFonts w:asciiTheme="majorBidi" w:eastAsiaTheme="minorHAnsi" w:hAnsiTheme="majorBidi" w:cstheme="majorBidi"/>
          <w:sz w:val="22"/>
          <w:szCs w:val="22"/>
        </w:rPr>
      </w:pPr>
      <w:r w:rsidRPr="003D0CE4">
        <w:rPr>
          <w:rFonts w:asciiTheme="majorBidi" w:eastAsiaTheme="minorHAnsi" w:hAnsiTheme="majorBidi" w:cstheme="majorBidi"/>
          <w:sz w:val="22"/>
          <w:szCs w:val="22"/>
        </w:rPr>
        <w:t>The authors declare that they have no known competing ﬁnancial interests or personal relationships that could have appeared to inﬂuence the work reported in this paper.</w:t>
      </w:r>
    </w:p>
    <w:p w14:paraId="77593349" w14:textId="77777777" w:rsidR="007B437B" w:rsidRDefault="007B437B" w:rsidP="007B437B">
      <w:pPr>
        <w:spacing w:after="0" w:line="240" w:lineRule="auto"/>
        <w:rPr>
          <w:rFonts w:asciiTheme="majorBidi" w:hAnsiTheme="majorBidi" w:cstheme="majorBidi"/>
        </w:rPr>
      </w:pPr>
      <w:r>
        <w:rPr>
          <w:rFonts w:asciiTheme="majorBidi" w:hAnsiTheme="majorBidi" w:cstheme="majorBidi"/>
        </w:rPr>
        <w:t>Ethics approval and consent to participate Not applicable</w:t>
      </w:r>
    </w:p>
    <w:p w14:paraId="3411776C" w14:textId="77777777" w:rsidR="007B437B" w:rsidRDefault="007B437B" w:rsidP="007B437B">
      <w:pPr>
        <w:autoSpaceDE w:val="0"/>
        <w:autoSpaceDN w:val="0"/>
        <w:adjustRightInd w:val="0"/>
        <w:spacing w:after="0" w:line="240" w:lineRule="auto"/>
        <w:rPr>
          <w:rFonts w:asciiTheme="majorBidi" w:hAnsiTheme="majorBidi" w:cstheme="majorBidi"/>
        </w:rPr>
      </w:pPr>
      <w:r>
        <w:rPr>
          <w:rFonts w:asciiTheme="majorBidi" w:hAnsiTheme="majorBidi" w:cstheme="majorBidi"/>
        </w:rPr>
        <w:t>Authors’ contributions: All authors contributed to the study conception and design. All authors read and approved the final manuscript.</w:t>
      </w:r>
    </w:p>
    <w:p w14:paraId="1D1F4679" w14:textId="77777777" w:rsidR="007B437B" w:rsidRDefault="007B437B" w:rsidP="007B437B">
      <w:pPr>
        <w:autoSpaceDE w:val="0"/>
        <w:autoSpaceDN w:val="0"/>
        <w:adjustRightInd w:val="0"/>
        <w:spacing w:after="0" w:line="240" w:lineRule="auto"/>
        <w:rPr>
          <w:rFonts w:asciiTheme="majorBidi" w:hAnsiTheme="majorBidi" w:cstheme="majorBidi"/>
        </w:rPr>
      </w:pPr>
      <w:r>
        <w:rPr>
          <w:rFonts w:asciiTheme="majorBidi" w:hAnsiTheme="majorBidi" w:cstheme="majorBidi"/>
        </w:rPr>
        <w:t>Competing interests: The authors declare that they have no competing interests.</w:t>
      </w:r>
    </w:p>
    <w:p w14:paraId="53DF5A6F" w14:textId="77777777" w:rsidR="007B437B" w:rsidRDefault="007B437B" w:rsidP="007B437B">
      <w:pPr>
        <w:autoSpaceDE w:val="0"/>
        <w:autoSpaceDN w:val="0"/>
        <w:adjustRightInd w:val="0"/>
        <w:spacing w:after="0" w:line="240" w:lineRule="auto"/>
        <w:rPr>
          <w:rFonts w:asciiTheme="majorBidi" w:hAnsiTheme="majorBidi" w:cstheme="majorBidi"/>
        </w:rPr>
      </w:pPr>
      <w:r>
        <w:rPr>
          <w:rFonts w:asciiTheme="majorBidi" w:hAnsiTheme="majorBidi" w:cstheme="majorBidi"/>
        </w:rPr>
        <w:t>Consent to Participate: Not applicable.</w:t>
      </w:r>
      <w:r>
        <w:rPr>
          <w:rFonts w:asciiTheme="majorBidi" w:hAnsiTheme="majorBidi" w:cstheme="majorBidi"/>
        </w:rPr>
        <w:br/>
        <w:t>Consent for publication: Not applicable.</w:t>
      </w:r>
    </w:p>
    <w:p w14:paraId="3A9D434B" w14:textId="77777777" w:rsidR="007B437B" w:rsidRDefault="007B437B" w:rsidP="007B437B">
      <w:pPr>
        <w:spacing w:after="0" w:line="240" w:lineRule="auto"/>
        <w:rPr>
          <w:rFonts w:asciiTheme="majorBidi" w:hAnsiTheme="majorBidi" w:cstheme="majorBidi"/>
        </w:rPr>
      </w:pPr>
      <w:r>
        <w:rPr>
          <w:rFonts w:asciiTheme="majorBidi" w:hAnsiTheme="majorBidi" w:cstheme="majorBidi"/>
        </w:rPr>
        <w:t>Funding information is not applicable </w:t>
      </w:r>
    </w:p>
    <w:p w14:paraId="3E2B6E76" w14:textId="77777777" w:rsidR="007B437B" w:rsidRDefault="007B437B" w:rsidP="007B437B">
      <w:pPr>
        <w:autoSpaceDE w:val="0"/>
        <w:autoSpaceDN w:val="0"/>
        <w:adjustRightInd w:val="0"/>
        <w:spacing w:after="0" w:line="240" w:lineRule="auto"/>
        <w:rPr>
          <w:rFonts w:asciiTheme="majorBidi" w:hAnsiTheme="majorBidi" w:cstheme="majorBidi"/>
        </w:rPr>
      </w:pPr>
      <w:r>
        <w:rPr>
          <w:rFonts w:asciiTheme="majorBidi" w:hAnsiTheme="majorBidi" w:cstheme="majorBidi"/>
        </w:rPr>
        <w:t>Data availability: The datasets used and analyzed during the current study are available from the corresponding author on reasonable request</w:t>
      </w:r>
    </w:p>
    <w:p w14:paraId="23397305" w14:textId="77777777" w:rsidR="007B437B" w:rsidRPr="00641E3A" w:rsidRDefault="007B437B" w:rsidP="007B437B">
      <w:pPr>
        <w:pStyle w:val="BodyText"/>
        <w:spacing w:before="1" w:line="273" w:lineRule="auto"/>
        <w:ind w:left="310" w:right="1" w:firstLine="239"/>
        <w:rPr>
          <w:rFonts w:asciiTheme="majorBidi" w:eastAsiaTheme="minorHAnsi" w:hAnsiTheme="majorBidi" w:cstheme="majorBidi"/>
          <w:sz w:val="22"/>
          <w:szCs w:val="22"/>
        </w:rPr>
      </w:pPr>
    </w:p>
    <w:p w14:paraId="6DFE4B99" w14:textId="77777777" w:rsidR="007B437B" w:rsidRDefault="007B437B" w:rsidP="007B437B">
      <w:pPr>
        <w:ind w:left="1800"/>
      </w:pPr>
    </w:p>
    <w:p w14:paraId="4FA7230B" w14:textId="7E68CB6B" w:rsidR="007B437B" w:rsidRDefault="007B437B" w:rsidP="007B437B">
      <w:pPr>
        <w:ind w:left="1800"/>
      </w:pPr>
    </w:p>
    <w:p w14:paraId="1550BE8F" w14:textId="77777777" w:rsidR="007B437B" w:rsidRDefault="007B437B" w:rsidP="007B437B">
      <w:pPr>
        <w:ind w:left="1800"/>
      </w:pPr>
    </w:p>
    <w:p w14:paraId="59F83D94" w14:textId="77777777" w:rsidR="007B437B" w:rsidRDefault="007B437B" w:rsidP="007B437B">
      <w:pPr>
        <w:ind w:left="1800"/>
      </w:pPr>
    </w:p>
    <w:p w14:paraId="7FD366B3" w14:textId="77777777" w:rsidR="007B437B" w:rsidRPr="00641E3A" w:rsidRDefault="007B437B" w:rsidP="007B437B">
      <w:pPr>
        <w:spacing w:line="276" w:lineRule="auto"/>
        <w:ind w:left="360"/>
        <w:rPr>
          <w:rFonts w:asciiTheme="majorBidi" w:hAnsiTheme="majorBidi" w:cstheme="majorBidi"/>
          <w:b/>
          <w:bCs/>
        </w:rPr>
      </w:pPr>
      <w:r w:rsidRPr="00641E3A">
        <w:rPr>
          <w:rFonts w:asciiTheme="majorBidi" w:hAnsiTheme="majorBidi" w:cstheme="majorBidi"/>
          <w:b/>
          <w:bCs/>
        </w:rPr>
        <w:t>References</w:t>
      </w:r>
    </w:p>
    <w:p w14:paraId="180DB5B1" w14:textId="77777777" w:rsidR="007B437B" w:rsidRPr="00763D20" w:rsidRDefault="007B437B" w:rsidP="00CA5C88">
      <w:pPr>
        <w:spacing w:after="0" w:line="276" w:lineRule="auto"/>
        <w:ind w:left="540" w:hanging="540"/>
        <w:jc w:val="both"/>
        <w:rPr>
          <w:rFonts w:asciiTheme="majorBidi" w:hAnsiTheme="majorBidi" w:cstheme="majorBidi"/>
          <w:sz w:val="20"/>
          <w:szCs w:val="20"/>
        </w:rPr>
      </w:pPr>
      <w:r w:rsidRPr="00763D20">
        <w:rPr>
          <w:rFonts w:asciiTheme="majorBidi" w:hAnsiTheme="majorBidi" w:cstheme="majorBidi"/>
          <w:sz w:val="20"/>
          <w:szCs w:val="20"/>
        </w:rPr>
        <w:t>Abergel, T.; Dean, B.; Dulac, J. Towards a Zero-Emission, Efficient, and Resilient Buildings and Construction Sector: Global Status Report 2017; UN Environment and International Energy Agency: Paris, France, 2017.</w:t>
      </w:r>
    </w:p>
    <w:p w14:paraId="6C17D10B"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sz w:val="20"/>
          <w:szCs w:val="20"/>
        </w:rPr>
        <w:fldChar w:fldCharType="begin" w:fldLock="1"/>
      </w:r>
      <w:r w:rsidRPr="00C42217">
        <w:rPr>
          <w:rFonts w:asciiTheme="majorBidi" w:hAnsiTheme="majorBidi" w:cstheme="majorBidi"/>
          <w:sz w:val="20"/>
          <w:szCs w:val="20"/>
        </w:rPr>
        <w:instrText xml:space="preserve">ADDIN Mendeley Bibliography CSL_BIBLIOGRAPHY </w:instrText>
      </w:r>
      <w:r w:rsidRPr="00C42217">
        <w:rPr>
          <w:rFonts w:asciiTheme="majorBidi" w:hAnsiTheme="majorBidi" w:cstheme="majorBidi"/>
          <w:sz w:val="20"/>
          <w:szCs w:val="20"/>
        </w:rPr>
        <w:fldChar w:fldCharType="separate"/>
      </w:r>
      <w:r w:rsidRPr="00C42217">
        <w:rPr>
          <w:rFonts w:asciiTheme="majorBidi" w:hAnsiTheme="majorBidi" w:cstheme="majorBidi"/>
          <w:noProof/>
          <w:sz w:val="20"/>
          <w:szCs w:val="24"/>
        </w:rPr>
        <w:t xml:space="preserve">Asdrubali, F., Ferracuti, B., Lombardi, L., Guattari, C., Evangelisti, L., &amp; Grazieschi, G. (2017). A review of structural, thermo-physical, acoustical, and environmental properties of wooden materials for building applications.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114</w:t>
      </w:r>
      <w:r w:rsidRPr="00C42217">
        <w:rPr>
          <w:rFonts w:asciiTheme="majorBidi" w:hAnsiTheme="majorBidi" w:cstheme="majorBidi"/>
          <w:noProof/>
          <w:sz w:val="20"/>
          <w:szCs w:val="24"/>
        </w:rPr>
        <w:t>, 307–332. https://doi.org/10.1016/j.buildenv.2016.12.033</w:t>
      </w:r>
    </w:p>
    <w:p w14:paraId="68BB821D"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Balasbaneh, A.T., &amp; Bin Marsono, A. K. (2017). Strategies for reducing greenhouse gas emissions from residential sector by proposing new building structures in hot and humid climatic conditions.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124</w:t>
      </w:r>
      <w:r w:rsidRPr="00C42217">
        <w:rPr>
          <w:rFonts w:asciiTheme="majorBidi" w:hAnsiTheme="majorBidi" w:cstheme="majorBidi"/>
          <w:noProof/>
          <w:sz w:val="20"/>
          <w:szCs w:val="24"/>
        </w:rPr>
        <w:t>. https://doi.org/10.1016/j.buildenv.2017.08.025</w:t>
      </w:r>
    </w:p>
    <w:p w14:paraId="7C7B7AC2"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Balasbaneh, Ali Tighnavard, Bin Marsono, A. K., &amp; Kasra Kermanshahi, E. (2018). Balancing of life cycle carbon and cost appraisal on alternative wall and roof design verification for residential building. </w:t>
      </w:r>
      <w:r w:rsidRPr="00C42217">
        <w:rPr>
          <w:rFonts w:asciiTheme="majorBidi" w:hAnsiTheme="majorBidi" w:cstheme="majorBidi"/>
          <w:i/>
          <w:iCs/>
          <w:noProof/>
          <w:sz w:val="20"/>
          <w:szCs w:val="24"/>
        </w:rPr>
        <w:t>Construction Innovation</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18</w:t>
      </w:r>
      <w:r w:rsidRPr="00C42217">
        <w:rPr>
          <w:rFonts w:asciiTheme="majorBidi" w:hAnsiTheme="majorBidi" w:cstheme="majorBidi"/>
          <w:noProof/>
          <w:sz w:val="20"/>
          <w:szCs w:val="24"/>
        </w:rPr>
        <w:t>(3), 274–300. https://doi.org/10.1108/CI-03-2017-0024</w:t>
      </w:r>
    </w:p>
    <w:p w14:paraId="282157B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Balasbaneh, Ali Tighnavard, &amp; Sher, W. (2021a). Comparative sustainability evaluation of two engineered wood-based construction materials: Life cycle analysis of CLT versus GLT.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204</w:t>
      </w:r>
      <w:r w:rsidRPr="00C42217">
        <w:rPr>
          <w:rFonts w:asciiTheme="majorBidi" w:hAnsiTheme="majorBidi" w:cstheme="majorBidi"/>
          <w:noProof/>
          <w:sz w:val="20"/>
          <w:szCs w:val="24"/>
        </w:rPr>
        <w:t>(July), 108112. https://doi.org/10.1016/j.buildenv.2021.108112</w:t>
      </w:r>
    </w:p>
    <w:p w14:paraId="222EEF6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Balasbaneh, Ali Tighnavard, &amp; Sher, W. (2021b). Life cycle sustainability assessment analysis of different concrete construction techniques for residential building in Malaysia. </w:t>
      </w:r>
      <w:r w:rsidRPr="00C42217">
        <w:rPr>
          <w:rFonts w:asciiTheme="majorBidi" w:hAnsiTheme="majorBidi" w:cstheme="majorBidi"/>
          <w:i/>
          <w:iCs/>
          <w:noProof/>
          <w:sz w:val="20"/>
          <w:szCs w:val="24"/>
        </w:rPr>
        <w:t>The International Journal of Life Cycle Assessment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0123456789</w:t>
      </w:r>
      <w:r w:rsidRPr="00C42217">
        <w:rPr>
          <w:rFonts w:asciiTheme="majorBidi" w:hAnsiTheme="majorBidi" w:cstheme="majorBidi"/>
          <w:noProof/>
          <w:sz w:val="20"/>
          <w:szCs w:val="24"/>
        </w:rPr>
        <w:t>. https://doi.org/10.1007/s11367-021-01938-6</w:t>
      </w:r>
    </w:p>
    <w:p w14:paraId="7DA34025" w14:textId="21189596" w:rsidR="007B437B" w:rsidRPr="00C42217" w:rsidRDefault="0019549C"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Cadore</w:t>
      </w:r>
      <w:r w:rsidR="007B437B" w:rsidRPr="00C42217">
        <w:rPr>
          <w:rFonts w:asciiTheme="majorBidi" w:hAnsiTheme="majorBidi" w:cstheme="majorBidi"/>
          <w:noProof/>
          <w:sz w:val="20"/>
          <w:szCs w:val="24"/>
        </w:rPr>
        <w:t xml:space="preserve">l, X., &amp; Crawford, R. (2019). Life cycle analysis of cross laminated timber in buildings: a review. </w:t>
      </w:r>
      <w:r w:rsidR="007B437B" w:rsidRPr="00C42217">
        <w:rPr>
          <w:rFonts w:asciiTheme="majorBidi" w:hAnsiTheme="majorBidi" w:cstheme="majorBidi"/>
          <w:i/>
          <w:iCs/>
          <w:noProof/>
          <w:sz w:val="20"/>
          <w:szCs w:val="24"/>
        </w:rPr>
        <w:t>Engaging Architectural Science: Meeting the Challenges of Higher Density: 52nd International Conference of the Architectural Science Association 2018</w:t>
      </w:r>
      <w:r w:rsidR="007B437B" w:rsidRPr="00C42217">
        <w:rPr>
          <w:rFonts w:asciiTheme="majorBidi" w:hAnsiTheme="majorBidi" w:cstheme="majorBidi"/>
          <w:noProof/>
          <w:sz w:val="20"/>
          <w:szCs w:val="24"/>
        </w:rPr>
        <w:t xml:space="preserve">, </w:t>
      </w:r>
      <w:r w:rsidR="007B437B" w:rsidRPr="00C42217">
        <w:rPr>
          <w:rFonts w:asciiTheme="majorBidi" w:hAnsiTheme="majorBidi" w:cstheme="majorBidi"/>
          <w:i/>
          <w:iCs/>
          <w:noProof/>
          <w:sz w:val="20"/>
          <w:szCs w:val="24"/>
        </w:rPr>
        <w:t>15978</w:t>
      </w:r>
      <w:r w:rsidR="007B437B" w:rsidRPr="00C42217">
        <w:rPr>
          <w:rFonts w:asciiTheme="majorBidi" w:hAnsiTheme="majorBidi" w:cstheme="majorBidi"/>
          <w:noProof/>
          <w:sz w:val="20"/>
          <w:szCs w:val="24"/>
        </w:rPr>
        <w:t>(January), 107–114.</w:t>
      </w:r>
    </w:p>
    <w:p w14:paraId="43A13425" w14:textId="77777777"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Cellura, M.  Guarino, F. Longo, S.  Mistretta, M. (2014) Energy lifecycle approach in Net zero energy buildings nce: Operation and embodied energy of an Italian case study, Energy and Buildings, 72; 371-381.</w:t>
      </w:r>
    </w:p>
    <w:p w14:paraId="7AE0C3B3"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Chau, C. K., Leung, T. M., &amp; Ng, W. Y. (2015). A review on life cycle assessment, life cycle energy assessment and life cycle carbon emissions assessment on buildings. </w:t>
      </w:r>
      <w:r w:rsidRPr="00C42217">
        <w:rPr>
          <w:rFonts w:asciiTheme="majorBidi" w:hAnsiTheme="majorBidi" w:cstheme="majorBidi"/>
          <w:i/>
          <w:iCs/>
          <w:noProof/>
          <w:sz w:val="20"/>
          <w:szCs w:val="24"/>
        </w:rPr>
        <w:t>Applied Energy</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143</w:t>
      </w:r>
      <w:r w:rsidRPr="00C42217">
        <w:rPr>
          <w:rFonts w:asciiTheme="majorBidi" w:hAnsiTheme="majorBidi" w:cstheme="majorBidi"/>
          <w:noProof/>
          <w:sz w:val="20"/>
          <w:szCs w:val="24"/>
        </w:rPr>
        <w:t>(1), 395–413. https://doi.org/10.1016/j.apenergy.2015.01.023</w:t>
      </w:r>
    </w:p>
    <w:p w14:paraId="1BC09866"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Chaudhary, A. (2015). </w:t>
      </w:r>
      <w:r w:rsidRPr="00C42217">
        <w:rPr>
          <w:rFonts w:asciiTheme="majorBidi" w:hAnsiTheme="majorBidi" w:cstheme="majorBidi"/>
          <w:i/>
          <w:iCs/>
          <w:noProof/>
          <w:sz w:val="20"/>
          <w:szCs w:val="24"/>
        </w:rPr>
        <w:t>Life cycle assessment of adhesives used in wood constructions Life cycle assessment ( LCA ) of adhesives used in wood constructions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June</w:t>
      </w:r>
      <w:r w:rsidRPr="00C42217">
        <w:rPr>
          <w:rFonts w:asciiTheme="majorBidi" w:hAnsiTheme="majorBidi" w:cstheme="majorBidi"/>
          <w:noProof/>
          <w:sz w:val="20"/>
          <w:szCs w:val="24"/>
        </w:rPr>
        <w:t>.</w:t>
      </w:r>
    </w:p>
    <w:p w14:paraId="46A349F6"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Chen, C. X., Pierobon, F., &amp; Ganguly, I. (2019). Life Cycle Assessment (LCA) of Cross-Laminated Timber (CLT) produced in Western Washington: The role of logistics and wood species mix. </w:t>
      </w:r>
      <w:r w:rsidRPr="00C42217">
        <w:rPr>
          <w:rFonts w:asciiTheme="majorBidi" w:hAnsiTheme="majorBidi" w:cstheme="majorBidi"/>
          <w:i/>
          <w:iCs/>
          <w:noProof/>
          <w:sz w:val="20"/>
          <w:szCs w:val="24"/>
        </w:rPr>
        <w:t>Sustainability (Switzerland)</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11</w:t>
      </w:r>
      <w:r w:rsidRPr="00C42217">
        <w:rPr>
          <w:rFonts w:asciiTheme="majorBidi" w:hAnsiTheme="majorBidi" w:cstheme="majorBidi"/>
          <w:noProof/>
          <w:sz w:val="20"/>
          <w:szCs w:val="24"/>
        </w:rPr>
        <w:t>(5). https://doi.org/10.3390/su11051278</w:t>
      </w:r>
    </w:p>
    <w:p w14:paraId="0159321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Chen, Z., Gu, H., Bergman, R. D., &amp; Liang, S. (2020). Comparative life-cycle assessment of a high-rise mass timber building with an equivalent reinforced concrete alternative using the athena impact estimator for buildings. </w:t>
      </w:r>
      <w:r w:rsidRPr="00C42217">
        <w:rPr>
          <w:rFonts w:asciiTheme="majorBidi" w:hAnsiTheme="majorBidi" w:cstheme="majorBidi"/>
          <w:i/>
          <w:iCs/>
          <w:noProof/>
          <w:sz w:val="20"/>
          <w:szCs w:val="24"/>
        </w:rPr>
        <w:t>Sustainability (Switzerland)</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12</w:t>
      </w:r>
      <w:r w:rsidRPr="00C42217">
        <w:rPr>
          <w:rFonts w:asciiTheme="majorBidi" w:hAnsiTheme="majorBidi" w:cstheme="majorBidi"/>
          <w:noProof/>
          <w:sz w:val="20"/>
          <w:szCs w:val="24"/>
        </w:rPr>
        <w:t>(11). https://doi.org/10.3390/su12114708</w:t>
      </w:r>
    </w:p>
    <w:p w14:paraId="55E38062"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Cherry, R., Manalo, A., Karunasena, W., &amp; Stringer, G. (2019). Out-of-grade sawn pine : A state-of-the-art review on challenges and new opportunities in cross laminated timber ( CLT ). </w:t>
      </w:r>
      <w:r w:rsidRPr="00C42217">
        <w:rPr>
          <w:rFonts w:asciiTheme="majorBidi" w:hAnsiTheme="majorBidi" w:cstheme="majorBidi"/>
          <w:i/>
          <w:iCs/>
          <w:noProof/>
          <w:sz w:val="20"/>
          <w:szCs w:val="24"/>
        </w:rPr>
        <w:t>Construction and Building Materials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211</w:t>
      </w:r>
      <w:r w:rsidRPr="00C42217">
        <w:rPr>
          <w:rFonts w:asciiTheme="majorBidi" w:hAnsiTheme="majorBidi" w:cstheme="majorBidi"/>
          <w:noProof/>
          <w:sz w:val="20"/>
          <w:szCs w:val="24"/>
        </w:rPr>
        <w:t>, 858–868. https://doi.org/10.1016/j.conbuildmat.2019.03.293</w:t>
      </w:r>
    </w:p>
    <w:p w14:paraId="12784E18" w14:textId="77777777"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Dauksta, D., 2014. Brettstapel Production in Other Parts of the World; Adapting Techniques for Utilisation of Homegrown Timbers in Britain. Wales: Wales Forest Business Partnership. Available at: http://woodknowledge.wales/wp-content/uplo ads/2017/02/Brettstapel-Sept-2014.pdf, 28th September 2020.</w:t>
      </w:r>
    </w:p>
    <w:p w14:paraId="13C11C40"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Demertzi, M., Silvestre, J., Garrido, M., Correia, J. R., Durão, V., &amp; Proença, M. (2020). Life cycle assessment of alternative building floor rehabilitation systems. </w:t>
      </w:r>
      <w:r w:rsidRPr="00C42217">
        <w:rPr>
          <w:rFonts w:asciiTheme="majorBidi" w:hAnsiTheme="majorBidi" w:cstheme="majorBidi"/>
          <w:i/>
          <w:iCs/>
          <w:noProof/>
          <w:sz w:val="20"/>
          <w:szCs w:val="24"/>
        </w:rPr>
        <w:t>Structures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26</w:t>
      </w:r>
      <w:r w:rsidRPr="00C42217">
        <w:rPr>
          <w:rFonts w:asciiTheme="majorBidi" w:hAnsiTheme="majorBidi" w:cstheme="majorBidi"/>
          <w:noProof/>
          <w:sz w:val="20"/>
          <w:szCs w:val="24"/>
        </w:rPr>
        <w:t>(March), 237–246. https://doi.org/10.1016/j.istruc.2020.03.060</w:t>
      </w:r>
    </w:p>
    <w:p w14:paraId="726590B9" w14:textId="6D39289A"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Derikvand, M., Kotlarewski, N., Lee, M., Jiao, H., Chan, A., &amp; Nolan, G. (2019). Short-term and long-term bending properties of nail-laminated timber constructed of fast-grown plantation eucalypt. </w:t>
      </w:r>
      <w:r w:rsidRPr="00C42217">
        <w:rPr>
          <w:rFonts w:asciiTheme="majorBidi" w:hAnsiTheme="majorBidi" w:cstheme="majorBidi"/>
          <w:i/>
          <w:iCs/>
          <w:noProof/>
          <w:sz w:val="20"/>
          <w:szCs w:val="24"/>
        </w:rPr>
        <w:t>Construction and Building Materials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211</w:t>
      </w:r>
      <w:r w:rsidRPr="00C42217">
        <w:rPr>
          <w:rFonts w:asciiTheme="majorBidi" w:hAnsiTheme="majorBidi" w:cstheme="majorBidi"/>
          <w:noProof/>
          <w:sz w:val="20"/>
          <w:szCs w:val="24"/>
        </w:rPr>
        <w:t>, 952–964. https://doi.org/10.1016/j.conbuildmat.2019.03.305</w:t>
      </w:r>
    </w:p>
    <w:p w14:paraId="65F88D01" w14:textId="0E58553C"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 xml:space="preserve">EN 15978, </w:t>
      </w:r>
      <w:r w:rsidR="00A70056" w:rsidRPr="00C42217">
        <w:rPr>
          <w:rFonts w:asciiTheme="majorBidi" w:hAnsiTheme="majorBidi" w:cstheme="majorBidi"/>
          <w:sz w:val="20"/>
          <w:szCs w:val="20"/>
        </w:rPr>
        <w:t>(</w:t>
      </w:r>
      <w:r w:rsidRPr="00C42217">
        <w:rPr>
          <w:rFonts w:asciiTheme="majorBidi" w:hAnsiTheme="majorBidi" w:cstheme="majorBidi"/>
          <w:sz w:val="20"/>
          <w:szCs w:val="20"/>
        </w:rPr>
        <w:t>2011</w:t>
      </w:r>
      <w:r w:rsidR="00A70056" w:rsidRPr="00C42217">
        <w:rPr>
          <w:rFonts w:asciiTheme="majorBidi" w:hAnsiTheme="majorBidi" w:cstheme="majorBidi"/>
          <w:sz w:val="20"/>
          <w:szCs w:val="20"/>
        </w:rPr>
        <w:t>)</w:t>
      </w:r>
      <w:r w:rsidRPr="00C42217">
        <w:rPr>
          <w:rFonts w:asciiTheme="majorBidi" w:hAnsiTheme="majorBidi" w:cstheme="majorBidi"/>
          <w:sz w:val="20"/>
          <w:szCs w:val="20"/>
        </w:rPr>
        <w:t>. Sustainability of construction works - assessment of environmental performance of buildings. In: Calculation Method European Committee for Standardization, Brussels, Belgium.</w:t>
      </w:r>
    </w:p>
    <w:p w14:paraId="5A4F26A8" w14:textId="7AE6A558" w:rsidR="00A70056" w:rsidRPr="00C42217" w:rsidRDefault="00A70056"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EN 15978 (2011) Sustainability of construction works—assessment of environmental performance of buildings—calculation method. European Committee for Standardization</w:t>
      </w:r>
    </w:p>
    <w:p w14:paraId="44D77E8D" w14:textId="4B3A98B0"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EU (2010) DIRECTIVE 2010/31/EU on the energy performance of buildings, Available at: http://eur-lex.europa.eu/legal-content/EN/ TXT/PDF/?uri=CELEX:32010L0031&amp;from=EN [Accessed August 4, 2020].</w:t>
      </w:r>
    </w:p>
    <w:p w14:paraId="4091EA91" w14:textId="77777777" w:rsidR="00CA5C88" w:rsidRPr="00C42217" w:rsidRDefault="00CA5C88"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Goedkoop M, Heijungs R, Huijbregts MAJ, De Schryver A, Struijs J, and van Zelm R. (2009). ReCiPe 2008: A life cycle impact assessment method which comprises harmonised category indicators at the midpoint and endpoint levels. First edition. Report i: Characterization. the Netherlands: Ruimte en Milieu, Ministerie van Volkshuisvesting, Ruimtelijke Ordening en Milieubeheer.</w:t>
      </w:r>
    </w:p>
    <w:p w14:paraId="3D6E025E"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Häfliger, I. F., John, V., Passer, A., Lasvaux, S., Hoxha, E., Saade, M. R. M., &amp; Habert, G. (2017). Buildings environmental impacts’ sensitivity related to LCA modelling choices of construction materials. </w:t>
      </w:r>
      <w:r w:rsidRPr="00C42217">
        <w:rPr>
          <w:rFonts w:asciiTheme="majorBidi" w:hAnsiTheme="majorBidi" w:cstheme="majorBidi"/>
          <w:i/>
          <w:iCs/>
          <w:noProof/>
          <w:sz w:val="20"/>
          <w:szCs w:val="24"/>
        </w:rPr>
        <w:t>Journal of Cleaner Production</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156</w:t>
      </w:r>
      <w:r w:rsidRPr="00C42217">
        <w:rPr>
          <w:rFonts w:asciiTheme="majorBidi" w:hAnsiTheme="majorBidi" w:cstheme="majorBidi"/>
          <w:noProof/>
          <w:sz w:val="20"/>
          <w:szCs w:val="24"/>
        </w:rPr>
        <w:t>, 805–816. https://doi.org/10.1016/j.jclepro.2017.04.052</w:t>
      </w:r>
    </w:p>
    <w:p w14:paraId="405D9F0C"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Hafner, A., &amp; Schäfer, S. (2018). Environmental aspects of material efficiency versus carbon storage in timber buildings. </w:t>
      </w:r>
      <w:r w:rsidRPr="00C42217">
        <w:rPr>
          <w:rFonts w:asciiTheme="majorBidi" w:hAnsiTheme="majorBidi" w:cstheme="majorBidi"/>
          <w:i/>
          <w:iCs/>
          <w:noProof/>
          <w:sz w:val="20"/>
          <w:szCs w:val="24"/>
        </w:rPr>
        <w:t>European Journal of Wood and Wood Products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76</w:t>
      </w:r>
      <w:r w:rsidRPr="00C42217">
        <w:rPr>
          <w:rFonts w:asciiTheme="majorBidi" w:hAnsiTheme="majorBidi" w:cstheme="majorBidi"/>
          <w:noProof/>
          <w:sz w:val="20"/>
          <w:szCs w:val="24"/>
        </w:rPr>
        <w:t>(3), 1045–1059. https://doi.org/10.1007/s00107-017-1273-9</w:t>
      </w:r>
    </w:p>
    <w:p w14:paraId="62AB7376" w14:textId="15376201"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Himes, A., &amp; Busby, G. (2020). Wood buildings as a climate solution. </w:t>
      </w:r>
      <w:r w:rsidRPr="00C42217">
        <w:rPr>
          <w:rFonts w:asciiTheme="majorBidi" w:hAnsiTheme="majorBidi" w:cstheme="majorBidi"/>
          <w:i/>
          <w:iCs/>
          <w:noProof/>
          <w:sz w:val="20"/>
          <w:szCs w:val="24"/>
        </w:rPr>
        <w:t>Developments in the Built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4</w:t>
      </w:r>
      <w:r w:rsidRPr="00C42217">
        <w:rPr>
          <w:rFonts w:asciiTheme="majorBidi" w:hAnsiTheme="majorBidi" w:cstheme="majorBidi"/>
          <w:noProof/>
          <w:sz w:val="20"/>
          <w:szCs w:val="24"/>
        </w:rPr>
        <w:t>(October), 100030. https://doi.org/10.1016/j.dibe.2020.100030</w:t>
      </w:r>
    </w:p>
    <w:p w14:paraId="11A44F92" w14:textId="77777777"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 xml:space="preserve">Henderson, J., Foster, S., Bridgestock, M., 2012. Brettstapel - what are the benefits ? Available at: </w:t>
      </w:r>
      <w:hyperlink r:id="rId37" w:history="1">
        <w:r w:rsidRPr="00C42217">
          <w:rPr>
            <w:rStyle w:val="Hyperlink"/>
            <w:rFonts w:asciiTheme="majorBidi" w:hAnsiTheme="majorBidi" w:cstheme="majorBidi"/>
            <w:color w:val="auto"/>
            <w:sz w:val="20"/>
            <w:szCs w:val="20"/>
          </w:rPr>
          <w:t>http://www.brettstapel.org/Brettstapel/Why.html. January 4th 2020</w:t>
        </w:r>
      </w:hyperlink>
      <w:r w:rsidRPr="00C42217">
        <w:rPr>
          <w:rFonts w:asciiTheme="majorBidi" w:hAnsiTheme="majorBidi" w:cstheme="majorBidi"/>
          <w:sz w:val="20"/>
          <w:szCs w:val="20"/>
        </w:rPr>
        <w:t>.</w:t>
      </w:r>
    </w:p>
    <w:p w14:paraId="678D4F15" w14:textId="77777777" w:rsidR="007B437B" w:rsidRPr="00C42217" w:rsidRDefault="007B437B" w:rsidP="00CA5C88">
      <w:pPr>
        <w:widowControl w:val="0"/>
        <w:autoSpaceDE w:val="0"/>
        <w:autoSpaceDN w:val="0"/>
        <w:adjustRightInd w:val="0"/>
        <w:spacing w:after="0" w:line="240" w:lineRule="auto"/>
        <w:ind w:left="540" w:hanging="540"/>
        <w:jc w:val="both"/>
        <w:rPr>
          <w:rFonts w:ascii="Times New Roman" w:hAnsi="Times New Roman" w:cs="Times New Roman"/>
          <w:noProof/>
          <w:sz w:val="20"/>
          <w:szCs w:val="24"/>
        </w:rPr>
      </w:pPr>
      <w:r w:rsidRPr="00C42217">
        <w:rPr>
          <w:rFonts w:ascii="Times New Roman" w:hAnsi="Times New Roman" w:cs="Times New Roman"/>
          <w:noProof/>
          <w:sz w:val="20"/>
          <w:szCs w:val="24"/>
        </w:rPr>
        <w:t xml:space="preserve">Hischier, R., Weidema, B., Althaus, H.-J., Bauer, C., Doka, G., Dones, R., Frischknecht, R., Hellweg, S., Humbert, S., Jungbluth, N., Köllner, T., Loerincik, Y., Margni, M., &amp; Nemecek, T. (2010). Implementation of Life Cycle Impact Assessment Methods Data v2.2 (2010). </w:t>
      </w:r>
      <w:r w:rsidRPr="00C42217">
        <w:rPr>
          <w:rFonts w:ascii="Times New Roman" w:hAnsi="Times New Roman" w:cs="Times New Roman"/>
          <w:i/>
          <w:iCs/>
          <w:noProof/>
          <w:sz w:val="20"/>
          <w:szCs w:val="24"/>
        </w:rPr>
        <w:t>Ecoinvent Report No. 3</w:t>
      </w:r>
      <w:r w:rsidRPr="00C42217">
        <w:rPr>
          <w:rFonts w:ascii="Times New Roman" w:hAnsi="Times New Roman" w:cs="Times New Roman"/>
          <w:noProof/>
          <w:sz w:val="20"/>
          <w:szCs w:val="24"/>
        </w:rPr>
        <w:t xml:space="preserve">, </w:t>
      </w:r>
      <w:r w:rsidRPr="00C42217">
        <w:rPr>
          <w:rFonts w:ascii="Times New Roman" w:hAnsi="Times New Roman" w:cs="Times New Roman"/>
          <w:i/>
          <w:iCs/>
          <w:noProof/>
          <w:sz w:val="20"/>
          <w:szCs w:val="24"/>
        </w:rPr>
        <w:t>3</w:t>
      </w:r>
      <w:r w:rsidRPr="00C42217">
        <w:rPr>
          <w:rFonts w:ascii="Times New Roman" w:hAnsi="Times New Roman" w:cs="Times New Roman"/>
          <w:noProof/>
          <w:sz w:val="20"/>
          <w:szCs w:val="24"/>
        </w:rPr>
        <w:t>, 176. https://www.ecoinvent.org/files/201007_hischier_weidema_implementation_of_lcia_methods.pdf</w:t>
      </w:r>
    </w:p>
    <w:p w14:paraId="08B78706" w14:textId="378EC513"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Hollander A., Huijbregts M.A.J, Steinmann Z.J.N, Elshout P.M.F, Stam G., Verones F., Vieira M.D.M, Zijp RIVM M, van Zelm RIVM R. (2016) ReCiPe 2016 v1.1, A harmonized life cycle impact assessment method at midpoint and endpoint level Report I: Characterization</w:t>
      </w:r>
    </w:p>
    <w:p w14:paraId="6679697B" w14:textId="58DCFED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Hollberg, A. (2016). LCA in architectural design — a parametric approach. </w:t>
      </w:r>
      <w:r w:rsidRPr="00C42217">
        <w:rPr>
          <w:rFonts w:asciiTheme="majorBidi" w:hAnsiTheme="majorBidi" w:cstheme="majorBidi"/>
          <w:i/>
          <w:iCs/>
          <w:noProof/>
          <w:sz w:val="20"/>
          <w:szCs w:val="24"/>
        </w:rPr>
        <w:t>The International Journal of Life Cycle Assessment</w:t>
      </w:r>
      <w:r w:rsidRPr="00C42217">
        <w:rPr>
          <w:rFonts w:asciiTheme="majorBidi" w:hAnsiTheme="majorBidi" w:cstheme="majorBidi"/>
          <w:noProof/>
          <w:sz w:val="20"/>
          <w:szCs w:val="24"/>
        </w:rPr>
        <w:t>. https://doi.org/10.1007/s11367-016-1065-1</w:t>
      </w:r>
    </w:p>
    <w:p w14:paraId="060EFA4E" w14:textId="77777777"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International Organization for Standardization (ISO). Environmental Management. Life Cycle Assessment. Principle and framework, 1st ed.; ISO 14040; ISO: Geneva, Switzerland, 2006.</w:t>
      </w:r>
    </w:p>
    <w:p w14:paraId="312962BC" w14:textId="727AD03D"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t>International Organization for Standardization (ISO). Environmental Management. Life Cycle Assessment. Requirements and Guidelines, 1st ed.; ISO 14044; ISO: Geneva, Switzerland, 2006.</w:t>
      </w:r>
    </w:p>
    <w:p w14:paraId="5AD077F0"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Jayalath, A., Navaratnam, S., Ngo, T., Mendis, P., Hewson, N., &amp; Aye, L. (2020). Life cycle performance of Cross Laminated Timber mid-rise residential buildings in Australia. </w:t>
      </w:r>
      <w:r w:rsidRPr="00C42217">
        <w:rPr>
          <w:rFonts w:asciiTheme="majorBidi" w:hAnsiTheme="majorBidi" w:cstheme="majorBidi"/>
          <w:i/>
          <w:iCs/>
          <w:noProof/>
          <w:sz w:val="20"/>
          <w:szCs w:val="24"/>
        </w:rPr>
        <w:t>Energy and Buildings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223</w:t>
      </w:r>
      <w:r w:rsidRPr="00C42217">
        <w:rPr>
          <w:rFonts w:asciiTheme="majorBidi" w:hAnsiTheme="majorBidi" w:cstheme="majorBidi"/>
          <w:noProof/>
          <w:sz w:val="20"/>
          <w:szCs w:val="24"/>
        </w:rPr>
        <w:t>, 110091. https://doi.org/10.1016/j.enbuild.2020.110091</w:t>
      </w:r>
    </w:p>
    <w:p w14:paraId="0A960D61"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Kesik, T., &amp; Martin, R. (2021). </w:t>
      </w:r>
      <w:r w:rsidRPr="00C42217">
        <w:rPr>
          <w:rFonts w:asciiTheme="majorBidi" w:hAnsiTheme="majorBidi" w:cstheme="majorBidi"/>
          <w:i/>
          <w:iCs/>
          <w:noProof/>
          <w:sz w:val="20"/>
          <w:szCs w:val="24"/>
        </w:rPr>
        <w:t>Mass Timber Building Science Primer</w:t>
      </w:r>
      <w:r w:rsidRPr="00C42217">
        <w:rPr>
          <w:rFonts w:asciiTheme="majorBidi" w:hAnsiTheme="majorBidi" w:cstheme="majorBidi"/>
          <w:noProof/>
          <w:sz w:val="20"/>
          <w:szCs w:val="24"/>
        </w:rPr>
        <w:t>.</w:t>
      </w:r>
    </w:p>
    <w:p w14:paraId="398BF7E3"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Kiss, B., &amp; Szalay, Z. (2020). Modular approach to multi-objective environmental optimization of buildings. </w:t>
      </w:r>
      <w:r w:rsidRPr="00C42217">
        <w:rPr>
          <w:rFonts w:asciiTheme="majorBidi" w:hAnsiTheme="majorBidi" w:cstheme="majorBidi"/>
          <w:i/>
          <w:iCs/>
          <w:noProof/>
          <w:sz w:val="20"/>
          <w:szCs w:val="24"/>
        </w:rPr>
        <w:t>Automation in Construction</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111</w:t>
      </w:r>
      <w:r w:rsidRPr="00C42217">
        <w:rPr>
          <w:rFonts w:asciiTheme="majorBidi" w:hAnsiTheme="majorBidi" w:cstheme="majorBidi"/>
          <w:noProof/>
          <w:sz w:val="20"/>
          <w:szCs w:val="24"/>
        </w:rPr>
        <w:t>(July 2019), 103044. https://doi.org/10.1016/j.autcon.2019.103044</w:t>
      </w:r>
    </w:p>
    <w:p w14:paraId="3DA39363"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Kosny, J., Asiz, A., Smith, I., Shrestha, S., &amp; Fallahi, A. (2014). A review of high R-value wood framed and composite wood wall technologies using advanced insulation techniques. </w:t>
      </w:r>
      <w:r w:rsidRPr="00C42217">
        <w:rPr>
          <w:rFonts w:asciiTheme="majorBidi" w:hAnsiTheme="majorBidi" w:cstheme="majorBidi"/>
          <w:i/>
          <w:iCs/>
          <w:noProof/>
          <w:sz w:val="20"/>
          <w:szCs w:val="24"/>
        </w:rPr>
        <w:t>Energy and Buildings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72</w:t>
      </w:r>
      <w:r w:rsidRPr="00C42217">
        <w:rPr>
          <w:rFonts w:asciiTheme="majorBidi" w:hAnsiTheme="majorBidi" w:cstheme="majorBidi"/>
          <w:noProof/>
          <w:sz w:val="20"/>
          <w:szCs w:val="24"/>
        </w:rPr>
        <w:t>, 441–456. https://doi.org/10.1016/j.enbuild.2014.01.004</w:t>
      </w:r>
    </w:p>
    <w:p w14:paraId="475A160E"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Lechón, Y., la Rúa, C. de, &amp; Lechón, J. I. (2021). Environmental footprint and life cycle costing of a family house built on CLT structure. Analysis of hotspots and improvement measures. </w:t>
      </w:r>
      <w:r w:rsidRPr="00C42217">
        <w:rPr>
          <w:rFonts w:asciiTheme="majorBidi" w:hAnsiTheme="majorBidi" w:cstheme="majorBidi"/>
          <w:i/>
          <w:iCs/>
          <w:noProof/>
          <w:sz w:val="20"/>
          <w:szCs w:val="24"/>
        </w:rPr>
        <w:t>Journal of Building Engineering</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39</w:t>
      </w:r>
      <w:r w:rsidRPr="00C42217">
        <w:rPr>
          <w:rFonts w:asciiTheme="majorBidi" w:hAnsiTheme="majorBidi" w:cstheme="majorBidi"/>
          <w:noProof/>
          <w:sz w:val="20"/>
          <w:szCs w:val="24"/>
        </w:rPr>
        <w:t>(February). https://doi.org/10.1016/j.jobe.2021.102239</w:t>
      </w:r>
    </w:p>
    <w:p w14:paraId="660CEFCD"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Liang, S., &amp; Gu, H. (2021). </w:t>
      </w:r>
      <w:r w:rsidRPr="00C42217">
        <w:rPr>
          <w:rFonts w:asciiTheme="majorBidi" w:hAnsiTheme="majorBidi" w:cstheme="majorBidi"/>
          <w:i/>
          <w:iCs/>
          <w:noProof/>
          <w:sz w:val="20"/>
          <w:szCs w:val="24"/>
        </w:rPr>
        <w:t>Environmental Life-Cycle Assessment and Life-Cycle Cost Analysis of a High-Rise Mass Timber Building : A Case Study in Pacific Northwestern United States</w:t>
      </w:r>
      <w:r w:rsidRPr="00C42217">
        <w:rPr>
          <w:rFonts w:asciiTheme="majorBidi" w:hAnsiTheme="majorBidi" w:cstheme="majorBidi"/>
          <w:noProof/>
          <w:sz w:val="20"/>
          <w:szCs w:val="24"/>
        </w:rPr>
        <w:t>.</w:t>
      </w:r>
    </w:p>
    <w:p w14:paraId="2E8BE713" w14:textId="7B74807A" w:rsidR="00CA5C88" w:rsidRPr="00C42217" w:rsidRDefault="007B437B" w:rsidP="0019549C">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Liu, Y., Guo, H., Sun, C., &amp; Chang, W. S. (2016). Assessing cross laminated timber (CLT) as an alternative material for mid-rise residential buildings in cold regions in China-A life-cycle assessment approach. </w:t>
      </w:r>
      <w:r w:rsidRPr="00C42217">
        <w:rPr>
          <w:rFonts w:asciiTheme="majorBidi" w:hAnsiTheme="majorBidi" w:cstheme="majorBidi"/>
          <w:i/>
          <w:iCs/>
          <w:noProof/>
          <w:sz w:val="20"/>
          <w:szCs w:val="24"/>
        </w:rPr>
        <w:t>Sustainability (Switzerland)</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8</w:t>
      </w:r>
      <w:r w:rsidRPr="00C42217">
        <w:rPr>
          <w:rFonts w:asciiTheme="majorBidi" w:hAnsiTheme="majorBidi" w:cstheme="majorBidi"/>
          <w:noProof/>
          <w:sz w:val="20"/>
          <w:szCs w:val="24"/>
        </w:rPr>
        <w:t>(10). https://doi.org/10.3390/su8101047</w:t>
      </w:r>
    </w:p>
    <w:p w14:paraId="6F8F7B9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Mahn, J., Quirt, D., Hoeller, C., &amp; Mueller-trapet, M. (n.d.). </w:t>
      </w:r>
      <w:r w:rsidRPr="00C42217">
        <w:rPr>
          <w:rFonts w:asciiTheme="majorBidi" w:hAnsiTheme="majorBidi" w:cstheme="majorBidi"/>
          <w:i/>
          <w:iCs/>
          <w:noProof/>
          <w:sz w:val="20"/>
          <w:szCs w:val="24"/>
        </w:rPr>
        <w:t>Addendum to RR-335 : Sound Transmission through Nail-Laminated Timber ( NLT ) Assemblies</w:t>
      </w:r>
      <w:r w:rsidRPr="00C42217">
        <w:rPr>
          <w:rFonts w:asciiTheme="majorBidi" w:hAnsiTheme="majorBidi" w:cstheme="majorBidi"/>
          <w:noProof/>
          <w:sz w:val="20"/>
          <w:szCs w:val="24"/>
        </w:rPr>
        <w:t>.</w:t>
      </w:r>
    </w:p>
    <w:p w14:paraId="6E85652F"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Nairn, J. A. (2017). Cross laminated timber properties including effects of non-glued edges and additional cracks. </w:t>
      </w:r>
      <w:r w:rsidRPr="00C42217">
        <w:rPr>
          <w:rFonts w:asciiTheme="majorBidi" w:hAnsiTheme="majorBidi" w:cstheme="majorBidi"/>
          <w:i/>
          <w:iCs/>
          <w:noProof/>
          <w:sz w:val="20"/>
          <w:szCs w:val="24"/>
        </w:rPr>
        <w:t>European Journal of Wood and Wood Products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75</w:t>
      </w:r>
      <w:r w:rsidRPr="00C42217">
        <w:rPr>
          <w:rFonts w:asciiTheme="majorBidi" w:hAnsiTheme="majorBidi" w:cstheme="majorBidi"/>
          <w:noProof/>
          <w:sz w:val="20"/>
          <w:szCs w:val="24"/>
        </w:rPr>
        <w:t>(6), 973–983. https://doi.org/10.1007/s00107-017-1202-y</w:t>
      </w:r>
    </w:p>
    <w:p w14:paraId="0E87BCBB"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Nässén, J., Hedenus, F., Karlsson, S., &amp; Holmberg, J. (2012). Concrete vs . wood in buildings e An energy system approach.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51</w:t>
      </w:r>
      <w:r w:rsidRPr="00C42217">
        <w:rPr>
          <w:rFonts w:asciiTheme="majorBidi" w:hAnsiTheme="majorBidi" w:cstheme="majorBidi"/>
          <w:noProof/>
          <w:sz w:val="20"/>
          <w:szCs w:val="24"/>
        </w:rPr>
        <w:t>, 361–369. https://doi.org/10.1016/j.buildenv.2011.11.011</w:t>
      </w:r>
    </w:p>
    <w:p w14:paraId="086000C4"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Niederwestberg, J., Zhou, J., &amp; Chui, Y. (2018). </w:t>
      </w:r>
      <w:r w:rsidRPr="00C42217">
        <w:rPr>
          <w:rFonts w:asciiTheme="majorBidi" w:hAnsiTheme="majorBidi" w:cstheme="majorBidi"/>
          <w:i/>
          <w:iCs/>
          <w:noProof/>
          <w:sz w:val="20"/>
          <w:szCs w:val="24"/>
        </w:rPr>
        <w:t>Mechanical Properties of Innovative, Multi-Layer Composite Laminated Panels</w:t>
      </w:r>
      <w:r w:rsidRPr="00C42217">
        <w:rPr>
          <w:rFonts w:asciiTheme="majorBidi" w:hAnsiTheme="majorBidi" w:cstheme="majorBidi"/>
          <w:noProof/>
          <w:sz w:val="20"/>
          <w:szCs w:val="24"/>
        </w:rPr>
        <w:t>. 1–13. https://doi.org/10.3390/buildings8100142</w:t>
      </w:r>
    </w:p>
    <w:p w14:paraId="660A26D5"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Nunes, G., Daniel, J., Moura, D. M., Güths, S., Atem, C., &amp; Giglio, T. (2020). Thermo-energetic performance of wooden dwellings : Benefits of cross-laminated timber in Brazilian climates. </w:t>
      </w:r>
      <w:r w:rsidRPr="00C42217">
        <w:rPr>
          <w:rFonts w:asciiTheme="majorBidi" w:hAnsiTheme="majorBidi" w:cstheme="majorBidi"/>
          <w:i/>
          <w:iCs/>
          <w:noProof/>
          <w:sz w:val="20"/>
          <w:szCs w:val="24"/>
        </w:rPr>
        <w:t>Journal of Building Engineering</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32</w:t>
      </w:r>
      <w:r w:rsidRPr="00C42217">
        <w:rPr>
          <w:rFonts w:asciiTheme="majorBidi" w:hAnsiTheme="majorBidi" w:cstheme="majorBidi"/>
          <w:noProof/>
          <w:sz w:val="20"/>
          <w:szCs w:val="24"/>
        </w:rPr>
        <w:t>(May), 101468. https://doi.org/10.1016/j.jobe.2020.101468</w:t>
      </w:r>
    </w:p>
    <w:p w14:paraId="2E80AC1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Ogunmakinde, O. E., Sher, W., &amp; Egbelakin, T. (2021). Circular economy pillars: a semi-systematic review. </w:t>
      </w:r>
      <w:r w:rsidRPr="00C42217">
        <w:rPr>
          <w:rFonts w:asciiTheme="majorBidi" w:hAnsiTheme="majorBidi" w:cstheme="majorBidi"/>
          <w:i/>
          <w:iCs/>
          <w:noProof/>
          <w:sz w:val="20"/>
          <w:szCs w:val="24"/>
        </w:rPr>
        <w:t>Clean Technologies and Environmental Policy</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23</w:t>
      </w:r>
      <w:r w:rsidRPr="00C42217">
        <w:rPr>
          <w:rFonts w:asciiTheme="majorBidi" w:hAnsiTheme="majorBidi" w:cstheme="majorBidi"/>
          <w:noProof/>
          <w:sz w:val="20"/>
          <w:szCs w:val="24"/>
        </w:rPr>
        <w:t>(3), 899–914. https://doi.org/10.1007/s10098-020-02012-9</w:t>
      </w:r>
    </w:p>
    <w:p w14:paraId="3791CF8B"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Peñaloza, D., Erlandsson, M., &amp; Falk, A. (2016). Exploring the climate impact effects of increased use of bio-based materials in buildings. </w:t>
      </w:r>
      <w:r w:rsidRPr="00C42217">
        <w:rPr>
          <w:rFonts w:asciiTheme="majorBidi" w:hAnsiTheme="majorBidi" w:cstheme="majorBidi"/>
          <w:i/>
          <w:iCs/>
          <w:noProof/>
          <w:sz w:val="20"/>
          <w:szCs w:val="24"/>
        </w:rPr>
        <w:t>Construction and Building Materials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125</w:t>
      </w:r>
      <w:r w:rsidRPr="00C42217">
        <w:rPr>
          <w:rFonts w:asciiTheme="majorBidi" w:hAnsiTheme="majorBidi" w:cstheme="majorBidi"/>
          <w:noProof/>
          <w:sz w:val="20"/>
          <w:szCs w:val="24"/>
        </w:rPr>
        <w:t>, 219–226. https://doi.org/10.1016/j.conbuildmat.2016.08.041</w:t>
      </w:r>
    </w:p>
    <w:p w14:paraId="6FD3DF02"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Pereira, M. C. de M., Pascal Sohier, L. A., Descamps, T., &amp; Junior, C. C. (2021). Doweled cross laminated timber: Experimental and analytical study. </w:t>
      </w:r>
      <w:r w:rsidRPr="00C42217">
        <w:rPr>
          <w:rFonts w:asciiTheme="majorBidi" w:hAnsiTheme="majorBidi" w:cstheme="majorBidi"/>
          <w:i/>
          <w:iCs/>
          <w:noProof/>
          <w:sz w:val="20"/>
          <w:szCs w:val="24"/>
        </w:rPr>
        <w:t>Construction and Building Materials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273</w:t>
      </w:r>
      <w:r w:rsidRPr="00C42217">
        <w:rPr>
          <w:rFonts w:asciiTheme="majorBidi" w:hAnsiTheme="majorBidi" w:cstheme="majorBidi"/>
          <w:noProof/>
          <w:sz w:val="20"/>
          <w:szCs w:val="24"/>
        </w:rPr>
        <w:t>, 121820. https://doi.org/10.1016/j.conbuildmat.2020.121820</w:t>
      </w:r>
    </w:p>
    <w:p w14:paraId="2E1F55ED"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Pereira, M. C. M., &amp; Calil, C. (2018). Analysis of the stiffness of dlt panels made with lamellas of Pinus taeda and dowels of Peltogyne spp., Leguminosae. In </w:t>
      </w:r>
      <w:r w:rsidRPr="00C42217">
        <w:rPr>
          <w:rFonts w:asciiTheme="majorBidi" w:hAnsiTheme="majorBidi" w:cstheme="majorBidi"/>
          <w:i/>
          <w:iCs/>
          <w:noProof/>
          <w:sz w:val="20"/>
          <w:szCs w:val="24"/>
        </w:rPr>
        <w:t>WCTE 2018 - World Conference on Timber Engineering</w:t>
      </w:r>
      <w:r w:rsidRPr="00C42217">
        <w:rPr>
          <w:rFonts w:asciiTheme="majorBidi" w:hAnsiTheme="majorBidi" w:cstheme="majorBidi"/>
          <w:noProof/>
          <w:sz w:val="20"/>
          <w:szCs w:val="24"/>
        </w:rPr>
        <w:t xml:space="preserve"> (Issue October). https://doi.org/10.22533/at.ed.642182910</w:t>
      </w:r>
    </w:p>
    <w:p w14:paraId="033024DE" w14:textId="6CC537FB" w:rsidR="007B437B" w:rsidRPr="00C42217" w:rsidRDefault="002E01C4"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Petrovic</w:t>
      </w:r>
      <w:r w:rsidR="007B437B" w:rsidRPr="00C42217">
        <w:rPr>
          <w:rFonts w:asciiTheme="majorBidi" w:hAnsiTheme="majorBidi" w:cstheme="majorBidi"/>
          <w:noProof/>
          <w:sz w:val="20"/>
          <w:szCs w:val="24"/>
        </w:rPr>
        <w:t xml:space="preserve">, B., Myhren, J. A., Zhang, X., Wallhagen, M., &amp; Eriksson, O. (2019). Life cycle assessment of a wooden single-family house in Sweden. </w:t>
      </w:r>
      <w:r w:rsidR="007B437B" w:rsidRPr="00C42217">
        <w:rPr>
          <w:rFonts w:asciiTheme="majorBidi" w:hAnsiTheme="majorBidi" w:cstheme="majorBidi"/>
          <w:i/>
          <w:iCs/>
          <w:noProof/>
          <w:sz w:val="20"/>
          <w:szCs w:val="24"/>
        </w:rPr>
        <w:t>Applied Energy</w:t>
      </w:r>
      <w:r w:rsidR="007B437B" w:rsidRPr="00C42217">
        <w:rPr>
          <w:rFonts w:asciiTheme="majorBidi" w:hAnsiTheme="majorBidi" w:cstheme="majorBidi"/>
          <w:noProof/>
          <w:sz w:val="20"/>
          <w:szCs w:val="24"/>
        </w:rPr>
        <w:t xml:space="preserve">, </w:t>
      </w:r>
      <w:r w:rsidR="007B437B" w:rsidRPr="00C42217">
        <w:rPr>
          <w:rFonts w:asciiTheme="majorBidi" w:hAnsiTheme="majorBidi" w:cstheme="majorBidi"/>
          <w:i/>
          <w:iCs/>
          <w:noProof/>
          <w:sz w:val="20"/>
          <w:szCs w:val="24"/>
        </w:rPr>
        <w:t>251</w:t>
      </w:r>
      <w:r w:rsidR="007B437B" w:rsidRPr="00C42217">
        <w:rPr>
          <w:rFonts w:asciiTheme="majorBidi" w:hAnsiTheme="majorBidi" w:cstheme="majorBidi"/>
          <w:noProof/>
          <w:sz w:val="20"/>
          <w:szCs w:val="24"/>
        </w:rPr>
        <w:t>(January), 113253. https://doi.org/10.1016/j.apenergy.2019.05.056</w:t>
      </w:r>
    </w:p>
    <w:p w14:paraId="6902FBDD" w14:textId="4856AAF5" w:rsidR="007B437B" w:rsidRPr="00C42217" w:rsidRDefault="002E01C4"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Pierobon</w:t>
      </w:r>
      <w:r w:rsidR="007B437B" w:rsidRPr="00C42217">
        <w:rPr>
          <w:rFonts w:asciiTheme="majorBidi" w:hAnsiTheme="majorBidi" w:cstheme="majorBidi"/>
          <w:noProof/>
          <w:sz w:val="20"/>
          <w:szCs w:val="24"/>
        </w:rPr>
        <w:t xml:space="preserve">, F., Huang, M., Simonen, K., &amp; Ganguly, I. (2019). Environmental benefits of using hybrid CLT structure in midrise non-residential construction: An LCA based comparative case study in the U.S. Pacific Northwest. </w:t>
      </w:r>
      <w:r w:rsidR="007B437B" w:rsidRPr="00C42217">
        <w:rPr>
          <w:rFonts w:asciiTheme="majorBidi" w:hAnsiTheme="majorBidi" w:cstheme="majorBidi"/>
          <w:i/>
          <w:iCs/>
          <w:noProof/>
          <w:sz w:val="20"/>
          <w:szCs w:val="24"/>
        </w:rPr>
        <w:t>Journal of Building Engineering</w:t>
      </w:r>
      <w:r w:rsidR="007B437B" w:rsidRPr="00C42217">
        <w:rPr>
          <w:rFonts w:asciiTheme="majorBidi" w:hAnsiTheme="majorBidi" w:cstheme="majorBidi"/>
          <w:noProof/>
          <w:sz w:val="20"/>
          <w:szCs w:val="24"/>
        </w:rPr>
        <w:t xml:space="preserve">, </w:t>
      </w:r>
      <w:r w:rsidR="007B437B" w:rsidRPr="00C42217">
        <w:rPr>
          <w:rFonts w:asciiTheme="majorBidi" w:hAnsiTheme="majorBidi" w:cstheme="majorBidi"/>
          <w:i/>
          <w:iCs/>
          <w:noProof/>
          <w:sz w:val="20"/>
          <w:szCs w:val="24"/>
        </w:rPr>
        <w:t>26</w:t>
      </w:r>
      <w:r w:rsidR="007B437B" w:rsidRPr="00C42217">
        <w:rPr>
          <w:rFonts w:asciiTheme="majorBidi" w:hAnsiTheme="majorBidi" w:cstheme="majorBidi"/>
          <w:noProof/>
          <w:sz w:val="20"/>
          <w:szCs w:val="24"/>
        </w:rPr>
        <w:t>(July). https://doi.org/10.1016/j.jobe.2019.100862</w:t>
      </w:r>
    </w:p>
    <w:p w14:paraId="3285355D"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Pomponi, F., &amp; Moncaster, A. (2017). Circular economy for the built environment: A research framework. </w:t>
      </w:r>
      <w:r w:rsidRPr="00C42217">
        <w:rPr>
          <w:rFonts w:asciiTheme="majorBidi" w:hAnsiTheme="majorBidi" w:cstheme="majorBidi"/>
          <w:i/>
          <w:iCs/>
          <w:noProof/>
          <w:sz w:val="20"/>
          <w:szCs w:val="24"/>
        </w:rPr>
        <w:t>Journal of Cleaner Production</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143</w:t>
      </w:r>
      <w:r w:rsidRPr="00C42217">
        <w:rPr>
          <w:rFonts w:asciiTheme="majorBidi" w:hAnsiTheme="majorBidi" w:cstheme="majorBidi"/>
          <w:noProof/>
          <w:sz w:val="20"/>
          <w:szCs w:val="24"/>
        </w:rPr>
        <w:t>, 710–718. https://doi.org/10.1016/j.jclepro.2016.12.055</w:t>
      </w:r>
    </w:p>
    <w:p w14:paraId="3EBBD56C" w14:textId="01F195C7" w:rsidR="00E63F73" w:rsidRPr="00C42217" w:rsidRDefault="007B437B" w:rsidP="00E63F73">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Rebecca Holt, Tanya Luthi, C. D. (2018). </w:t>
      </w:r>
      <w:r w:rsidRPr="00C42217">
        <w:rPr>
          <w:rFonts w:asciiTheme="majorBidi" w:hAnsiTheme="majorBidi" w:cstheme="majorBidi"/>
          <w:i/>
          <w:iCs/>
          <w:noProof/>
          <w:sz w:val="20"/>
          <w:szCs w:val="24"/>
        </w:rPr>
        <w:t>Nail-Laminated Timber Design &amp; Constr uction Guide I</w:t>
      </w:r>
      <w:r w:rsidRPr="00C42217">
        <w:rPr>
          <w:rFonts w:asciiTheme="majorBidi" w:hAnsiTheme="majorBidi" w:cstheme="majorBidi"/>
          <w:noProof/>
          <w:sz w:val="20"/>
          <w:szCs w:val="24"/>
        </w:rPr>
        <w:t>. 142.</w:t>
      </w:r>
    </w:p>
    <w:p w14:paraId="7B065C97" w14:textId="56123AD5" w:rsidR="00E63F73" w:rsidRPr="00C42217" w:rsidRDefault="00E63F73" w:rsidP="00E63F73">
      <w:pPr>
        <w:widowControl w:val="0"/>
        <w:autoSpaceDE w:val="0"/>
        <w:autoSpaceDN w:val="0"/>
        <w:adjustRightInd w:val="0"/>
        <w:spacing w:after="0" w:line="240" w:lineRule="auto"/>
        <w:ind w:left="540" w:hanging="540"/>
        <w:jc w:val="both"/>
        <w:rPr>
          <w:rFonts w:asciiTheme="majorBidi" w:hAnsiTheme="majorBidi" w:cstheme="majorBidi"/>
          <w:i/>
          <w:iCs/>
          <w:noProof/>
          <w:sz w:val="20"/>
          <w:szCs w:val="24"/>
        </w:rPr>
      </w:pPr>
      <w:r w:rsidRPr="00C42217">
        <w:rPr>
          <w:rFonts w:asciiTheme="majorBidi" w:hAnsiTheme="majorBidi" w:cstheme="majorBidi"/>
          <w:i/>
          <w:iCs/>
          <w:noProof/>
          <w:sz w:val="20"/>
          <w:szCs w:val="24"/>
        </w:rPr>
        <w:t>Saaty,</w:t>
      </w:r>
      <w:r w:rsidR="00C23BA5" w:rsidRPr="00C42217">
        <w:rPr>
          <w:rFonts w:asciiTheme="majorBidi" w:hAnsiTheme="majorBidi" w:cstheme="majorBidi"/>
          <w:i/>
          <w:iCs/>
          <w:noProof/>
          <w:sz w:val="20"/>
          <w:szCs w:val="24"/>
        </w:rPr>
        <w:t xml:space="preserve"> T. L.</w:t>
      </w:r>
      <w:r w:rsidRPr="00C42217">
        <w:rPr>
          <w:rFonts w:asciiTheme="majorBidi" w:hAnsiTheme="majorBidi" w:cstheme="majorBidi"/>
          <w:i/>
          <w:iCs/>
          <w:noProof/>
          <w:sz w:val="20"/>
          <w:szCs w:val="24"/>
        </w:rPr>
        <w:t xml:space="preserve"> (1996) Decision Making with Dependence and Feedback, The Analytic Network Process, RWS Publications, Pittsburgh, Pennsylvania, </w:t>
      </w:r>
    </w:p>
    <w:p w14:paraId="7AD7F485"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Scheepens, A. E., Vogtländer, J. G., &amp; Brezet, J. C. (2016). Two life cycle assessment (LCA) based methods to analyse and design complex (regional) circular economy systems. Case: Making water tourism more sustainable. </w:t>
      </w:r>
      <w:r w:rsidRPr="00C42217">
        <w:rPr>
          <w:rFonts w:asciiTheme="majorBidi" w:hAnsiTheme="majorBidi" w:cstheme="majorBidi"/>
          <w:i/>
          <w:iCs/>
          <w:noProof/>
          <w:sz w:val="20"/>
          <w:szCs w:val="24"/>
        </w:rPr>
        <w:t>Journal of Cleaner Production</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114</w:t>
      </w:r>
      <w:r w:rsidRPr="00C42217">
        <w:rPr>
          <w:rFonts w:asciiTheme="majorBidi" w:hAnsiTheme="majorBidi" w:cstheme="majorBidi"/>
          <w:noProof/>
          <w:sz w:val="20"/>
          <w:szCs w:val="24"/>
        </w:rPr>
        <w:t>, 257–268. https://doi.org/10.1016/j.jclepro.2015.05.075</w:t>
      </w:r>
    </w:p>
    <w:p w14:paraId="49CC822F" w14:textId="5966F6DE" w:rsidR="007B437B" w:rsidRPr="00C42217" w:rsidRDefault="00AA77C0"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Skullestad</w:t>
      </w:r>
      <w:r w:rsidR="007B437B" w:rsidRPr="00C42217">
        <w:rPr>
          <w:rFonts w:asciiTheme="majorBidi" w:hAnsiTheme="majorBidi" w:cstheme="majorBidi"/>
          <w:noProof/>
          <w:sz w:val="20"/>
          <w:szCs w:val="24"/>
        </w:rPr>
        <w:t xml:space="preserve">, J. L., Bohne, R. A., &amp; Lohne, J. (2016). High-rise Timber Buildings as a Climate Change Mitigation Measure - A Comparative LCA of Structural System Alternatives. </w:t>
      </w:r>
      <w:r w:rsidR="007B437B" w:rsidRPr="00C42217">
        <w:rPr>
          <w:rFonts w:asciiTheme="majorBidi" w:hAnsiTheme="majorBidi" w:cstheme="majorBidi"/>
          <w:i/>
          <w:iCs/>
          <w:noProof/>
          <w:sz w:val="20"/>
          <w:szCs w:val="24"/>
        </w:rPr>
        <w:t>Energy Procedia</w:t>
      </w:r>
      <w:r w:rsidR="007B437B" w:rsidRPr="00C42217">
        <w:rPr>
          <w:rFonts w:asciiTheme="majorBidi" w:hAnsiTheme="majorBidi" w:cstheme="majorBidi"/>
          <w:noProof/>
          <w:sz w:val="20"/>
          <w:szCs w:val="24"/>
        </w:rPr>
        <w:t xml:space="preserve">, </w:t>
      </w:r>
      <w:r w:rsidR="007B437B" w:rsidRPr="00C42217">
        <w:rPr>
          <w:rFonts w:asciiTheme="majorBidi" w:hAnsiTheme="majorBidi" w:cstheme="majorBidi"/>
          <w:i/>
          <w:iCs/>
          <w:noProof/>
          <w:sz w:val="20"/>
          <w:szCs w:val="24"/>
        </w:rPr>
        <w:t>96</w:t>
      </w:r>
      <w:r w:rsidR="007B437B" w:rsidRPr="00C42217">
        <w:rPr>
          <w:rFonts w:asciiTheme="majorBidi" w:hAnsiTheme="majorBidi" w:cstheme="majorBidi"/>
          <w:noProof/>
          <w:sz w:val="20"/>
          <w:szCs w:val="24"/>
        </w:rPr>
        <w:t>(1876), 112–123. https://doi.org/10.1016/j.egypro.2016.09.112</w:t>
      </w:r>
    </w:p>
    <w:p w14:paraId="45AB2642" w14:textId="66B81805" w:rsidR="007B437B" w:rsidRPr="00C42217" w:rsidRDefault="00AA77C0"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Smith</w:t>
      </w:r>
      <w:r w:rsidR="007B437B" w:rsidRPr="00C42217">
        <w:rPr>
          <w:rFonts w:asciiTheme="majorBidi" w:hAnsiTheme="majorBidi" w:cstheme="majorBidi"/>
          <w:noProof/>
          <w:sz w:val="20"/>
          <w:szCs w:val="24"/>
        </w:rPr>
        <w:t xml:space="preserve">, R. E., Griffin, G., Rice, T., &amp; Hagehofer-Daniell, B. (2018). Mass timber: evaluating construction performance. </w:t>
      </w:r>
      <w:r w:rsidR="007B437B" w:rsidRPr="00C42217">
        <w:rPr>
          <w:rFonts w:asciiTheme="majorBidi" w:hAnsiTheme="majorBidi" w:cstheme="majorBidi"/>
          <w:i/>
          <w:iCs/>
          <w:noProof/>
          <w:sz w:val="20"/>
          <w:szCs w:val="24"/>
        </w:rPr>
        <w:t>Architectural Engineering and Design Management</w:t>
      </w:r>
      <w:r w:rsidR="007B437B" w:rsidRPr="00C42217">
        <w:rPr>
          <w:rFonts w:asciiTheme="majorBidi" w:hAnsiTheme="majorBidi" w:cstheme="majorBidi"/>
          <w:noProof/>
          <w:sz w:val="20"/>
          <w:szCs w:val="24"/>
        </w:rPr>
        <w:t xml:space="preserve">, </w:t>
      </w:r>
      <w:r w:rsidR="007B437B" w:rsidRPr="00C42217">
        <w:rPr>
          <w:rFonts w:asciiTheme="majorBidi" w:hAnsiTheme="majorBidi" w:cstheme="majorBidi"/>
          <w:i/>
          <w:iCs/>
          <w:noProof/>
          <w:sz w:val="20"/>
          <w:szCs w:val="24"/>
        </w:rPr>
        <w:t>14</w:t>
      </w:r>
      <w:r w:rsidR="007B437B" w:rsidRPr="00C42217">
        <w:rPr>
          <w:rFonts w:asciiTheme="majorBidi" w:hAnsiTheme="majorBidi" w:cstheme="majorBidi"/>
          <w:noProof/>
          <w:sz w:val="20"/>
          <w:szCs w:val="24"/>
        </w:rPr>
        <w:t>(1–2), 127–138. https://doi.org/10.1080/17452007.2016.1273089</w:t>
      </w:r>
    </w:p>
    <w:p w14:paraId="51E77C01"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Sorathiya, R., Student, M., Ubc, S., Sustainability, U. B. C., Prepared, I., Foofat, S., Green, S., Planner, B., Group, S., &amp; August, V. (2019). </w:t>
      </w:r>
      <w:r w:rsidRPr="00C42217">
        <w:rPr>
          <w:rFonts w:asciiTheme="majorBidi" w:hAnsiTheme="majorBidi" w:cstheme="majorBidi"/>
          <w:i/>
          <w:iCs/>
          <w:noProof/>
          <w:sz w:val="20"/>
          <w:szCs w:val="24"/>
        </w:rPr>
        <w:t>Literature Review of Cost Information on Mid-Rise Mass-Timber Building Projects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August</w:t>
      </w:r>
      <w:r w:rsidRPr="00C42217">
        <w:rPr>
          <w:rFonts w:asciiTheme="majorBidi" w:hAnsiTheme="majorBidi" w:cstheme="majorBidi"/>
          <w:noProof/>
          <w:sz w:val="20"/>
          <w:szCs w:val="24"/>
        </w:rPr>
        <w:t>.</w:t>
      </w:r>
    </w:p>
    <w:p w14:paraId="388D1DE3"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Sotayo, A., Bradley, D., Bather, M., Sareh, P., Oudjene, M., El-Houjeyri, I., Harte, A. M., Mehra, S., O’Ceallaigh, C., Haller, P., Namari, S., Makradi, A., Belouettar, S., Bouhala, L., Deneufbourg, F., &amp; Guan, Z. (2020). Review of state of the art of dowel laminated timber members and densified wood materials as sustainable engineered wood products for construction and building applications. </w:t>
      </w:r>
      <w:r w:rsidRPr="00C42217">
        <w:rPr>
          <w:rFonts w:asciiTheme="majorBidi" w:hAnsiTheme="majorBidi" w:cstheme="majorBidi"/>
          <w:i/>
          <w:iCs/>
          <w:noProof/>
          <w:sz w:val="20"/>
          <w:szCs w:val="24"/>
        </w:rPr>
        <w:t>Developments in the Built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w:t>
      </w:r>
      <w:r w:rsidRPr="00C42217">
        <w:rPr>
          <w:rFonts w:asciiTheme="majorBidi" w:hAnsiTheme="majorBidi" w:cstheme="majorBidi"/>
          <w:noProof/>
          <w:sz w:val="20"/>
          <w:szCs w:val="24"/>
        </w:rPr>
        <w:t>(October 2019), 100004. https://doi.org/10.1016/j.dibe.2019.100004</w:t>
      </w:r>
    </w:p>
    <w:p w14:paraId="18C05A0B" w14:textId="529D156A" w:rsidR="007B437B" w:rsidRPr="00C42217" w:rsidRDefault="007B437B" w:rsidP="00813F9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Sutton, </w:t>
      </w:r>
      <w:r w:rsidR="00813F98" w:rsidRPr="00C42217">
        <w:rPr>
          <w:rFonts w:asciiTheme="majorBidi" w:hAnsiTheme="majorBidi" w:cstheme="majorBidi"/>
          <w:noProof/>
          <w:sz w:val="20"/>
          <w:szCs w:val="24"/>
        </w:rPr>
        <w:t>A., Black, D., &amp; Walker, P. (2011</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INFORMATION PAPER CROSS-LAMINATED TIMBER An introduction to low-impact building materials</w:t>
      </w:r>
      <w:r w:rsidRPr="00C42217">
        <w:rPr>
          <w:rFonts w:asciiTheme="majorBidi" w:hAnsiTheme="majorBidi" w:cstheme="majorBidi"/>
          <w:noProof/>
          <w:sz w:val="20"/>
          <w:szCs w:val="24"/>
        </w:rPr>
        <w:t>.</w:t>
      </w:r>
    </w:p>
    <w:p w14:paraId="264B23E6"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Takano, A., Hafner, A., Linkosalmi, L., Ott, S., Hughes, M., &amp; Winter, S. (2015). Life cycle assessment of wood construction according to the normative standards. </w:t>
      </w:r>
      <w:r w:rsidRPr="00C42217">
        <w:rPr>
          <w:rFonts w:asciiTheme="majorBidi" w:hAnsiTheme="majorBidi" w:cstheme="majorBidi"/>
          <w:i/>
          <w:iCs/>
          <w:noProof/>
          <w:sz w:val="20"/>
          <w:szCs w:val="24"/>
        </w:rPr>
        <w:t>European Journal of Wood and Wood Products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73</w:t>
      </w:r>
      <w:r w:rsidRPr="00C42217">
        <w:rPr>
          <w:rFonts w:asciiTheme="majorBidi" w:hAnsiTheme="majorBidi" w:cstheme="majorBidi"/>
          <w:noProof/>
          <w:sz w:val="20"/>
          <w:szCs w:val="24"/>
        </w:rPr>
        <w:t>(3), 299–312. https://doi.org/10.1007/s00107-015-0890-4</w:t>
      </w:r>
    </w:p>
    <w:p w14:paraId="2BAD0878"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Teng, Y., Li, K., Pan, W., &amp; Ng, T. (2018). Reducing building life cycle carbon emissions through prefabrication: Evidence from and gaps in empirical studies.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132</w:t>
      </w:r>
      <w:r w:rsidRPr="00C42217">
        <w:rPr>
          <w:rFonts w:asciiTheme="majorBidi" w:hAnsiTheme="majorBidi" w:cstheme="majorBidi"/>
          <w:noProof/>
          <w:sz w:val="20"/>
          <w:szCs w:val="24"/>
        </w:rPr>
        <w:t>(October 2017), 125–136. https://doi.org/10.1016/j.buildenv.2018.01.026</w:t>
      </w:r>
    </w:p>
    <w:p w14:paraId="282ABC3C" w14:textId="3DF3D28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Timb</w:t>
      </w:r>
      <w:r w:rsidR="006C7842" w:rsidRPr="00C42217">
        <w:rPr>
          <w:rFonts w:asciiTheme="majorBidi" w:hAnsiTheme="majorBidi" w:cstheme="majorBidi"/>
          <w:noProof/>
          <w:sz w:val="20"/>
          <w:szCs w:val="24"/>
        </w:rPr>
        <w:t>er, D. L., &amp; Canada, B. C. (2020</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E nvironmental P roduct D eclaration DowelLam</w:t>
      </w:r>
      <w:r w:rsidRPr="00C42217">
        <w:rPr>
          <w:rFonts w:asciiTheme="majorBidi" w:hAnsiTheme="majorBidi" w:cstheme="majorBidi"/>
          <w:noProof/>
          <w:sz w:val="20"/>
          <w:szCs w:val="24"/>
        </w:rPr>
        <w:t>.</w:t>
      </w:r>
    </w:p>
    <w:p w14:paraId="0A841F12"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Upton, B., Miner, R., Spinney, M., &amp; Heath, L. S. (2008). The greenhouse gas and energy impacts of using wood instead of alternatives in residential construction in the United States. </w:t>
      </w:r>
      <w:r w:rsidRPr="00C42217">
        <w:rPr>
          <w:rFonts w:asciiTheme="majorBidi" w:hAnsiTheme="majorBidi" w:cstheme="majorBidi"/>
          <w:i/>
          <w:iCs/>
          <w:noProof/>
          <w:sz w:val="20"/>
          <w:szCs w:val="24"/>
        </w:rPr>
        <w:t>Biomass and Bioenergy</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32</w:t>
      </w:r>
      <w:r w:rsidRPr="00C42217">
        <w:rPr>
          <w:rFonts w:asciiTheme="majorBidi" w:hAnsiTheme="majorBidi" w:cstheme="majorBidi"/>
          <w:noProof/>
          <w:sz w:val="20"/>
          <w:szCs w:val="24"/>
        </w:rPr>
        <w:t>(1), 1–10. https://doi.org/10.1016/j.biombioe.2007.07.001</w:t>
      </w:r>
    </w:p>
    <w:p w14:paraId="09A89DC7"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Walbech, M., Krogh, P., Eva, M., &amp; Lading, T. (2021). </w:t>
      </w:r>
      <w:r w:rsidRPr="00C42217">
        <w:rPr>
          <w:rFonts w:asciiTheme="majorBidi" w:hAnsiTheme="majorBidi" w:cstheme="majorBidi"/>
          <w:i/>
          <w:iCs/>
          <w:noProof/>
          <w:sz w:val="20"/>
          <w:szCs w:val="24"/>
        </w:rPr>
        <w:t>Comparative life cycle assessment of four buildings in Greenland</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204</w:t>
      </w:r>
      <w:r w:rsidRPr="00C42217">
        <w:rPr>
          <w:rFonts w:asciiTheme="majorBidi" w:hAnsiTheme="majorBidi" w:cstheme="majorBidi"/>
          <w:noProof/>
          <w:sz w:val="20"/>
          <w:szCs w:val="24"/>
        </w:rPr>
        <w:t>(May). https://doi.org/10.1016/j.buildenv.2021.108130</w:t>
      </w:r>
    </w:p>
    <w:p w14:paraId="24B9A387"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Zeitz, A., Griffin, C. T., &amp; Dusicka, P. (2019). Comparing the embodied carbon and energy of a mass timber structure system to typical steel and concrete alternatives for parking garages. </w:t>
      </w:r>
      <w:r w:rsidRPr="00C42217">
        <w:rPr>
          <w:rFonts w:asciiTheme="majorBidi" w:hAnsiTheme="majorBidi" w:cstheme="majorBidi"/>
          <w:i/>
          <w:iCs/>
          <w:noProof/>
          <w:sz w:val="20"/>
          <w:szCs w:val="24"/>
        </w:rPr>
        <w:t>Energy and Buildings</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199</w:t>
      </w:r>
      <w:r w:rsidRPr="00C42217">
        <w:rPr>
          <w:rFonts w:asciiTheme="majorBidi" w:hAnsiTheme="majorBidi" w:cstheme="majorBidi"/>
          <w:noProof/>
          <w:sz w:val="20"/>
          <w:szCs w:val="24"/>
        </w:rPr>
        <w:t>, 126–133. https://doi.org/10.1016/j.enbuild.2019.06.047</w:t>
      </w:r>
    </w:p>
    <w:p w14:paraId="00C3296B"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szCs w:val="24"/>
        </w:rPr>
      </w:pPr>
      <w:r w:rsidRPr="00C42217">
        <w:rPr>
          <w:rFonts w:asciiTheme="majorBidi" w:hAnsiTheme="majorBidi" w:cstheme="majorBidi"/>
          <w:noProof/>
          <w:sz w:val="20"/>
          <w:szCs w:val="24"/>
        </w:rPr>
        <w:t xml:space="preserve">Zhang, C., Lee, G., &amp; Lam, F. (2018). </w:t>
      </w:r>
      <w:r w:rsidRPr="00C42217">
        <w:rPr>
          <w:rFonts w:asciiTheme="majorBidi" w:hAnsiTheme="majorBidi" w:cstheme="majorBidi"/>
          <w:i/>
          <w:iCs/>
          <w:noProof/>
          <w:sz w:val="20"/>
          <w:szCs w:val="24"/>
        </w:rPr>
        <w:t>Study of Massive Timber Walls based on NLT and Post Laminated LVL by</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604</w:t>
      </w:r>
      <w:r w:rsidRPr="00C42217">
        <w:rPr>
          <w:rFonts w:asciiTheme="majorBidi" w:hAnsiTheme="majorBidi" w:cstheme="majorBidi"/>
          <w:noProof/>
          <w:sz w:val="20"/>
          <w:szCs w:val="24"/>
        </w:rPr>
        <w:t>, 1–35.</w:t>
      </w:r>
    </w:p>
    <w:p w14:paraId="5A18AA43" w14:textId="77777777" w:rsidR="007B437B" w:rsidRPr="00C42217" w:rsidRDefault="007B437B" w:rsidP="00CA5C88">
      <w:pPr>
        <w:widowControl w:val="0"/>
        <w:autoSpaceDE w:val="0"/>
        <w:autoSpaceDN w:val="0"/>
        <w:adjustRightInd w:val="0"/>
        <w:spacing w:after="0" w:line="240" w:lineRule="auto"/>
        <w:ind w:left="540" w:hanging="540"/>
        <w:jc w:val="both"/>
        <w:rPr>
          <w:rFonts w:asciiTheme="majorBidi" w:hAnsiTheme="majorBidi" w:cstheme="majorBidi"/>
          <w:noProof/>
          <w:sz w:val="20"/>
        </w:rPr>
      </w:pPr>
      <w:r w:rsidRPr="00C42217">
        <w:rPr>
          <w:rFonts w:asciiTheme="majorBidi" w:hAnsiTheme="majorBidi" w:cstheme="majorBidi"/>
          <w:noProof/>
          <w:sz w:val="20"/>
          <w:szCs w:val="24"/>
        </w:rPr>
        <w:t xml:space="preserve">Zhang, X., &amp; Wang, F. (2016). Hybrid input-output analysis for life-cycle energy consumption and carbon emissions of China’s building sector. </w:t>
      </w:r>
      <w:r w:rsidRPr="00C42217">
        <w:rPr>
          <w:rFonts w:asciiTheme="majorBidi" w:hAnsiTheme="majorBidi" w:cstheme="majorBidi"/>
          <w:i/>
          <w:iCs/>
          <w:noProof/>
          <w:sz w:val="20"/>
          <w:szCs w:val="24"/>
        </w:rPr>
        <w:t>Building and Environment</w:t>
      </w:r>
      <w:r w:rsidRPr="00C42217">
        <w:rPr>
          <w:rFonts w:asciiTheme="majorBidi" w:hAnsiTheme="majorBidi" w:cstheme="majorBidi"/>
          <w:noProof/>
          <w:sz w:val="20"/>
          <w:szCs w:val="24"/>
        </w:rPr>
        <w:t xml:space="preserve">, </w:t>
      </w:r>
      <w:r w:rsidRPr="00C42217">
        <w:rPr>
          <w:rFonts w:asciiTheme="majorBidi" w:hAnsiTheme="majorBidi" w:cstheme="majorBidi"/>
          <w:i/>
          <w:iCs/>
          <w:noProof/>
          <w:sz w:val="20"/>
          <w:szCs w:val="24"/>
        </w:rPr>
        <w:t>104</w:t>
      </w:r>
      <w:r w:rsidRPr="00C42217">
        <w:rPr>
          <w:rFonts w:asciiTheme="majorBidi" w:hAnsiTheme="majorBidi" w:cstheme="majorBidi"/>
          <w:noProof/>
          <w:sz w:val="20"/>
          <w:szCs w:val="24"/>
        </w:rPr>
        <w:t>, 188–197. https://doi.org/10.1016/j.buildenv.2016.05.018</w:t>
      </w:r>
    </w:p>
    <w:p w14:paraId="7F48B59D" w14:textId="77777777" w:rsidR="007B437B" w:rsidRPr="00C42217" w:rsidRDefault="007B437B" w:rsidP="00CA5C88">
      <w:pPr>
        <w:spacing w:after="0"/>
        <w:ind w:left="540" w:hanging="540"/>
        <w:jc w:val="both"/>
        <w:rPr>
          <w:rFonts w:asciiTheme="majorBidi" w:hAnsiTheme="majorBidi" w:cstheme="majorBidi"/>
          <w:sz w:val="20"/>
          <w:szCs w:val="20"/>
        </w:rPr>
      </w:pPr>
      <w:r w:rsidRPr="00C42217">
        <w:rPr>
          <w:rFonts w:asciiTheme="majorBidi" w:hAnsiTheme="majorBidi" w:cstheme="majorBidi"/>
          <w:sz w:val="20"/>
          <w:szCs w:val="20"/>
        </w:rPr>
        <w:fldChar w:fldCharType="end"/>
      </w:r>
    </w:p>
    <w:p w14:paraId="19DC8BA5" w14:textId="77777777" w:rsidR="007B437B" w:rsidRPr="00C42217" w:rsidRDefault="007B437B" w:rsidP="007236C2">
      <w:pPr>
        <w:spacing w:after="0"/>
        <w:jc w:val="both"/>
        <w:rPr>
          <w:rFonts w:asciiTheme="majorBidi" w:hAnsiTheme="majorBidi" w:cstheme="majorBidi"/>
          <w:sz w:val="20"/>
          <w:szCs w:val="20"/>
        </w:rPr>
      </w:pPr>
    </w:p>
    <w:p w14:paraId="0E7BF560" w14:textId="056C1D39" w:rsidR="00AE6A96" w:rsidRPr="00C42217" w:rsidRDefault="008C1923" w:rsidP="00273663">
      <w:pPr>
        <w:spacing w:after="0"/>
        <w:ind w:firstLine="720"/>
        <w:jc w:val="both"/>
        <w:rPr>
          <w:rFonts w:asciiTheme="majorBidi" w:hAnsiTheme="majorBidi" w:cstheme="majorBidi"/>
          <w:b/>
          <w:bCs/>
        </w:rPr>
      </w:pPr>
      <w:r w:rsidRPr="00C42217">
        <w:rPr>
          <w:rFonts w:asciiTheme="majorBidi" w:hAnsiTheme="majorBidi" w:cstheme="majorBidi"/>
          <w:b/>
          <w:bCs/>
        </w:rPr>
        <w:t>Appendix</w:t>
      </w:r>
      <w:r w:rsidR="00DD2ABA" w:rsidRPr="00C42217">
        <w:rPr>
          <w:rFonts w:asciiTheme="majorBidi" w:hAnsiTheme="majorBidi" w:cstheme="majorBidi"/>
          <w:b/>
          <w:bCs/>
        </w:rPr>
        <w:t xml:space="preserve"> </w:t>
      </w:r>
      <w:r w:rsidRPr="00C42217">
        <w:rPr>
          <w:rFonts w:asciiTheme="majorBidi" w:hAnsiTheme="majorBidi" w:cstheme="majorBidi"/>
          <w:b/>
          <w:bCs/>
        </w:rPr>
        <w:t>1, GWP</w:t>
      </w:r>
    </w:p>
    <w:tbl>
      <w:tblPr>
        <w:tblW w:w="0" w:type="auto"/>
        <w:tblInd w:w="805" w:type="dxa"/>
        <w:tblLook w:val="04A0" w:firstRow="1" w:lastRow="0" w:firstColumn="1" w:lastColumn="0" w:noHBand="0" w:noVBand="1"/>
      </w:tblPr>
      <w:tblGrid>
        <w:gridCol w:w="2211"/>
        <w:gridCol w:w="510"/>
        <w:gridCol w:w="923"/>
        <w:gridCol w:w="923"/>
        <w:gridCol w:w="923"/>
      </w:tblGrid>
      <w:tr w:rsidR="00C42217" w:rsidRPr="00C42217" w14:paraId="7EC216CD" w14:textId="77777777" w:rsidTr="008C1923">
        <w:trPr>
          <w:trHeight w:val="20"/>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44811BC6" w14:textId="77777777" w:rsidR="008C1923" w:rsidRPr="00C42217" w:rsidRDefault="008C1923" w:rsidP="008C192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tcPr>
          <w:p w14:paraId="281341BD" w14:textId="77777777" w:rsidR="008C1923" w:rsidRPr="00C42217" w:rsidRDefault="008C1923" w:rsidP="008C1923">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 xml:space="preserve">Unit </w:t>
            </w:r>
          </w:p>
        </w:tc>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bottom"/>
            <w:hideMark/>
          </w:tcPr>
          <w:p w14:paraId="05CDBC17" w14:textId="77777777" w:rsidR="008C1923" w:rsidRPr="00C42217" w:rsidRDefault="008C1923" w:rsidP="008C1923">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CLT</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40B57C52" w14:textId="77777777" w:rsidR="008C1923" w:rsidRPr="00C42217" w:rsidRDefault="008C1923" w:rsidP="008C1923">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DLT</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bottom"/>
            <w:hideMark/>
          </w:tcPr>
          <w:p w14:paraId="0D6F37F3" w14:textId="77777777" w:rsidR="008C1923" w:rsidRPr="00C42217" w:rsidRDefault="008C1923" w:rsidP="008C1923">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NLT</w:t>
            </w:r>
          </w:p>
        </w:tc>
      </w:tr>
      <w:tr w:rsidR="00C42217" w:rsidRPr="00C42217" w14:paraId="6C5A0F47" w14:textId="77777777" w:rsidTr="008C1923">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6F1B925"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xml:space="preserve">Manufacturing </w:t>
            </w:r>
          </w:p>
        </w:tc>
        <w:tc>
          <w:tcPr>
            <w:tcW w:w="0" w:type="auto"/>
            <w:vMerge w:val="restart"/>
            <w:tcBorders>
              <w:top w:val="single" w:sz="4" w:space="0" w:color="auto"/>
              <w:left w:val="nil"/>
              <w:right w:val="single" w:sz="4" w:space="0" w:color="auto"/>
            </w:tcBorders>
            <w:shd w:val="clear" w:color="000000" w:fill="FFFFFF"/>
            <w:textDirection w:val="btLr"/>
            <w:vAlign w:val="center"/>
          </w:tcPr>
          <w:p w14:paraId="3258B841" w14:textId="1C2C408F" w:rsidR="008C1923" w:rsidRPr="00C42217" w:rsidRDefault="00ED2FF7" w:rsidP="008C1923">
            <w:pPr>
              <w:spacing w:after="0" w:line="240" w:lineRule="auto"/>
              <w:ind w:left="113" w:right="113"/>
              <w:jc w:val="center"/>
              <w:rPr>
                <w:rFonts w:asciiTheme="majorBidi" w:eastAsia="Times New Roman" w:hAnsiTheme="majorBidi" w:cstheme="majorBidi"/>
                <w:sz w:val="18"/>
                <w:szCs w:val="18"/>
              </w:rPr>
            </w:pPr>
            <w:r w:rsidRPr="00C42217">
              <w:rPr>
                <w:rFonts w:asciiTheme="majorBidi" w:hAnsiTheme="majorBidi" w:cstheme="majorBidi"/>
              </w:rPr>
              <w:t>Kg</w:t>
            </w:r>
            <w:r w:rsidR="008C1923" w:rsidRPr="00C42217">
              <w:rPr>
                <w:rFonts w:asciiTheme="majorBidi" w:hAnsiTheme="majorBidi" w:cstheme="majorBidi"/>
              </w:rPr>
              <w:t>CO</w:t>
            </w:r>
            <w:r w:rsidR="008C1923" w:rsidRPr="00C42217">
              <w:rPr>
                <w:rFonts w:asciiTheme="majorBidi" w:hAnsiTheme="majorBidi" w:cstheme="majorBidi"/>
                <w:vertAlign w:val="subscript"/>
              </w:rPr>
              <w:t>2</w:t>
            </w: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0A15A2D"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45408</w:t>
            </w:r>
          </w:p>
        </w:tc>
        <w:tc>
          <w:tcPr>
            <w:tcW w:w="0" w:type="auto"/>
            <w:tcBorders>
              <w:top w:val="nil"/>
              <w:left w:val="nil"/>
              <w:bottom w:val="single" w:sz="4" w:space="0" w:color="auto"/>
              <w:right w:val="single" w:sz="4" w:space="0" w:color="auto"/>
            </w:tcBorders>
            <w:shd w:val="clear" w:color="000000" w:fill="FFFFFF"/>
            <w:noWrap/>
            <w:vAlign w:val="bottom"/>
            <w:hideMark/>
          </w:tcPr>
          <w:p w14:paraId="190D2B8B"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41700</w:t>
            </w:r>
          </w:p>
        </w:tc>
        <w:tc>
          <w:tcPr>
            <w:tcW w:w="0" w:type="auto"/>
            <w:tcBorders>
              <w:top w:val="nil"/>
              <w:left w:val="nil"/>
              <w:bottom w:val="single" w:sz="4" w:space="0" w:color="auto"/>
              <w:right w:val="single" w:sz="4" w:space="0" w:color="auto"/>
            </w:tcBorders>
            <w:shd w:val="clear" w:color="000000" w:fill="FFFFFF"/>
            <w:noWrap/>
            <w:vAlign w:val="bottom"/>
            <w:hideMark/>
          </w:tcPr>
          <w:p w14:paraId="294C3A01"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46210</w:t>
            </w:r>
          </w:p>
        </w:tc>
      </w:tr>
      <w:tr w:rsidR="00C42217" w:rsidRPr="00C42217" w14:paraId="1AE4A0AC"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6090B9B"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on site</w:t>
            </w:r>
          </w:p>
        </w:tc>
        <w:tc>
          <w:tcPr>
            <w:tcW w:w="0" w:type="auto"/>
            <w:vMerge/>
            <w:tcBorders>
              <w:left w:val="nil"/>
              <w:right w:val="single" w:sz="4" w:space="0" w:color="auto"/>
            </w:tcBorders>
            <w:shd w:val="clear" w:color="000000" w:fill="FFFFFF"/>
          </w:tcPr>
          <w:p w14:paraId="340F1A0B"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266DE94"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4.51E+03</w:t>
            </w:r>
          </w:p>
        </w:tc>
        <w:tc>
          <w:tcPr>
            <w:tcW w:w="0" w:type="auto"/>
            <w:tcBorders>
              <w:top w:val="nil"/>
              <w:left w:val="nil"/>
              <w:bottom w:val="single" w:sz="4" w:space="0" w:color="auto"/>
              <w:right w:val="single" w:sz="4" w:space="0" w:color="auto"/>
            </w:tcBorders>
            <w:shd w:val="clear" w:color="000000" w:fill="FFFFFF"/>
            <w:noWrap/>
            <w:vAlign w:val="bottom"/>
            <w:hideMark/>
          </w:tcPr>
          <w:p w14:paraId="7F75B1A6"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4.51E+03</w:t>
            </w:r>
          </w:p>
        </w:tc>
        <w:tc>
          <w:tcPr>
            <w:tcW w:w="0" w:type="auto"/>
            <w:tcBorders>
              <w:top w:val="nil"/>
              <w:left w:val="nil"/>
              <w:bottom w:val="single" w:sz="4" w:space="0" w:color="auto"/>
              <w:right w:val="single" w:sz="4" w:space="0" w:color="auto"/>
            </w:tcBorders>
            <w:shd w:val="clear" w:color="000000" w:fill="FFFFFF"/>
            <w:noWrap/>
            <w:vAlign w:val="bottom"/>
            <w:hideMark/>
          </w:tcPr>
          <w:p w14:paraId="612D1DFF"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4.51E+03</w:t>
            </w:r>
          </w:p>
        </w:tc>
      </w:tr>
      <w:tr w:rsidR="00C42217" w:rsidRPr="00C42217" w14:paraId="250333FD"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FF4A294"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cladding</w:t>
            </w:r>
          </w:p>
        </w:tc>
        <w:tc>
          <w:tcPr>
            <w:tcW w:w="0" w:type="auto"/>
            <w:vMerge/>
            <w:tcBorders>
              <w:left w:val="nil"/>
              <w:right w:val="single" w:sz="4" w:space="0" w:color="auto"/>
            </w:tcBorders>
            <w:shd w:val="clear" w:color="000000" w:fill="FFFFFF"/>
          </w:tcPr>
          <w:p w14:paraId="770DD52A"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8B79E72"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1.59E+03</w:t>
            </w:r>
          </w:p>
        </w:tc>
        <w:tc>
          <w:tcPr>
            <w:tcW w:w="0" w:type="auto"/>
            <w:tcBorders>
              <w:top w:val="nil"/>
              <w:left w:val="nil"/>
              <w:bottom w:val="single" w:sz="4" w:space="0" w:color="auto"/>
              <w:right w:val="single" w:sz="4" w:space="0" w:color="auto"/>
            </w:tcBorders>
            <w:shd w:val="clear" w:color="000000" w:fill="FFFFFF"/>
            <w:noWrap/>
            <w:vAlign w:val="bottom"/>
            <w:hideMark/>
          </w:tcPr>
          <w:p w14:paraId="674674B9"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1.59E+03</w:t>
            </w:r>
          </w:p>
        </w:tc>
        <w:tc>
          <w:tcPr>
            <w:tcW w:w="0" w:type="auto"/>
            <w:tcBorders>
              <w:top w:val="nil"/>
              <w:left w:val="nil"/>
              <w:bottom w:val="single" w:sz="4" w:space="0" w:color="auto"/>
              <w:right w:val="single" w:sz="4" w:space="0" w:color="auto"/>
            </w:tcBorders>
            <w:shd w:val="clear" w:color="000000" w:fill="FFFFFF"/>
            <w:noWrap/>
            <w:vAlign w:val="bottom"/>
            <w:hideMark/>
          </w:tcPr>
          <w:p w14:paraId="14F8B9F9"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1.59E+03</w:t>
            </w:r>
          </w:p>
        </w:tc>
      </w:tr>
      <w:tr w:rsidR="00C42217" w:rsidRPr="00C42217" w14:paraId="10C41153"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6EE4309"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insulation</w:t>
            </w:r>
          </w:p>
        </w:tc>
        <w:tc>
          <w:tcPr>
            <w:tcW w:w="0" w:type="auto"/>
            <w:vMerge/>
            <w:tcBorders>
              <w:left w:val="nil"/>
              <w:right w:val="single" w:sz="4" w:space="0" w:color="auto"/>
            </w:tcBorders>
            <w:shd w:val="clear" w:color="000000" w:fill="FFFFFF"/>
          </w:tcPr>
          <w:p w14:paraId="7D8E66BD"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B0862E2"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1.13E+03</w:t>
            </w:r>
          </w:p>
        </w:tc>
        <w:tc>
          <w:tcPr>
            <w:tcW w:w="0" w:type="auto"/>
            <w:tcBorders>
              <w:top w:val="nil"/>
              <w:left w:val="nil"/>
              <w:bottom w:val="single" w:sz="4" w:space="0" w:color="auto"/>
              <w:right w:val="single" w:sz="4" w:space="0" w:color="auto"/>
            </w:tcBorders>
            <w:shd w:val="clear" w:color="000000" w:fill="FFFFFF"/>
            <w:noWrap/>
            <w:vAlign w:val="bottom"/>
            <w:hideMark/>
          </w:tcPr>
          <w:p w14:paraId="6BC66C9D"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1.13E+03</w:t>
            </w:r>
          </w:p>
        </w:tc>
        <w:tc>
          <w:tcPr>
            <w:tcW w:w="0" w:type="auto"/>
            <w:tcBorders>
              <w:top w:val="nil"/>
              <w:left w:val="nil"/>
              <w:bottom w:val="single" w:sz="4" w:space="0" w:color="auto"/>
              <w:right w:val="single" w:sz="4" w:space="0" w:color="auto"/>
            </w:tcBorders>
            <w:shd w:val="clear" w:color="000000" w:fill="FFFFFF"/>
            <w:noWrap/>
            <w:vAlign w:val="bottom"/>
            <w:hideMark/>
          </w:tcPr>
          <w:p w14:paraId="3641AE2F"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1.13E+03</w:t>
            </w:r>
          </w:p>
        </w:tc>
      </w:tr>
      <w:tr w:rsidR="00C42217" w:rsidRPr="00C42217" w14:paraId="0E09B554"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CD9653C"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Plasterboard wall</w:t>
            </w:r>
          </w:p>
        </w:tc>
        <w:tc>
          <w:tcPr>
            <w:tcW w:w="0" w:type="auto"/>
            <w:vMerge/>
            <w:tcBorders>
              <w:left w:val="nil"/>
              <w:right w:val="single" w:sz="4" w:space="0" w:color="auto"/>
            </w:tcBorders>
            <w:shd w:val="clear" w:color="000000" w:fill="FFFFFF"/>
          </w:tcPr>
          <w:p w14:paraId="4B0D7E98"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FBE7837"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253</w:t>
            </w:r>
          </w:p>
        </w:tc>
        <w:tc>
          <w:tcPr>
            <w:tcW w:w="0" w:type="auto"/>
            <w:tcBorders>
              <w:top w:val="nil"/>
              <w:left w:val="nil"/>
              <w:bottom w:val="single" w:sz="4" w:space="0" w:color="auto"/>
              <w:right w:val="single" w:sz="4" w:space="0" w:color="auto"/>
            </w:tcBorders>
            <w:shd w:val="clear" w:color="000000" w:fill="FFFFFF"/>
            <w:noWrap/>
            <w:vAlign w:val="bottom"/>
            <w:hideMark/>
          </w:tcPr>
          <w:p w14:paraId="2916BE82"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253</w:t>
            </w:r>
          </w:p>
        </w:tc>
        <w:tc>
          <w:tcPr>
            <w:tcW w:w="0" w:type="auto"/>
            <w:tcBorders>
              <w:top w:val="nil"/>
              <w:left w:val="nil"/>
              <w:bottom w:val="single" w:sz="4" w:space="0" w:color="auto"/>
              <w:right w:val="single" w:sz="4" w:space="0" w:color="auto"/>
            </w:tcBorders>
            <w:shd w:val="clear" w:color="000000" w:fill="FFFFFF"/>
            <w:noWrap/>
            <w:vAlign w:val="bottom"/>
            <w:hideMark/>
          </w:tcPr>
          <w:p w14:paraId="6897439C"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253</w:t>
            </w:r>
          </w:p>
        </w:tc>
      </w:tr>
      <w:tr w:rsidR="00C42217" w:rsidRPr="00C42217" w14:paraId="7B574BA6"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57E2272"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steel ledgers for floors</w:t>
            </w:r>
          </w:p>
        </w:tc>
        <w:tc>
          <w:tcPr>
            <w:tcW w:w="0" w:type="auto"/>
            <w:vMerge/>
            <w:tcBorders>
              <w:left w:val="nil"/>
              <w:right w:val="single" w:sz="4" w:space="0" w:color="auto"/>
            </w:tcBorders>
            <w:shd w:val="clear" w:color="000000" w:fill="FFFFFF"/>
          </w:tcPr>
          <w:p w14:paraId="72FC3B77"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1822C15"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442</w:t>
            </w:r>
          </w:p>
        </w:tc>
        <w:tc>
          <w:tcPr>
            <w:tcW w:w="0" w:type="auto"/>
            <w:tcBorders>
              <w:top w:val="nil"/>
              <w:left w:val="nil"/>
              <w:bottom w:val="single" w:sz="4" w:space="0" w:color="auto"/>
              <w:right w:val="single" w:sz="4" w:space="0" w:color="auto"/>
            </w:tcBorders>
            <w:shd w:val="clear" w:color="000000" w:fill="FFFFFF"/>
            <w:noWrap/>
            <w:vAlign w:val="bottom"/>
            <w:hideMark/>
          </w:tcPr>
          <w:p w14:paraId="09E1F22E"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442</w:t>
            </w:r>
          </w:p>
        </w:tc>
        <w:tc>
          <w:tcPr>
            <w:tcW w:w="0" w:type="auto"/>
            <w:tcBorders>
              <w:top w:val="nil"/>
              <w:left w:val="nil"/>
              <w:bottom w:val="single" w:sz="4" w:space="0" w:color="auto"/>
              <w:right w:val="single" w:sz="4" w:space="0" w:color="auto"/>
            </w:tcBorders>
            <w:shd w:val="clear" w:color="000000" w:fill="FFFFFF"/>
            <w:noWrap/>
            <w:vAlign w:val="bottom"/>
            <w:hideMark/>
          </w:tcPr>
          <w:p w14:paraId="3C148C4D"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442</w:t>
            </w:r>
          </w:p>
        </w:tc>
      </w:tr>
      <w:tr w:rsidR="00C42217" w:rsidRPr="00C42217" w14:paraId="790FDBF6"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EFE0BCD"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steel drag strap connections</w:t>
            </w:r>
          </w:p>
        </w:tc>
        <w:tc>
          <w:tcPr>
            <w:tcW w:w="0" w:type="auto"/>
            <w:vMerge/>
            <w:tcBorders>
              <w:left w:val="nil"/>
              <w:right w:val="single" w:sz="4" w:space="0" w:color="auto"/>
            </w:tcBorders>
            <w:shd w:val="clear" w:color="000000" w:fill="FFFFFF"/>
          </w:tcPr>
          <w:p w14:paraId="531791E9"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A457AB3"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668103CF"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6.5</w:t>
            </w:r>
          </w:p>
        </w:tc>
        <w:tc>
          <w:tcPr>
            <w:tcW w:w="0" w:type="auto"/>
            <w:tcBorders>
              <w:top w:val="nil"/>
              <w:left w:val="nil"/>
              <w:bottom w:val="single" w:sz="4" w:space="0" w:color="auto"/>
              <w:right w:val="single" w:sz="4" w:space="0" w:color="auto"/>
            </w:tcBorders>
            <w:shd w:val="clear" w:color="000000" w:fill="FFFFFF"/>
            <w:noWrap/>
            <w:vAlign w:val="bottom"/>
            <w:hideMark/>
          </w:tcPr>
          <w:p w14:paraId="7E7C13C8"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6.5</w:t>
            </w:r>
          </w:p>
        </w:tc>
      </w:tr>
      <w:tr w:rsidR="00C42217" w:rsidRPr="00C42217" w14:paraId="53AB0740"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0765364"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Threaded screws</w:t>
            </w:r>
          </w:p>
        </w:tc>
        <w:tc>
          <w:tcPr>
            <w:tcW w:w="0" w:type="auto"/>
            <w:vMerge/>
            <w:tcBorders>
              <w:left w:val="nil"/>
              <w:right w:val="single" w:sz="4" w:space="0" w:color="auto"/>
            </w:tcBorders>
            <w:shd w:val="clear" w:color="000000" w:fill="FFFFFF"/>
          </w:tcPr>
          <w:p w14:paraId="066A1A3E"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2F7D7A31"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1.62E+03</w:t>
            </w:r>
          </w:p>
        </w:tc>
        <w:tc>
          <w:tcPr>
            <w:tcW w:w="0" w:type="auto"/>
            <w:tcBorders>
              <w:top w:val="nil"/>
              <w:left w:val="nil"/>
              <w:bottom w:val="single" w:sz="4" w:space="0" w:color="auto"/>
              <w:right w:val="single" w:sz="4" w:space="0" w:color="auto"/>
            </w:tcBorders>
            <w:shd w:val="clear" w:color="000000" w:fill="FFFFFF"/>
            <w:noWrap/>
            <w:vAlign w:val="bottom"/>
            <w:hideMark/>
          </w:tcPr>
          <w:p w14:paraId="7BC57015"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1.62E+03</w:t>
            </w:r>
          </w:p>
        </w:tc>
        <w:tc>
          <w:tcPr>
            <w:tcW w:w="0" w:type="auto"/>
            <w:tcBorders>
              <w:top w:val="nil"/>
              <w:left w:val="nil"/>
              <w:bottom w:val="single" w:sz="4" w:space="0" w:color="auto"/>
              <w:right w:val="single" w:sz="4" w:space="0" w:color="auto"/>
            </w:tcBorders>
            <w:shd w:val="clear" w:color="000000" w:fill="FFFFFF"/>
            <w:noWrap/>
            <w:vAlign w:val="bottom"/>
            <w:hideMark/>
          </w:tcPr>
          <w:p w14:paraId="6069BE01"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1.62E+03</w:t>
            </w:r>
          </w:p>
        </w:tc>
      </w:tr>
      <w:tr w:rsidR="00C42217" w:rsidRPr="00C42217" w14:paraId="0D443945"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34208C0"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Transportation</w:t>
            </w:r>
          </w:p>
        </w:tc>
        <w:tc>
          <w:tcPr>
            <w:tcW w:w="0" w:type="auto"/>
            <w:vMerge/>
            <w:tcBorders>
              <w:left w:val="nil"/>
              <w:right w:val="single" w:sz="4" w:space="0" w:color="auto"/>
            </w:tcBorders>
            <w:shd w:val="clear" w:color="000000" w:fill="FFFFFF"/>
          </w:tcPr>
          <w:p w14:paraId="77569A2B"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50655D74"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353.5</w:t>
            </w:r>
          </w:p>
        </w:tc>
        <w:tc>
          <w:tcPr>
            <w:tcW w:w="0" w:type="auto"/>
            <w:tcBorders>
              <w:top w:val="nil"/>
              <w:left w:val="nil"/>
              <w:bottom w:val="single" w:sz="4" w:space="0" w:color="auto"/>
              <w:right w:val="single" w:sz="4" w:space="0" w:color="auto"/>
            </w:tcBorders>
            <w:shd w:val="clear" w:color="000000" w:fill="FFFFFF"/>
            <w:noWrap/>
            <w:vAlign w:val="bottom"/>
            <w:hideMark/>
          </w:tcPr>
          <w:p w14:paraId="5BBF1277"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298.6</w:t>
            </w:r>
          </w:p>
        </w:tc>
        <w:tc>
          <w:tcPr>
            <w:tcW w:w="0" w:type="auto"/>
            <w:tcBorders>
              <w:top w:val="nil"/>
              <w:left w:val="nil"/>
              <w:bottom w:val="single" w:sz="4" w:space="0" w:color="auto"/>
              <w:right w:val="single" w:sz="4" w:space="0" w:color="auto"/>
            </w:tcBorders>
            <w:shd w:val="clear" w:color="000000" w:fill="FFFFFF"/>
            <w:noWrap/>
            <w:vAlign w:val="bottom"/>
            <w:hideMark/>
          </w:tcPr>
          <w:p w14:paraId="4C344B94"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320</w:t>
            </w:r>
          </w:p>
        </w:tc>
      </w:tr>
      <w:tr w:rsidR="00C42217" w:rsidRPr="00C42217" w14:paraId="0EF541E4"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0D55D101"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Maintenance</w:t>
            </w:r>
          </w:p>
        </w:tc>
        <w:tc>
          <w:tcPr>
            <w:tcW w:w="0" w:type="auto"/>
            <w:vMerge/>
            <w:tcBorders>
              <w:left w:val="nil"/>
              <w:right w:val="single" w:sz="4" w:space="0" w:color="auto"/>
            </w:tcBorders>
            <w:shd w:val="clear" w:color="000000" w:fill="FFFFFF"/>
          </w:tcPr>
          <w:p w14:paraId="303FCB09"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1A5CF08A"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2200</w:t>
            </w:r>
          </w:p>
        </w:tc>
        <w:tc>
          <w:tcPr>
            <w:tcW w:w="0" w:type="auto"/>
            <w:tcBorders>
              <w:top w:val="nil"/>
              <w:left w:val="nil"/>
              <w:bottom w:val="single" w:sz="4" w:space="0" w:color="auto"/>
              <w:right w:val="single" w:sz="4" w:space="0" w:color="auto"/>
            </w:tcBorders>
            <w:shd w:val="clear" w:color="000000" w:fill="FFFFFF"/>
            <w:noWrap/>
            <w:vAlign w:val="bottom"/>
            <w:hideMark/>
          </w:tcPr>
          <w:p w14:paraId="7A84908E"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2200</w:t>
            </w:r>
          </w:p>
        </w:tc>
        <w:tc>
          <w:tcPr>
            <w:tcW w:w="0" w:type="auto"/>
            <w:tcBorders>
              <w:top w:val="nil"/>
              <w:left w:val="nil"/>
              <w:bottom w:val="single" w:sz="4" w:space="0" w:color="auto"/>
              <w:right w:val="single" w:sz="4" w:space="0" w:color="auto"/>
            </w:tcBorders>
            <w:shd w:val="clear" w:color="000000" w:fill="FFFFFF"/>
            <w:noWrap/>
            <w:vAlign w:val="bottom"/>
            <w:hideMark/>
          </w:tcPr>
          <w:p w14:paraId="4AAAA127"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2200</w:t>
            </w:r>
          </w:p>
        </w:tc>
      </w:tr>
      <w:tr w:rsidR="00C42217" w:rsidRPr="00C42217" w14:paraId="07B9B692"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1ED90CE"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xml:space="preserve">End of life </w:t>
            </w:r>
          </w:p>
        </w:tc>
        <w:tc>
          <w:tcPr>
            <w:tcW w:w="0" w:type="auto"/>
            <w:vMerge/>
            <w:tcBorders>
              <w:left w:val="nil"/>
              <w:right w:val="single" w:sz="4" w:space="0" w:color="auto"/>
            </w:tcBorders>
            <w:shd w:val="clear" w:color="000000" w:fill="FFFFFF"/>
          </w:tcPr>
          <w:p w14:paraId="41D92BE4"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4375A9D0"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850</w:t>
            </w:r>
          </w:p>
        </w:tc>
        <w:tc>
          <w:tcPr>
            <w:tcW w:w="0" w:type="auto"/>
            <w:tcBorders>
              <w:top w:val="nil"/>
              <w:left w:val="nil"/>
              <w:bottom w:val="single" w:sz="4" w:space="0" w:color="auto"/>
              <w:right w:val="single" w:sz="4" w:space="0" w:color="auto"/>
            </w:tcBorders>
            <w:shd w:val="clear" w:color="000000" w:fill="FFFFFF"/>
            <w:noWrap/>
            <w:vAlign w:val="bottom"/>
            <w:hideMark/>
          </w:tcPr>
          <w:p w14:paraId="14005E31"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850</w:t>
            </w:r>
          </w:p>
        </w:tc>
        <w:tc>
          <w:tcPr>
            <w:tcW w:w="0" w:type="auto"/>
            <w:tcBorders>
              <w:top w:val="nil"/>
              <w:left w:val="nil"/>
              <w:bottom w:val="single" w:sz="4" w:space="0" w:color="auto"/>
              <w:right w:val="single" w:sz="4" w:space="0" w:color="auto"/>
            </w:tcBorders>
            <w:shd w:val="clear" w:color="000000" w:fill="FFFFFF"/>
            <w:noWrap/>
            <w:vAlign w:val="bottom"/>
            <w:hideMark/>
          </w:tcPr>
          <w:p w14:paraId="6D2A382B"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1200</w:t>
            </w:r>
          </w:p>
        </w:tc>
      </w:tr>
      <w:tr w:rsidR="00C42217" w:rsidRPr="00C42217" w14:paraId="67282C30" w14:textId="77777777" w:rsidTr="005007A6">
        <w:trPr>
          <w:trHeight w:val="20"/>
        </w:trPr>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7A9DB6B5"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Benefit and loads</w:t>
            </w:r>
          </w:p>
        </w:tc>
        <w:tc>
          <w:tcPr>
            <w:tcW w:w="0" w:type="auto"/>
            <w:vMerge/>
            <w:tcBorders>
              <w:left w:val="nil"/>
              <w:bottom w:val="single" w:sz="4" w:space="0" w:color="auto"/>
              <w:right w:val="single" w:sz="4" w:space="0" w:color="auto"/>
            </w:tcBorders>
            <w:shd w:val="clear" w:color="000000" w:fill="FFFFFF"/>
          </w:tcPr>
          <w:p w14:paraId="0F773C63"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p>
        </w:tc>
        <w:tc>
          <w:tcPr>
            <w:tcW w:w="0" w:type="auto"/>
            <w:tcBorders>
              <w:top w:val="nil"/>
              <w:left w:val="single" w:sz="4" w:space="0" w:color="auto"/>
              <w:bottom w:val="single" w:sz="4" w:space="0" w:color="auto"/>
              <w:right w:val="single" w:sz="4" w:space="0" w:color="auto"/>
            </w:tcBorders>
            <w:shd w:val="clear" w:color="000000" w:fill="FFFFFF"/>
            <w:noWrap/>
            <w:vAlign w:val="bottom"/>
            <w:hideMark/>
          </w:tcPr>
          <w:p w14:paraId="6C54548A"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-22000</w:t>
            </w:r>
          </w:p>
        </w:tc>
        <w:tc>
          <w:tcPr>
            <w:tcW w:w="0" w:type="auto"/>
            <w:tcBorders>
              <w:top w:val="nil"/>
              <w:left w:val="nil"/>
              <w:bottom w:val="single" w:sz="4" w:space="0" w:color="auto"/>
              <w:right w:val="single" w:sz="4" w:space="0" w:color="auto"/>
            </w:tcBorders>
            <w:shd w:val="clear" w:color="000000" w:fill="FFFFFF"/>
            <w:noWrap/>
            <w:vAlign w:val="bottom"/>
            <w:hideMark/>
          </w:tcPr>
          <w:p w14:paraId="7A3C2345"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-22000</w:t>
            </w:r>
          </w:p>
        </w:tc>
        <w:tc>
          <w:tcPr>
            <w:tcW w:w="0" w:type="auto"/>
            <w:tcBorders>
              <w:top w:val="nil"/>
              <w:left w:val="nil"/>
              <w:bottom w:val="single" w:sz="4" w:space="0" w:color="auto"/>
              <w:right w:val="single" w:sz="4" w:space="0" w:color="auto"/>
            </w:tcBorders>
            <w:shd w:val="clear" w:color="000000" w:fill="FFFFFF"/>
            <w:noWrap/>
            <w:vAlign w:val="bottom"/>
            <w:hideMark/>
          </w:tcPr>
          <w:p w14:paraId="7022190E" w14:textId="77777777" w:rsidR="008C1923" w:rsidRPr="00C42217" w:rsidRDefault="008C1923" w:rsidP="00273663">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-28000</w:t>
            </w:r>
          </w:p>
        </w:tc>
      </w:tr>
    </w:tbl>
    <w:p w14:paraId="0B342241" w14:textId="77777777" w:rsidR="00095257" w:rsidRPr="00C42217" w:rsidRDefault="00095257" w:rsidP="00273663">
      <w:pPr>
        <w:spacing w:after="0"/>
        <w:jc w:val="both"/>
        <w:rPr>
          <w:rFonts w:asciiTheme="majorBidi" w:hAnsiTheme="majorBidi" w:cstheme="majorBidi"/>
          <w:sz w:val="20"/>
          <w:szCs w:val="20"/>
        </w:rPr>
      </w:pPr>
    </w:p>
    <w:p w14:paraId="6A12D1E8" w14:textId="77777777" w:rsidR="00095257" w:rsidRPr="00C42217" w:rsidRDefault="00095257" w:rsidP="00273663">
      <w:pPr>
        <w:spacing w:after="0"/>
        <w:ind w:firstLine="720"/>
        <w:jc w:val="both"/>
        <w:rPr>
          <w:rFonts w:asciiTheme="majorBidi" w:hAnsiTheme="majorBidi" w:cstheme="majorBidi"/>
          <w:sz w:val="20"/>
          <w:szCs w:val="20"/>
        </w:rPr>
      </w:pPr>
      <w:r w:rsidRPr="00C42217">
        <w:rPr>
          <w:rFonts w:asciiTheme="majorBidi" w:hAnsiTheme="majorBidi" w:cstheme="majorBidi"/>
          <w:b/>
          <w:bCs/>
        </w:rPr>
        <w:t>Appendix 2</w:t>
      </w:r>
      <w:r w:rsidR="008C1923" w:rsidRPr="00C42217">
        <w:rPr>
          <w:rFonts w:asciiTheme="majorBidi" w:hAnsiTheme="majorBidi" w:cstheme="majorBidi"/>
          <w:b/>
          <w:bCs/>
        </w:rPr>
        <w:t>, embodied energy</w:t>
      </w:r>
    </w:p>
    <w:tbl>
      <w:tblPr>
        <w:tblW w:w="0" w:type="auto"/>
        <w:tblInd w:w="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76"/>
        <w:gridCol w:w="510"/>
        <w:gridCol w:w="816"/>
        <w:gridCol w:w="816"/>
        <w:gridCol w:w="816"/>
      </w:tblGrid>
      <w:tr w:rsidR="00C42217" w:rsidRPr="00C42217" w14:paraId="63FEDB8C" w14:textId="77777777" w:rsidTr="005007A6">
        <w:trPr>
          <w:trHeight w:val="20"/>
        </w:trPr>
        <w:tc>
          <w:tcPr>
            <w:tcW w:w="0" w:type="auto"/>
            <w:shd w:val="clear" w:color="auto" w:fill="AEAAAA" w:themeFill="background2" w:themeFillShade="BF"/>
            <w:noWrap/>
            <w:vAlign w:val="bottom"/>
            <w:hideMark/>
          </w:tcPr>
          <w:p w14:paraId="6F0B9742" w14:textId="77777777" w:rsidR="008C1923" w:rsidRPr="00C42217" w:rsidRDefault="008C1923" w:rsidP="00273663">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w:t>
            </w:r>
          </w:p>
        </w:tc>
        <w:tc>
          <w:tcPr>
            <w:tcW w:w="0" w:type="auto"/>
            <w:shd w:val="clear" w:color="auto" w:fill="AEAAAA" w:themeFill="background2" w:themeFillShade="BF"/>
          </w:tcPr>
          <w:p w14:paraId="2AB6A0FC" w14:textId="77777777" w:rsidR="008C1923" w:rsidRPr="00C42217" w:rsidRDefault="008C1923" w:rsidP="00211312">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 xml:space="preserve">Unit </w:t>
            </w:r>
          </w:p>
        </w:tc>
        <w:tc>
          <w:tcPr>
            <w:tcW w:w="0" w:type="auto"/>
            <w:shd w:val="clear" w:color="auto" w:fill="AEAAAA" w:themeFill="background2" w:themeFillShade="BF"/>
            <w:noWrap/>
            <w:vAlign w:val="bottom"/>
            <w:hideMark/>
          </w:tcPr>
          <w:p w14:paraId="3B4AAD80" w14:textId="77777777" w:rsidR="008C1923" w:rsidRPr="00C42217" w:rsidRDefault="008C1923" w:rsidP="00211312">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CLT</w:t>
            </w:r>
          </w:p>
        </w:tc>
        <w:tc>
          <w:tcPr>
            <w:tcW w:w="0" w:type="auto"/>
            <w:shd w:val="clear" w:color="auto" w:fill="AEAAAA" w:themeFill="background2" w:themeFillShade="BF"/>
            <w:noWrap/>
            <w:vAlign w:val="bottom"/>
            <w:hideMark/>
          </w:tcPr>
          <w:p w14:paraId="3AEEEC0E" w14:textId="77777777" w:rsidR="008C1923" w:rsidRPr="00C42217" w:rsidRDefault="008C1923" w:rsidP="00211312">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DLT</w:t>
            </w:r>
          </w:p>
        </w:tc>
        <w:tc>
          <w:tcPr>
            <w:tcW w:w="0" w:type="auto"/>
            <w:shd w:val="clear" w:color="auto" w:fill="AEAAAA" w:themeFill="background2" w:themeFillShade="BF"/>
            <w:noWrap/>
            <w:vAlign w:val="bottom"/>
            <w:hideMark/>
          </w:tcPr>
          <w:p w14:paraId="7AE2A5C8" w14:textId="77777777" w:rsidR="008C1923" w:rsidRPr="00C42217" w:rsidRDefault="008C1923" w:rsidP="00211312">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NLT</w:t>
            </w:r>
          </w:p>
        </w:tc>
      </w:tr>
      <w:tr w:rsidR="00C42217" w:rsidRPr="00C42217" w14:paraId="088B413B" w14:textId="77777777" w:rsidTr="008C1923">
        <w:trPr>
          <w:trHeight w:val="20"/>
        </w:trPr>
        <w:tc>
          <w:tcPr>
            <w:tcW w:w="0" w:type="auto"/>
            <w:shd w:val="clear" w:color="auto" w:fill="auto"/>
            <w:noWrap/>
            <w:vAlign w:val="bottom"/>
            <w:hideMark/>
          </w:tcPr>
          <w:p w14:paraId="4339674C"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xml:space="preserve">Manufacturing </w:t>
            </w:r>
          </w:p>
        </w:tc>
        <w:tc>
          <w:tcPr>
            <w:tcW w:w="0" w:type="auto"/>
            <w:vMerge w:val="restart"/>
            <w:vAlign w:val="center"/>
          </w:tcPr>
          <w:p w14:paraId="0C3C957F" w14:textId="77777777" w:rsidR="008C1923" w:rsidRPr="00C42217" w:rsidRDefault="008C1923" w:rsidP="008C1923">
            <w:pPr>
              <w:spacing w:after="0" w:line="240" w:lineRule="auto"/>
              <w:jc w:val="center"/>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MJ</w:t>
            </w:r>
          </w:p>
        </w:tc>
        <w:tc>
          <w:tcPr>
            <w:tcW w:w="0" w:type="auto"/>
            <w:shd w:val="clear" w:color="auto" w:fill="auto"/>
            <w:noWrap/>
            <w:vAlign w:val="bottom"/>
            <w:hideMark/>
          </w:tcPr>
          <w:p w14:paraId="0B3FD62C"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719122</w:t>
            </w:r>
          </w:p>
        </w:tc>
        <w:tc>
          <w:tcPr>
            <w:tcW w:w="0" w:type="auto"/>
            <w:shd w:val="clear" w:color="auto" w:fill="auto"/>
            <w:noWrap/>
            <w:vAlign w:val="bottom"/>
            <w:hideMark/>
          </w:tcPr>
          <w:p w14:paraId="2B080FD5"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712590</w:t>
            </w:r>
          </w:p>
        </w:tc>
        <w:tc>
          <w:tcPr>
            <w:tcW w:w="0" w:type="auto"/>
            <w:shd w:val="clear" w:color="auto" w:fill="auto"/>
            <w:noWrap/>
            <w:vAlign w:val="bottom"/>
            <w:hideMark/>
          </w:tcPr>
          <w:p w14:paraId="6F541A8B"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793090</w:t>
            </w:r>
          </w:p>
        </w:tc>
      </w:tr>
      <w:tr w:rsidR="00C42217" w:rsidRPr="00C42217" w14:paraId="01BF1A45" w14:textId="77777777" w:rsidTr="005007A6">
        <w:trPr>
          <w:trHeight w:val="20"/>
        </w:trPr>
        <w:tc>
          <w:tcPr>
            <w:tcW w:w="0" w:type="auto"/>
            <w:shd w:val="clear" w:color="auto" w:fill="auto"/>
            <w:noWrap/>
            <w:vAlign w:val="bottom"/>
            <w:hideMark/>
          </w:tcPr>
          <w:p w14:paraId="61523C4A"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construction</w:t>
            </w:r>
          </w:p>
        </w:tc>
        <w:tc>
          <w:tcPr>
            <w:tcW w:w="0" w:type="auto"/>
            <w:vMerge/>
          </w:tcPr>
          <w:p w14:paraId="2ADFC424"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p>
        </w:tc>
        <w:tc>
          <w:tcPr>
            <w:tcW w:w="0" w:type="auto"/>
            <w:shd w:val="clear" w:color="auto" w:fill="auto"/>
            <w:noWrap/>
            <w:vAlign w:val="bottom"/>
            <w:hideMark/>
          </w:tcPr>
          <w:p w14:paraId="65746A13"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4100</w:t>
            </w:r>
          </w:p>
        </w:tc>
        <w:tc>
          <w:tcPr>
            <w:tcW w:w="0" w:type="auto"/>
            <w:shd w:val="clear" w:color="auto" w:fill="auto"/>
            <w:noWrap/>
            <w:vAlign w:val="bottom"/>
            <w:hideMark/>
          </w:tcPr>
          <w:p w14:paraId="3E16424E"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4100</w:t>
            </w:r>
          </w:p>
        </w:tc>
        <w:tc>
          <w:tcPr>
            <w:tcW w:w="0" w:type="auto"/>
            <w:shd w:val="clear" w:color="auto" w:fill="auto"/>
            <w:noWrap/>
            <w:vAlign w:val="bottom"/>
            <w:hideMark/>
          </w:tcPr>
          <w:p w14:paraId="76FA7749"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4100</w:t>
            </w:r>
          </w:p>
        </w:tc>
      </w:tr>
      <w:tr w:rsidR="00C42217" w:rsidRPr="00C42217" w14:paraId="4D8F6D63" w14:textId="77777777" w:rsidTr="005007A6">
        <w:trPr>
          <w:trHeight w:val="20"/>
        </w:trPr>
        <w:tc>
          <w:tcPr>
            <w:tcW w:w="0" w:type="auto"/>
            <w:shd w:val="clear" w:color="auto" w:fill="auto"/>
            <w:noWrap/>
            <w:vAlign w:val="bottom"/>
            <w:hideMark/>
          </w:tcPr>
          <w:p w14:paraId="1B5F682A"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Transportation</w:t>
            </w:r>
          </w:p>
        </w:tc>
        <w:tc>
          <w:tcPr>
            <w:tcW w:w="0" w:type="auto"/>
            <w:vMerge/>
          </w:tcPr>
          <w:p w14:paraId="362BD559"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p>
        </w:tc>
        <w:tc>
          <w:tcPr>
            <w:tcW w:w="0" w:type="auto"/>
            <w:shd w:val="clear" w:color="auto" w:fill="auto"/>
            <w:noWrap/>
            <w:vAlign w:val="bottom"/>
            <w:hideMark/>
          </w:tcPr>
          <w:p w14:paraId="4AA489C1"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17500</w:t>
            </w:r>
          </w:p>
        </w:tc>
        <w:tc>
          <w:tcPr>
            <w:tcW w:w="0" w:type="auto"/>
            <w:shd w:val="clear" w:color="auto" w:fill="auto"/>
            <w:noWrap/>
            <w:vAlign w:val="bottom"/>
            <w:hideMark/>
          </w:tcPr>
          <w:p w14:paraId="25458376"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17500</w:t>
            </w:r>
          </w:p>
        </w:tc>
        <w:tc>
          <w:tcPr>
            <w:tcW w:w="0" w:type="auto"/>
            <w:shd w:val="clear" w:color="auto" w:fill="auto"/>
            <w:noWrap/>
            <w:vAlign w:val="bottom"/>
            <w:hideMark/>
          </w:tcPr>
          <w:p w14:paraId="76D1113E"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17500</w:t>
            </w:r>
          </w:p>
        </w:tc>
      </w:tr>
      <w:tr w:rsidR="00C42217" w:rsidRPr="00C42217" w14:paraId="2AFB46BE" w14:textId="77777777" w:rsidTr="005007A6">
        <w:trPr>
          <w:trHeight w:val="20"/>
        </w:trPr>
        <w:tc>
          <w:tcPr>
            <w:tcW w:w="0" w:type="auto"/>
            <w:shd w:val="clear" w:color="auto" w:fill="auto"/>
            <w:noWrap/>
            <w:vAlign w:val="bottom"/>
            <w:hideMark/>
          </w:tcPr>
          <w:p w14:paraId="12643E2B"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Maintenance</w:t>
            </w:r>
          </w:p>
        </w:tc>
        <w:tc>
          <w:tcPr>
            <w:tcW w:w="0" w:type="auto"/>
            <w:vMerge/>
          </w:tcPr>
          <w:p w14:paraId="2AB1AAE0"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p>
        </w:tc>
        <w:tc>
          <w:tcPr>
            <w:tcW w:w="0" w:type="auto"/>
            <w:shd w:val="clear" w:color="auto" w:fill="auto"/>
            <w:noWrap/>
            <w:vAlign w:val="bottom"/>
            <w:hideMark/>
          </w:tcPr>
          <w:p w14:paraId="7CF51023"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12200</w:t>
            </w:r>
          </w:p>
        </w:tc>
        <w:tc>
          <w:tcPr>
            <w:tcW w:w="0" w:type="auto"/>
            <w:shd w:val="clear" w:color="auto" w:fill="auto"/>
            <w:noWrap/>
            <w:vAlign w:val="bottom"/>
            <w:hideMark/>
          </w:tcPr>
          <w:p w14:paraId="60791AD4"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12200</w:t>
            </w:r>
          </w:p>
        </w:tc>
        <w:tc>
          <w:tcPr>
            <w:tcW w:w="0" w:type="auto"/>
            <w:shd w:val="clear" w:color="auto" w:fill="auto"/>
            <w:noWrap/>
            <w:vAlign w:val="bottom"/>
            <w:hideMark/>
          </w:tcPr>
          <w:p w14:paraId="21072AA2"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12200</w:t>
            </w:r>
          </w:p>
        </w:tc>
      </w:tr>
      <w:tr w:rsidR="00C42217" w:rsidRPr="00C42217" w14:paraId="1B4881FF" w14:textId="77777777" w:rsidTr="005007A6">
        <w:trPr>
          <w:trHeight w:val="20"/>
        </w:trPr>
        <w:tc>
          <w:tcPr>
            <w:tcW w:w="0" w:type="auto"/>
            <w:shd w:val="clear" w:color="auto" w:fill="auto"/>
            <w:noWrap/>
            <w:vAlign w:val="bottom"/>
            <w:hideMark/>
          </w:tcPr>
          <w:p w14:paraId="04D5C237"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 xml:space="preserve">End of life </w:t>
            </w:r>
          </w:p>
        </w:tc>
        <w:tc>
          <w:tcPr>
            <w:tcW w:w="0" w:type="auto"/>
            <w:vMerge/>
          </w:tcPr>
          <w:p w14:paraId="17886DA2"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p>
        </w:tc>
        <w:tc>
          <w:tcPr>
            <w:tcW w:w="0" w:type="auto"/>
            <w:shd w:val="clear" w:color="auto" w:fill="auto"/>
            <w:noWrap/>
            <w:vAlign w:val="bottom"/>
            <w:hideMark/>
          </w:tcPr>
          <w:p w14:paraId="67E2956C"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6400</w:t>
            </w:r>
          </w:p>
        </w:tc>
        <w:tc>
          <w:tcPr>
            <w:tcW w:w="0" w:type="auto"/>
            <w:shd w:val="clear" w:color="auto" w:fill="auto"/>
            <w:noWrap/>
            <w:vAlign w:val="bottom"/>
            <w:hideMark/>
          </w:tcPr>
          <w:p w14:paraId="7A8B4B90"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6400</w:t>
            </w:r>
          </w:p>
        </w:tc>
        <w:tc>
          <w:tcPr>
            <w:tcW w:w="0" w:type="auto"/>
            <w:shd w:val="clear" w:color="auto" w:fill="auto"/>
            <w:noWrap/>
            <w:vAlign w:val="bottom"/>
            <w:hideMark/>
          </w:tcPr>
          <w:p w14:paraId="4CDED2C4"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6400</w:t>
            </w:r>
          </w:p>
        </w:tc>
      </w:tr>
      <w:tr w:rsidR="008C1923" w:rsidRPr="00C42217" w14:paraId="5DF54228" w14:textId="77777777" w:rsidTr="005007A6">
        <w:trPr>
          <w:trHeight w:val="20"/>
        </w:trPr>
        <w:tc>
          <w:tcPr>
            <w:tcW w:w="0" w:type="auto"/>
            <w:shd w:val="clear" w:color="auto" w:fill="auto"/>
            <w:noWrap/>
            <w:vAlign w:val="bottom"/>
            <w:hideMark/>
          </w:tcPr>
          <w:p w14:paraId="47AFD07A" w14:textId="77777777" w:rsidR="008C1923" w:rsidRPr="00C42217" w:rsidRDefault="008C1923" w:rsidP="002E53FC">
            <w:pPr>
              <w:spacing w:after="0" w:line="240" w:lineRule="auto"/>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Benefit and loads</w:t>
            </w:r>
          </w:p>
        </w:tc>
        <w:tc>
          <w:tcPr>
            <w:tcW w:w="0" w:type="auto"/>
            <w:vMerge/>
          </w:tcPr>
          <w:p w14:paraId="3EDDC50B"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p>
        </w:tc>
        <w:tc>
          <w:tcPr>
            <w:tcW w:w="0" w:type="auto"/>
            <w:shd w:val="clear" w:color="auto" w:fill="auto"/>
            <w:noWrap/>
            <w:vAlign w:val="bottom"/>
            <w:hideMark/>
          </w:tcPr>
          <w:p w14:paraId="5CDCFFFA"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-287649</w:t>
            </w:r>
          </w:p>
        </w:tc>
        <w:tc>
          <w:tcPr>
            <w:tcW w:w="0" w:type="auto"/>
            <w:shd w:val="clear" w:color="auto" w:fill="auto"/>
            <w:noWrap/>
            <w:vAlign w:val="bottom"/>
            <w:hideMark/>
          </w:tcPr>
          <w:p w14:paraId="2554F084"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-285036</w:t>
            </w:r>
          </w:p>
        </w:tc>
        <w:tc>
          <w:tcPr>
            <w:tcW w:w="0" w:type="auto"/>
            <w:shd w:val="clear" w:color="auto" w:fill="auto"/>
            <w:noWrap/>
            <w:vAlign w:val="bottom"/>
            <w:hideMark/>
          </w:tcPr>
          <w:p w14:paraId="469BB17F" w14:textId="77777777" w:rsidR="008C1923" w:rsidRPr="00C42217" w:rsidRDefault="008C1923" w:rsidP="002E53FC">
            <w:pPr>
              <w:spacing w:after="0" w:line="240" w:lineRule="auto"/>
              <w:jc w:val="right"/>
              <w:rPr>
                <w:rFonts w:asciiTheme="majorBidi" w:eastAsia="Times New Roman" w:hAnsiTheme="majorBidi" w:cstheme="majorBidi"/>
                <w:sz w:val="18"/>
                <w:szCs w:val="18"/>
              </w:rPr>
            </w:pPr>
            <w:r w:rsidRPr="00C42217">
              <w:rPr>
                <w:rFonts w:asciiTheme="majorBidi" w:eastAsia="Times New Roman" w:hAnsiTheme="majorBidi" w:cstheme="majorBidi"/>
                <w:sz w:val="18"/>
                <w:szCs w:val="18"/>
              </w:rPr>
              <w:t>-293737</w:t>
            </w:r>
          </w:p>
        </w:tc>
      </w:tr>
    </w:tbl>
    <w:p w14:paraId="24F7DD63" w14:textId="77777777" w:rsidR="00095257" w:rsidRPr="00C42217" w:rsidRDefault="00095257" w:rsidP="00273663">
      <w:pPr>
        <w:spacing w:after="0"/>
        <w:jc w:val="both"/>
        <w:rPr>
          <w:rFonts w:asciiTheme="majorBidi" w:hAnsiTheme="majorBidi" w:cstheme="majorBidi"/>
          <w:sz w:val="20"/>
          <w:szCs w:val="20"/>
        </w:rPr>
      </w:pPr>
    </w:p>
    <w:p w14:paraId="3606F293" w14:textId="77777777" w:rsidR="00084B5D" w:rsidRPr="00C42217" w:rsidRDefault="00084B5D" w:rsidP="007236C2">
      <w:pPr>
        <w:spacing w:after="0"/>
        <w:jc w:val="both"/>
        <w:rPr>
          <w:rFonts w:asciiTheme="majorBidi" w:hAnsiTheme="majorBidi" w:cstheme="majorBidi"/>
          <w:sz w:val="20"/>
          <w:szCs w:val="20"/>
        </w:rPr>
      </w:pPr>
    </w:p>
    <w:p w14:paraId="4394C612" w14:textId="77777777" w:rsidR="00F24C17" w:rsidRPr="00C42217" w:rsidRDefault="000B5BC7" w:rsidP="00273663">
      <w:pPr>
        <w:spacing w:after="0"/>
        <w:ind w:firstLine="720"/>
        <w:jc w:val="both"/>
        <w:rPr>
          <w:rFonts w:asciiTheme="majorBidi" w:hAnsiTheme="majorBidi" w:cstheme="majorBidi"/>
          <w:sz w:val="20"/>
          <w:szCs w:val="20"/>
        </w:rPr>
      </w:pPr>
      <w:r w:rsidRPr="00C42217">
        <w:rPr>
          <w:rFonts w:asciiTheme="majorBidi" w:hAnsiTheme="majorBidi" w:cstheme="majorBidi"/>
          <w:b/>
          <w:bCs/>
        </w:rPr>
        <w:t>Appendix 3</w:t>
      </w:r>
    </w:p>
    <w:tbl>
      <w:tblPr>
        <w:tblW w:w="7711" w:type="dxa"/>
        <w:jc w:val="center"/>
        <w:tblLook w:val="04A0" w:firstRow="1" w:lastRow="0" w:firstColumn="1" w:lastColumn="0" w:noHBand="0" w:noVBand="1"/>
      </w:tblPr>
      <w:tblGrid>
        <w:gridCol w:w="1018"/>
        <w:gridCol w:w="911"/>
        <w:gridCol w:w="911"/>
        <w:gridCol w:w="911"/>
        <w:gridCol w:w="911"/>
        <w:gridCol w:w="911"/>
        <w:gridCol w:w="1227"/>
        <w:gridCol w:w="911"/>
      </w:tblGrid>
      <w:tr w:rsidR="00C42217" w:rsidRPr="00C42217" w14:paraId="3EA5536B" w14:textId="77777777" w:rsidTr="00273663">
        <w:trPr>
          <w:trHeight w:val="295"/>
          <w:jc w:val="center"/>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3D7F841F" w14:textId="77777777" w:rsidR="0030699D" w:rsidRPr="00C42217" w:rsidRDefault="0030699D" w:rsidP="0030699D">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Criteria</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5FFC5C19" w14:textId="77777777" w:rsidR="0030699D" w:rsidRPr="00C42217" w:rsidRDefault="0030699D"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GWP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6F6605D1" w14:textId="77777777" w:rsidR="0030699D" w:rsidRPr="00C42217" w:rsidRDefault="003C5589"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HTP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37FA21DB" w14:textId="77777777" w:rsidR="0030699D" w:rsidRPr="00C42217" w:rsidRDefault="0030699D"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AP</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11F19D03" w14:textId="77777777" w:rsidR="0030699D" w:rsidRPr="00C42217" w:rsidRDefault="0030699D"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TE</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7D213661" w14:textId="77777777" w:rsidR="0030699D" w:rsidRPr="00C42217" w:rsidRDefault="0030699D"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FD</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7E303393" w14:textId="77777777" w:rsidR="00F667D2" w:rsidRPr="00C42217" w:rsidRDefault="00F667D2"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 xml:space="preserve">Embodied </w:t>
            </w:r>
          </w:p>
          <w:p w14:paraId="1A3796D9" w14:textId="77777777" w:rsidR="0030699D" w:rsidRPr="00C42217" w:rsidRDefault="00F667D2"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energy</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61A2D3D4" w14:textId="77777777" w:rsidR="0030699D" w:rsidRPr="00C42217" w:rsidRDefault="00B44483" w:rsidP="00DF79C7">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Cost</w:t>
            </w:r>
          </w:p>
        </w:tc>
      </w:tr>
      <w:tr w:rsidR="00C42217" w:rsidRPr="00C42217" w14:paraId="6BCE82F4" w14:textId="77777777" w:rsidTr="00273663">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77DFCD2"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CLT</w:t>
            </w:r>
          </w:p>
        </w:tc>
        <w:tc>
          <w:tcPr>
            <w:tcW w:w="0" w:type="auto"/>
            <w:tcBorders>
              <w:top w:val="nil"/>
              <w:left w:val="nil"/>
              <w:bottom w:val="single" w:sz="4" w:space="0" w:color="auto"/>
              <w:right w:val="single" w:sz="4" w:space="0" w:color="auto"/>
            </w:tcBorders>
            <w:shd w:val="clear" w:color="auto" w:fill="auto"/>
            <w:noWrap/>
            <w:vAlign w:val="center"/>
          </w:tcPr>
          <w:p w14:paraId="6758F308"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0.6258</w:t>
            </w:r>
          </w:p>
        </w:tc>
        <w:tc>
          <w:tcPr>
            <w:tcW w:w="0" w:type="auto"/>
            <w:tcBorders>
              <w:top w:val="nil"/>
              <w:left w:val="nil"/>
              <w:bottom w:val="single" w:sz="4" w:space="0" w:color="auto"/>
              <w:right w:val="single" w:sz="4" w:space="0" w:color="auto"/>
            </w:tcBorders>
            <w:shd w:val="clear" w:color="auto" w:fill="auto"/>
            <w:noWrap/>
            <w:vAlign w:val="center"/>
          </w:tcPr>
          <w:p w14:paraId="5A706594"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0.6157</w:t>
            </w:r>
          </w:p>
        </w:tc>
        <w:tc>
          <w:tcPr>
            <w:tcW w:w="0" w:type="auto"/>
            <w:tcBorders>
              <w:top w:val="nil"/>
              <w:left w:val="nil"/>
              <w:bottom w:val="single" w:sz="4" w:space="0" w:color="auto"/>
              <w:right w:val="single" w:sz="4" w:space="0" w:color="auto"/>
            </w:tcBorders>
            <w:shd w:val="clear" w:color="auto" w:fill="auto"/>
            <w:noWrap/>
            <w:vAlign w:val="center"/>
          </w:tcPr>
          <w:p w14:paraId="24F5B948"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0.5625</w:t>
            </w:r>
          </w:p>
        </w:tc>
        <w:tc>
          <w:tcPr>
            <w:tcW w:w="0" w:type="auto"/>
            <w:tcBorders>
              <w:top w:val="nil"/>
              <w:left w:val="nil"/>
              <w:bottom w:val="single" w:sz="4" w:space="0" w:color="auto"/>
              <w:right w:val="single" w:sz="4" w:space="0" w:color="auto"/>
            </w:tcBorders>
            <w:shd w:val="clear" w:color="auto" w:fill="auto"/>
            <w:noWrap/>
            <w:vAlign w:val="center"/>
          </w:tcPr>
          <w:p w14:paraId="01D1C2D2"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0.5839</w:t>
            </w:r>
          </w:p>
        </w:tc>
        <w:tc>
          <w:tcPr>
            <w:tcW w:w="0" w:type="auto"/>
            <w:tcBorders>
              <w:top w:val="nil"/>
              <w:left w:val="nil"/>
              <w:bottom w:val="single" w:sz="4" w:space="0" w:color="auto"/>
              <w:right w:val="single" w:sz="4" w:space="0" w:color="auto"/>
            </w:tcBorders>
            <w:shd w:val="clear" w:color="000000" w:fill="FFFFFF"/>
            <w:noWrap/>
            <w:vAlign w:val="center"/>
          </w:tcPr>
          <w:p w14:paraId="672BA696"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0.5286</w:t>
            </w:r>
          </w:p>
        </w:tc>
        <w:tc>
          <w:tcPr>
            <w:tcW w:w="0" w:type="auto"/>
            <w:tcBorders>
              <w:top w:val="nil"/>
              <w:left w:val="nil"/>
              <w:bottom w:val="single" w:sz="4" w:space="0" w:color="auto"/>
              <w:right w:val="single" w:sz="4" w:space="0" w:color="auto"/>
            </w:tcBorders>
            <w:shd w:val="clear" w:color="000000" w:fill="FFFFFF"/>
            <w:noWrap/>
            <w:vAlign w:val="center"/>
          </w:tcPr>
          <w:p w14:paraId="10A2C075"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0.5512</w:t>
            </w:r>
          </w:p>
        </w:tc>
        <w:tc>
          <w:tcPr>
            <w:tcW w:w="0" w:type="auto"/>
            <w:tcBorders>
              <w:top w:val="nil"/>
              <w:left w:val="nil"/>
              <w:bottom w:val="single" w:sz="4" w:space="0" w:color="auto"/>
              <w:right w:val="single" w:sz="4" w:space="0" w:color="auto"/>
            </w:tcBorders>
            <w:shd w:val="clear" w:color="000000" w:fill="FFFFFF"/>
            <w:noWrap/>
            <w:vAlign w:val="center"/>
          </w:tcPr>
          <w:p w14:paraId="4EBE0B9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0.5951</w:t>
            </w:r>
          </w:p>
        </w:tc>
      </w:tr>
      <w:tr w:rsidR="00C42217" w:rsidRPr="00C42217" w14:paraId="7109E70B" w14:textId="77777777" w:rsidTr="00273663">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6C82BD34"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DLT</w:t>
            </w:r>
          </w:p>
        </w:tc>
        <w:tc>
          <w:tcPr>
            <w:tcW w:w="0" w:type="auto"/>
            <w:tcBorders>
              <w:top w:val="nil"/>
              <w:left w:val="nil"/>
              <w:bottom w:val="single" w:sz="4" w:space="0" w:color="auto"/>
              <w:right w:val="single" w:sz="4" w:space="0" w:color="auto"/>
            </w:tcBorders>
            <w:shd w:val="clear" w:color="auto" w:fill="auto"/>
            <w:noWrap/>
            <w:vAlign w:val="center"/>
          </w:tcPr>
          <w:p w14:paraId="6EA169C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0.5611</w:t>
            </w:r>
          </w:p>
        </w:tc>
        <w:tc>
          <w:tcPr>
            <w:tcW w:w="0" w:type="auto"/>
            <w:tcBorders>
              <w:top w:val="nil"/>
              <w:left w:val="nil"/>
              <w:bottom w:val="single" w:sz="4" w:space="0" w:color="auto"/>
              <w:right w:val="single" w:sz="4" w:space="0" w:color="auto"/>
            </w:tcBorders>
            <w:shd w:val="clear" w:color="auto" w:fill="auto"/>
            <w:noWrap/>
            <w:vAlign w:val="center"/>
          </w:tcPr>
          <w:p w14:paraId="4162E05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0.5804</w:t>
            </w:r>
          </w:p>
        </w:tc>
        <w:tc>
          <w:tcPr>
            <w:tcW w:w="0" w:type="auto"/>
            <w:tcBorders>
              <w:top w:val="nil"/>
              <w:left w:val="nil"/>
              <w:bottom w:val="single" w:sz="4" w:space="0" w:color="auto"/>
              <w:right w:val="single" w:sz="4" w:space="0" w:color="auto"/>
            </w:tcBorders>
            <w:shd w:val="clear" w:color="auto" w:fill="auto"/>
            <w:noWrap/>
            <w:vAlign w:val="center"/>
          </w:tcPr>
          <w:p w14:paraId="094436C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0.5043</w:t>
            </w:r>
          </w:p>
        </w:tc>
        <w:tc>
          <w:tcPr>
            <w:tcW w:w="0" w:type="auto"/>
            <w:tcBorders>
              <w:top w:val="nil"/>
              <w:left w:val="nil"/>
              <w:bottom w:val="single" w:sz="4" w:space="0" w:color="auto"/>
              <w:right w:val="single" w:sz="4" w:space="0" w:color="auto"/>
            </w:tcBorders>
            <w:shd w:val="clear" w:color="auto" w:fill="auto"/>
            <w:noWrap/>
            <w:vAlign w:val="center"/>
          </w:tcPr>
          <w:p w14:paraId="18F54DDA"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0.5079</w:t>
            </w:r>
          </w:p>
        </w:tc>
        <w:tc>
          <w:tcPr>
            <w:tcW w:w="0" w:type="auto"/>
            <w:tcBorders>
              <w:top w:val="nil"/>
              <w:left w:val="nil"/>
              <w:bottom w:val="single" w:sz="4" w:space="0" w:color="auto"/>
              <w:right w:val="single" w:sz="4" w:space="0" w:color="auto"/>
            </w:tcBorders>
            <w:shd w:val="clear" w:color="000000" w:fill="FFFFFF"/>
            <w:noWrap/>
            <w:vAlign w:val="center"/>
          </w:tcPr>
          <w:p w14:paraId="15B85F77"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0.5007</w:t>
            </w:r>
          </w:p>
        </w:tc>
        <w:tc>
          <w:tcPr>
            <w:tcW w:w="0" w:type="auto"/>
            <w:tcBorders>
              <w:top w:val="nil"/>
              <w:left w:val="nil"/>
              <w:bottom w:val="single" w:sz="4" w:space="0" w:color="auto"/>
              <w:right w:val="single" w:sz="4" w:space="0" w:color="auto"/>
            </w:tcBorders>
            <w:shd w:val="clear" w:color="000000" w:fill="FFFFFF"/>
            <w:noWrap/>
            <w:vAlign w:val="center"/>
          </w:tcPr>
          <w:p w14:paraId="5D3325B4"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0.5466</w:t>
            </w:r>
          </w:p>
        </w:tc>
        <w:tc>
          <w:tcPr>
            <w:tcW w:w="0" w:type="auto"/>
            <w:tcBorders>
              <w:top w:val="nil"/>
              <w:left w:val="nil"/>
              <w:bottom w:val="single" w:sz="4" w:space="0" w:color="auto"/>
              <w:right w:val="single" w:sz="4" w:space="0" w:color="auto"/>
            </w:tcBorders>
            <w:shd w:val="clear" w:color="000000" w:fill="FFFFFF"/>
            <w:noWrap/>
            <w:vAlign w:val="center"/>
          </w:tcPr>
          <w:p w14:paraId="0E3A638E"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0.5583</w:t>
            </w:r>
          </w:p>
        </w:tc>
      </w:tr>
      <w:tr w:rsidR="00C42217" w:rsidRPr="00C42217" w14:paraId="7E3C4999" w14:textId="77777777" w:rsidTr="00273663">
        <w:trPr>
          <w:trHeight w:val="295"/>
          <w:jc w:val="center"/>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23F1947F"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NLT</w:t>
            </w:r>
          </w:p>
        </w:tc>
        <w:tc>
          <w:tcPr>
            <w:tcW w:w="0" w:type="auto"/>
            <w:tcBorders>
              <w:top w:val="nil"/>
              <w:left w:val="nil"/>
              <w:bottom w:val="single" w:sz="4" w:space="0" w:color="auto"/>
              <w:right w:val="single" w:sz="4" w:space="0" w:color="auto"/>
            </w:tcBorders>
            <w:shd w:val="clear" w:color="auto" w:fill="auto"/>
            <w:noWrap/>
            <w:vAlign w:val="center"/>
          </w:tcPr>
          <w:p w14:paraId="05DA9D96"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0.5418</w:t>
            </w:r>
          </w:p>
        </w:tc>
        <w:tc>
          <w:tcPr>
            <w:tcW w:w="0" w:type="auto"/>
            <w:tcBorders>
              <w:top w:val="nil"/>
              <w:left w:val="nil"/>
              <w:bottom w:val="single" w:sz="4" w:space="0" w:color="auto"/>
              <w:right w:val="single" w:sz="4" w:space="0" w:color="auto"/>
            </w:tcBorders>
            <w:shd w:val="clear" w:color="auto" w:fill="auto"/>
            <w:noWrap/>
            <w:vAlign w:val="center"/>
          </w:tcPr>
          <w:p w14:paraId="2EDC47FA"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0.5330</w:t>
            </w:r>
          </w:p>
        </w:tc>
        <w:tc>
          <w:tcPr>
            <w:tcW w:w="0" w:type="auto"/>
            <w:tcBorders>
              <w:top w:val="nil"/>
              <w:left w:val="nil"/>
              <w:bottom w:val="single" w:sz="4" w:space="0" w:color="auto"/>
              <w:right w:val="single" w:sz="4" w:space="0" w:color="auto"/>
            </w:tcBorders>
            <w:shd w:val="clear" w:color="auto" w:fill="auto"/>
            <w:noWrap/>
            <w:vAlign w:val="center"/>
          </w:tcPr>
          <w:p w14:paraId="53C21C68"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0.6552</w:t>
            </w:r>
          </w:p>
        </w:tc>
        <w:tc>
          <w:tcPr>
            <w:tcW w:w="0" w:type="auto"/>
            <w:tcBorders>
              <w:top w:val="nil"/>
              <w:left w:val="nil"/>
              <w:bottom w:val="single" w:sz="4" w:space="0" w:color="auto"/>
              <w:right w:val="single" w:sz="4" w:space="0" w:color="auto"/>
            </w:tcBorders>
            <w:shd w:val="clear" w:color="auto" w:fill="auto"/>
            <w:noWrap/>
            <w:vAlign w:val="center"/>
          </w:tcPr>
          <w:p w14:paraId="58C8B2C6"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0.6333</w:t>
            </w:r>
          </w:p>
        </w:tc>
        <w:tc>
          <w:tcPr>
            <w:tcW w:w="0" w:type="auto"/>
            <w:tcBorders>
              <w:top w:val="nil"/>
              <w:left w:val="nil"/>
              <w:bottom w:val="single" w:sz="4" w:space="0" w:color="auto"/>
              <w:right w:val="single" w:sz="4" w:space="0" w:color="auto"/>
            </w:tcBorders>
            <w:shd w:val="clear" w:color="000000" w:fill="FFFFFF"/>
            <w:noWrap/>
            <w:vAlign w:val="center"/>
          </w:tcPr>
          <w:p w14:paraId="267F2C79"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0.6855</w:t>
            </w:r>
          </w:p>
        </w:tc>
        <w:tc>
          <w:tcPr>
            <w:tcW w:w="0" w:type="auto"/>
            <w:tcBorders>
              <w:top w:val="nil"/>
              <w:left w:val="nil"/>
              <w:bottom w:val="single" w:sz="4" w:space="0" w:color="auto"/>
              <w:right w:val="single" w:sz="4" w:space="0" w:color="auto"/>
            </w:tcBorders>
            <w:shd w:val="clear" w:color="000000" w:fill="FFFFFF"/>
            <w:noWrap/>
            <w:vAlign w:val="center"/>
          </w:tcPr>
          <w:p w14:paraId="77D9EFED"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0.6305</w:t>
            </w:r>
          </w:p>
        </w:tc>
        <w:tc>
          <w:tcPr>
            <w:tcW w:w="0" w:type="auto"/>
            <w:tcBorders>
              <w:top w:val="nil"/>
              <w:left w:val="nil"/>
              <w:bottom w:val="single" w:sz="4" w:space="0" w:color="auto"/>
              <w:right w:val="single" w:sz="4" w:space="0" w:color="auto"/>
            </w:tcBorders>
            <w:shd w:val="clear" w:color="000000" w:fill="FFFFFF"/>
            <w:noWrap/>
            <w:vAlign w:val="center"/>
          </w:tcPr>
          <w:p w14:paraId="7ED64C5B"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0.5781</w:t>
            </w:r>
          </w:p>
        </w:tc>
      </w:tr>
    </w:tbl>
    <w:p w14:paraId="69E06D3D" w14:textId="77777777" w:rsidR="00F24C17" w:rsidRPr="00C42217" w:rsidRDefault="00F24C17" w:rsidP="007236C2">
      <w:pPr>
        <w:spacing w:after="0"/>
        <w:jc w:val="both"/>
        <w:rPr>
          <w:rFonts w:asciiTheme="majorBidi" w:hAnsiTheme="majorBidi" w:cstheme="majorBidi"/>
          <w:sz w:val="20"/>
          <w:szCs w:val="20"/>
        </w:rPr>
      </w:pPr>
    </w:p>
    <w:p w14:paraId="61CBA456" w14:textId="77777777" w:rsidR="00E462E4" w:rsidRPr="00C42217" w:rsidRDefault="00E462E4" w:rsidP="007236C2">
      <w:pPr>
        <w:spacing w:after="0"/>
        <w:jc w:val="both"/>
        <w:rPr>
          <w:rFonts w:asciiTheme="majorBidi" w:hAnsiTheme="majorBidi" w:cstheme="majorBidi"/>
          <w:sz w:val="20"/>
          <w:szCs w:val="20"/>
        </w:rPr>
      </w:pPr>
    </w:p>
    <w:p w14:paraId="5C6C55A7" w14:textId="77777777" w:rsidR="00E462E4" w:rsidRPr="00C42217" w:rsidRDefault="00E462E4" w:rsidP="00273663">
      <w:pPr>
        <w:spacing w:after="0"/>
        <w:ind w:firstLine="720"/>
        <w:jc w:val="both"/>
        <w:rPr>
          <w:rFonts w:asciiTheme="majorBidi" w:hAnsiTheme="majorBidi" w:cstheme="majorBidi"/>
        </w:rPr>
      </w:pPr>
      <w:r w:rsidRPr="00C42217">
        <w:rPr>
          <w:rFonts w:asciiTheme="majorBidi" w:hAnsiTheme="majorBidi" w:cstheme="majorBidi"/>
          <w:b/>
          <w:bCs/>
        </w:rPr>
        <w:t xml:space="preserve">Appendix </w:t>
      </w:r>
      <w:r w:rsidR="000B5BC7" w:rsidRPr="00C42217">
        <w:rPr>
          <w:rFonts w:asciiTheme="majorBidi" w:hAnsiTheme="majorBidi" w:cstheme="majorBidi"/>
          <w:b/>
          <w:bCs/>
        </w:rPr>
        <w:t>4</w:t>
      </w:r>
      <w:r w:rsidRPr="00C42217">
        <w:rPr>
          <w:rFonts w:asciiTheme="majorBidi" w:hAnsiTheme="majorBidi" w:cstheme="majorBidi"/>
        </w:rPr>
        <w:t xml:space="preserve">, </w:t>
      </w:r>
      <w:r w:rsidR="00273663" w:rsidRPr="00C42217">
        <w:rPr>
          <w:rFonts w:asciiTheme="majorBidi" w:hAnsiTheme="majorBidi" w:cstheme="majorBidi"/>
        </w:rPr>
        <w:t>same</w:t>
      </w:r>
      <w:r w:rsidRPr="00C42217">
        <w:rPr>
          <w:rFonts w:asciiTheme="majorBidi" w:hAnsiTheme="majorBidi" w:cstheme="majorBidi"/>
        </w:rPr>
        <w:t xml:space="preserve"> weighting </w:t>
      </w:r>
    </w:p>
    <w:tbl>
      <w:tblPr>
        <w:tblW w:w="0" w:type="auto"/>
        <w:tblInd w:w="772" w:type="dxa"/>
        <w:tblLook w:val="04A0" w:firstRow="1" w:lastRow="0" w:firstColumn="1" w:lastColumn="0" w:noHBand="0" w:noVBand="1"/>
      </w:tblPr>
      <w:tblGrid>
        <w:gridCol w:w="772"/>
        <w:gridCol w:w="656"/>
        <w:gridCol w:w="656"/>
        <w:gridCol w:w="656"/>
        <w:gridCol w:w="656"/>
        <w:gridCol w:w="656"/>
        <w:gridCol w:w="883"/>
        <w:gridCol w:w="656"/>
        <w:gridCol w:w="656"/>
        <w:gridCol w:w="656"/>
        <w:gridCol w:w="656"/>
        <w:gridCol w:w="572"/>
      </w:tblGrid>
      <w:tr w:rsidR="00C42217" w:rsidRPr="00C42217" w14:paraId="2EA7D363" w14:textId="77777777" w:rsidTr="00273663">
        <w:trPr>
          <w:trHeight w:val="360"/>
        </w:trPr>
        <w:tc>
          <w:tcPr>
            <w:tcW w:w="0" w:type="auto"/>
            <w:tcBorders>
              <w:top w:val="single" w:sz="4" w:space="0" w:color="auto"/>
              <w:left w:val="single" w:sz="4" w:space="0" w:color="auto"/>
              <w:bottom w:val="single" w:sz="4" w:space="0" w:color="auto"/>
              <w:right w:val="single" w:sz="4" w:space="0" w:color="auto"/>
            </w:tcBorders>
            <w:shd w:val="clear" w:color="auto" w:fill="AEAAAA" w:themeFill="background2" w:themeFillShade="BF"/>
            <w:noWrap/>
            <w:vAlign w:val="center"/>
            <w:hideMark/>
          </w:tcPr>
          <w:p w14:paraId="431EBC69" w14:textId="77777777" w:rsidR="00E462E4" w:rsidRPr="00C42217" w:rsidRDefault="00E462E4" w:rsidP="005007A6">
            <w:pPr>
              <w:spacing w:after="0"/>
              <w:jc w:val="center"/>
              <w:rPr>
                <w:rFonts w:asciiTheme="majorBidi" w:hAnsiTheme="majorBidi" w:cstheme="majorBidi"/>
                <w:sz w:val="16"/>
                <w:szCs w:val="16"/>
              </w:rPr>
            </w:pPr>
            <w:r w:rsidRPr="00C42217">
              <w:rPr>
                <w:rFonts w:asciiTheme="majorBidi" w:hAnsiTheme="majorBidi" w:cstheme="majorBidi"/>
                <w:sz w:val="16"/>
                <w:szCs w:val="16"/>
              </w:rPr>
              <w:t> </w:t>
            </w:r>
            <w:r w:rsidRPr="00C42217">
              <w:rPr>
                <w:rFonts w:asciiTheme="majorBidi" w:hAnsiTheme="majorBidi" w:cstheme="majorBidi"/>
                <w:b/>
                <w:bCs/>
                <w:i/>
                <w:iCs/>
                <w:sz w:val="16"/>
                <w:szCs w:val="16"/>
              </w:rPr>
              <w:t>Criteria</w:t>
            </w:r>
          </w:p>
        </w:tc>
        <w:tc>
          <w:tcPr>
            <w:tcW w:w="0" w:type="auto"/>
            <w:tcBorders>
              <w:top w:val="single" w:sz="4" w:space="0" w:color="auto"/>
              <w:left w:val="nil"/>
              <w:bottom w:val="single" w:sz="4" w:space="0" w:color="auto"/>
              <w:right w:val="single" w:sz="4" w:space="0" w:color="auto"/>
            </w:tcBorders>
            <w:shd w:val="clear" w:color="auto" w:fill="AEAAAA" w:themeFill="background2" w:themeFillShade="BF"/>
            <w:noWrap/>
            <w:vAlign w:val="center"/>
            <w:hideMark/>
          </w:tcPr>
          <w:p w14:paraId="0D2EF2B2"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GWP</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5D215561" w14:textId="77777777" w:rsidR="00E462E4" w:rsidRPr="00C42217" w:rsidRDefault="003C5589"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HTP</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62D54559"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AP</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2AD262BE"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TE</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6422CCB7"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FD</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26148371" w14:textId="77777777" w:rsidR="00F667D2" w:rsidRPr="00C42217" w:rsidRDefault="00F667D2"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Embodied</w:t>
            </w:r>
          </w:p>
          <w:p w14:paraId="7C033C4C" w14:textId="77777777" w:rsidR="00E462E4" w:rsidRPr="00C42217" w:rsidRDefault="00F667D2"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 xml:space="preserve"> energy</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232D1CEF" w14:textId="77777777" w:rsidR="00E462E4" w:rsidRPr="00C42217" w:rsidRDefault="00B44483" w:rsidP="00B44483">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Cost</w:t>
            </w:r>
          </w:p>
        </w:tc>
        <w:tc>
          <w:tcPr>
            <w:tcW w:w="0" w:type="auto"/>
            <w:tcBorders>
              <w:top w:val="single" w:sz="4" w:space="0" w:color="auto"/>
              <w:left w:val="single" w:sz="4" w:space="0" w:color="auto"/>
              <w:bottom w:val="single" w:sz="4" w:space="0" w:color="auto"/>
              <w:right w:val="single" w:sz="4" w:space="0" w:color="auto"/>
            </w:tcBorders>
            <w:shd w:val="clear" w:color="000000" w:fill="AEAAAA"/>
            <w:noWrap/>
            <w:vAlign w:val="center"/>
            <w:hideMark/>
          </w:tcPr>
          <w:p w14:paraId="14BBB0E7"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Si+</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7F7E4A9B"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Si-</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2B012175"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Pi</w:t>
            </w:r>
          </w:p>
        </w:tc>
        <w:tc>
          <w:tcPr>
            <w:tcW w:w="0" w:type="auto"/>
            <w:tcBorders>
              <w:top w:val="single" w:sz="4" w:space="0" w:color="auto"/>
              <w:left w:val="nil"/>
              <w:bottom w:val="single" w:sz="4" w:space="0" w:color="auto"/>
              <w:right w:val="single" w:sz="4" w:space="0" w:color="auto"/>
            </w:tcBorders>
            <w:shd w:val="clear" w:color="000000" w:fill="AEAAAA"/>
            <w:noWrap/>
            <w:vAlign w:val="center"/>
            <w:hideMark/>
          </w:tcPr>
          <w:p w14:paraId="656D56CD" w14:textId="77777777" w:rsidR="00E462E4" w:rsidRPr="00C42217" w:rsidRDefault="00E462E4" w:rsidP="005007A6">
            <w:pPr>
              <w:spacing w:after="0"/>
              <w:jc w:val="center"/>
              <w:rPr>
                <w:rFonts w:asciiTheme="majorBidi" w:hAnsiTheme="majorBidi" w:cstheme="majorBidi"/>
                <w:b/>
                <w:bCs/>
                <w:i/>
                <w:iCs/>
                <w:sz w:val="16"/>
                <w:szCs w:val="16"/>
              </w:rPr>
            </w:pPr>
            <w:r w:rsidRPr="00C42217">
              <w:rPr>
                <w:rFonts w:asciiTheme="majorBidi" w:hAnsiTheme="majorBidi" w:cstheme="majorBidi"/>
                <w:b/>
                <w:bCs/>
                <w:i/>
                <w:iCs/>
                <w:sz w:val="16"/>
                <w:szCs w:val="16"/>
              </w:rPr>
              <w:t>Rank</w:t>
            </w:r>
          </w:p>
        </w:tc>
      </w:tr>
      <w:tr w:rsidR="00C42217" w:rsidRPr="00C42217" w14:paraId="57D7E6C5" w14:textId="77777777" w:rsidTr="00273663">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7765396E"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CLT</w:t>
            </w:r>
          </w:p>
        </w:tc>
        <w:tc>
          <w:tcPr>
            <w:tcW w:w="0" w:type="auto"/>
            <w:tcBorders>
              <w:top w:val="nil"/>
              <w:left w:val="nil"/>
              <w:bottom w:val="single" w:sz="4" w:space="0" w:color="auto"/>
              <w:right w:val="single" w:sz="4" w:space="0" w:color="auto"/>
            </w:tcBorders>
            <w:shd w:val="clear" w:color="000000" w:fill="FFFFFF"/>
            <w:noWrap/>
            <w:vAlign w:val="center"/>
            <w:hideMark/>
          </w:tcPr>
          <w:p w14:paraId="01592135"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0.0894</w:t>
            </w:r>
          </w:p>
        </w:tc>
        <w:tc>
          <w:tcPr>
            <w:tcW w:w="0" w:type="auto"/>
            <w:tcBorders>
              <w:top w:val="nil"/>
              <w:left w:val="nil"/>
              <w:bottom w:val="single" w:sz="4" w:space="0" w:color="auto"/>
              <w:right w:val="single" w:sz="4" w:space="0" w:color="auto"/>
            </w:tcBorders>
            <w:shd w:val="clear" w:color="000000" w:fill="FFFFFF"/>
            <w:noWrap/>
            <w:vAlign w:val="center"/>
            <w:hideMark/>
          </w:tcPr>
          <w:p w14:paraId="535BA5A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0.0880</w:t>
            </w:r>
          </w:p>
        </w:tc>
        <w:tc>
          <w:tcPr>
            <w:tcW w:w="0" w:type="auto"/>
            <w:tcBorders>
              <w:top w:val="nil"/>
              <w:left w:val="nil"/>
              <w:bottom w:val="single" w:sz="4" w:space="0" w:color="auto"/>
              <w:right w:val="single" w:sz="4" w:space="0" w:color="auto"/>
            </w:tcBorders>
            <w:shd w:val="clear" w:color="000000" w:fill="FFFFFF"/>
            <w:noWrap/>
            <w:vAlign w:val="center"/>
            <w:hideMark/>
          </w:tcPr>
          <w:p w14:paraId="7DEDCDE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0.0804</w:t>
            </w:r>
          </w:p>
        </w:tc>
        <w:tc>
          <w:tcPr>
            <w:tcW w:w="0" w:type="auto"/>
            <w:tcBorders>
              <w:top w:val="nil"/>
              <w:left w:val="nil"/>
              <w:bottom w:val="single" w:sz="4" w:space="0" w:color="auto"/>
              <w:right w:val="single" w:sz="4" w:space="0" w:color="auto"/>
            </w:tcBorders>
            <w:shd w:val="clear" w:color="000000" w:fill="FFFFFF"/>
            <w:noWrap/>
            <w:vAlign w:val="center"/>
            <w:hideMark/>
          </w:tcPr>
          <w:p w14:paraId="2700257A"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0.0834</w:t>
            </w:r>
          </w:p>
        </w:tc>
        <w:tc>
          <w:tcPr>
            <w:tcW w:w="0" w:type="auto"/>
            <w:tcBorders>
              <w:top w:val="nil"/>
              <w:left w:val="nil"/>
              <w:bottom w:val="single" w:sz="4" w:space="0" w:color="auto"/>
              <w:right w:val="single" w:sz="4" w:space="0" w:color="auto"/>
            </w:tcBorders>
            <w:shd w:val="clear" w:color="000000" w:fill="FFFFFF"/>
            <w:noWrap/>
            <w:vAlign w:val="center"/>
            <w:hideMark/>
          </w:tcPr>
          <w:p w14:paraId="4BAA9329"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0.0755</w:t>
            </w:r>
          </w:p>
        </w:tc>
        <w:tc>
          <w:tcPr>
            <w:tcW w:w="0" w:type="auto"/>
            <w:tcBorders>
              <w:top w:val="nil"/>
              <w:left w:val="nil"/>
              <w:bottom w:val="single" w:sz="4" w:space="0" w:color="auto"/>
              <w:right w:val="single" w:sz="4" w:space="0" w:color="auto"/>
            </w:tcBorders>
            <w:shd w:val="clear" w:color="000000" w:fill="FFFFFF"/>
            <w:noWrap/>
            <w:vAlign w:val="center"/>
            <w:hideMark/>
          </w:tcPr>
          <w:p w14:paraId="69DC5D9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0.0787</w:t>
            </w:r>
          </w:p>
        </w:tc>
        <w:tc>
          <w:tcPr>
            <w:tcW w:w="0" w:type="auto"/>
            <w:tcBorders>
              <w:top w:val="nil"/>
              <w:left w:val="nil"/>
              <w:bottom w:val="single" w:sz="4" w:space="0" w:color="auto"/>
              <w:right w:val="single" w:sz="4" w:space="0" w:color="auto"/>
            </w:tcBorders>
            <w:shd w:val="clear" w:color="000000" w:fill="FFFFFF"/>
            <w:noWrap/>
            <w:vAlign w:val="center"/>
            <w:hideMark/>
          </w:tcPr>
          <w:p w14:paraId="45FE5D1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0.0850</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4A452367"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0.0227</w:t>
            </w:r>
          </w:p>
        </w:tc>
        <w:tc>
          <w:tcPr>
            <w:tcW w:w="0" w:type="auto"/>
            <w:tcBorders>
              <w:top w:val="nil"/>
              <w:left w:val="nil"/>
              <w:bottom w:val="single" w:sz="4" w:space="0" w:color="auto"/>
              <w:right w:val="single" w:sz="4" w:space="0" w:color="auto"/>
            </w:tcBorders>
            <w:shd w:val="clear" w:color="auto" w:fill="auto"/>
            <w:noWrap/>
            <w:vAlign w:val="center"/>
            <w:hideMark/>
          </w:tcPr>
          <w:p w14:paraId="596BF22B"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0.0293</w:t>
            </w:r>
          </w:p>
        </w:tc>
        <w:tc>
          <w:tcPr>
            <w:tcW w:w="0" w:type="auto"/>
            <w:tcBorders>
              <w:top w:val="nil"/>
              <w:left w:val="nil"/>
              <w:bottom w:val="single" w:sz="4" w:space="0" w:color="auto"/>
              <w:right w:val="single" w:sz="4" w:space="0" w:color="auto"/>
            </w:tcBorders>
            <w:shd w:val="clear" w:color="auto" w:fill="auto"/>
            <w:noWrap/>
            <w:vAlign w:val="center"/>
            <w:hideMark/>
          </w:tcPr>
          <w:p w14:paraId="1D364DF7"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0.5633</w:t>
            </w:r>
          </w:p>
        </w:tc>
        <w:tc>
          <w:tcPr>
            <w:tcW w:w="0" w:type="auto"/>
            <w:tcBorders>
              <w:top w:val="nil"/>
              <w:left w:val="nil"/>
              <w:bottom w:val="single" w:sz="4" w:space="0" w:color="auto"/>
              <w:right w:val="single" w:sz="4" w:space="0" w:color="auto"/>
            </w:tcBorders>
            <w:shd w:val="clear" w:color="000000" w:fill="FFFFFF"/>
            <w:noWrap/>
            <w:vAlign w:val="center"/>
            <w:hideMark/>
          </w:tcPr>
          <w:p w14:paraId="4759B74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2</w:t>
            </w:r>
          </w:p>
        </w:tc>
      </w:tr>
      <w:tr w:rsidR="00C42217" w:rsidRPr="00C42217" w14:paraId="0D79EE46" w14:textId="77777777" w:rsidTr="00273663">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0BCE936"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DLT</w:t>
            </w:r>
          </w:p>
        </w:tc>
        <w:tc>
          <w:tcPr>
            <w:tcW w:w="0" w:type="auto"/>
            <w:tcBorders>
              <w:top w:val="nil"/>
              <w:left w:val="nil"/>
              <w:bottom w:val="single" w:sz="4" w:space="0" w:color="auto"/>
              <w:right w:val="single" w:sz="4" w:space="0" w:color="auto"/>
            </w:tcBorders>
            <w:shd w:val="clear" w:color="000000" w:fill="FFFFFF"/>
            <w:noWrap/>
            <w:vAlign w:val="center"/>
            <w:hideMark/>
          </w:tcPr>
          <w:p w14:paraId="3A4B87B2"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0.0802</w:t>
            </w:r>
          </w:p>
        </w:tc>
        <w:tc>
          <w:tcPr>
            <w:tcW w:w="0" w:type="auto"/>
            <w:tcBorders>
              <w:top w:val="nil"/>
              <w:left w:val="nil"/>
              <w:bottom w:val="single" w:sz="4" w:space="0" w:color="auto"/>
              <w:right w:val="single" w:sz="4" w:space="0" w:color="auto"/>
            </w:tcBorders>
            <w:shd w:val="clear" w:color="000000" w:fill="FFFFFF"/>
            <w:noWrap/>
            <w:vAlign w:val="center"/>
            <w:hideMark/>
          </w:tcPr>
          <w:p w14:paraId="7EA191A6"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0.0829</w:t>
            </w:r>
          </w:p>
        </w:tc>
        <w:tc>
          <w:tcPr>
            <w:tcW w:w="0" w:type="auto"/>
            <w:tcBorders>
              <w:top w:val="nil"/>
              <w:left w:val="nil"/>
              <w:bottom w:val="single" w:sz="4" w:space="0" w:color="auto"/>
              <w:right w:val="single" w:sz="4" w:space="0" w:color="auto"/>
            </w:tcBorders>
            <w:shd w:val="clear" w:color="000000" w:fill="FFFFFF"/>
            <w:noWrap/>
            <w:vAlign w:val="center"/>
            <w:hideMark/>
          </w:tcPr>
          <w:p w14:paraId="175D9347"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0.0720</w:t>
            </w:r>
          </w:p>
        </w:tc>
        <w:tc>
          <w:tcPr>
            <w:tcW w:w="0" w:type="auto"/>
            <w:tcBorders>
              <w:top w:val="nil"/>
              <w:left w:val="nil"/>
              <w:bottom w:val="single" w:sz="4" w:space="0" w:color="auto"/>
              <w:right w:val="single" w:sz="4" w:space="0" w:color="auto"/>
            </w:tcBorders>
            <w:shd w:val="clear" w:color="000000" w:fill="FFFFFF"/>
            <w:noWrap/>
            <w:vAlign w:val="center"/>
            <w:hideMark/>
          </w:tcPr>
          <w:p w14:paraId="7BE7DBF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0.0726</w:t>
            </w:r>
          </w:p>
        </w:tc>
        <w:tc>
          <w:tcPr>
            <w:tcW w:w="0" w:type="auto"/>
            <w:tcBorders>
              <w:top w:val="nil"/>
              <w:left w:val="nil"/>
              <w:bottom w:val="single" w:sz="4" w:space="0" w:color="auto"/>
              <w:right w:val="single" w:sz="4" w:space="0" w:color="auto"/>
            </w:tcBorders>
            <w:shd w:val="clear" w:color="000000" w:fill="FFFFFF"/>
            <w:noWrap/>
            <w:vAlign w:val="center"/>
            <w:hideMark/>
          </w:tcPr>
          <w:p w14:paraId="08ED7B87"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0.0715</w:t>
            </w:r>
          </w:p>
        </w:tc>
        <w:tc>
          <w:tcPr>
            <w:tcW w:w="0" w:type="auto"/>
            <w:tcBorders>
              <w:top w:val="nil"/>
              <w:left w:val="nil"/>
              <w:bottom w:val="single" w:sz="4" w:space="0" w:color="auto"/>
              <w:right w:val="single" w:sz="4" w:space="0" w:color="auto"/>
            </w:tcBorders>
            <w:shd w:val="clear" w:color="000000" w:fill="FFFFFF"/>
            <w:noWrap/>
            <w:vAlign w:val="center"/>
            <w:hideMark/>
          </w:tcPr>
          <w:p w14:paraId="19A8AEE8"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0.0781</w:t>
            </w:r>
          </w:p>
        </w:tc>
        <w:tc>
          <w:tcPr>
            <w:tcW w:w="0" w:type="auto"/>
            <w:tcBorders>
              <w:top w:val="nil"/>
              <w:left w:val="nil"/>
              <w:bottom w:val="single" w:sz="4" w:space="0" w:color="auto"/>
              <w:right w:val="single" w:sz="4" w:space="0" w:color="auto"/>
            </w:tcBorders>
            <w:shd w:val="clear" w:color="000000" w:fill="FFFFFF"/>
            <w:noWrap/>
            <w:vAlign w:val="center"/>
            <w:hideMark/>
          </w:tcPr>
          <w:p w14:paraId="774AAAFB"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0.0798</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068E61F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0.0073</w:t>
            </w:r>
          </w:p>
        </w:tc>
        <w:tc>
          <w:tcPr>
            <w:tcW w:w="0" w:type="auto"/>
            <w:tcBorders>
              <w:top w:val="nil"/>
              <w:left w:val="nil"/>
              <w:bottom w:val="single" w:sz="4" w:space="0" w:color="auto"/>
              <w:right w:val="single" w:sz="4" w:space="0" w:color="auto"/>
            </w:tcBorders>
            <w:shd w:val="clear" w:color="auto" w:fill="auto"/>
            <w:noWrap/>
            <w:vAlign w:val="center"/>
            <w:hideMark/>
          </w:tcPr>
          <w:p w14:paraId="1F4FE65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0.0420</w:t>
            </w:r>
          </w:p>
        </w:tc>
        <w:tc>
          <w:tcPr>
            <w:tcW w:w="0" w:type="auto"/>
            <w:tcBorders>
              <w:top w:val="nil"/>
              <w:left w:val="nil"/>
              <w:bottom w:val="single" w:sz="4" w:space="0" w:color="auto"/>
              <w:right w:val="single" w:sz="4" w:space="0" w:color="auto"/>
            </w:tcBorders>
            <w:shd w:val="clear" w:color="auto" w:fill="auto"/>
            <w:noWrap/>
            <w:vAlign w:val="center"/>
            <w:hideMark/>
          </w:tcPr>
          <w:p w14:paraId="574378C2"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0.8519</w:t>
            </w:r>
          </w:p>
        </w:tc>
        <w:tc>
          <w:tcPr>
            <w:tcW w:w="0" w:type="auto"/>
            <w:tcBorders>
              <w:top w:val="nil"/>
              <w:left w:val="nil"/>
              <w:bottom w:val="single" w:sz="4" w:space="0" w:color="auto"/>
              <w:right w:val="single" w:sz="4" w:space="0" w:color="auto"/>
            </w:tcBorders>
            <w:shd w:val="clear" w:color="000000" w:fill="FFFFFF"/>
            <w:noWrap/>
            <w:vAlign w:val="center"/>
            <w:hideMark/>
          </w:tcPr>
          <w:p w14:paraId="527C815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1</w:t>
            </w:r>
          </w:p>
        </w:tc>
      </w:tr>
      <w:tr w:rsidR="00C42217" w:rsidRPr="00C42217" w14:paraId="4989667C" w14:textId="77777777" w:rsidTr="00273663">
        <w:trPr>
          <w:trHeight w:val="360"/>
        </w:trPr>
        <w:tc>
          <w:tcPr>
            <w:tcW w:w="0" w:type="auto"/>
            <w:tcBorders>
              <w:top w:val="nil"/>
              <w:left w:val="single" w:sz="4" w:space="0" w:color="auto"/>
              <w:bottom w:val="single" w:sz="4" w:space="0" w:color="auto"/>
              <w:right w:val="single" w:sz="4" w:space="0" w:color="auto"/>
            </w:tcBorders>
            <w:shd w:val="clear" w:color="000000" w:fill="FFFFFF"/>
            <w:noWrap/>
            <w:vAlign w:val="center"/>
            <w:hideMark/>
          </w:tcPr>
          <w:p w14:paraId="19B6B1D9"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NLT</w:t>
            </w:r>
          </w:p>
        </w:tc>
        <w:tc>
          <w:tcPr>
            <w:tcW w:w="0" w:type="auto"/>
            <w:tcBorders>
              <w:top w:val="nil"/>
              <w:left w:val="nil"/>
              <w:bottom w:val="single" w:sz="4" w:space="0" w:color="auto"/>
              <w:right w:val="single" w:sz="4" w:space="0" w:color="auto"/>
            </w:tcBorders>
            <w:shd w:val="clear" w:color="000000" w:fill="FFFFFF"/>
            <w:noWrap/>
            <w:vAlign w:val="center"/>
            <w:hideMark/>
          </w:tcPr>
          <w:p w14:paraId="10D19113"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0.0774</w:t>
            </w:r>
          </w:p>
        </w:tc>
        <w:tc>
          <w:tcPr>
            <w:tcW w:w="0" w:type="auto"/>
            <w:tcBorders>
              <w:top w:val="nil"/>
              <w:left w:val="nil"/>
              <w:bottom w:val="single" w:sz="4" w:space="0" w:color="auto"/>
              <w:right w:val="single" w:sz="4" w:space="0" w:color="auto"/>
            </w:tcBorders>
            <w:shd w:val="clear" w:color="000000" w:fill="FFFFFF"/>
            <w:noWrap/>
            <w:vAlign w:val="center"/>
            <w:hideMark/>
          </w:tcPr>
          <w:p w14:paraId="52B74511"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0.0761</w:t>
            </w:r>
          </w:p>
        </w:tc>
        <w:tc>
          <w:tcPr>
            <w:tcW w:w="0" w:type="auto"/>
            <w:tcBorders>
              <w:top w:val="nil"/>
              <w:left w:val="nil"/>
              <w:bottom w:val="single" w:sz="4" w:space="0" w:color="auto"/>
              <w:right w:val="single" w:sz="4" w:space="0" w:color="auto"/>
            </w:tcBorders>
            <w:shd w:val="clear" w:color="000000" w:fill="FFFFFF"/>
            <w:noWrap/>
            <w:vAlign w:val="center"/>
            <w:hideMark/>
          </w:tcPr>
          <w:p w14:paraId="5BE17BBC"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0.0936</w:t>
            </w:r>
          </w:p>
        </w:tc>
        <w:tc>
          <w:tcPr>
            <w:tcW w:w="0" w:type="auto"/>
            <w:tcBorders>
              <w:top w:val="nil"/>
              <w:left w:val="nil"/>
              <w:bottom w:val="single" w:sz="4" w:space="0" w:color="auto"/>
              <w:right w:val="single" w:sz="4" w:space="0" w:color="auto"/>
            </w:tcBorders>
            <w:shd w:val="clear" w:color="000000" w:fill="FFFFFF"/>
            <w:noWrap/>
            <w:vAlign w:val="center"/>
            <w:hideMark/>
          </w:tcPr>
          <w:p w14:paraId="7454BDF9"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0.0905</w:t>
            </w:r>
          </w:p>
        </w:tc>
        <w:tc>
          <w:tcPr>
            <w:tcW w:w="0" w:type="auto"/>
            <w:tcBorders>
              <w:top w:val="nil"/>
              <w:left w:val="nil"/>
              <w:bottom w:val="single" w:sz="4" w:space="0" w:color="auto"/>
              <w:right w:val="single" w:sz="4" w:space="0" w:color="auto"/>
            </w:tcBorders>
            <w:shd w:val="clear" w:color="000000" w:fill="FFFFFF"/>
            <w:noWrap/>
            <w:vAlign w:val="center"/>
            <w:hideMark/>
          </w:tcPr>
          <w:p w14:paraId="72090220"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0.0979</w:t>
            </w:r>
          </w:p>
        </w:tc>
        <w:tc>
          <w:tcPr>
            <w:tcW w:w="0" w:type="auto"/>
            <w:tcBorders>
              <w:top w:val="nil"/>
              <w:left w:val="nil"/>
              <w:bottom w:val="single" w:sz="4" w:space="0" w:color="auto"/>
              <w:right w:val="single" w:sz="4" w:space="0" w:color="auto"/>
            </w:tcBorders>
            <w:shd w:val="clear" w:color="000000" w:fill="FFFFFF"/>
            <w:noWrap/>
            <w:vAlign w:val="center"/>
            <w:hideMark/>
          </w:tcPr>
          <w:p w14:paraId="5EA36B73"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0.0901</w:t>
            </w:r>
          </w:p>
        </w:tc>
        <w:tc>
          <w:tcPr>
            <w:tcW w:w="0" w:type="auto"/>
            <w:tcBorders>
              <w:top w:val="nil"/>
              <w:left w:val="nil"/>
              <w:bottom w:val="single" w:sz="4" w:space="0" w:color="auto"/>
              <w:right w:val="single" w:sz="4" w:space="0" w:color="auto"/>
            </w:tcBorders>
            <w:shd w:val="clear" w:color="000000" w:fill="FFFFFF"/>
            <w:noWrap/>
            <w:vAlign w:val="center"/>
            <w:hideMark/>
          </w:tcPr>
          <w:p w14:paraId="3E5E1549"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0.0826</w:t>
            </w:r>
          </w:p>
        </w:tc>
        <w:tc>
          <w:tcPr>
            <w:tcW w:w="0" w:type="auto"/>
            <w:tcBorders>
              <w:top w:val="nil"/>
              <w:left w:val="single" w:sz="4" w:space="0" w:color="auto"/>
              <w:bottom w:val="single" w:sz="4" w:space="0" w:color="auto"/>
              <w:right w:val="single" w:sz="4" w:space="0" w:color="auto"/>
            </w:tcBorders>
            <w:shd w:val="clear" w:color="auto" w:fill="auto"/>
            <w:noWrap/>
            <w:vAlign w:val="center"/>
            <w:hideMark/>
          </w:tcPr>
          <w:p w14:paraId="3A636AAF"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0.0404</w:t>
            </w:r>
          </w:p>
        </w:tc>
        <w:tc>
          <w:tcPr>
            <w:tcW w:w="0" w:type="auto"/>
            <w:tcBorders>
              <w:top w:val="nil"/>
              <w:left w:val="nil"/>
              <w:bottom w:val="single" w:sz="4" w:space="0" w:color="auto"/>
              <w:right w:val="single" w:sz="4" w:space="0" w:color="auto"/>
            </w:tcBorders>
            <w:shd w:val="clear" w:color="auto" w:fill="auto"/>
            <w:noWrap/>
            <w:vAlign w:val="center"/>
            <w:hideMark/>
          </w:tcPr>
          <w:p w14:paraId="13009B43"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0.0170</w:t>
            </w:r>
          </w:p>
        </w:tc>
        <w:tc>
          <w:tcPr>
            <w:tcW w:w="0" w:type="auto"/>
            <w:tcBorders>
              <w:top w:val="nil"/>
              <w:left w:val="nil"/>
              <w:bottom w:val="single" w:sz="4" w:space="0" w:color="auto"/>
              <w:right w:val="single" w:sz="4" w:space="0" w:color="auto"/>
            </w:tcBorders>
            <w:shd w:val="clear" w:color="auto" w:fill="auto"/>
            <w:noWrap/>
            <w:vAlign w:val="center"/>
            <w:hideMark/>
          </w:tcPr>
          <w:p w14:paraId="19510B18"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0.2962</w:t>
            </w:r>
          </w:p>
        </w:tc>
        <w:tc>
          <w:tcPr>
            <w:tcW w:w="0" w:type="auto"/>
            <w:tcBorders>
              <w:top w:val="nil"/>
              <w:left w:val="nil"/>
              <w:bottom w:val="single" w:sz="4" w:space="0" w:color="auto"/>
              <w:right w:val="single" w:sz="4" w:space="0" w:color="auto"/>
            </w:tcBorders>
            <w:shd w:val="clear" w:color="000000" w:fill="FFFFFF"/>
            <w:noWrap/>
            <w:vAlign w:val="center"/>
            <w:hideMark/>
          </w:tcPr>
          <w:p w14:paraId="55236292" w14:textId="77777777" w:rsidR="007C23C4" w:rsidRPr="00C42217" w:rsidRDefault="007C23C4" w:rsidP="007C23C4">
            <w:pPr>
              <w:spacing w:after="0"/>
              <w:jc w:val="center"/>
              <w:rPr>
                <w:rFonts w:asciiTheme="majorBidi" w:hAnsiTheme="majorBidi" w:cstheme="majorBidi"/>
                <w:sz w:val="16"/>
                <w:szCs w:val="16"/>
              </w:rPr>
            </w:pPr>
            <w:r w:rsidRPr="00C42217">
              <w:rPr>
                <w:rFonts w:asciiTheme="majorBidi" w:hAnsiTheme="majorBidi" w:cstheme="majorBidi"/>
                <w:sz w:val="16"/>
                <w:szCs w:val="16"/>
              </w:rPr>
              <w:t>3</w:t>
            </w:r>
          </w:p>
        </w:tc>
      </w:tr>
    </w:tbl>
    <w:p w14:paraId="69D482D6" w14:textId="77777777" w:rsidR="00E462E4" w:rsidRPr="00C42217" w:rsidRDefault="00E462E4" w:rsidP="002F6044">
      <w:pPr>
        <w:spacing w:after="0"/>
        <w:jc w:val="both"/>
        <w:rPr>
          <w:rFonts w:asciiTheme="majorBidi" w:hAnsiTheme="majorBidi" w:cstheme="majorBidi"/>
          <w:sz w:val="20"/>
          <w:szCs w:val="20"/>
        </w:rPr>
      </w:pPr>
    </w:p>
    <w:sectPr w:rsidR="00E462E4" w:rsidRPr="00C42217">
      <w:footerReference w:type="default" r:id="rId38"/>
      <w:pgSz w:w="12240" w:h="15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2A55A7" w16cex:dateUtc="2021-11-01T01:01:00Z"/>
  <w16cex:commentExtensible w16cex:durableId="252A5BB2" w16cex:dateUtc="2021-11-01T01:27:00Z"/>
  <w16cex:commentExtensible w16cex:durableId="252A6110" w16cex:dateUtc="2021-11-01T01:50:00Z"/>
  <w16cex:commentExtensible w16cex:durableId="252A6211" w16cex:dateUtc="2021-11-01T01:54:00Z"/>
  <w16cex:commentExtensible w16cex:durableId="252A6D4D" w16cex:dateUtc="2021-11-01T02:42:00Z"/>
  <w16cex:commentExtensible w16cex:durableId="252B83E1" w16cex:dateUtc="2021-11-01T22:31:00Z"/>
  <w16cex:commentExtensible w16cex:durableId="252B85A3" w16cex:dateUtc="2021-11-01T22:38:00Z"/>
  <w16cex:commentExtensible w16cex:durableId="252B85E0" w16cex:dateUtc="2021-11-01T22:39:00Z"/>
  <w16cex:commentExtensible w16cex:durableId="252B8B79" w16cex:dateUtc="2021-11-01T23:03:00Z"/>
  <w16cex:commentExtensible w16cex:durableId="252B8BEA" w16cex:dateUtc="2021-11-01T23:05:00Z"/>
  <w16cex:commentExtensible w16cex:durableId="252B8C05" w16cex:dateUtc="2021-11-01T23:05:00Z"/>
  <w16cex:commentExtensible w16cex:durableId="252B8C69" w16cex:dateUtc="2021-11-01T23:07:00Z"/>
  <w16cex:commentExtensible w16cex:durableId="252B8CAE" w16cex:dateUtc="2021-11-01T23:08:00Z"/>
  <w16cex:commentExtensible w16cex:durableId="252BA1F7" w16cex:dateUtc="2021-11-02T00:39:00Z"/>
  <w16cex:commentExtensible w16cex:durableId="252BA1BE" w16cex:dateUtc="2021-11-02T00:38:00Z"/>
  <w16cex:commentExtensible w16cex:durableId="252BBFF6" w16cex:dateUtc="2021-11-02T02:47:00Z"/>
  <w16cex:commentExtensible w16cex:durableId="252BC0E2" w16cex:dateUtc="2021-11-02T02:51:00Z"/>
  <w16cex:commentExtensible w16cex:durableId="252BC23C" w16cex:dateUtc="2021-11-02T02:57:00Z"/>
  <w16cex:commentExtensible w16cex:durableId="252BD978" w16cex:dateUtc="2021-11-02T04:36:00Z"/>
  <w16cex:commentExtensible w16cex:durableId="252BD985" w16cex:dateUtc="2021-11-02T04:36:00Z"/>
  <w16cex:commentExtensible w16cex:durableId="252BF559" w16cex:dateUtc="2021-11-02T06:35:00Z"/>
  <w16cex:commentExtensible w16cex:durableId="252BF5A8" w16cex:dateUtc="2021-11-02T06:36:00Z"/>
  <w16cex:commentExtensible w16cex:durableId="252BF61B" w16cex:dateUtc="2021-11-02T06:38:00Z"/>
  <w16cex:commentExtensible w16cex:durableId="252BF638" w16cex:dateUtc="2021-11-02T06:39:00Z"/>
  <w16cex:commentExtensible w16cex:durableId="252BF6F6" w16cex:dateUtc="2021-11-02T06:42:00Z"/>
  <w16cex:commentExtensible w16cex:durableId="252BF7BA" w16cex:dateUtc="2021-11-02T06:45:00Z"/>
  <w16cex:commentExtensible w16cex:durableId="252BFAC7" w16cex:dateUtc="2021-11-02T06:58:00Z"/>
  <w16cex:commentExtensible w16cex:durableId="252A5B65" w16cex:dateUtc="2021-11-01T01:2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CAA01A7" w16cid:durableId="252A55A7"/>
  <w16cid:commentId w16cid:paraId="2B924E7F" w16cid:durableId="252A5BB2"/>
  <w16cid:commentId w16cid:paraId="6A2C598A" w16cid:durableId="252A6110"/>
  <w16cid:commentId w16cid:paraId="4E4DF64D" w16cid:durableId="252A6211"/>
  <w16cid:commentId w16cid:paraId="10456B9B" w16cid:durableId="252A6D4D"/>
  <w16cid:commentId w16cid:paraId="226A19EC" w16cid:durableId="252B83E1"/>
  <w16cid:commentId w16cid:paraId="523B8D03" w16cid:durableId="252B85A3"/>
  <w16cid:commentId w16cid:paraId="661EBBC4" w16cid:durableId="252B85E0"/>
  <w16cid:commentId w16cid:paraId="59D81F3A" w16cid:durableId="252B8B79"/>
  <w16cid:commentId w16cid:paraId="752D9739" w16cid:durableId="252B8BEA"/>
  <w16cid:commentId w16cid:paraId="36308F2F" w16cid:durableId="252B8C05"/>
  <w16cid:commentId w16cid:paraId="0C881A98" w16cid:durableId="252B8C69"/>
  <w16cid:commentId w16cid:paraId="2AF85291" w16cid:durableId="252B8CAE"/>
  <w16cid:commentId w16cid:paraId="518416E2" w16cid:durableId="252BA1F7"/>
  <w16cid:commentId w16cid:paraId="72B6F430" w16cid:durableId="252BA1BE"/>
  <w16cid:commentId w16cid:paraId="5A1578C5" w16cid:durableId="252BBFF6"/>
  <w16cid:commentId w16cid:paraId="3598B9BF" w16cid:durableId="252BC0E2"/>
  <w16cid:commentId w16cid:paraId="51EFA876" w16cid:durableId="252BC23C"/>
  <w16cid:commentId w16cid:paraId="678A0CDB" w16cid:durableId="252BD978"/>
  <w16cid:commentId w16cid:paraId="40B54616" w16cid:durableId="252BD985"/>
  <w16cid:commentId w16cid:paraId="3F43BB38" w16cid:durableId="252BF559"/>
  <w16cid:commentId w16cid:paraId="193096D3" w16cid:durableId="252BF5A8"/>
  <w16cid:commentId w16cid:paraId="2396DF52" w16cid:durableId="252BF61B"/>
  <w16cid:commentId w16cid:paraId="40B48987" w16cid:durableId="252BF638"/>
  <w16cid:commentId w16cid:paraId="1699818E" w16cid:durableId="252BF6F6"/>
  <w16cid:commentId w16cid:paraId="6C0BFC8E" w16cid:durableId="252BF7BA"/>
  <w16cid:commentId w16cid:paraId="51550721" w16cid:durableId="252BFAC7"/>
  <w16cid:commentId w16cid:paraId="48F867C7" w16cid:durableId="252A5B6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230544" w14:textId="77777777" w:rsidR="008E67B0" w:rsidRDefault="008E67B0" w:rsidP="00294018">
      <w:pPr>
        <w:spacing w:after="0" w:line="240" w:lineRule="auto"/>
      </w:pPr>
      <w:r>
        <w:separator/>
      </w:r>
    </w:p>
  </w:endnote>
  <w:endnote w:type="continuationSeparator" w:id="0">
    <w:p w14:paraId="71001232" w14:textId="77777777" w:rsidR="008E67B0" w:rsidRDefault="008E67B0" w:rsidP="002940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ource Sans Pro">
    <w:panose1 w:val="00000000000000000000"/>
    <w:charset w:val="00"/>
    <w:family w:val="swiss"/>
    <w:notTrueType/>
    <w:pitch w:val="variable"/>
    <w:sig w:usb0="600002F7" w:usb1="02000001" w:usb2="00000000" w:usb3="00000000" w:csb0="0000019F" w:csb1="00000000"/>
  </w:font>
  <w:font w:name="Source Sans Pro Light">
    <w:panose1 w:val="00000000000000000000"/>
    <w:charset w:val="00"/>
    <w:family w:val="swiss"/>
    <w:notTrueType/>
    <w:pitch w:val="variable"/>
    <w:sig w:usb0="600002F7" w:usb1="02000001"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nionPro-Regular">
    <w:panose1 w:val="00000000000000000000"/>
    <w:charset w:val="00"/>
    <w:family w:val="auto"/>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imes New Roman (Headings CS)">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78374410"/>
      <w:docPartObj>
        <w:docPartGallery w:val="Page Numbers (Bottom of Page)"/>
        <w:docPartUnique/>
      </w:docPartObj>
    </w:sdtPr>
    <w:sdtEndPr>
      <w:rPr>
        <w:rFonts w:asciiTheme="majorBidi" w:hAnsiTheme="majorBidi" w:cstheme="majorBidi"/>
        <w:noProof/>
        <w:sz w:val="18"/>
        <w:szCs w:val="18"/>
      </w:rPr>
    </w:sdtEndPr>
    <w:sdtContent>
      <w:p w14:paraId="1318F0CC" w14:textId="0B550DCF" w:rsidR="00165064" w:rsidRPr="00294018" w:rsidRDefault="00165064">
        <w:pPr>
          <w:pStyle w:val="Footer"/>
          <w:jc w:val="right"/>
          <w:rPr>
            <w:rFonts w:asciiTheme="majorBidi" w:hAnsiTheme="majorBidi" w:cstheme="majorBidi"/>
            <w:sz w:val="18"/>
            <w:szCs w:val="18"/>
          </w:rPr>
        </w:pPr>
        <w:r w:rsidRPr="00294018">
          <w:rPr>
            <w:rFonts w:asciiTheme="majorBidi" w:hAnsiTheme="majorBidi" w:cstheme="majorBidi"/>
            <w:sz w:val="18"/>
            <w:szCs w:val="18"/>
          </w:rPr>
          <w:fldChar w:fldCharType="begin"/>
        </w:r>
        <w:r w:rsidRPr="00294018">
          <w:rPr>
            <w:rFonts w:asciiTheme="majorBidi" w:hAnsiTheme="majorBidi" w:cstheme="majorBidi"/>
            <w:sz w:val="18"/>
            <w:szCs w:val="18"/>
          </w:rPr>
          <w:instrText xml:space="preserve"> PAGE   \* MERGEFORMAT </w:instrText>
        </w:r>
        <w:r w:rsidRPr="00294018">
          <w:rPr>
            <w:rFonts w:asciiTheme="majorBidi" w:hAnsiTheme="majorBidi" w:cstheme="majorBidi"/>
            <w:sz w:val="18"/>
            <w:szCs w:val="18"/>
          </w:rPr>
          <w:fldChar w:fldCharType="separate"/>
        </w:r>
        <w:r w:rsidR="008E67B0">
          <w:rPr>
            <w:rFonts w:asciiTheme="majorBidi" w:hAnsiTheme="majorBidi" w:cstheme="majorBidi"/>
            <w:noProof/>
            <w:sz w:val="18"/>
            <w:szCs w:val="18"/>
          </w:rPr>
          <w:t>1</w:t>
        </w:r>
        <w:r w:rsidRPr="00294018">
          <w:rPr>
            <w:rFonts w:asciiTheme="majorBidi" w:hAnsiTheme="majorBidi" w:cstheme="majorBidi"/>
            <w:noProof/>
            <w:sz w:val="18"/>
            <w:szCs w:val="18"/>
          </w:rPr>
          <w:fldChar w:fldCharType="end"/>
        </w:r>
      </w:p>
    </w:sdtContent>
  </w:sdt>
  <w:p w14:paraId="3EDA8E63" w14:textId="77777777" w:rsidR="00165064" w:rsidRDefault="0016506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06C6265" w14:textId="77777777" w:rsidR="008E67B0" w:rsidRDefault="008E67B0" w:rsidP="00294018">
      <w:pPr>
        <w:spacing w:after="0" w:line="240" w:lineRule="auto"/>
      </w:pPr>
      <w:r>
        <w:separator/>
      </w:r>
    </w:p>
  </w:footnote>
  <w:footnote w:type="continuationSeparator" w:id="0">
    <w:p w14:paraId="1E558890" w14:textId="77777777" w:rsidR="008E67B0" w:rsidRDefault="008E67B0" w:rsidP="0029401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D30910"/>
    <w:multiLevelType w:val="multilevel"/>
    <w:tmpl w:val="B810AF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784EF8"/>
    <w:multiLevelType w:val="hybridMultilevel"/>
    <w:tmpl w:val="749022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76CD9"/>
    <w:multiLevelType w:val="multilevel"/>
    <w:tmpl w:val="FC2E3E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847B7C"/>
    <w:multiLevelType w:val="multilevel"/>
    <w:tmpl w:val="1EC60228"/>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1BBE7E5E"/>
    <w:multiLevelType w:val="hybridMultilevel"/>
    <w:tmpl w:val="752220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3B90812"/>
    <w:multiLevelType w:val="hybridMultilevel"/>
    <w:tmpl w:val="92240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9540DFD"/>
    <w:multiLevelType w:val="hybridMultilevel"/>
    <w:tmpl w:val="261C4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A8A0CC2"/>
    <w:multiLevelType w:val="multilevel"/>
    <w:tmpl w:val="BFCEF6A6"/>
    <w:lvl w:ilvl="0">
      <w:start w:val="1"/>
      <w:numFmt w:val="decimal"/>
      <w:lvlText w:val="%1."/>
      <w:lvlJc w:val="left"/>
      <w:pPr>
        <w:ind w:left="720" w:hanging="360"/>
      </w:pPr>
      <w:rPr>
        <w:b/>
        <w:bCs/>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41175CBF"/>
    <w:multiLevelType w:val="hybridMultilevel"/>
    <w:tmpl w:val="943670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4EA0A07"/>
    <w:multiLevelType w:val="multilevel"/>
    <w:tmpl w:val="9BF81E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F8110F6"/>
    <w:multiLevelType w:val="multilevel"/>
    <w:tmpl w:val="9DEAAD2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1B705D5"/>
    <w:multiLevelType w:val="hybridMultilevel"/>
    <w:tmpl w:val="D9040A4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708C7D9C"/>
    <w:multiLevelType w:val="hybridMultilevel"/>
    <w:tmpl w:val="261C48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14775F7"/>
    <w:multiLevelType w:val="hybridMultilevel"/>
    <w:tmpl w:val="9A0ADB2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27F5557"/>
    <w:multiLevelType w:val="hybridMultilevel"/>
    <w:tmpl w:val="465CB4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330597D"/>
    <w:multiLevelType w:val="hybridMultilevel"/>
    <w:tmpl w:val="92240A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954BF0"/>
    <w:multiLevelType w:val="hybridMultilevel"/>
    <w:tmpl w:val="0B2636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6"/>
  </w:num>
  <w:num w:numId="3">
    <w:abstractNumId w:val="7"/>
  </w:num>
  <w:num w:numId="4">
    <w:abstractNumId w:val="0"/>
  </w:num>
  <w:num w:numId="5">
    <w:abstractNumId w:val="10"/>
  </w:num>
  <w:num w:numId="6">
    <w:abstractNumId w:val="15"/>
  </w:num>
  <w:num w:numId="7">
    <w:abstractNumId w:val="5"/>
  </w:num>
  <w:num w:numId="8">
    <w:abstractNumId w:val="8"/>
  </w:num>
  <w:num w:numId="9">
    <w:abstractNumId w:val="9"/>
  </w:num>
  <w:num w:numId="10">
    <w:abstractNumId w:val="14"/>
  </w:num>
  <w:num w:numId="11">
    <w:abstractNumId w:val="16"/>
  </w:num>
  <w:num w:numId="12">
    <w:abstractNumId w:val="3"/>
  </w:num>
  <w:num w:numId="13">
    <w:abstractNumId w:val="4"/>
  </w:num>
  <w:num w:numId="14">
    <w:abstractNumId w:val="2"/>
  </w:num>
  <w:num w:numId="15">
    <w:abstractNumId w:val="13"/>
  </w:num>
  <w:num w:numId="16">
    <w:abstractNumId w:val="11"/>
  </w:num>
  <w:num w:numId="1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hideSpellingErrors/>
  <w:hideGrammaticalErrors/>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zEyNjc2MjIwsjAzMzFS0lEKTi0uzszPAykwMaoFALvI75wtAAAA"/>
  </w:docVars>
  <w:rsids>
    <w:rsidRoot w:val="00985576"/>
    <w:rsid w:val="00004640"/>
    <w:rsid w:val="00004DCD"/>
    <w:rsid w:val="0000664E"/>
    <w:rsid w:val="00006CB4"/>
    <w:rsid w:val="0000710A"/>
    <w:rsid w:val="000105C1"/>
    <w:rsid w:val="000107AC"/>
    <w:rsid w:val="0001091D"/>
    <w:rsid w:val="00010922"/>
    <w:rsid w:val="00011F66"/>
    <w:rsid w:val="00012E3A"/>
    <w:rsid w:val="00013D34"/>
    <w:rsid w:val="00014648"/>
    <w:rsid w:val="000149E0"/>
    <w:rsid w:val="0001542A"/>
    <w:rsid w:val="00015C23"/>
    <w:rsid w:val="000207FD"/>
    <w:rsid w:val="000223D8"/>
    <w:rsid w:val="00024419"/>
    <w:rsid w:val="0002462C"/>
    <w:rsid w:val="00025480"/>
    <w:rsid w:val="00031358"/>
    <w:rsid w:val="0003402F"/>
    <w:rsid w:val="00034253"/>
    <w:rsid w:val="000354D8"/>
    <w:rsid w:val="00035948"/>
    <w:rsid w:val="00036BF9"/>
    <w:rsid w:val="000400CE"/>
    <w:rsid w:val="00041BB0"/>
    <w:rsid w:val="0004260A"/>
    <w:rsid w:val="00045ACA"/>
    <w:rsid w:val="00046312"/>
    <w:rsid w:val="0004641F"/>
    <w:rsid w:val="00046463"/>
    <w:rsid w:val="000515E9"/>
    <w:rsid w:val="000515F8"/>
    <w:rsid w:val="000517BD"/>
    <w:rsid w:val="000557A6"/>
    <w:rsid w:val="000574E3"/>
    <w:rsid w:val="0005768D"/>
    <w:rsid w:val="00057A48"/>
    <w:rsid w:val="00060229"/>
    <w:rsid w:val="00060624"/>
    <w:rsid w:val="000607AA"/>
    <w:rsid w:val="00061008"/>
    <w:rsid w:val="00061743"/>
    <w:rsid w:val="00062356"/>
    <w:rsid w:val="00062452"/>
    <w:rsid w:val="00062861"/>
    <w:rsid w:val="00063D21"/>
    <w:rsid w:val="00065D2B"/>
    <w:rsid w:val="00065DDB"/>
    <w:rsid w:val="00067B6E"/>
    <w:rsid w:val="00070444"/>
    <w:rsid w:val="00070A60"/>
    <w:rsid w:val="00071938"/>
    <w:rsid w:val="000729E3"/>
    <w:rsid w:val="00074031"/>
    <w:rsid w:val="00074176"/>
    <w:rsid w:val="000757C3"/>
    <w:rsid w:val="00076C93"/>
    <w:rsid w:val="000805B7"/>
    <w:rsid w:val="00082EC1"/>
    <w:rsid w:val="000834E3"/>
    <w:rsid w:val="00084B5D"/>
    <w:rsid w:val="00087B3A"/>
    <w:rsid w:val="00087E93"/>
    <w:rsid w:val="000915DE"/>
    <w:rsid w:val="0009399A"/>
    <w:rsid w:val="00094BF0"/>
    <w:rsid w:val="00095257"/>
    <w:rsid w:val="00095D81"/>
    <w:rsid w:val="000964D5"/>
    <w:rsid w:val="000A2921"/>
    <w:rsid w:val="000A2A40"/>
    <w:rsid w:val="000A3163"/>
    <w:rsid w:val="000A44F7"/>
    <w:rsid w:val="000A4C77"/>
    <w:rsid w:val="000A7020"/>
    <w:rsid w:val="000A7560"/>
    <w:rsid w:val="000A7FC8"/>
    <w:rsid w:val="000B05E7"/>
    <w:rsid w:val="000B244E"/>
    <w:rsid w:val="000B2EAD"/>
    <w:rsid w:val="000B33D9"/>
    <w:rsid w:val="000B3D22"/>
    <w:rsid w:val="000B52A7"/>
    <w:rsid w:val="000B58DA"/>
    <w:rsid w:val="000B5BC7"/>
    <w:rsid w:val="000B65C4"/>
    <w:rsid w:val="000B727A"/>
    <w:rsid w:val="000C2EF1"/>
    <w:rsid w:val="000C6140"/>
    <w:rsid w:val="000C6379"/>
    <w:rsid w:val="000D001E"/>
    <w:rsid w:val="000D0D73"/>
    <w:rsid w:val="000D12E2"/>
    <w:rsid w:val="000D4263"/>
    <w:rsid w:val="000D42DE"/>
    <w:rsid w:val="000D46F0"/>
    <w:rsid w:val="000D5306"/>
    <w:rsid w:val="000D58E5"/>
    <w:rsid w:val="000D631A"/>
    <w:rsid w:val="000D691E"/>
    <w:rsid w:val="000E0C2C"/>
    <w:rsid w:val="000E3B7F"/>
    <w:rsid w:val="000E4081"/>
    <w:rsid w:val="000E5D6D"/>
    <w:rsid w:val="000E623E"/>
    <w:rsid w:val="000E6731"/>
    <w:rsid w:val="000E6D90"/>
    <w:rsid w:val="000E76D1"/>
    <w:rsid w:val="000F073C"/>
    <w:rsid w:val="000F0C14"/>
    <w:rsid w:val="000F14FE"/>
    <w:rsid w:val="000F18F3"/>
    <w:rsid w:val="000F1A46"/>
    <w:rsid w:val="000F2ACC"/>
    <w:rsid w:val="000F2C5B"/>
    <w:rsid w:val="000F36F0"/>
    <w:rsid w:val="000F5A6A"/>
    <w:rsid w:val="000F64A8"/>
    <w:rsid w:val="000F6D97"/>
    <w:rsid w:val="0010135B"/>
    <w:rsid w:val="00101F6A"/>
    <w:rsid w:val="00102F58"/>
    <w:rsid w:val="00104701"/>
    <w:rsid w:val="00104FBF"/>
    <w:rsid w:val="00105006"/>
    <w:rsid w:val="0010741D"/>
    <w:rsid w:val="00107C24"/>
    <w:rsid w:val="0011025B"/>
    <w:rsid w:val="00110D68"/>
    <w:rsid w:val="00111804"/>
    <w:rsid w:val="00113165"/>
    <w:rsid w:val="001131EE"/>
    <w:rsid w:val="00114AF3"/>
    <w:rsid w:val="00115875"/>
    <w:rsid w:val="00116659"/>
    <w:rsid w:val="00117395"/>
    <w:rsid w:val="001175C8"/>
    <w:rsid w:val="00117E44"/>
    <w:rsid w:val="00121113"/>
    <w:rsid w:val="00121B6C"/>
    <w:rsid w:val="0012207F"/>
    <w:rsid w:val="00122B5E"/>
    <w:rsid w:val="00123D91"/>
    <w:rsid w:val="00124B86"/>
    <w:rsid w:val="00126031"/>
    <w:rsid w:val="001266ED"/>
    <w:rsid w:val="001302F5"/>
    <w:rsid w:val="001303CD"/>
    <w:rsid w:val="00132529"/>
    <w:rsid w:val="00132A9B"/>
    <w:rsid w:val="00133BCA"/>
    <w:rsid w:val="00134B13"/>
    <w:rsid w:val="00134FD8"/>
    <w:rsid w:val="00136CFC"/>
    <w:rsid w:val="00136E4B"/>
    <w:rsid w:val="001375D3"/>
    <w:rsid w:val="0013777D"/>
    <w:rsid w:val="00137E2E"/>
    <w:rsid w:val="001407BD"/>
    <w:rsid w:val="00140D33"/>
    <w:rsid w:val="00143E98"/>
    <w:rsid w:val="00152308"/>
    <w:rsid w:val="00152C91"/>
    <w:rsid w:val="00153CB6"/>
    <w:rsid w:val="0015403F"/>
    <w:rsid w:val="001551A0"/>
    <w:rsid w:val="00157832"/>
    <w:rsid w:val="00160DB6"/>
    <w:rsid w:val="001614A7"/>
    <w:rsid w:val="00165064"/>
    <w:rsid w:val="00165332"/>
    <w:rsid w:val="00171508"/>
    <w:rsid w:val="00171EFB"/>
    <w:rsid w:val="0017229B"/>
    <w:rsid w:val="001737EF"/>
    <w:rsid w:val="00174305"/>
    <w:rsid w:val="00181307"/>
    <w:rsid w:val="0018337A"/>
    <w:rsid w:val="0018374A"/>
    <w:rsid w:val="00183F3B"/>
    <w:rsid w:val="00184F2E"/>
    <w:rsid w:val="0018662F"/>
    <w:rsid w:val="00186DC0"/>
    <w:rsid w:val="001877F5"/>
    <w:rsid w:val="001909E5"/>
    <w:rsid w:val="0019209D"/>
    <w:rsid w:val="00192294"/>
    <w:rsid w:val="00193335"/>
    <w:rsid w:val="0019463F"/>
    <w:rsid w:val="0019549C"/>
    <w:rsid w:val="001959F2"/>
    <w:rsid w:val="001967D1"/>
    <w:rsid w:val="001A0E31"/>
    <w:rsid w:val="001A1A72"/>
    <w:rsid w:val="001A245F"/>
    <w:rsid w:val="001A4F41"/>
    <w:rsid w:val="001A5CF8"/>
    <w:rsid w:val="001A7EB6"/>
    <w:rsid w:val="001B1419"/>
    <w:rsid w:val="001B1A0F"/>
    <w:rsid w:val="001B1F01"/>
    <w:rsid w:val="001B250D"/>
    <w:rsid w:val="001B2891"/>
    <w:rsid w:val="001B2BF8"/>
    <w:rsid w:val="001B424C"/>
    <w:rsid w:val="001B4418"/>
    <w:rsid w:val="001B45D0"/>
    <w:rsid w:val="001B71B8"/>
    <w:rsid w:val="001B7242"/>
    <w:rsid w:val="001B77A3"/>
    <w:rsid w:val="001C003A"/>
    <w:rsid w:val="001C05A2"/>
    <w:rsid w:val="001C1459"/>
    <w:rsid w:val="001C229F"/>
    <w:rsid w:val="001C27E9"/>
    <w:rsid w:val="001C3B51"/>
    <w:rsid w:val="001C4CF3"/>
    <w:rsid w:val="001C659B"/>
    <w:rsid w:val="001D0DE2"/>
    <w:rsid w:val="001D2A41"/>
    <w:rsid w:val="001D5476"/>
    <w:rsid w:val="001D7297"/>
    <w:rsid w:val="001E16B7"/>
    <w:rsid w:val="001E2421"/>
    <w:rsid w:val="001E289B"/>
    <w:rsid w:val="001E29B3"/>
    <w:rsid w:val="001E3581"/>
    <w:rsid w:val="001E379F"/>
    <w:rsid w:val="001E44C5"/>
    <w:rsid w:val="001E4A18"/>
    <w:rsid w:val="001E4B27"/>
    <w:rsid w:val="001E52E5"/>
    <w:rsid w:val="001E6018"/>
    <w:rsid w:val="001E7D44"/>
    <w:rsid w:val="001F0E68"/>
    <w:rsid w:val="001F31E5"/>
    <w:rsid w:val="001F3E22"/>
    <w:rsid w:val="001F622A"/>
    <w:rsid w:val="001F6245"/>
    <w:rsid w:val="001F6CDA"/>
    <w:rsid w:val="00200F29"/>
    <w:rsid w:val="00202053"/>
    <w:rsid w:val="002024B8"/>
    <w:rsid w:val="00203648"/>
    <w:rsid w:val="00205322"/>
    <w:rsid w:val="0020546A"/>
    <w:rsid w:val="00206693"/>
    <w:rsid w:val="0021070A"/>
    <w:rsid w:val="00211312"/>
    <w:rsid w:val="002117EA"/>
    <w:rsid w:val="00211AA9"/>
    <w:rsid w:val="0022082F"/>
    <w:rsid w:val="002209C6"/>
    <w:rsid w:val="00222345"/>
    <w:rsid w:val="002223A3"/>
    <w:rsid w:val="00222743"/>
    <w:rsid w:val="00222B8B"/>
    <w:rsid w:val="00222D47"/>
    <w:rsid w:val="00224A2E"/>
    <w:rsid w:val="00224BE0"/>
    <w:rsid w:val="002269A0"/>
    <w:rsid w:val="00226CD8"/>
    <w:rsid w:val="00226E11"/>
    <w:rsid w:val="0023092A"/>
    <w:rsid w:val="00231786"/>
    <w:rsid w:val="00234610"/>
    <w:rsid w:val="00235A13"/>
    <w:rsid w:val="002370E6"/>
    <w:rsid w:val="0024205F"/>
    <w:rsid w:val="0024271B"/>
    <w:rsid w:val="0024341B"/>
    <w:rsid w:val="00245A4E"/>
    <w:rsid w:val="00245A72"/>
    <w:rsid w:val="00245E89"/>
    <w:rsid w:val="00247120"/>
    <w:rsid w:val="00247220"/>
    <w:rsid w:val="0024773D"/>
    <w:rsid w:val="0025135D"/>
    <w:rsid w:val="00251928"/>
    <w:rsid w:val="00252E07"/>
    <w:rsid w:val="00253405"/>
    <w:rsid w:val="00254031"/>
    <w:rsid w:val="002541D0"/>
    <w:rsid w:val="00254DE9"/>
    <w:rsid w:val="00255224"/>
    <w:rsid w:val="002553C6"/>
    <w:rsid w:val="002558B2"/>
    <w:rsid w:val="00256599"/>
    <w:rsid w:val="00263269"/>
    <w:rsid w:val="00263877"/>
    <w:rsid w:val="00264136"/>
    <w:rsid w:val="00264F6E"/>
    <w:rsid w:val="002656F0"/>
    <w:rsid w:val="00265980"/>
    <w:rsid w:val="002668DB"/>
    <w:rsid w:val="002669D3"/>
    <w:rsid w:val="00272551"/>
    <w:rsid w:val="00273663"/>
    <w:rsid w:val="00275FF5"/>
    <w:rsid w:val="0027676A"/>
    <w:rsid w:val="00277D6A"/>
    <w:rsid w:val="002805D7"/>
    <w:rsid w:val="00281125"/>
    <w:rsid w:val="0028291E"/>
    <w:rsid w:val="002840CD"/>
    <w:rsid w:val="002844FB"/>
    <w:rsid w:val="00286E8A"/>
    <w:rsid w:val="002905CC"/>
    <w:rsid w:val="00290C84"/>
    <w:rsid w:val="00291851"/>
    <w:rsid w:val="00291B83"/>
    <w:rsid w:val="00292569"/>
    <w:rsid w:val="002929D0"/>
    <w:rsid w:val="00292E14"/>
    <w:rsid w:val="00293AEC"/>
    <w:rsid w:val="00294018"/>
    <w:rsid w:val="00294603"/>
    <w:rsid w:val="00294D9C"/>
    <w:rsid w:val="0029586D"/>
    <w:rsid w:val="00295C49"/>
    <w:rsid w:val="002A0790"/>
    <w:rsid w:val="002A08D8"/>
    <w:rsid w:val="002A0CD3"/>
    <w:rsid w:val="002A1257"/>
    <w:rsid w:val="002A2AD1"/>
    <w:rsid w:val="002A30C4"/>
    <w:rsid w:val="002A370C"/>
    <w:rsid w:val="002A487B"/>
    <w:rsid w:val="002A75D9"/>
    <w:rsid w:val="002A7F7C"/>
    <w:rsid w:val="002B0686"/>
    <w:rsid w:val="002B0A09"/>
    <w:rsid w:val="002B1CD1"/>
    <w:rsid w:val="002B34C1"/>
    <w:rsid w:val="002B39B1"/>
    <w:rsid w:val="002B5D41"/>
    <w:rsid w:val="002B60CF"/>
    <w:rsid w:val="002B6575"/>
    <w:rsid w:val="002B7242"/>
    <w:rsid w:val="002C0105"/>
    <w:rsid w:val="002C0604"/>
    <w:rsid w:val="002C36A9"/>
    <w:rsid w:val="002C3754"/>
    <w:rsid w:val="002C410A"/>
    <w:rsid w:val="002C4933"/>
    <w:rsid w:val="002C51C2"/>
    <w:rsid w:val="002C72B3"/>
    <w:rsid w:val="002C7392"/>
    <w:rsid w:val="002D0F1A"/>
    <w:rsid w:val="002D1D2C"/>
    <w:rsid w:val="002D3B38"/>
    <w:rsid w:val="002D4A38"/>
    <w:rsid w:val="002D502D"/>
    <w:rsid w:val="002D53BB"/>
    <w:rsid w:val="002D5FF2"/>
    <w:rsid w:val="002D63D3"/>
    <w:rsid w:val="002D65E7"/>
    <w:rsid w:val="002D76F9"/>
    <w:rsid w:val="002D7F33"/>
    <w:rsid w:val="002E01C4"/>
    <w:rsid w:val="002E4972"/>
    <w:rsid w:val="002E53FC"/>
    <w:rsid w:val="002F00F8"/>
    <w:rsid w:val="002F0441"/>
    <w:rsid w:val="002F0590"/>
    <w:rsid w:val="002F0779"/>
    <w:rsid w:val="002F299D"/>
    <w:rsid w:val="002F5DA9"/>
    <w:rsid w:val="002F6044"/>
    <w:rsid w:val="002F6E2C"/>
    <w:rsid w:val="002F6E31"/>
    <w:rsid w:val="00303A38"/>
    <w:rsid w:val="00303BE7"/>
    <w:rsid w:val="00304CBE"/>
    <w:rsid w:val="00304CD3"/>
    <w:rsid w:val="0030699D"/>
    <w:rsid w:val="00310DBE"/>
    <w:rsid w:val="00312C95"/>
    <w:rsid w:val="00314A33"/>
    <w:rsid w:val="00316524"/>
    <w:rsid w:val="0031662B"/>
    <w:rsid w:val="00316BD7"/>
    <w:rsid w:val="00316BE5"/>
    <w:rsid w:val="0031756E"/>
    <w:rsid w:val="0032042B"/>
    <w:rsid w:val="003209CB"/>
    <w:rsid w:val="00322105"/>
    <w:rsid w:val="00322E0D"/>
    <w:rsid w:val="00322E6E"/>
    <w:rsid w:val="0032362F"/>
    <w:rsid w:val="00323F21"/>
    <w:rsid w:val="003300F2"/>
    <w:rsid w:val="003303C8"/>
    <w:rsid w:val="00330EAC"/>
    <w:rsid w:val="00332675"/>
    <w:rsid w:val="003330E6"/>
    <w:rsid w:val="00334C0B"/>
    <w:rsid w:val="00335452"/>
    <w:rsid w:val="00337F99"/>
    <w:rsid w:val="00340328"/>
    <w:rsid w:val="00344B1D"/>
    <w:rsid w:val="003458B2"/>
    <w:rsid w:val="00345AF0"/>
    <w:rsid w:val="00347A0B"/>
    <w:rsid w:val="003504E2"/>
    <w:rsid w:val="00352776"/>
    <w:rsid w:val="00354A3D"/>
    <w:rsid w:val="00354ED7"/>
    <w:rsid w:val="00357772"/>
    <w:rsid w:val="00357CEF"/>
    <w:rsid w:val="003605CB"/>
    <w:rsid w:val="0036062B"/>
    <w:rsid w:val="00360C50"/>
    <w:rsid w:val="00361BBE"/>
    <w:rsid w:val="003632F7"/>
    <w:rsid w:val="00363392"/>
    <w:rsid w:val="00364869"/>
    <w:rsid w:val="00364CF6"/>
    <w:rsid w:val="00366457"/>
    <w:rsid w:val="00372CE2"/>
    <w:rsid w:val="00373581"/>
    <w:rsid w:val="00375930"/>
    <w:rsid w:val="00380E35"/>
    <w:rsid w:val="00381C0A"/>
    <w:rsid w:val="00382622"/>
    <w:rsid w:val="00384696"/>
    <w:rsid w:val="003848AA"/>
    <w:rsid w:val="00385D8F"/>
    <w:rsid w:val="0038779F"/>
    <w:rsid w:val="00387BCD"/>
    <w:rsid w:val="00391321"/>
    <w:rsid w:val="00391C2C"/>
    <w:rsid w:val="00393FC8"/>
    <w:rsid w:val="003958A7"/>
    <w:rsid w:val="003979E1"/>
    <w:rsid w:val="003A18A0"/>
    <w:rsid w:val="003A1C7E"/>
    <w:rsid w:val="003A2642"/>
    <w:rsid w:val="003A410A"/>
    <w:rsid w:val="003A4CF9"/>
    <w:rsid w:val="003A58A6"/>
    <w:rsid w:val="003A5A40"/>
    <w:rsid w:val="003A6FF1"/>
    <w:rsid w:val="003A76F5"/>
    <w:rsid w:val="003B1C8D"/>
    <w:rsid w:val="003B236F"/>
    <w:rsid w:val="003B257D"/>
    <w:rsid w:val="003B280F"/>
    <w:rsid w:val="003B29B5"/>
    <w:rsid w:val="003C0AA2"/>
    <w:rsid w:val="003C15FA"/>
    <w:rsid w:val="003C1995"/>
    <w:rsid w:val="003C1D72"/>
    <w:rsid w:val="003C1FB0"/>
    <w:rsid w:val="003C3B99"/>
    <w:rsid w:val="003C41CA"/>
    <w:rsid w:val="003C4EE7"/>
    <w:rsid w:val="003C5461"/>
    <w:rsid w:val="003C5589"/>
    <w:rsid w:val="003C5E91"/>
    <w:rsid w:val="003C643B"/>
    <w:rsid w:val="003C759E"/>
    <w:rsid w:val="003D0A0F"/>
    <w:rsid w:val="003D274E"/>
    <w:rsid w:val="003D36E6"/>
    <w:rsid w:val="003D39B7"/>
    <w:rsid w:val="003D3FBF"/>
    <w:rsid w:val="003D478C"/>
    <w:rsid w:val="003D59B3"/>
    <w:rsid w:val="003D6824"/>
    <w:rsid w:val="003D6D93"/>
    <w:rsid w:val="003E0945"/>
    <w:rsid w:val="003E133D"/>
    <w:rsid w:val="003E1729"/>
    <w:rsid w:val="003E2482"/>
    <w:rsid w:val="003E2937"/>
    <w:rsid w:val="003E3255"/>
    <w:rsid w:val="003E38A2"/>
    <w:rsid w:val="003E3E54"/>
    <w:rsid w:val="003E621E"/>
    <w:rsid w:val="003E67C8"/>
    <w:rsid w:val="003E6E28"/>
    <w:rsid w:val="003E716A"/>
    <w:rsid w:val="003F0EEA"/>
    <w:rsid w:val="003F1B34"/>
    <w:rsid w:val="003F255F"/>
    <w:rsid w:val="003F292B"/>
    <w:rsid w:val="003F42C8"/>
    <w:rsid w:val="003F4F3E"/>
    <w:rsid w:val="003F579F"/>
    <w:rsid w:val="003F6C16"/>
    <w:rsid w:val="003F6F35"/>
    <w:rsid w:val="003F7189"/>
    <w:rsid w:val="003F7B5A"/>
    <w:rsid w:val="00400844"/>
    <w:rsid w:val="004012C8"/>
    <w:rsid w:val="0040250E"/>
    <w:rsid w:val="0040266E"/>
    <w:rsid w:val="00402AF0"/>
    <w:rsid w:val="00404782"/>
    <w:rsid w:val="00407E20"/>
    <w:rsid w:val="00411455"/>
    <w:rsid w:val="00411BA1"/>
    <w:rsid w:val="00412018"/>
    <w:rsid w:val="0041246E"/>
    <w:rsid w:val="004136A3"/>
    <w:rsid w:val="00413E7C"/>
    <w:rsid w:val="004146CA"/>
    <w:rsid w:val="00415E9E"/>
    <w:rsid w:val="004175A5"/>
    <w:rsid w:val="00423E67"/>
    <w:rsid w:val="004250D4"/>
    <w:rsid w:val="00427FF5"/>
    <w:rsid w:val="004326EE"/>
    <w:rsid w:val="00432FBE"/>
    <w:rsid w:val="00435103"/>
    <w:rsid w:val="00435781"/>
    <w:rsid w:val="00442D7E"/>
    <w:rsid w:val="00443538"/>
    <w:rsid w:val="004436B1"/>
    <w:rsid w:val="00443A28"/>
    <w:rsid w:val="00444427"/>
    <w:rsid w:val="00444F17"/>
    <w:rsid w:val="0044555C"/>
    <w:rsid w:val="00450BD5"/>
    <w:rsid w:val="004521CC"/>
    <w:rsid w:val="00452906"/>
    <w:rsid w:val="00456672"/>
    <w:rsid w:val="00456CEB"/>
    <w:rsid w:val="00457ACD"/>
    <w:rsid w:val="00460D66"/>
    <w:rsid w:val="004610F8"/>
    <w:rsid w:val="00465965"/>
    <w:rsid w:val="00466516"/>
    <w:rsid w:val="00466E39"/>
    <w:rsid w:val="004714CB"/>
    <w:rsid w:val="00473120"/>
    <w:rsid w:val="0047461C"/>
    <w:rsid w:val="0047490F"/>
    <w:rsid w:val="00475459"/>
    <w:rsid w:val="004769F9"/>
    <w:rsid w:val="00476FF6"/>
    <w:rsid w:val="00477F68"/>
    <w:rsid w:val="00480869"/>
    <w:rsid w:val="00481CEF"/>
    <w:rsid w:val="00482C85"/>
    <w:rsid w:val="004845F1"/>
    <w:rsid w:val="004850FD"/>
    <w:rsid w:val="004851DE"/>
    <w:rsid w:val="00490D57"/>
    <w:rsid w:val="004917C5"/>
    <w:rsid w:val="00492001"/>
    <w:rsid w:val="00492196"/>
    <w:rsid w:val="00493667"/>
    <w:rsid w:val="004936F1"/>
    <w:rsid w:val="0049386E"/>
    <w:rsid w:val="0049435C"/>
    <w:rsid w:val="004947E1"/>
    <w:rsid w:val="004958C1"/>
    <w:rsid w:val="00495CB3"/>
    <w:rsid w:val="00496BE5"/>
    <w:rsid w:val="004A03F3"/>
    <w:rsid w:val="004A11A2"/>
    <w:rsid w:val="004A4D2F"/>
    <w:rsid w:val="004A519E"/>
    <w:rsid w:val="004A6082"/>
    <w:rsid w:val="004A7CAC"/>
    <w:rsid w:val="004B13D5"/>
    <w:rsid w:val="004B1B19"/>
    <w:rsid w:val="004B320E"/>
    <w:rsid w:val="004C1232"/>
    <w:rsid w:val="004C16F8"/>
    <w:rsid w:val="004C4BF9"/>
    <w:rsid w:val="004C54D9"/>
    <w:rsid w:val="004C5939"/>
    <w:rsid w:val="004D25EE"/>
    <w:rsid w:val="004D33FB"/>
    <w:rsid w:val="004D375E"/>
    <w:rsid w:val="004D4019"/>
    <w:rsid w:val="004D5020"/>
    <w:rsid w:val="004D5184"/>
    <w:rsid w:val="004D553A"/>
    <w:rsid w:val="004D7ED6"/>
    <w:rsid w:val="004E0C80"/>
    <w:rsid w:val="004E1793"/>
    <w:rsid w:val="004E489D"/>
    <w:rsid w:val="004E596D"/>
    <w:rsid w:val="004E5C27"/>
    <w:rsid w:val="004E6EEA"/>
    <w:rsid w:val="004E78EA"/>
    <w:rsid w:val="004E7942"/>
    <w:rsid w:val="004F0AD4"/>
    <w:rsid w:val="004F1C79"/>
    <w:rsid w:val="004F2C16"/>
    <w:rsid w:val="004F2DED"/>
    <w:rsid w:val="004F3805"/>
    <w:rsid w:val="004F3D9F"/>
    <w:rsid w:val="004F53FD"/>
    <w:rsid w:val="004F664A"/>
    <w:rsid w:val="004F66EB"/>
    <w:rsid w:val="004F6E46"/>
    <w:rsid w:val="004F7795"/>
    <w:rsid w:val="004F7830"/>
    <w:rsid w:val="005007A6"/>
    <w:rsid w:val="00500D3B"/>
    <w:rsid w:val="00500DA6"/>
    <w:rsid w:val="00501B30"/>
    <w:rsid w:val="00501C15"/>
    <w:rsid w:val="00503EF2"/>
    <w:rsid w:val="005053E7"/>
    <w:rsid w:val="00505B6A"/>
    <w:rsid w:val="00506F30"/>
    <w:rsid w:val="00506FDA"/>
    <w:rsid w:val="0051023E"/>
    <w:rsid w:val="005103FE"/>
    <w:rsid w:val="005104D1"/>
    <w:rsid w:val="005107B7"/>
    <w:rsid w:val="00510E71"/>
    <w:rsid w:val="00512975"/>
    <w:rsid w:val="00514CDD"/>
    <w:rsid w:val="00516319"/>
    <w:rsid w:val="0052003E"/>
    <w:rsid w:val="00520A9D"/>
    <w:rsid w:val="00521A4B"/>
    <w:rsid w:val="00522B2D"/>
    <w:rsid w:val="00522D4D"/>
    <w:rsid w:val="005244D5"/>
    <w:rsid w:val="005255A0"/>
    <w:rsid w:val="00525BE9"/>
    <w:rsid w:val="005267BA"/>
    <w:rsid w:val="005268AA"/>
    <w:rsid w:val="00527544"/>
    <w:rsid w:val="00527AAB"/>
    <w:rsid w:val="005315B2"/>
    <w:rsid w:val="00531C3F"/>
    <w:rsid w:val="005358DF"/>
    <w:rsid w:val="00535B50"/>
    <w:rsid w:val="0053623D"/>
    <w:rsid w:val="00536B72"/>
    <w:rsid w:val="00537015"/>
    <w:rsid w:val="0053786D"/>
    <w:rsid w:val="00541EAF"/>
    <w:rsid w:val="0054483F"/>
    <w:rsid w:val="00544C8B"/>
    <w:rsid w:val="00550FAC"/>
    <w:rsid w:val="00551492"/>
    <w:rsid w:val="005521FB"/>
    <w:rsid w:val="0055502D"/>
    <w:rsid w:val="0055586D"/>
    <w:rsid w:val="00555CD4"/>
    <w:rsid w:val="0055669E"/>
    <w:rsid w:val="00560773"/>
    <w:rsid w:val="00561043"/>
    <w:rsid w:val="00561A58"/>
    <w:rsid w:val="0056216A"/>
    <w:rsid w:val="00564077"/>
    <w:rsid w:val="00564624"/>
    <w:rsid w:val="005661C2"/>
    <w:rsid w:val="0056623D"/>
    <w:rsid w:val="00566E2F"/>
    <w:rsid w:val="00567743"/>
    <w:rsid w:val="0057062F"/>
    <w:rsid w:val="0057085E"/>
    <w:rsid w:val="005714F6"/>
    <w:rsid w:val="00571940"/>
    <w:rsid w:val="005719D7"/>
    <w:rsid w:val="00571A24"/>
    <w:rsid w:val="0057483B"/>
    <w:rsid w:val="00574D44"/>
    <w:rsid w:val="00576181"/>
    <w:rsid w:val="00580030"/>
    <w:rsid w:val="0058060E"/>
    <w:rsid w:val="00580BE8"/>
    <w:rsid w:val="005822D3"/>
    <w:rsid w:val="0058235A"/>
    <w:rsid w:val="005834BC"/>
    <w:rsid w:val="00583B74"/>
    <w:rsid w:val="0058406A"/>
    <w:rsid w:val="0058451B"/>
    <w:rsid w:val="00584B55"/>
    <w:rsid w:val="0058503C"/>
    <w:rsid w:val="00585F5E"/>
    <w:rsid w:val="0059118A"/>
    <w:rsid w:val="00591F28"/>
    <w:rsid w:val="00592281"/>
    <w:rsid w:val="00592A17"/>
    <w:rsid w:val="005936E3"/>
    <w:rsid w:val="00594432"/>
    <w:rsid w:val="005945FF"/>
    <w:rsid w:val="00596848"/>
    <w:rsid w:val="0059764D"/>
    <w:rsid w:val="005A082B"/>
    <w:rsid w:val="005A095E"/>
    <w:rsid w:val="005A0D24"/>
    <w:rsid w:val="005A1284"/>
    <w:rsid w:val="005A12BF"/>
    <w:rsid w:val="005A1572"/>
    <w:rsid w:val="005A2BC7"/>
    <w:rsid w:val="005A2F37"/>
    <w:rsid w:val="005A3E18"/>
    <w:rsid w:val="005A62F4"/>
    <w:rsid w:val="005A63DC"/>
    <w:rsid w:val="005A6659"/>
    <w:rsid w:val="005B067F"/>
    <w:rsid w:val="005B3001"/>
    <w:rsid w:val="005B34A5"/>
    <w:rsid w:val="005B4D5B"/>
    <w:rsid w:val="005B55F5"/>
    <w:rsid w:val="005B7F05"/>
    <w:rsid w:val="005C01B1"/>
    <w:rsid w:val="005C091D"/>
    <w:rsid w:val="005C0A15"/>
    <w:rsid w:val="005C1451"/>
    <w:rsid w:val="005C25EC"/>
    <w:rsid w:val="005C28F4"/>
    <w:rsid w:val="005C3D60"/>
    <w:rsid w:val="005C58E7"/>
    <w:rsid w:val="005D14E4"/>
    <w:rsid w:val="005D194E"/>
    <w:rsid w:val="005D668D"/>
    <w:rsid w:val="005D744F"/>
    <w:rsid w:val="005E03F5"/>
    <w:rsid w:val="005E2863"/>
    <w:rsid w:val="005E5C84"/>
    <w:rsid w:val="005E6758"/>
    <w:rsid w:val="005E6A69"/>
    <w:rsid w:val="005E7DE9"/>
    <w:rsid w:val="005E7F9A"/>
    <w:rsid w:val="005F1D06"/>
    <w:rsid w:val="005F32B8"/>
    <w:rsid w:val="005F4A7A"/>
    <w:rsid w:val="005F510E"/>
    <w:rsid w:val="005F70B3"/>
    <w:rsid w:val="005F761E"/>
    <w:rsid w:val="005F7E79"/>
    <w:rsid w:val="006002F0"/>
    <w:rsid w:val="00601F9F"/>
    <w:rsid w:val="00604EEF"/>
    <w:rsid w:val="0060580B"/>
    <w:rsid w:val="00605B01"/>
    <w:rsid w:val="006074E6"/>
    <w:rsid w:val="0060758A"/>
    <w:rsid w:val="006114B9"/>
    <w:rsid w:val="00611776"/>
    <w:rsid w:val="0061178B"/>
    <w:rsid w:val="006135D8"/>
    <w:rsid w:val="00613694"/>
    <w:rsid w:val="00613C9E"/>
    <w:rsid w:val="0061413F"/>
    <w:rsid w:val="006142C0"/>
    <w:rsid w:val="0061474F"/>
    <w:rsid w:val="00615802"/>
    <w:rsid w:val="00615B5D"/>
    <w:rsid w:val="0061630A"/>
    <w:rsid w:val="00616647"/>
    <w:rsid w:val="006166AB"/>
    <w:rsid w:val="00616ABF"/>
    <w:rsid w:val="006173B9"/>
    <w:rsid w:val="00621415"/>
    <w:rsid w:val="00622338"/>
    <w:rsid w:val="0062236E"/>
    <w:rsid w:val="00623375"/>
    <w:rsid w:val="006247FA"/>
    <w:rsid w:val="0062527C"/>
    <w:rsid w:val="00625970"/>
    <w:rsid w:val="006268D2"/>
    <w:rsid w:val="006310D0"/>
    <w:rsid w:val="006330C4"/>
    <w:rsid w:val="00633F0E"/>
    <w:rsid w:val="00634849"/>
    <w:rsid w:val="00637386"/>
    <w:rsid w:val="00637C8E"/>
    <w:rsid w:val="00637ED8"/>
    <w:rsid w:val="00641374"/>
    <w:rsid w:val="0064142F"/>
    <w:rsid w:val="006419F0"/>
    <w:rsid w:val="00642288"/>
    <w:rsid w:val="0064277F"/>
    <w:rsid w:val="00642F03"/>
    <w:rsid w:val="0064477D"/>
    <w:rsid w:val="006452C6"/>
    <w:rsid w:val="00650386"/>
    <w:rsid w:val="006514C5"/>
    <w:rsid w:val="00653EA5"/>
    <w:rsid w:val="00656547"/>
    <w:rsid w:val="00656892"/>
    <w:rsid w:val="0065714E"/>
    <w:rsid w:val="00662676"/>
    <w:rsid w:val="00663DF4"/>
    <w:rsid w:val="006648F4"/>
    <w:rsid w:val="00665F42"/>
    <w:rsid w:val="00666C35"/>
    <w:rsid w:val="00667730"/>
    <w:rsid w:val="00671F03"/>
    <w:rsid w:val="00672686"/>
    <w:rsid w:val="00672B0C"/>
    <w:rsid w:val="006774B5"/>
    <w:rsid w:val="0068042C"/>
    <w:rsid w:val="00680936"/>
    <w:rsid w:val="00680F35"/>
    <w:rsid w:val="0068142F"/>
    <w:rsid w:val="006842A6"/>
    <w:rsid w:val="0068489F"/>
    <w:rsid w:val="00685085"/>
    <w:rsid w:val="006853A4"/>
    <w:rsid w:val="00685D1B"/>
    <w:rsid w:val="00687A30"/>
    <w:rsid w:val="00687C46"/>
    <w:rsid w:val="00690D69"/>
    <w:rsid w:val="00691E08"/>
    <w:rsid w:val="0069298C"/>
    <w:rsid w:val="00692C22"/>
    <w:rsid w:val="00694064"/>
    <w:rsid w:val="00694CD7"/>
    <w:rsid w:val="00695D3D"/>
    <w:rsid w:val="006A1367"/>
    <w:rsid w:val="006A3D51"/>
    <w:rsid w:val="006A423E"/>
    <w:rsid w:val="006A4A3D"/>
    <w:rsid w:val="006A5F80"/>
    <w:rsid w:val="006A68E2"/>
    <w:rsid w:val="006A6BED"/>
    <w:rsid w:val="006B1C14"/>
    <w:rsid w:val="006B24A7"/>
    <w:rsid w:val="006B3713"/>
    <w:rsid w:val="006B41C0"/>
    <w:rsid w:val="006B6A19"/>
    <w:rsid w:val="006B71E3"/>
    <w:rsid w:val="006C0D87"/>
    <w:rsid w:val="006C1948"/>
    <w:rsid w:val="006C313F"/>
    <w:rsid w:val="006C41E2"/>
    <w:rsid w:val="006C499E"/>
    <w:rsid w:val="006C68D8"/>
    <w:rsid w:val="006C75D9"/>
    <w:rsid w:val="006C7842"/>
    <w:rsid w:val="006C78E0"/>
    <w:rsid w:val="006C7C43"/>
    <w:rsid w:val="006D0297"/>
    <w:rsid w:val="006D07F7"/>
    <w:rsid w:val="006D2670"/>
    <w:rsid w:val="006D34D0"/>
    <w:rsid w:val="006D34E5"/>
    <w:rsid w:val="006D3BFB"/>
    <w:rsid w:val="006D5903"/>
    <w:rsid w:val="006D5936"/>
    <w:rsid w:val="006D5B58"/>
    <w:rsid w:val="006D5CB6"/>
    <w:rsid w:val="006E1673"/>
    <w:rsid w:val="006E21A9"/>
    <w:rsid w:val="006E2DC5"/>
    <w:rsid w:val="006E4B03"/>
    <w:rsid w:val="006E633F"/>
    <w:rsid w:val="006E6EDC"/>
    <w:rsid w:val="006F050B"/>
    <w:rsid w:val="006F0772"/>
    <w:rsid w:val="006F121C"/>
    <w:rsid w:val="006F1BDF"/>
    <w:rsid w:val="006F2A6F"/>
    <w:rsid w:val="006F3984"/>
    <w:rsid w:val="006F41F8"/>
    <w:rsid w:val="006F4782"/>
    <w:rsid w:val="006F4F64"/>
    <w:rsid w:val="006F63E8"/>
    <w:rsid w:val="006F7F0C"/>
    <w:rsid w:val="00700882"/>
    <w:rsid w:val="00701AAA"/>
    <w:rsid w:val="007022E6"/>
    <w:rsid w:val="00703BEC"/>
    <w:rsid w:val="007059C5"/>
    <w:rsid w:val="00706111"/>
    <w:rsid w:val="00706FAA"/>
    <w:rsid w:val="00707F04"/>
    <w:rsid w:val="00710C73"/>
    <w:rsid w:val="00711B3B"/>
    <w:rsid w:val="00711F0E"/>
    <w:rsid w:val="00713F96"/>
    <w:rsid w:val="00714073"/>
    <w:rsid w:val="00714402"/>
    <w:rsid w:val="0071732E"/>
    <w:rsid w:val="00717EED"/>
    <w:rsid w:val="007204BC"/>
    <w:rsid w:val="007205B6"/>
    <w:rsid w:val="00720FBD"/>
    <w:rsid w:val="007219E8"/>
    <w:rsid w:val="00721C59"/>
    <w:rsid w:val="00722D6E"/>
    <w:rsid w:val="007236C2"/>
    <w:rsid w:val="00725654"/>
    <w:rsid w:val="0072703C"/>
    <w:rsid w:val="00727D07"/>
    <w:rsid w:val="0073037A"/>
    <w:rsid w:val="0073037B"/>
    <w:rsid w:val="00732C11"/>
    <w:rsid w:val="00733639"/>
    <w:rsid w:val="00733904"/>
    <w:rsid w:val="00733C0B"/>
    <w:rsid w:val="0073507B"/>
    <w:rsid w:val="00735DC5"/>
    <w:rsid w:val="00736467"/>
    <w:rsid w:val="00737656"/>
    <w:rsid w:val="00737FD7"/>
    <w:rsid w:val="00740B30"/>
    <w:rsid w:val="00741416"/>
    <w:rsid w:val="00742328"/>
    <w:rsid w:val="00742746"/>
    <w:rsid w:val="0074292A"/>
    <w:rsid w:val="00743E60"/>
    <w:rsid w:val="00745467"/>
    <w:rsid w:val="00746760"/>
    <w:rsid w:val="00747127"/>
    <w:rsid w:val="007502C0"/>
    <w:rsid w:val="00750477"/>
    <w:rsid w:val="00751870"/>
    <w:rsid w:val="00751CBB"/>
    <w:rsid w:val="00751D5B"/>
    <w:rsid w:val="00753171"/>
    <w:rsid w:val="00753970"/>
    <w:rsid w:val="00753B45"/>
    <w:rsid w:val="00763D20"/>
    <w:rsid w:val="00763D4D"/>
    <w:rsid w:val="00764C5E"/>
    <w:rsid w:val="0076583F"/>
    <w:rsid w:val="00767686"/>
    <w:rsid w:val="007700C1"/>
    <w:rsid w:val="00770987"/>
    <w:rsid w:val="0077275C"/>
    <w:rsid w:val="00773FC6"/>
    <w:rsid w:val="007741F2"/>
    <w:rsid w:val="00774FF9"/>
    <w:rsid w:val="00775B03"/>
    <w:rsid w:val="00775CBE"/>
    <w:rsid w:val="00776C56"/>
    <w:rsid w:val="00777E3B"/>
    <w:rsid w:val="00781A81"/>
    <w:rsid w:val="0078230C"/>
    <w:rsid w:val="00782ADB"/>
    <w:rsid w:val="00783320"/>
    <w:rsid w:val="00786C0A"/>
    <w:rsid w:val="007907CC"/>
    <w:rsid w:val="007914A9"/>
    <w:rsid w:val="0079314E"/>
    <w:rsid w:val="007953FD"/>
    <w:rsid w:val="00795FDD"/>
    <w:rsid w:val="007979A2"/>
    <w:rsid w:val="007A0543"/>
    <w:rsid w:val="007A3172"/>
    <w:rsid w:val="007B0567"/>
    <w:rsid w:val="007B097C"/>
    <w:rsid w:val="007B10A9"/>
    <w:rsid w:val="007B1F68"/>
    <w:rsid w:val="007B222B"/>
    <w:rsid w:val="007B2EC4"/>
    <w:rsid w:val="007B32A0"/>
    <w:rsid w:val="007B437B"/>
    <w:rsid w:val="007B4C2F"/>
    <w:rsid w:val="007B5A71"/>
    <w:rsid w:val="007B76CF"/>
    <w:rsid w:val="007B7CDC"/>
    <w:rsid w:val="007C23C4"/>
    <w:rsid w:val="007C26C6"/>
    <w:rsid w:val="007C27D1"/>
    <w:rsid w:val="007C3CEF"/>
    <w:rsid w:val="007C4591"/>
    <w:rsid w:val="007C48DA"/>
    <w:rsid w:val="007C5BD5"/>
    <w:rsid w:val="007C7AEE"/>
    <w:rsid w:val="007C7F18"/>
    <w:rsid w:val="007D1FFF"/>
    <w:rsid w:val="007D33EC"/>
    <w:rsid w:val="007D3FF4"/>
    <w:rsid w:val="007D487C"/>
    <w:rsid w:val="007D4A39"/>
    <w:rsid w:val="007D78C3"/>
    <w:rsid w:val="007E143A"/>
    <w:rsid w:val="007E1CB6"/>
    <w:rsid w:val="007E229C"/>
    <w:rsid w:val="007E22F3"/>
    <w:rsid w:val="007E2BFA"/>
    <w:rsid w:val="007E365D"/>
    <w:rsid w:val="007E426C"/>
    <w:rsid w:val="007E6D8F"/>
    <w:rsid w:val="007E73A1"/>
    <w:rsid w:val="007E7DE8"/>
    <w:rsid w:val="007F0099"/>
    <w:rsid w:val="007F170C"/>
    <w:rsid w:val="007F1B29"/>
    <w:rsid w:val="007F28A8"/>
    <w:rsid w:val="007F2BBB"/>
    <w:rsid w:val="007F4273"/>
    <w:rsid w:val="007F7359"/>
    <w:rsid w:val="007F75EF"/>
    <w:rsid w:val="007F78EF"/>
    <w:rsid w:val="008009C4"/>
    <w:rsid w:val="00800A93"/>
    <w:rsid w:val="00803D6A"/>
    <w:rsid w:val="00804CE4"/>
    <w:rsid w:val="00805819"/>
    <w:rsid w:val="008069B8"/>
    <w:rsid w:val="0080741F"/>
    <w:rsid w:val="00807499"/>
    <w:rsid w:val="00807C45"/>
    <w:rsid w:val="00811022"/>
    <w:rsid w:val="008113F4"/>
    <w:rsid w:val="008129DE"/>
    <w:rsid w:val="00813F98"/>
    <w:rsid w:val="00815493"/>
    <w:rsid w:val="00815960"/>
    <w:rsid w:val="00816ED9"/>
    <w:rsid w:val="00817353"/>
    <w:rsid w:val="00820319"/>
    <w:rsid w:val="00820EA4"/>
    <w:rsid w:val="00822BE0"/>
    <w:rsid w:val="00822E97"/>
    <w:rsid w:val="008230F1"/>
    <w:rsid w:val="0082512B"/>
    <w:rsid w:val="008265C8"/>
    <w:rsid w:val="0082679E"/>
    <w:rsid w:val="008277E0"/>
    <w:rsid w:val="0083034A"/>
    <w:rsid w:val="008308BE"/>
    <w:rsid w:val="00833965"/>
    <w:rsid w:val="008344C2"/>
    <w:rsid w:val="00836135"/>
    <w:rsid w:val="008370EB"/>
    <w:rsid w:val="0084140F"/>
    <w:rsid w:val="0084292D"/>
    <w:rsid w:val="00842E8F"/>
    <w:rsid w:val="00843BFE"/>
    <w:rsid w:val="00847850"/>
    <w:rsid w:val="00847FFD"/>
    <w:rsid w:val="0085072F"/>
    <w:rsid w:val="0085100B"/>
    <w:rsid w:val="00852069"/>
    <w:rsid w:val="0085455F"/>
    <w:rsid w:val="00857703"/>
    <w:rsid w:val="00857EA5"/>
    <w:rsid w:val="00860BB8"/>
    <w:rsid w:val="00861B4B"/>
    <w:rsid w:val="008621A4"/>
    <w:rsid w:val="00862694"/>
    <w:rsid w:val="00863A58"/>
    <w:rsid w:val="00864017"/>
    <w:rsid w:val="00870685"/>
    <w:rsid w:val="008706B3"/>
    <w:rsid w:val="00870BFD"/>
    <w:rsid w:val="00871131"/>
    <w:rsid w:val="008714C5"/>
    <w:rsid w:val="0087167E"/>
    <w:rsid w:val="00871805"/>
    <w:rsid w:val="00871F39"/>
    <w:rsid w:val="008729C4"/>
    <w:rsid w:val="00874FAD"/>
    <w:rsid w:val="0087692B"/>
    <w:rsid w:val="00876CFC"/>
    <w:rsid w:val="00876F34"/>
    <w:rsid w:val="00877092"/>
    <w:rsid w:val="0087792B"/>
    <w:rsid w:val="008803E7"/>
    <w:rsid w:val="00880ECA"/>
    <w:rsid w:val="008823F4"/>
    <w:rsid w:val="008832BB"/>
    <w:rsid w:val="0088488D"/>
    <w:rsid w:val="00885CF8"/>
    <w:rsid w:val="00885F04"/>
    <w:rsid w:val="0089042D"/>
    <w:rsid w:val="00894353"/>
    <w:rsid w:val="00894A4D"/>
    <w:rsid w:val="00896538"/>
    <w:rsid w:val="00897CEC"/>
    <w:rsid w:val="00897DA8"/>
    <w:rsid w:val="008A0175"/>
    <w:rsid w:val="008A0D66"/>
    <w:rsid w:val="008A1D0E"/>
    <w:rsid w:val="008A2AF7"/>
    <w:rsid w:val="008A5B3F"/>
    <w:rsid w:val="008A69C5"/>
    <w:rsid w:val="008A72CF"/>
    <w:rsid w:val="008A778E"/>
    <w:rsid w:val="008B0109"/>
    <w:rsid w:val="008B083C"/>
    <w:rsid w:val="008B16AE"/>
    <w:rsid w:val="008B1DA4"/>
    <w:rsid w:val="008B227C"/>
    <w:rsid w:val="008B299E"/>
    <w:rsid w:val="008B2D1D"/>
    <w:rsid w:val="008B4994"/>
    <w:rsid w:val="008B67CC"/>
    <w:rsid w:val="008C0664"/>
    <w:rsid w:val="008C0DAA"/>
    <w:rsid w:val="008C1923"/>
    <w:rsid w:val="008C19A3"/>
    <w:rsid w:val="008C22A0"/>
    <w:rsid w:val="008C2972"/>
    <w:rsid w:val="008C585F"/>
    <w:rsid w:val="008C6D02"/>
    <w:rsid w:val="008C7FD5"/>
    <w:rsid w:val="008D0E75"/>
    <w:rsid w:val="008D30DC"/>
    <w:rsid w:val="008D31DF"/>
    <w:rsid w:val="008D36EA"/>
    <w:rsid w:val="008D3C5E"/>
    <w:rsid w:val="008D3EA0"/>
    <w:rsid w:val="008D615B"/>
    <w:rsid w:val="008D6CF5"/>
    <w:rsid w:val="008D7AA2"/>
    <w:rsid w:val="008D7D29"/>
    <w:rsid w:val="008E0313"/>
    <w:rsid w:val="008E05C9"/>
    <w:rsid w:val="008E3C74"/>
    <w:rsid w:val="008E4016"/>
    <w:rsid w:val="008E47DC"/>
    <w:rsid w:val="008E67B0"/>
    <w:rsid w:val="008E7C46"/>
    <w:rsid w:val="008F07C6"/>
    <w:rsid w:val="008F0DDE"/>
    <w:rsid w:val="008F100F"/>
    <w:rsid w:val="008F11CF"/>
    <w:rsid w:val="008F18A5"/>
    <w:rsid w:val="008F19EF"/>
    <w:rsid w:val="008F2D5F"/>
    <w:rsid w:val="008F2F38"/>
    <w:rsid w:val="008F4BEB"/>
    <w:rsid w:val="008F5014"/>
    <w:rsid w:val="008F6D18"/>
    <w:rsid w:val="008F6E1F"/>
    <w:rsid w:val="008F751F"/>
    <w:rsid w:val="0090018B"/>
    <w:rsid w:val="00900F77"/>
    <w:rsid w:val="00901183"/>
    <w:rsid w:val="00901221"/>
    <w:rsid w:val="00901324"/>
    <w:rsid w:val="0090562F"/>
    <w:rsid w:val="00905D0E"/>
    <w:rsid w:val="009113B4"/>
    <w:rsid w:val="00911E89"/>
    <w:rsid w:val="00913B89"/>
    <w:rsid w:val="00915A09"/>
    <w:rsid w:val="00915E0D"/>
    <w:rsid w:val="0091609A"/>
    <w:rsid w:val="009160B5"/>
    <w:rsid w:val="009200D7"/>
    <w:rsid w:val="0092145B"/>
    <w:rsid w:val="00926843"/>
    <w:rsid w:val="009269A6"/>
    <w:rsid w:val="00930F9D"/>
    <w:rsid w:val="00931495"/>
    <w:rsid w:val="00931556"/>
    <w:rsid w:val="009315D1"/>
    <w:rsid w:val="009315FB"/>
    <w:rsid w:val="00931D41"/>
    <w:rsid w:val="00933BE6"/>
    <w:rsid w:val="0093503E"/>
    <w:rsid w:val="009351D0"/>
    <w:rsid w:val="00935700"/>
    <w:rsid w:val="00935DA0"/>
    <w:rsid w:val="00940393"/>
    <w:rsid w:val="0094207F"/>
    <w:rsid w:val="0094220E"/>
    <w:rsid w:val="0094406F"/>
    <w:rsid w:val="00944A3A"/>
    <w:rsid w:val="00944C36"/>
    <w:rsid w:val="009475DB"/>
    <w:rsid w:val="009479E4"/>
    <w:rsid w:val="00947CF3"/>
    <w:rsid w:val="00952E08"/>
    <w:rsid w:val="00954566"/>
    <w:rsid w:val="00955714"/>
    <w:rsid w:val="00955CC6"/>
    <w:rsid w:val="0095692D"/>
    <w:rsid w:val="00956E20"/>
    <w:rsid w:val="00957C6E"/>
    <w:rsid w:val="009604F5"/>
    <w:rsid w:val="0096056A"/>
    <w:rsid w:val="00960617"/>
    <w:rsid w:val="00962FA0"/>
    <w:rsid w:val="00963F19"/>
    <w:rsid w:val="00964703"/>
    <w:rsid w:val="00964C88"/>
    <w:rsid w:val="00964F6D"/>
    <w:rsid w:val="00966878"/>
    <w:rsid w:val="0096722D"/>
    <w:rsid w:val="00971D25"/>
    <w:rsid w:val="009734A1"/>
    <w:rsid w:val="009740F1"/>
    <w:rsid w:val="0097613B"/>
    <w:rsid w:val="00976E61"/>
    <w:rsid w:val="00982871"/>
    <w:rsid w:val="00982D28"/>
    <w:rsid w:val="00983A1F"/>
    <w:rsid w:val="00984803"/>
    <w:rsid w:val="00985576"/>
    <w:rsid w:val="00987378"/>
    <w:rsid w:val="00987A2F"/>
    <w:rsid w:val="00992401"/>
    <w:rsid w:val="00994237"/>
    <w:rsid w:val="00995831"/>
    <w:rsid w:val="00995F31"/>
    <w:rsid w:val="009A02BC"/>
    <w:rsid w:val="009A3164"/>
    <w:rsid w:val="009A3DA4"/>
    <w:rsid w:val="009A5090"/>
    <w:rsid w:val="009A55AB"/>
    <w:rsid w:val="009A57BC"/>
    <w:rsid w:val="009A5F15"/>
    <w:rsid w:val="009A6B5F"/>
    <w:rsid w:val="009A75F7"/>
    <w:rsid w:val="009A7F85"/>
    <w:rsid w:val="009B1080"/>
    <w:rsid w:val="009B1C49"/>
    <w:rsid w:val="009B1FE7"/>
    <w:rsid w:val="009B31DF"/>
    <w:rsid w:val="009B46AE"/>
    <w:rsid w:val="009B50CB"/>
    <w:rsid w:val="009B53CA"/>
    <w:rsid w:val="009B5D53"/>
    <w:rsid w:val="009C13FF"/>
    <w:rsid w:val="009C4544"/>
    <w:rsid w:val="009C5413"/>
    <w:rsid w:val="009D01D5"/>
    <w:rsid w:val="009D1AFE"/>
    <w:rsid w:val="009D4765"/>
    <w:rsid w:val="009D5A26"/>
    <w:rsid w:val="009D6DB1"/>
    <w:rsid w:val="009D6EE6"/>
    <w:rsid w:val="009E0309"/>
    <w:rsid w:val="009E157D"/>
    <w:rsid w:val="009E15C9"/>
    <w:rsid w:val="009E1E69"/>
    <w:rsid w:val="009E275A"/>
    <w:rsid w:val="009E357C"/>
    <w:rsid w:val="009E3AD9"/>
    <w:rsid w:val="009E45F2"/>
    <w:rsid w:val="009E501C"/>
    <w:rsid w:val="009E5AA6"/>
    <w:rsid w:val="009E5F48"/>
    <w:rsid w:val="009E6B31"/>
    <w:rsid w:val="009E6DE6"/>
    <w:rsid w:val="009F1982"/>
    <w:rsid w:val="009F1BCF"/>
    <w:rsid w:val="009F1BF0"/>
    <w:rsid w:val="009F289F"/>
    <w:rsid w:val="009F3BB0"/>
    <w:rsid w:val="009F4542"/>
    <w:rsid w:val="009F4A02"/>
    <w:rsid w:val="009F6EF6"/>
    <w:rsid w:val="009F71FF"/>
    <w:rsid w:val="00A00B6E"/>
    <w:rsid w:val="00A02896"/>
    <w:rsid w:val="00A03226"/>
    <w:rsid w:val="00A038BF"/>
    <w:rsid w:val="00A046E1"/>
    <w:rsid w:val="00A048C4"/>
    <w:rsid w:val="00A11BCB"/>
    <w:rsid w:val="00A120D2"/>
    <w:rsid w:val="00A129A6"/>
    <w:rsid w:val="00A12A11"/>
    <w:rsid w:val="00A1433E"/>
    <w:rsid w:val="00A148EA"/>
    <w:rsid w:val="00A15E22"/>
    <w:rsid w:val="00A17004"/>
    <w:rsid w:val="00A17AFC"/>
    <w:rsid w:val="00A22470"/>
    <w:rsid w:val="00A240F0"/>
    <w:rsid w:val="00A2672A"/>
    <w:rsid w:val="00A26DBC"/>
    <w:rsid w:val="00A275EE"/>
    <w:rsid w:val="00A27B21"/>
    <w:rsid w:val="00A3030B"/>
    <w:rsid w:val="00A31AB0"/>
    <w:rsid w:val="00A32363"/>
    <w:rsid w:val="00A32BB2"/>
    <w:rsid w:val="00A3365C"/>
    <w:rsid w:val="00A33CF1"/>
    <w:rsid w:val="00A35043"/>
    <w:rsid w:val="00A35308"/>
    <w:rsid w:val="00A354FF"/>
    <w:rsid w:val="00A36529"/>
    <w:rsid w:val="00A36BBA"/>
    <w:rsid w:val="00A36DFF"/>
    <w:rsid w:val="00A37DAB"/>
    <w:rsid w:val="00A402FE"/>
    <w:rsid w:val="00A40BDE"/>
    <w:rsid w:val="00A41F91"/>
    <w:rsid w:val="00A428B8"/>
    <w:rsid w:val="00A43C0F"/>
    <w:rsid w:val="00A45321"/>
    <w:rsid w:val="00A464A6"/>
    <w:rsid w:val="00A47131"/>
    <w:rsid w:val="00A4799E"/>
    <w:rsid w:val="00A506CC"/>
    <w:rsid w:val="00A515FF"/>
    <w:rsid w:val="00A51B98"/>
    <w:rsid w:val="00A51D5E"/>
    <w:rsid w:val="00A53A09"/>
    <w:rsid w:val="00A53E13"/>
    <w:rsid w:val="00A54D6C"/>
    <w:rsid w:val="00A55A87"/>
    <w:rsid w:val="00A56130"/>
    <w:rsid w:val="00A56782"/>
    <w:rsid w:val="00A570AA"/>
    <w:rsid w:val="00A57C9E"/>
    <w:rsid w:val="00A6012E"/>
    <w:rsid w:val="00A63E5E"/>
    <w:rsid w:val="00A656BD"/>
    <w:rsid w:val="00A65E44"/>
    <w:rsid w:val="00A6790B"/>
    <w:rsid w:val="00A70056"/>
    <w:rsid w:val="00A70D1B"/>
    <w:rsid w:val="00A7125A"/>
    <w:rsid w:val="00A74C17"/>
    <w:rsid w:val="00A75946"/>
    <w:rsid w:val="00A763E8"/>
    <w:rsid w:val="00A774FE"/>
    <w:rsid w:val="00A77CC0"/>
    <w:rsid w:val="00A81775"/>
    <w:rsid w:val="00A84846"/>
    <w:rsid w:val="00A867E4"/>
    <w:rsid w:val="00A87B0D"/>
    <w:rsid w:val="00A91159"/>
    <w:rsid w:val="00A92B5C"/>
    <w:rsid w:val="00A93F35"/>
    <w:rsid w:val="00A9619D"/>
    <w:rsid w:val="00A964C9"/>
    <w:rsid w:val="00A96900"/>
    <w:rsid w:val="00A96D6C"/>
    <w:rsid w:val="00A97DB1"/>
    <w:rsid w:val="00AA0B01"/>
    <w:rsid w:val="00AA0C1B"/>
    <w:rsid w:val="00AA1466"/>
    <w:rsid w:val="00AA65BB"/>
    <w:rsid w:val="00AA77C0"/>
    <w:rsid w:val="00AB0538"/>
    <w:rsid w:val="00AB1C66"/>
    <w:rsid w:val="00AB221D"/>
    <w:rsid w:val="00AB4F23"/>
    <w:rsid w:val="00AB5970"/>
    <w:rsid w:val="00AB7D2C"/>
    <w:rsid w:val="00AC0C5B"/>
    <w:rsid w:val="00AC1276"/>
    <w:rsid w:val="00AC16A6"/>
    <w:rsid w:val="00AC271C"/>
    <w:rsid w:val="00AC298F"/>
    <w:rsid w:val="00AC3111"/>
    <w:rsid w:val="00AC45E2"/>
    <w:rsid w:val="00AC5D9A"/>
    <w:rsid w:val="00AC663D"/>
    <w:rsid w:val="00AC7A94"/>
    <w:rsid w:val="00AD0609"/>
    <w:rsid w:val="00AD0AEC"/>
    <w:rsid w:val="00AD110F"/>
    <w:rsid w:val="00AD20F5"/>
    <w:rsid w:val="00AD358C"/>
    <w:rsid w:val="00AD3D79"/>
    <w:rsid w:val="00AD3E86"/>
    <w:rsid w:val="00AD6D1C"/>
    <w:rsid w:val="00AD7724"/>
    <w:rsid w:val="00AD7E02"/>
    <w:rsid w:val="00AE0784"/>
    <w:rsid w:val="00AE35FE"/>
    <w:rsid w:val="00AE47FF"/>
    <w:rsid w:val="00AE54B7"/>
    <w:rsid w:val="00AE6A09"/>
    <w:rsid w:val="00AE6A96"/>
    <w:rsid w:val="00AE6CCF"/>
    <w:rsid w:val="00AF0737"/>
    <w:rsid w:val="00AF133E"/>
    <w:rsid w:val="00AF309B"/>
    <w:rsid w:val="00AF321A"/>
    <w:rsid w:val="00AF3BD9"/>
    <w:rsid w:val="00AF49ED"/>
    <w:rsid w:val="00AF5383"/>
    <w:rsid w:val="00AF5692"/>
    <w:rsid w:val="00AF57CF"/>
    <w:rsid w:val="00AF5CB5"/>
    <w:rsid w:val="00AF6A92"/>
    <w:rsid w:val="00B01239"/>
    <w:rsid w:val="00B01E90"/>
    <w:rsid w:val="00B03DD0"/>
    <w:rsid w:val="00B03F2B"/>
    <w:rsid w:val="00B060E0"/>
    <w:rsid w:val="00B10AFB"/>
    <w:rsid w:val="00B12FA4"/>
    <w:rsid w:val="00B137DF"/>
    <w:rsid w:val="00B144AA"/>
    <w:rsid w:val="00B14C6D"/>
    <w:rsid w:val="00B156F1"/>
    <w:rsid w:val="00B20540"/>
    <w:rsid w:val="00B21D42"/>
    <w:rsid w:val="00B21E4D"/>
    <w:rsid w:val="00B2204A"/>
    <w:rsid w:val="00B22190"/>
    <w:rsid w:val="00B25630"/>
    <w:rsid w:val="00B26FCE"/>
    <w:rsid w:val="00B27C10"/>
    <w:rsid w:val="00B27D46"/>
    <w:rsid w:val="00B30329"/>
    <w:rsid w:val="00B31FAC"/>
    <w:rsid w:val="00B32D0F"/>
    <w:rsid w:val="00B33345"/>
    <w:rsid w:val="00B33BD2"/>
    <w:rsid w:val="00B342FE"/>
    <w:rsid w:val="00B37AFA"/>
    <w:rsid w:val="00B40597"/>
    <w:rsid w:val="00B41EE9"/>
    <w:rsid w:val="00B424ED"/>
    <w:rsid w:val="00B43131"/>
    <w:rsid w:val="00B4328D"/>
    <w:rsid w:val="00B432DA"/>
    <w:rsid w:val="00B43AB1"/>
    <w:rsid w:val="00B44483"/>
    <w:rsid w:val="00B45025"/>
    <w:rsid w:val="00B46536"/>
    <w:rsid w:val="00B468E5"/>
    <w:rsid w:val="00B46AB0"/>
    <w:rsid w:val="00B476BD"/>
    <w:rsid w:val="00B47A7B"/>
    <w:rsid w:val="00B50494"/>
    <w:rsid w:val="00B5093F"/>
    <w:rsid w:val="00B51DC5"/>
    <w:rsid w:val="00B533C6"/>
    <w:rsid w:val="00B554F8"/>
    <w:rsid w:val="00B5662D"/>
    <w:rsid w:val="00B566A9"/>
    <w:rsid w:val="00B6420C"/>
    <w:rsid w:val="00B7190A"/>
    <w:rsid w:val="00B71BAA"/>
    <w:rsid w:val="00B729FF"/>
    <w:rsid w:val="00B73C19"/>
    <w:rsid w:val="00B74101"/>
    <w:rsid w:val="00B743AB"/>
    <w:rsid w:val="00B75B05"/>
    <w:rsid w:val="00B76F17"/>
    <w:rsid w:val="00B809FD"/>
    <w:rsid w:val="00B82AAC"/>
    <w:rsid w:val="00B82F9B"/>
    <w:rsid w:val="00B83BC5"/>
    <w:rsid w:val="00B851B6"/>
    <w:rsid w:val="00B85213"/>
    <w:rsid w:val="00B855C1"/>
    <w:rsid w:val="00B86331"/>
    <w:rsid w:val="00B865C7"/>
    <w:rsid w:val="00B87E2C"/>
    <w:rsid w:val="00B918B6"/>
    <w:rsid w:val="00B919B3"/>
    <w:rsid w:val="00B929CB"/>
    <w:rsid w:val="00B92CCD"/>
    <w:rsid w:val="00B940FB"/>
    <w:rsid w:val="00B949CF"/>
    <w:rsid w:val="00B951ED"/>
    <w:rsid w:val="00B95A96"/>
    <w:rsid w:val="00BA0A28"/>
    <w:rsid w:val="00BA1111"/>
    <w:rsid w:val="00BA1686"/>
    <w:rsid w:val="00BA19FB"/>
    <w:rsid w:val="00BA556A"/>
    <w:rsid w:val="00BA7B33"/>
    <w:rsid w:val="00BB082C"/>
    <w:rsid w:val="00BB0B94"/>
    <w:rsid w:val="00BB2314"/>
    <w:rsid w:val="00BB2A1E"/>
    <w:rsid w:val="00BB35C2"/>
    <w:rsid w:val="00BB38B6"/>
    <w:rsid w:val="00BB66F4"/>
    <w:rsid w:val="00BB7EB9"/>
    <w:rsid w:val="00BC0109"/>
    <w:rsid w:val="00BC0ADB"/>
    <w:rsid w:val="00BC0F57"/>
    <w:rsid w:val="00BC25C8"/>
    <w:rsid w:val="00BC279D"/>
    <w:rsid w:val="00BC323D"/>
    <w:rsid w:val="00BC4B22"/>
    <w:rsid w:val="00BC76DA"/>
    <w:rsid w:val="00BC7E67"/>
    <w:rsid w:val="00BD2174"/>
    <w:rsid w:val="00BD2CA4"/>
    <w:rsid w:val="00BD4277"/>
    <w:rsid w:val="00BD4CE1"/>
    <w:rsid w:val="00BD4EBF"/>
    <w:rsid w:val="00BD5297"/>
    <w:rsid w:val="00BD6A59"/>
    <w:rsid w:val="00BE0724"/>
    <w:rsid w:val="00BE109C"/>
    <w:rsid w:val="00BE3586"/>
    <w:rsid w:val="00BE3886"/>
    <w:rsid w:val="00BE3E4A"/>
    <w:rsid w:val="00BE4096"/>
    <w:rsid w:val="00BE4B39"/>
    <w:rsid w:val="00BE4FAF"/>
    <w:rsid w:val="00BE61A3"/>
    <w:rsid w:val="00BE61BB"/>
    <w:rsid w:val="00BE7977"/>
    <w:rsid w:val="00BE7CB6"/>
    <w:rsid w:val="00BF0CFC"/>
    <w:rsid w:val="00BF1079"/>
    <w:rsid w:val="00BF150B"/>
    <w:rsid w:val="00BF1DC7"/>
    <w:rsid w:val="00BF22DD"/>
    <w:rsid w:val="00BF28CD"/>
    <w:rsid w:val="00BF3BDD"/>
    <w:rsid w:val="00BF3FC5"/>
    <w:rsid w:val="00C011FA"/>
    <w:rsid w:val="00C01299"/>
    <w:rsid w:val="00C01CCA"/>
    <w:rsid w:val="00C0262D"/>
    <w:rsid w:val="00C028B5"/>
    <w:rsid w:val="00C04EE4"/>
    <w:rsid w:val="00C05E63"/>
    <w:rsid w:val="00C065FA"/>
    <w:rsid w:val="00C078D5"/>
    <w:rsid w:val="00C116DD"/>
    <w:rsid w:val="00C11D18"/>
    <w:rsid w:val="00C12E92"/>
    <w:rsid w:val="00C143CE"/>
    <w:rsid w:val="00C15443"/>
    <w:rsid w:val="00C15830"/>
    <w:rsid w:val="00C16663"/>
    <w:rsid w:val="00C171D5"/>
    <w:rsid w:val="00C2014D"/>
    <w:rsid w:val="00C20906"/>
    <w:rsid w:val="00C2092B"/>
    <w:rsid w:val="00C20D23"/>
    <w:rsid w:val="00C23BA5"/>
    <w:rsid w:val="00C258A0"/>
    <w:rsid w:val="00C258EB"/>
    <w:rsid w:val="00C25FD3"/>
    <w:rsid w:val="00C26BD6"/>
    <w:rsid w:val="00C276E9"/>
    <w:rsid w:val="00C279E5"/>
    <w:rsid w:val="00C30AC5"/>
    <w:rsid w:val="00C30C25"/>
    <w:rsid w:val="00C30C79"/>
    <w:rsid w:val="00C31A2F"/>
    <w:rsid w:val="00C31A8B"/>
    <w:rsid w:val="00C339F1"/>
    <w:rsid w:val="00C34378"/>
    <w:rsid w:val="00C35022"/>
    <w:rsid w:val="00C3574C"/>
    <w:rsid w:val="00C37216"/>
    <w:rsid w:val="00C4070D"/>
    <w:rsid w:val="00C41DDF"/>
    <w:rsid w:val="00C42217"/>
    <w:rsid w:val="00C43C04"/>
    <w:rsid w:val="00C45146"/>
    <w:rsid w:val="00C4717D"/>
    <w:rsid w:val="00C47401"/>
    <w:rsid w:val="00C50936"/>
    <w:rsid w:val="00C51199"/>
    <w:rsid w:val="00C513C9"/>
    <w:rsid w:val="00C524F3"/>
    <w:rsid w:val="00C537EC"/>
    <w:rsid w:val="00C53F53"/>
    <w:rsid w:val="00C55216"/>
    <w:rsid w:val="00C56469"/>
    <w:rsid w:val="00C56C6D"/>
    <w:rsid w:val="00C5772A"/>
    <w:rsid w:val="00C57931"/>
    <w:rsid w:val="00C610C6"/>
    <w:rsid w:val="00C61964"/>
    <w:rsid w:val="00C62161"/>
    <w:rsid w:val="00C63541"/>
    <w:rsid w:val="00C63E2B"/>
    <w:rsid w:val="00C64198"/>
    <w:rsid w:val="00C64CDE"/>
    <w:rsid w:val="00C65C40"/>
    <w:rsid w:val="00C6640B"/>
    <w:rsid w:val="00C67476"/>
    <w:rsid w:val="00C678D4"/>
    <w:rsid w:val="00C70013"/>
    <w:rsid w:val="00C71B79"/>
    <w:rsid w:val="00C7291A"/>
    <w:rsid w:val="00C74D45"/>
    <w:rsid w:val="00C75F96"/>
    <w:rsid w:val="00C766F9"/>
    <w:rsid w:val="00C76CAE"/>
    <w:rsid w:val="00C770B9"/>
    <w:rsid w:val="00C8324B"/>
    <w:rsid w:val="00C8678A"/>
    <w:rsid w:val="00C86FD3"/>
    <w:rsid w:val="00C90579"/>
    <w:rsid w:val="00C90D23"/>
    <w:rsid w:val="00C91134"/>
    <w:rsid w:val="00C930FA"/>
    <w:rsid w:val="00C93DC1"/>
    <w:rsid w:val="00C93E4C"/>
    <w:rsid w:val="00C955B1"/>
    <w:rsid w:val="00C9604C"/>
    <w:rsid w:val="00C97ABD"/>
    <w:rsid w:val="00CA068D"/>
    <w:rsid w:val="00CA0FED"/>
    <w:rsid w:val="00CA117E"/>
    <w:rsid w:val="00CA1B25"/>
    <w:rsid w:val="00CA22C4"/>
    <w:rsid w:val="00CA25C2"/>
    <w:rsid w:val="00CA2D7B"/>
    <w:rsid w:val="00CA30B1"/>
    <w:rsid w:val="00CA33A1"/>
    <w:rsid w:val="00CA5670"/>
    <w:rsid w:val="00CA5C88"/>
    <w:rsid w:val="00CA6443"/>
    <w:rsid w:val="00CA6446"/>
    <w:rsid w:val="00CA667A"/>
    <w:rsid w:val="00CA6E65"/>
    <w:rsid w:val="00CA7D9F"/>
    <w:rsid w:val="00CB0881"/>
    <w:rsid w:val="00CB1164"/>
    <w:rsid w:val="00CB2CF7"/>
    <w:rsid w:val="00CB3176"/>
    <w:rsid w:val="00CB3ADA"/>
    <w:rsid w:val="00CB3C84"/>
    <w:rsid w:val="00CC24B9"/>
    <w:rsid w:val="00CC3D3D"/>
    <w:rsid w:val="00CC6B4D"/>
    <w:rsid w:val="00CC719E"/>
    <w:rsid w:val="00CD15C8"/>
    <w:rsid w:val="00CD1A0E"/>
    <w:rsid w:val="00CD1D2F"/>
    <w:rsid w:val="00CD28D8"/>
    <w:rsid w:val="00CD5C54"/>
    <w:rsid w:val="00CD5CEE"/>
    <w:rsid w:val="00CD629B"/>
    <w:rsid w:val="00CD6BFB"/>
    <w:rsid w:val="00CD7FC6"/>
    <w:rsid w:val="00CE0BA7"/>
    <w:rsid w:val="00CE0CEC"/>
    <w:rsid w:val="00CE2DE6"/>
    <w:rsid w:val="00CE35CB"/>
    <w:rsid w:val="00CE3A55"/>
    <w:rsid w:val="00CE463D"/>
    <w:rsid w:val="00CE6A0D"/>
    <w:rsid w:val="00CF030B"/>
    <w:rsid w:val="00CF0FE5"/>
    <w:rsid w:val="00CF3F91"/>
    <w:rsid w:val="00CF507B"/>
    <w:rsid w:val="00CF6C58"/>
    <w:rsid w:val="00D00645"/>
    <w:rsid w:val="00D00E44"/>
    <w:rsid w:val="00D0219D"/>
    <w:rsid w:val="00D0343D"/>
    <w:rsid w:val="00D05659"/>
    <w:rsid w:val="00D06B34"/>
    <w:rsid w:val="00D07A5E"/>
    <w:rsid w:val="00D1070E"/>
    <w:rsid w:val="00D1208C"/>
    <w:rsid w:val="00D143F2"/>
    <w:rsid w:val="00D1491C"/>
    <w:rsid w:val="00D14DCE"/>
    <w:rsid w:val="00D15B44"/>
    <w:rsid w:val="00D16385"/>
    <w:rsid w:val="00D16D9F"/>
    <w:rsid w:val="00D17667"/>
    <w:rsid w:val="00D2054E"/>
    <w:rsid w:val="00D24859"/>
    <w:rsid w:val="00D2524C"/>
    <w:rsid w:val="00D26666"/>
    <w:rsid w:val="00D26897"/>
    <w:rsid w:val="00D30DD1"/>
    <w:rsid w:val="00D31C2D"/>
    <w:rsid w:val="00D33A84"/>
    <w:rsid w:val="00D3408E"/>
    <w:rsid w:val="00D34374"/>
    <w:rsid w:val="00D36B9C"/>
    <w:rsid w:val="00D400DD"/>
    <w:rsid w:val="00D444C3"/>
    <w:rsid w:val="00D44E70"/>
    <w:rsid w:val="00D46D7A"/>
    <w:rsid w:val="00D47DFF"/>
    <w:rsid w:val="00D5086B"/>
    <w:rsid w:val="00D510F1"/>
    <w:rsid w:val="00D520CD"/>
    <w:rsid w:val="00D53234"/>
    <w:rsid w:val="00D5331C"/>
    <w:rsid w:val="00D54C81"/>
    <w:rsid w:val="00D55241"/>
    <w:rsid w:val="00D57592"/>
    <w:rsid w:val="00D57AEF"/>
    <w:rsid w:val="00D61156"/>
    <w:rsid w:val="00D619FA"/>
    <w:rsid w:val="00D61FE5"/>
    <w:rsid w:val="00D63641"/>
    <w:rsid w:val="00D63FB9"/>
    <w:rsid w:val="00D64E55"/>
    <w:rsid w:val="00D65A81"/>
    <w:rsid w:val="00D65C69"/>
    <w:rsid w:val="00D66869"/>
    <w:rsid w:val="00D66FC6"/>
    <w:rsid w:val="00D675C5"/>
    <w:rsid w:val="00D701A2"/>
    <w:rsid w:val="00D70EE7"/>
    <w:rsid w:val="00D7101B"/>
    <w:rsid w:val="00D71BD4"/>
    <w:rsid w:val="00D7346F"/>
    <w:rsid w:val="00D73515"/>
    <w:rsid w:val="00D74024"/>
    <w:rsid w:val="00D7579B"/>
    <w:rsid w:val="00D763E8"/>
    <w:rsid w:val="00D77115"/>
    <w:rsid w:val="00D801D8"/>
    <w:rsid w:val="00D80BBB"/>
    <w:rsid w:val="00D816AF"/>
    <w:rsid w:val="00D8283F"/>
    <w:rsid w:val="00D82A08"/>
    <w:rsid w:val="00D82C60"/>
    <w:rsid w:val="00D8420B"/>
    <w:rsid w:val="00D8423F"/>
    <w:rsid w:val="00D856F7"/>
    <w:rsid w:val="00D91ADE"/>
    <w:rsid w:val="00D92329"/>
    <w:rsid w:val="00D92E36"/>
    <w:rsid w:val="00D92EEC"/>
    <w:rsid w:val="00D93D05"/>
    <w:rsid w:val="00D95219"/>
    <w:rsid w:val="00D95C29"/>
    <w:rsid w:val="00D97B7C"/>
    <w:rsid w:val="00DA0335"/>
    <w:rsid w:val="00DA119D"/>
    <w:rsid w:val="00DA2C66"/>
    <w:rsid w:val="00DA4560"/>
    <w:rsid w:val="00DA4705"/>
    <w:rsid w:val="00DA4C56"/>
    <w:rsid w:val="00DA6F7F"/>
    <w:rsid w:val="00DA7B25"/>
    <w:rsid w:val="00DB046E"/>
    <w:rsid w:val="00DB1D04"/>
    <w:rsid w:val="00DB531F"/>
    <w:rsid w:val="00DB7135"/>
    <w:rsid w:val="00DB7A18"/>
    <w:rsid w:val="00DC3526"/>
    <w:rsid w:val="00DC5899"/>
    <w:rsid w:val="00DC5A34"/>
    <w:rsid w:val="00DC5CB6"/>
    <w:rsid w:val="00DC65BC"/>
    <w:rsid w:val="00DC76E1"/>
    <w:rsid w:val="00DD03E1"/>
    <w:rsid w:val="00DD0657"/>
    <w:rsid w:val="00DD0B8A"/>
    <w:rsid w:val="00DD144D"/>
    <w:rsid w:val="00DD2ABA"/>
    <w:rsid w:val="00DD667D"/>
    <w:rsid w:val="00DD683E"/>
    <w:rsid w:val="00DE11EB"/>
    <w:rsid w:val="00DE13D0"/>
    <w:rsid w:val="00DE3982"/>
    <w:rsid w:val="00DE4D84"/>
    <w:rsid w:val="00DE5499"/>
    <w:rsid w:val="00DE7420"/>
    <w:rsid w:val="00DE7802"/>
    <w:rsid w:val="00DF05F4"/>
    <w:rsid w:val="00DF0D6A"/>
    <w:rsid w:val="00DF0DAF"/>
    <w:rsid w:val="00DF1212"/>
    <w:rsid w:val="00DF2450"/>
    <w:rsid w:val="00DF4232"/>
    <w:rsid w:val="00DF4611"/>
    <w:rsid w:val="00DF6E35"/>
    <w:rsid w:val="00DF7377"/>
    <w:rsid w:val="00DF79C7"/>
    <w:rsid w:val="00E001C9"/>
    <w:rsid w:val="00E037C5"/>
    <w:rsid w:val="00E04170"/>
    <w:rsid w:val="00E04FBA"/>
    <w:rsid w:val="00E0615C"/>
    <w:rsid w:val="00E06A71"/>
    <w:rsid w:val="00E07E5C"/>
    <w:rsid w:val="00E107CC"/>
    <w:rsid w:val="00E119D4"/>
    <w:rsid w:val="00E11D69"/>
    <w:rsid w:val="00E11E16"/>
    <w:rsid w:val="00E11EB5"/>
    <w:rsid w:val="00E123EB"/>
    <w:rsid w:val="00E124A9"/>
    <w:rsid w:val="00E127C3"/>
    <w:rsid w:val="00E130A9"/>
    <w:rsid w:val="00E148A2"/>
    <w:rsid w:val="00E14A19"/>
    <w:rsid w:val="00E14DA8"/>
    <w:rsid w:val="00E14FAA"/>
    <w:rsid w:val="00E1675F"/>
    <w:rsid w:val="00E22953"/>
    <w:rsid w:val="00E23C64"/>
    <w:rsid w:val="00E25965"/>
    <w:rsid w:val="00E25F85"/>
    <w:rsid w:val="00E26D58"/>
    <w:rsid w:val="00E26EBD"/>
    <w:rsid w:val="00E26F8B"/>
    <w:rsid w:val="00E2727A"/>
    <w:rsid w:val="00E27B92"/>
    <w:rsid w:val="00E300BA"/>
    <w:rsid w:val="00E3077F"/>
    <w:rsid w:val="00E31061"/>
    <w:rsid w:val="00E32D33"/>
    <w:rsid w:val="00E356BA"/>
    <w:rsid w:val="00E36402"/>
    <w:rsid w:val="00E3676A"/>
    <w:rsid w:val="00E435BA"/>
    <w:rsid w:val="00E43EB7"/>
    <w:rsid w:val="00E455E0"/>
    <w:rsid w:val="00E462E4"/>
    <w:rsid w:val="00E46323"/>
    <w:rsid w:val="00E50567"/>
    <w:rsid w:val="00E51531"/>
    <w:rsid w:val="00E52627"/>
    <w:rsid w:val="00E53CA1"/>
    <w:rsid w:val="00E5402B"/>
    <w:rsid w:val="00E554F2"/>
    <w:rsid w:val="00E5757D"/>
    <w:rsid w:val="00E61AB4"/>
    <w:rsid w:val="00E62219"/>
    <w:rsid w:val="00E6295F"/>
    <w:rsid w:val="00E63999"/>
    <w:rsid w:val="00E63F73"/>
    <w:rsid w:val="00E64239"/>
    <w:rsid w:val="00E702D2"/>
    <w:rsid w:val="00E71E70"/>
    <w:rsid w:val="00E73B95"/>
    <w:rsid w:val="00E74BE1"/>
    <w:rsid w:val="00E76EC3"/>
    <w:rsid w:val="00E7747E"/>
    <w:rsid w:val="00E8045F"/>
    <w:rsid w:val="00E820C6"/>
    <w:rsid w:val="00E82A0F"/>
    <w:rsid w:val="00E82E49"/>
    <w:rsid w:val="00E83B07"/>
    <w:rsid w:val="00E868AF"/>
    <w:rsid w:val="00E86F71"/>
    <w:rsid w:val="00E87395"/>
    <w:rsid w:val="00E93B9A"/>
    <w:rsid w:val="00E94D77"/>
    <w:rsid w:val="00E979F1"/>
    <w:rsid w:val="00EA0275"/>
    <w:rsid w:val="00EA14E0"/>
    <w:rsid w:val="00EA2283"/>
    <w:rsid w:val="00EA28FC"/>
    <w:rsid w:val="00EA548B"/>
    <w:rsid w:val="00EA6620"/>
    <w:rsid w:val="00EA7471"/>
    <w:rsid w:val="00EB1574"/>
    <w:rsid w:val="00EB1FBF"/>
    <w:rsid w:val="00EB2F34"/>
    <w:rsid w:val="00EB39D8"/>
    <w:rsid w:val="00EB450B"/>
    <w:rsid w:val="00EB4B3E"/>
    <w:rsid w:val="00EB5320"/>
    <w:rsid w:val="00EB5433"/>
    <w:rsid w:val="00EB6F02"/>
    <w:rsid w:val="00EB711B"/>
    <w:rsid w:val="00EC124B"/>
    <w:rsid w:val="00EC1473"/>
    <w:rsid w:val="00EC203B"/>
    <w:rsid w:val="00EC2CB6"/>
    <w:rsid w:val="00EC3C26"/>
    <w:rsid w:val="00EC4429"/>
    <w:rsid w:val="00EC4AD5"/>
    <w:rsid w:val="00EC4ADD"/>
    <w:rsid w:val="00EC6F4B"/>
    <w:rsid w:val="00ED0DF3"/>
    <w:rsid w:val="00ED2FF7"/>
    <w:rsid w:val="00ED3010"/>
    <w:rsid w:val="00ED365E"/>
    <w:rsid w:val="00ED4122"/>
    <w:rsid w:val="00ED5A39"/>
    <w:rsid w:val="00ED5F1B"/>
    <w:rsid w:val="00ED6B40"/>
    <w:rsid w:val="00ED727B"/>
    <w:rsid w:val="00EE067F"/>
    <w:rsid w:val="00EE0AB8"/>
    <w:rsid w:val="00EE12BB"/>
    <w:rsid w:val="00EE188E"/>
    <w:rsid w:val="00EE3FB5"/>
    <w:rsid w:val="00EE44E5"/>
    <w:rsid w:val="00EE50BB"/>
    <w:rsid w:val="00EE765E"/>
    <w:rsid w:val="00EF0EB5"/>
    <w:rsid w:val="00EF1C79"/>
    <w:rsid w:val="00EF33D3"/>
    <w:rsid w:val="00EF74A2"/>
    <w:rsid w:val="00EF7C3C"/>
    <w:rsid w:val="00F009ED"/>
    <w:rsid w:val="00F01D13"/>
    <w:rsid w:val="00F0270C"/>
    <w:rsid w:val="00F03BE2"/>
    <w:rsid w:val="00F03FD3"/>
    <w:rsid w:val="00F04268"/>
    <w:rsid w:val="00F05413"/>
    <w:rsid w:val="00F05843"/>
    <w:rsid w:val="00F068FE"/>
    <w:rsid w:val="00F0752F"/>
    <w:rsid w:val="00F07D4A"/>
    <w:rsid w:val="00F107F3"/>
    <w:rsid w:val="00F15DFF"/>
    <w:rsid w:val="00F1648A"/>
    <w:rsid w:val="00F17BF5"/>
    <w:rsid w:val="00F24C17"/>
    <w:rsid w:val="00F267DB"/>
    <w:rsid w:val="00F317CE"/>
    <w:rsid w:val="00F335AD"/>
    <w:rsid w:val="00F36B54"/>
    <w:rsid w:val="00F374CF"/>
    <w:rsid w:val="00F3757A"/>
    <w:rsid w:val="00F418C6"/>
    <w:rsid w:val="00F41980"/>
    <w:rsid w:val="00F42727"/>
    <w:rsid w:val="00F433FA"/>
    <w:rsid w:val="00F44722"/>
    <w:rsid w:val="00F458CC"/>
    <w:rsid w:val="00F479A4"/>
    <w:rsid w:val="00F47AC1"/>
    <w:rsid w:val="00F47DF9"/>
    <w:rsid w:val="00F516D6"/>
    <w:rsid w:val="00F528A7"/>
    <w:rsid w:val="00F5458A"/>
    <w:rsid w:val="00F550F8"/>
    <w:rsid w:val="00F555C4"/>
    <w:rsid w:val="00F5599D"/>
    <w:rsid w:val="00F55C85"/>
    <w:rsid w:val="00F55DF5"/>
    <w:rsid w:val="00F56B8F"/>
    <w:rsid w:val="00F56D48"/>
    <w:rsid w:val="00F56FF8"/>
    <w:rsid w:val="00F57C80"/>
    <w:rsid w:val="00F57F0B"/>
    <w:rsid w:val="00F618DE"/>
    <w:rsid w:val="00F61CD8"/>
    <w:rsid w:val="00F636B6"/>
    <w:rsid w:val="00F63C8F"/>
    <w:rsid w:val="00F6518B"/>
    <w:rsid w:val="00F65579"/>
    <w:rsid w:val="00F65E44"/>
    <w:rsid w:val="00F667D2"/>
    <w:rsid w:val="00F67687"/>
    <w:rsid w:val="00F73651"/>
    <w:rsid w:val="00F73CDE"/>
    <w:rsid w:val="00F7414D"/>
    <w:rsid w:val="00F74781"/>
    <w:rsid w:val="00F75EA5"/>
    <w:rsid w:val="00F76E3C"/>
    <w:rsid w:val="00F82558"/>
    <w:rsid w:val="00F825D3"/>
    <w:rsid w:val="00F82AF5"/>
    <w:rsid w:val="00F85AC8"/>
    <w:rsid w:val="00F866E9"/>
    <w:rsid w:val="00F86B5B"/>
    <w:rsid w:val="00F90710"/>
    <w:rsid w:val="00F9125A"/>
    <w:rsid w:val="00F91937"/>
    <w:rsid w:val="00F923F1"/>
    <w:rsid w:val="00F92F97"/>
    <w:rsid w:val="00F97DE4"/>
    <w:rsid w:val="00FA25F3"/>
    <w:rsid w:val="00FA45C6"/>
    <w:rsid w:val="00FA5659"/>
    <w:rsid w:val="00FA58A1"/>
    <w:rsid w:val="00FA7A9E"/>
    <w:rsid w:val="00FB1F4D"/>
    <w:rsid w:val="00FB2DE9"/>
    <w:rsid w:val="00FB36D1"/>
    <w:rsid w:val="00FB438F"/>
    <w:rsid w:val="00FB4ED9"/>
    <w:rsid w:val="00FB56AC"/>
    <w:rsid w:val="00FB596E"/>
    <w:rsid w:val="00FB67A5"/>
    <w:rsid w:val="00FC1C12"/>
    <w:rsid w:val="00FC45C2"/>
    <w:rsid w:val="00FC5D5E"/>
    <w:rsid w:val="00FC67D1"/>
    <w:rsid w:val="00FC7411"/>
    <w:rsid w:val="00FD1128"/>
    <w:rsid w:val="00FD1DC9"/>
    <w:rsid w:val="00FD21DE"/>
    <w:rsid w:val="00FD230B"/>
    <w:rsid w:val="00FD324B"/>
    <w:rsid w:val="00FD6F40"/>
    <w:rsid w:val="00FD7B25"/>
    <w:rsid w:val="00FE092D"/>
    <w:rsid w:val="00FE242C"/>
    <w:rsid w:val="00FE2AB2"/>
    <w:rsid w:val="00FE3001"/>
    <w:rsid w:val="00FE4ACE"/>
    <w:rsid w:val="00FE5208"/>
    <w:rsid w:val="00FE5946"/>
    <w:rsid w:val="00FE61D9"/>
    <w:rsid w:val="00FE62AF"/>
    <w:rsid w:val="00FE6390"/>
    <w:rsid w:val="00FE66F1"/>
    <w:rsid w:val="00FE751F"/>
    <w:rsid w:val="00FF0FE9"/>
    <w:rsid w:val="00FF494B"/>
    <w:rsid w:val="00FF4B43"/>
    <w:rsid w:val="00FF6D9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5AF50E"/>
  <w15:chartTrackingRefBased/>
  <w15:docId w15:val="{060910DD-2BB1-4890-91ED-CDA14166E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5576"/>
  </w:style>
  <w:style w:type="paragraph" w:styleId="Heading1">
    <w:name w:val="heading 1"/>
    <w:basedOn w:val="Normal"/>
    <w:next w:val="Normal"/>
    <w:link w:val="Heading1Char"/>
    <w:uiPriority w:val="9"/>
    <w:qFormat/>
    <w:rsid w:val="0068042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A37DA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9"/>
    <w:qFormat/>
    <w:rsid w:val="006F63E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BC76DA"/>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6F63E8"/>
    <w:rPr>
      <w:rFonts w:ascii="Times New Roman" w:eastAsia="Times New Roman" w:hAnsi="Times New Roman" w:cs="Times New Roman"/>
      <w:b/>
      <w:bCs/>
      <w:sz w:val="27"/>
      <w:szCs w:val="27"/>
    </w:rPr>
  </w:style>
  <w:style w:type="character" w:styleId="Hyperlink">
    <w:name w:val="Hyperlink"/>
    <w:basedOn w:val="DefaultParagraphFont"/>
    <w:uiPriority w:val="99"/>
    <w:unhideWhenUsed/>
    <w:rsid w:val="006F63E8"/>
    <w:rPr>
      <w:color w:val="0000FF"/>
      <w:u w:val="single"/>
    </w:rPr>
  </w:style>
  <w:style w:type="paragraph" w:styleId="ListParagraph">
    <w:name w:val="List Paragraph"/>
    <w:basedOn w:val="Normal"/>
    <w:uiPriority w:val="34"/>
    <w:qFormat/>
    <w:rsid w:val="00004640"/>
    <w:pPr>
      <w:ind w:left="720"/>
      <w:contextualSpacing/>
    </w:pPr>
  </w:style>
  <w:style w:type="paragraph" w:styleId="Header">
    <w:name w:val="header"/>
    <w:basedOn w:val="Normal"/>
    <w:link w:val="HeaderChar"/>
    <w:uiPriority w:val="99"/>
    <w:unhideWhenUsed/>
    <w:rsid w:val="00294018"/>
    <w:pPr>
      <w:tabs>
        <w:tab w:val="center" w:pos="4680"/>
        <w:tab w:val="right" w:pos="9360"/>
      </w:tabs>
      <w:spacing w:after="0" w:line="240" w:lineRule="auto"/>
    </w:pPr>
  </w:style>
  <w:style w:type="character" w:customStyle="1" w:styleId="HeaderChar">
    <w:name w:val="Header Char"/>
    <w:basedOn w:val="DefaultParagraphFont"/>
    <w:link w:val="Header"/>
    <w:uiPriority w:val="99"/>
    <w:rsid w:val="00294018"/>
  </w:style>
  <w:style w:type="paragraph" w:styleId="Footer">
    <w:name w:val="footer"/>
    <w:basedOn w:val="Normal"/>
    <w:link w:val="FooterChar"/>
    <w:uiPriority w:val="99"/>
    <w:unhideWhenUsed/>
    <w:rsid w:val="00294018"/>
    <w:pPr>
      <w:tabs>
        <w:tab w:val="center" w:pos="4680"/>
        <w:tab w:val="right" w:pos="9360"/>
      </w:tabs>
      <w:spacing w:after="0" w:line="240" w:lineRule="auto"/>
    </w:pPr>
  </w:style>
  <w:style w:type="character" w:customStyle="1" w:styleId="FooterChar">
    <w:name w:val="Footer Char"/>
    <w:basedOn w:val="DefaultParagraphFont"/>
    <w:link w:val="Footer"/>
    <w:uiPriority w:val="99"/>
    <w:rsid w:val="00294018"/>
  </w:style>
  <w:style w:type="table" w:styleId="TableGrid">
    <w:name w:val="Table Grid"/>
    <w:basedOn w:val="TableNormal"/>
    <w:uiPriority w:val="39"/>
    <w:rsid w:val="00AD11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68042C"/>
    <w:rPr>
      <w:rFonts w:asciiTheme="majorHAnsi" w:eastAsiaTheme="majorEastAsia" w:hAnsiTheme="majorHAnsi" w:cstheme="majorBidi"/>
      <w:color w:val="2E74B5" w:themeColor="accent1" w:themeShade="BF"/>
      <w:sz w:val="32"/>
      <w:szCs w:val="32"/>
    </w:rPr>
  </w:style>
  <w:style w:type="paragraph" w:customStyle="1" w:styleId="Default">
    <w:name w:val="Default"/>
    <w:rsid w:val="003209CB"/>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2370E6"/>
    <w:rPr>
      <w:i/>
      <w:iCs/>
    </w:rPr>
  </w:style>
  <w:style w:type="paragraph" w:styleId="BalloonText">
    <w:name w:val="Balloon Text"/>
    <w:basedOn w:val="Normal"/>
    <w:link w:val="BalloonTextChar"/>
    <w:uiPriority w:val="99"/>
    <w:semiHidden/>
    <w:unhideWhenUsed/>
    <w:rsid w:val="00B27D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27D46"/>
    <w:rPr>
      <w:rFonts w:ascii="Segoe UI" w:hAnsi="Segoe UI" w:cs="Segoe UI"/>
      <w:sz w:val="18"/>
      <w:szCs w:val="18"/>
    </w:rPr>
  </w:style>
  <w:style w:type="character" w:styleId="Strong">
    <w:name w:val="Strong"/>
    <w:basedOn w:val="DefaultParagraphFont"/>
    <w:uiPriority w:val="22"/>
    <w:qFormat/>
    <w:rsid w:val="003C0AA2"/>
    <w:rPr>
      <w:b/>
      <w:bCs/>
    </w:rPr>
  </w:style>
  <w:style w:type="paragraph" w:customStyle="1" w:styleId="Pa11">
    <w:name w:val="Pa11"/>
    <w:basedOn w:val="Default"/>
    <w:next w:val="Default"/>
    <w:uiPriority w:val="99"/>
    <w:rsid w:val="00667730"/>
    <w:pPr>
      <w:spacing w:line="181" w:lineRule="atLeast"/>
    </w:pPr>
    <w:rPr>
      <w:rFonts w:ascii="Source Sans Pro" w:hAnsi="Source Sans Pro" w:cstheme="minorBidi"/>
      <w:color w:val="auto"/>
    </w:rPr>
  </w:style>
  <w:style w:type="paragraph" w:customStyle="1" w:styleId="Pa40">
    <w:name w:val="Pa40"/>
    <w:basedOn w:val="Default"/>
    <w:next w:val="Default"/>
    <w:uiPriority w:val="99"/>
    <w:rsid w:val="00107C24"/>
    <w:pPr>
      <w:spacing w:line="181" w:lineRule="atLeast"/>
    </w:pPr>
    <w:rPr>
      <w:rFonts w:ascii="Source Sans Pro Light" w:hAnsi="Source Sans Pro Light" w:cstheme="minorBidi"/>
      <w:color w:val="auto"/>
    </w:rPr>
  </w:style>
  <w:style w:type="paragraph" w:customStyle="1" w:styleId="Pa3">
    <w:name w:val="Pa3"/>
    <w:basedOn w:val="Default"/>
    <w:next w:val="Default"/>
    <w:uiPriority w:val="99"/>
    <w:rsid w:val="007C4591"/>
    <w:pPr>
      <w:spacing w:line="181" w:lineRule="atLeast"/>
    </w:pPr>
    <w:rPr>
      <w:rFonts w:ascii="Source Sans Pro Light" w:hAnsi="Source Sans Pro Light" w:cstheme="minorBidi"/>
      <w:color w:val="auto"/>
    </w:rPr>
  </w:style>
  <w:style w:type="character" w:customStyle="1" w:styleId="A1">
    <w:name w:val="A1"/>
    <w:uiPriority w:val="99"/>
    <w:rsid w:val="007C4591"/>
    <w:rPr>
      <w:rFonts w:cs="Source Sans Pro Light"/>
      <w:i/>
      <w:iCs/>
      <w:color w:val="000000"/>
      <w:sz w:val="16"/>
      <w:szCs w:val="16"/>
    </w:rPr>
  </w:style>
  <w:style w:type="character" w:customStyle="1" w:styleId="Heading5Char">
    <w:name w:val="Heading 5 Char"/>
    <w:basedOn w:val="DefaultParagraphFont"/>
    <w:link w:val="Heading5"/>
    <w:uiPriority w:val="9"/>
    <w:semiHidden/>
    <w:rsid w:val="00BC76DA"/>
    <w:rPr>
      <w:rFonts w:asciiTheme="majorHAnsi" w:eastAsiaTheme="majorEastAsia" w:hAnsiTheme="majorHAnsi" w:cstheme="majorBidi"/>
      <w:color w:val="2E74B5" w:themeColor="accent1" w:themeShade="BF"/>
    </w:rPr>
  </w:style>
  <w:style w:type="paragraph" w:styleId="NormalWeb">
    <w:name w:val="Normal (Web)"/>
    <w:basedOn w:val="Normal"/>
    <w:uiPriority w:val="99"/>
    <w:semiHidden/>
    <w:unhideWhenUsed/>
    <w:rsid w:val="008339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wysiwyg-font-size-small">
    <w:name w:val="wysiwyg-font-size-small"/>
    <w:basedOn w:val="DefaultParagraphFont"/>
    <w:rsid w:val="00833965"/>
  </w:style>
  <w:style w:type="paragraph" w:styleId="BodyText">
    <w:name w:val="Body Text"/>
    <w:basedOn w:val="Normal"/>
    <w:link w:val="BodyTextChar"/>
    <w:uiPriority w:val="1"/>
    <w:qFormat/>
    <w:rsid w:val="003A4CF9"/>
    <w:pPr>
      <w:widowControl w:val="0"/>
      <w:autoSpaceDE w:val="0"/>
      <w:autoSpaceDN w:val="0"/>
      <w:spacing w:after="0" w:line="240" w:lineRule="auto"/>
      <w:ind w:left="118"/>
      <w:jc w:val="both"/>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3A4CF9"/>
    <w:rPr>
      <w:rFonts w:ascii="Times New Roman" w:eastAsia="Times New Roman" w:hAnsi="Times New Roman" w:cs="Times New Roman"/>
      <w:sz w:val="24"/>
      <w:szCs w:val="24"/>
    </w:rPr>
  </w:style>
  <w:style w:type="character" w:styleId="CommentReference">
    <w:name w:val="annotation reference"/>
    <w:basedOn w:val="DefaultParagraphFont"/>
    <w:uiPriority w:val="99"/>
    <w:semiHidden/>
    <w:unhideWhenUsed/>
    <w:rsid w:val="00F107F3"/>
    <w:rPr>
      <w:sz w:val="16"/>
      <w:szCs w:val="16"/>
    </w:rPr>
  </w:style>
  <w:style w:type="paragraph" w:styleId="CommentText">
    <w:name w:val="annotation text"/>
    <w:basedOn w:val="Normal"/>
    <w:link w:val="CommentTextChar"/>
    <w:uiPriority w:val="99"/>
    <w:semiHidden/>
    <w:unhideWhenUsed/>
    <w:rsid w:val="00F107F3"/>
    <w:pPr>
      <w:spacing w:line="240" w:lineRule="auto"/>
    </w:pPr>
    <w:rPr>
      <w:sz w:val="20"/>
      <w:szCs w:val="20"/>
    </w:rPr>
  </w:style>
  <w:style w:type="character" w:customStyle="1" w:styleId="CommentTextChar">
    <w:name w:val="Comment Text Char"/>
    <w:basedOn w:val="DefaultParagraphFont"/>
    <w:link w:val="CommentText"/>
    <w:uiPriority w:val="99"/>
    <w:semiHidden/>
    <w:rsid w:val="00F107F3"/>
    <w:rPr>
      <w:sz w:val="20"/>
      <w:szCs w:val="20"/>
    </w:rPr>
  </w:style>
  <w:style w:type="paragraph" w:styleId="CommentSubject">
    <w:name w:val="annotation subject"/>
    <w:basedOn w:val="CommentText"/>
    <w:next w:val="CommentText"/>
    <w:link w:val="CommentSubjectChar"/>
    <w:uiPriority w:val="99"/>
    <w:semiHidden/>
    <w:unhideWhenUsed/>
    <w:rsid w:val="00F107F3"/>
    <w:rPr>
      <w:b/>
      <w:bCs/>
    </w:rPr>
  </w:style>
  <w:style w:type="character" w:customStyle="1" w:styleId="CommentSubjectChar">
    <w:name w:val="Comment Subject Char"/>
    <w:basedOn w:val="CommentTextChar"/>
    <w:link w:val="CommentSubject"/>
    <w:uiPriority w:val="99"/>
    <w:semiHidden/>
    <w:rsid w:val="00F107F3"/>
    <w:rPr>
      <w:b/>
      <w:bCs/>
      <w:sz w:val="20"/>
      <w:szCs w:val="20"/>
    </w:rPr>
  </w:style>
  <w:style w:type="paragraph" w:styleId="Revision">
    <w:name w:val="Revision"/>
    <w:hidden/>
    <w:uiPriority w:val="99"/>
    <w:semiHidden/>
    <w:rsid w:val="00121113"/>
    <w:pPr>
      <w:spacing w:after="0" w:line="240" w:lineRule="auto"/>
    </w:pPr>
  </w:style>
  <w:style w:type="character" w:customStyle="1" w:styleId="Heading2Char">
    <w:name w:val="Heading 2 Char"/>
    <w:basedOn w:val="DefaultParagraphFont"/>
    <w:link w:val="Heading2"/>
    <w:uiPriority w:val="9"/>
    <w:semiHidden/>
    <w:rsid w:val="00A37DAB"/>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4259">
      <w:bodyDiv w:val="1"/>
      <w:marLeft w:val="0"/>
      <w:marRight w:val="0"/>
      <w:marTop w:val="0"/>
      <w:marBottom w:val="0"/>
      <w:divBdr>
        <w:top w:val="none" w:sz="0" w:space="0" w:color="auto"/>
        <w:left w:val="none" w:sz="0" w:space="0" w:color="auto"/>
        <w:bottom w:val="none" w:sz="0" w:space="0" w:color="auto"/>
        <w:right w:val="none" w:sz="0" w:space="0" w:color="auto"/>
      </w:divBdr>
    </w:div>
    <w:div w:id="51663008">
      <w:bodyDiv w:val="1"/>
      <w:marLeft w:val="0"/>
      <w:marRight w:val="0"/>
      <w:marTop w:val="0"/>
      <w:marBottom w:val="0"/>
      <w:divBdr>
        <w:top w:val="none" w:sz="0" w:space="0" w:color="auto"/>
        <w:left w:val="none" w:sz="0" w:space="0" w:color="auto"/>
        <w:bottom w:val="none" w:sz="0" w:space="0" w:color="auto"/>
        <w:right w:val="none" w:sz="0" w:space="0" w:color="auto"/>
      </w:divBdr>
    </w:div>
    <w:div w:id="54090659">
      <w:bodyDiv w:val="1"/>
      <w:marLeft w:val="0"/>
      <w:marRight w:val="0"/>
      <w:marTop w:val="0"/>
      <w:marBottom w:val="0"/>
      <w:divBdr>
        <w:top w:val="none" w:sz="0" w:space="0" w:color="auto"/>
        <w:left w:val="none" w:sz="0" w:space="0" w:color="auto"/>
        <w:bottom w:val="none" w:sz="0" w:space="0" w:color="auto"/>
        <w:right w:val="none" w:sz="0" w:space="0" w:color="auto"/>
      </w:divBdr>
    </w:div>
    <w:div w:id="56440159">
      <w:bodyDiv w:val="1"/>
      <w:marLeft w:val="0"/>
      <w:marRight w:val="0"/>
      <w:marTop w:val="0"/>
      <w:marBottom w:val="0"/>
      <w:divBdr>
        <w:top w:val="none" w:sz="0" w:space="0" w:color="auto"/>
        <w:left w:val="none" w:sz="0" w:space="0" w:color="auto"/>
        <w:bottom w:val="none" w:sz="0" w:space="0" w:color="auto"/>
        <w:right w:val="none" w:sz="0" w:space="0" w:color="auto"/>
      </w:divBdr>
    </w:div>
    <w:div w:id="181821296">
      <w:bodyDiv w:val="1"/>
      <w:marLeft w:val="0"/>
      <w:marRight w:val="0"/>
      <w:marTop w:val="0"/>
      <w:marBottom w:val="0"/>
      <w:divBdr>
        <w:top w:val="none" w:sz="0" w:space="0" w:color="auto"/>
        <w:left w:val="none" w:sz="0" w:space="0" w:color="auto"/>
        <w:bottom w:val="none" w:sz="0" w:space="0" w:color="auto"/>
        <w:right w:val="none" w:sz="0" w:space="0" w:color="auto"/>
      </w:divBdr>
    </w:div>
    <w:div w:id="281613010">
      <w:bodyDiv w:val="1"/>
      <w:marLeft w:val="0"/>
      <w:marRight w:val="0"/>
      <w:marTop w:val="0"/>
      <w:marBottom w:val="0"/>
      <w:divBdr>
        <w:top w:val="none" w:sz="0" w:space="0" w:color="auto"/>
        <w:left w:val="none" w:sz="0" w:space="0" w:color="auto"/>
        <w:bottom w:val="none" w:sz="0" w:space="0" w:color="auto"/>
        <w:right w:val="none" w:sz="0" w:space="0" w:color="auto"/>
      </w:divBdr>
    </w:div>
    <w:div w:id="326787351">
      <w:bodyDiv w:val="1"/>
      <w:marLeft w:val="0"/>
      <w:marRight w:val="0"/>
      <w:marTop w:val="0"/>
      <w:marBottom w:val="0"/>
      <w:divBdr>
        <w:top w:val="none" w:sz="0" w:space="0" w:color="auto"/>
        <w:left w:val="none" w:sz="0" w:space="0" w:color="auto"/>
        <w:bottom w:val="none" w:sz="0" w:space="0" w:color="auto"/>
        <w:right w:val="none" w:sz="0" w:space="0" w:color="auto"/>
      </w:divBdr>
    </w:div>
    <w:div w:id="358437073">
      <w:bodyDiv w:val="1"/>
      <w:marLeft w:val="0"/>
      <w:marRight w:val="0"/>
      <w:marTop w:val="0"/>
      <w:marBottom w:val="0"/>
      <w:divBdr>
        <w:top w:val="none" w:sz="0" w:space="0" w:color="auto"/>
        <w:left w:val="none" w:sz="0" w:space="0" w:color="auto"/>
        <w:bottom w:val="none" w:sz="0" w:space="0" w:color="auto"/>
        <w:right w:val="none" w:sz="0" w:space="0" w:color="auto"/>
      </w:divBdr>
    </w:div>
    <w:div w:id="377050522">
      <w:bodyDiv w:val="1"/>
      <w:marLeft w:val="0"/>
      <w:marRight w:val="0"/>
      <w:marTop w:val="0"/>
      <w:marBottom w:val="0"/>
      <w:divBdr>
        <w:top w:val="none" w:sz="0" w:space="0" w:color="auto"/>
        <w:left w:val="none" w:sz="0" w:space="0" w:color="auto"/>
        <w:bottom w:val="none" w:sz="0" w:space="0" w:color="auto"/>
        <w:right w:val="none" w:sz="0" w:space="0" w:color="auto"/>
      </w:divBdr>
    </w:div>
    <w:div w:id="380372768">
      <w:bodyDiv w:val="1"/>
      <w:marLeft w:val="0"/>
      <w:marRight w:val="0"/>
      <w:marTop w:val="0"/>
      <w:marBottom w:val="0"/>
      <w:divBdr>
        <w:top w:val="none" w:sz="0" w:space="0" w:color="auto"/>
        <w:left w:val="none" w:sz="0" w:space="0" w:color="auto"/>
        <w:bottom w:val="none" w:sz="0" w:space="0" w:color="auto"/>
        <w:right w:val="none" w:sz="0" w:space="0" w:color="auto"/>
      </w:divBdr>
    </w:div>
    <w:div w:id="405346825">
      <w:bodyDiv w:val="1"/>
      <w:marLeft w:val="0"/>
      <w:marRight w:val="0"/>
      <w:marTop w:val="0"/>
      <w:marBottom w:val="0"/>
      <w:divBdr>
        <w:top w:val="none" w:sz="0" w:space="0" w:color="auto"/>
        <w:left w:val="none" w:sz="0" w:space="0" w:color="auto"/>
        <w:bottom w:val="none" w:sz="0" w:space="0" w:color="auto"/>
        <w:right w:val="none" w:sz="0" w:space="0" w:color="auto"/>
      </w:divBdr>
    </w:div>
    <w:div w:id="482163129">
      <w:bodyDiv w:val="1"/>
      <w:marLeft w:val="0"/>
      <w:marRight w:val="0"/>
      <w:marTop w:val="0"/>
      <w:marBottom w:val="0"/>
      <w:divBdr>
        <w:top w:val="none" w:sz="0" w:space="0" w:color="auto"/>
        <w:left w:val="none" w:sz="0" w:space="0" w:color="auto"/>
        <w:bottom w:val="none" w:sz="0" w:space="0" w:color="auto"/>
        <w:right w:val="none" w:sz="0" w:space="0" w:color="auto"/>
      </w:divBdr>
    </w:div>
    <w:div w:id="524635100">
      <w:bodyDiv w:val="1"/>
      <w:marLeft w:val="0"/>
      <w:marRight w:val="0"/>
      <w:marTop w:val="0"/>
      <w:marBottom w:val="0"/>
      <w:divBdr>
        <w:top w:val="none" w:sz="0" w:space="0" w:color="auto"/>
        <w:left w:val="none" w:sz="0" w:space="0" w:color="auto"/>
        <w:bottom w:val="none" w:sz="0" w:space="0" w:color="auto"/>
        <w:right w:val="none" w:sz="0" w:space="0" w:color="auto"/>
      </w:divBdr>
    </w:div>
    <w:div w:id="536939113">
      <w:bodyDiv w:val="1"/>
      <w:marLeft w:val="0"/>
      <w:marRight w:val="0"/>
      <w:marTop w:val="0"/>
      <w:marBottom w:val="0"/>
      <w:divBdr>
        <w:top w:val="none" w:sz="0" w:space="0" w:color="auto"/>
        <w:left w:val="none" w:sz="0" w:space="0" w:color="auto"/>
        <w:bottom w:val="none" w:sz="0" w:space="0" w:color="auto"/>
        <w:right w:val="none" w:sz="0" w:space="0" w:color="auto"/>
      </w:divBdr>
    </w:div>
    <w:div w:id="543446277">
      <w:bodyDiv w:val="1"/>
      <w:marLeft w:val="0"/>
      <w:marRight w:val="0"/>
      <w:marTop w:val="0"/>
      <w:marBottom w:val="0"/>
      <w:divBdr>
        <w:top w:val="none" w:sz="0" w:space="0" w:color="auto"/>
        <w:left w:val="none" w:sz="0" w:space="0" w:color="auto"/>
        <w:bottom w:val="none" w:sz="0" w:space="0" w:color="auto"/>
        <w:right w:val="none" w:sz="0" w:space="0" w:color="auto"/>
      </w:divBdr>
    </w:div>
    <w:div w:id="554242987">
      <w:bodyDiv w:val="1"/>
      <w:marLeft w:val="0"/>
      <w:marRight w:val="0"/>
      <w:marTop w:val="0"/>
      <w:marBottom w:val="0"/>
      <w:divBdr>
        <w:top w:val="none" w:sz="0" w:space="0" w:color="auto"/>
        <w:left w:val="none" w:sz="0" w:space="0" w:color="auto"/>
        <w:bottom w:val="none" w:sz="0" w:space="0" w:color="auto"/>
        <w:right w:val="none" w:sz="0" w:space="0" w:color="auto"/>
      </w:divBdr>
    </w:div>
    <w:div w:id="616371205">
      <w:bodyDiv w:val="1"/>
      <w:marLeft w:val="0"/>
      <w:marRight w:val="0"/>
      <w:marTop w:val="0"/>
      <w:marBottom w:val="0"/>
      <w:divBdr>
        <w:top w:val="none" w:sz="0" w:space="0" w:color="auto"/>
        <w:left w:val="none" w:sz="0" w:space="0" w:color="auto"/>
        <w:bottom w:val="none" w:sz="0" w:space="0" w:color="auto"/>
        <w:right w:val="none" w:sz="0" w:space="0" w:color="auto"/>
      </w:divBdr>
    </w:div>
    <w:div w:id="649284674">
      <w:bodyDiv w:val="1"/>
      <w:marLeft w:val="0"/>
      <w:marRight w:val="0"/>
      <w:marTop w:val="0"/>
      <w:marBottom w:val="0"/>
      <w:divBdr>
        <w:top w:val="none" w:sz="0" w:space="0" w:color="auto"/>
        <w:left w:val="none" w:sz="0" w:space="0" w:color="auto"/>
        <w:bottom w:val="none" w:sz="0" w:space="0" w:color="auto"/>
        <w:right w:val="none" w:sz="0" w:space="0" w:color="auto"/>
      </w:divBdr>
    </w:div>
    <w:div w:id="711343675">
      <w:bodyDiv w:val="1"/>
      <w:marLeft w:val="0"/>
      <w:marRight w:val="0"/>
      <w:marTop w:val="0"/>
      <w:marBottom w:val="0"/>
      <w:divBdr>
        <w:top w:val="none" w:sz="0" w:space="0" w:color="auto"/>
        <w:left w:val="none" w:sz="0" w:space="0" w:color="auto"/>
        <w:bottom w:val="none" w:sz="0" w:space="0" w:color="auto"/>
        <w:right w:val="none" w:sz="0" w:space="0" w:color="auto"/>
      </w:divBdr>
    </w:div>
    <w:div w:id="738478959">
      <w:bodyDiv w:val="1"/>
      <w:marLeft w:val="0"/>
      <w:marRight w:val="0"/>
      <w:marTop w:val="0"/>
      <w:marBottom w:val="0"/>
      <w:divBdr>
        <w:top w:val="none" w:sz="0" w:space="0" w:color="auto"/>
        <w:left w:val="none" w:sz="0" w:space="0" w:color="auto"/>
        <w:bottom w:val="none" w:sz="0" w:space="0" w:color="auto"/>
        <w:right w:val="none" w:sz="0" w:space="0" w:color="auto"/>
      </w:divBdr>
    </w:div>
    <w:div w:id="751852380">
      <w:bodyDiv w:val="1"/>
      <w:marLeft w:val="0"/>
      <w:marRight w:val="0"/>
      <w:marTop w:val="0"/>
      <w:marBottom w:val="0"/>
      <w:divBdr>
        <w:top w:val="none" w:sz="0" w:space="0" w:color="auto"/>
        <w:left w:val="none" w:sz="0" w:space="0" w:color="auto"/>
        <w:bottom w:val="none" w:sz="0" w:space="0" w:color="auto"/>
        <w:right w:val="none" w:sz="0" w:space="0" w:color="auto"/>
      </w:divBdr>
    </w:div>
    <w:div w:id="874074458">
      <w:bodyDiv w:val="1"/>
      <w:marLeft w:val="0"/>
      <w:marRight w:val="0"/>
      <w:marTop w:val="0"/>
      <w:marBottom w:val="0"/>
      <w:divBdr>
        <w:top w:val="none" w:sz="0" w:space="0" w:color="auto"/>
        <w:left w:val="none" w:sz="0" w:space="0" w:color="auto"/>
        <w:bottom w:val="none" w:sz="0" w:space="0" w:color="auto"/>
        <w:right w:val="none" w:sz="0" w:space="0" w:color="auto"/>
      </w:divBdr>
    </w:div>
    <w:div w:id="906039242">
      <w:bodyDiv w:val="1"/>
      <w:marLeft w:val="0"/>
      <w:marRight w:val="0"/>
      <w:marTop w:val="0"/>
      <w:marBottom w:val="0"/>
      <w:divBdr>
        <w:top w:val="none" w:sz="0" w:space="0" w:color="auto"/>
        <w:left w:val="none" w:sz="0" w:space="0" w:color="auto"/>
        <w:bottom w:val="none" w:sz="0" w:space="0" w:color="auto"/>
        <w:right w:val="none" w:sz="0" w:space="0" w:color="auto"/>
      </w:divBdr>
    </w:div>
    <w:div w:id="953823646">
      <w:bodyDiv w:val="1"/>
      <w:marLeft w:val="0"/>
      <w:marRight w:val="0"/>
      <w:marTop w:val="0"/>
      <w:marBottom w:val="0"/>
      <w:divBdr>
        <w:top w:val="none" w:sz="0" w:space="0" w:color="auto"/>
        <w:left w:val="none" w:sz="0" w:space="0" w:color="auto"/>
        <w:bottom w:val="none" w:sz="0" w:space="0" w:color="auto"/>
        <w:right w:val="none" w:sz="0" w:space="0" w:color="auto"/>
      </w:divBdr>
    </w:div>
    <w:div w:id="988099471">
      <w:bodyDiv w:val="1"/>
      <w:marLeft w:val="0"/>
      <w:marRight w:val="0"/>
      <w:marTop w:val="0"/>
      <w:marBottom w:val="0"/>
      <w:divBdr>
        <w:top w:val="none" w:sz="0" w:space="0" w:color="auto"/>
        <w:left w:val="none" w:sz="0" w:space="0" w:color="auto"/>
        <w:bottom w:val="none" w:sz="0" w:space="0" w:color="auto"/>
        <w:right w:val="none" w:sz="0" w:space="0" w:color="auto"/>
      </w:divBdr>
    </w:div>
    <w:div w:id="999772278">
      <w:bodyDiv w:val="1"/>
      <w:marLeft w:val="0"/>
      <w:marRight w:val="0"/>
      <w:marTop w:val="0"/>
      <w:marBottom w:val="0"/>
      <w:divBdr>
        <w:top w:val="none" w:sz="0" w:space="0" w:color="auto"/>
        <w:left w:val="none" w:sz="0" w:space="0" w:color="auto"/>
        <w:bottom w:val="none" w:sz="0" w:space="0" w:color="auto"/>
        <w:right w:val="none" w:sz="0" w:space="0" w:color="auto"/>
      </w:divBdr>
    </w:div>
    <w:div w:id="1016731977">
      <w:bodyDiv w:val="1"/>
      <w:marLeft w:val="0"/>
      <w:marRight w:val="0"/>
      <w:marTop w:val="0"/>
      <w:marBottom w:val="0"/>
      <w:divBdr>
        <w:top w:val="none" w:sz="0" w:space="0" w:color="auto"/>
        <w:left w:val="none" w:sz="0" w:space="0" w:color="auto"/>
        <w:bottom w:val="none" w:sz="0" w:space="0" w:color="auto"/>
        <w:right w:val="none" w:sz="0" w:space="0" w:color="auto"/>
      </w:divBdr>
    </w:div>
    <w:div w:id="1025331045">
      <w:bodyDiv w:val="1"/>
      <w:marLeft w:val="0"/>
      <w:marRight w:val="0"/>
      <w:marTop w:val="0"/>
      <w:marBottom w:val="0"/>
      <w:divBdr>
        <w:top w:val="none" w:sz="0" w:space="0" w:color="auto"/>
        <w:left w:val="none" w:sz="0" w:space="0" w:color="auto"/>
        <w:bottom w:val="none" w:sz="0" w:space="0" w:color="auto"/>
        <w:right w:val="none" w:sz="0" w:space="0" w:color="auto"/>
      </w:divBdr>
    </w:div>
    <w:div w:id="1092969525">
      <w:bodyDiv w:val="1"/>
      <w:marLeft w:val="0"/>
      <w:marRight w:val="0"/>
      <w:marTop w:val="0"/>
      <w:marBottom w:val="0"/>
      <w:divBdr>
        <w:top w:val="none" w:sz="0" w:space="0" w:color="auto"/>
        <w:left w:val="none" w:sz="0" w:space="0" w:color="auto"/>
        <w:bottom w:val="none" w:sz="0" w:space="0" w:color="auto"/>
        <w:right w:val="none" w:sz="0" w:space="0" w:color="auto"/>
      </w:divBdr>
    </w:div>
    <w:div w:id="1110782572">
      <w:bodyDiv w:val="1"/>
      <w:marLeft w:val="0"/>
      <w:marRight w:val="0"/>
      <w:marTop w:val="0"/>
      <w:marBottom w:val="0"/>
      <w:divBdr>
        <w:top w:val="none" w:sz="0" w:space="0" w:color="auto"/>
        <w:left w:val="none" w:sz="0" w:space="0" w:color="auto"/>
        <w:bottom w:val="none" w:sz="0" w:space="0" w:color="auto"/>
        <w:right w:val="none" w:sz="0" w:space="0" w:color="auto"/>
      </w:divBdr>
    </w:div>
    <w:div w:id="1127626438">
      <w:bodyDiv w:val="1"/>
      <w:marLeft w:val="0"/>
      <w:marRight w:val="0"/>
      <w:marTop w:val="0"/>
      <w:marBottom w:val="0"/>
      <w:divBdr>
        <w:top w:val="none" w:sz="0" w:space="0" w:color="auto"/>
        <w:left w:val="none" w:sz="0" w:space="0" w:color="auto"/>
        <w:bottom w:val="none" w:sz="0" w:space="0" w:color="auto"/>
        <w:right w:val="none" w:sz="0" w:space="0" w:color="auto"/>
      </w:divBdr>
    </w:div>
    <w:div w:id="1246761591">
      <w:bodyDiv w:val="1"/>
      <w:marLeft w:val="0"/>
      <w:marRight w:val="0"/>
      <w:marTop w:val="0"/>
      <w:marBottom w:val="0"/>
      <w:divBdr>
        <w:top w:val="none" w:sz="0" w:space="0" w:color="auto"/>
        <w:left w:val="none" w:sz="0" w:space="0" w:color="auto"/>
        <w:bottom w:val="none" w:sz="0" w:space="0" w:color="auto"/>
        <w:right w:val="none" w:sz="0" w:space="0" w:color="auto"/>
      </w:divBdr>
    </w:div>
    <w:div w:id="1265460578">
      <w:bodyDiv w:val="1"/>
      <w:marLeft w:val="0"/>
      <w:marRight w:val="0"/>
      <w:marTop w:val="0"/>
      <w:marBottom w:val="0"/>
      <w:divBdr>
        <w:top w:val="none" w:sz="0" w:space="0" w:color="auto"/>
        <w:left w:val="none" w:sz="0" w:space="0" w:color="auto"/>
        <w:bottom w:val="none" w:sz="0" w:space="0" w:color="auto"/>
        <w:right w:val="none" w:sz="0" w:space="0" w:color="auto"/>
      </w:divBdr>
    </w:div>
    <w:div w:id="1315404299">
      <w:bodyDiv w:val="1"/>
      <w:marLeft w:val="0"/>
      <w:marRight w:val="0"/>
      <w:marTop w:val="0"/>
      <w:marBottom w:val="0"/>
      <w:divBdr>
        <w:top w:val="none" w:sz="0" w:space="0" w:color="auto"/>
        <w:left w:val="none" w:sz="0" w:space="0" w:color="auto"/>
        <w:bottom w:val="none" w:sz="0" w:space="0" w:color="auto"/>
        <w:right w:val="none" w:sz="0" w:space="0" w:color="auto"/>
      </w:divBdr>
    </w:div>
    <w:div w:id="1322781959">
      <w:bodyDiv w:val="1"/>
      <w:marLeft w:val="0"/>
      <w:marRight w:val="0"/>
      <w:marTop w:val="0"/>
      <w:marBottom w:val="0"/>
      <w:divBdr>
        <w:top w:val="none" w:sz="0" w:space="0" w:color="auto"/>
        <w:left w:val="none" w:sz="0" w:space="0" w:color="auto"/>
        <w:bottom w:val="none" w:sz="0" w:space="0" w:color="auto"/>
        <w:right w:val="none" w:sz="0" w:space="0" w:color="auto"/>
      </w:divBdr>
    </w:div>
    <w:div w:id="1337197376">
      <w:bodyDiv w:val="1"/>
      <w:marLeft w:val="0"/>
      <w:marRight w:val="0"/>
      <w:marTop w:val="0"/>
      <w:marBottom w:val="0"/>
      <w:divBdr>
        <w:top w:val="none" w:sz="0" w:space="0" w:color="auto"/>
        <w:left w:val="none" w:sz="0" w:space="0" w:color="auto"/>
        <w:bottom w:val="none" w:sz="0" w:space="0" w:color="auto"/>
        <w:right w:val="none" w:sz="0" w:space="0" w:color="auto"/>
      </w:divBdr>
    </w:div>
    <w:div w:id="1363632701">
      <w:bodyDiv w:val="1"/>
      <w:marLeft w:val="0"/>
      <w:marRight w:val="0"/>
      <w:marTop w:val="0"/>
      <w:marBottom w:val="0"/>
      <w:divBdr>
        <w:top w:val="none" w:sz="0" w:space="0" w:color="auto"/>
        <w:left w:val="none" w:sz="0" w:space="0" w:color="auto"/>
        <w:bottom w:val="none" w:sz="0" w:space="0" w:color="auto"/>
        <w:right w:val="none" w:sz="0" w:space="0" w:color="auto"/>
      </w:divBdr>
    </w:div>
    <w:div w:id="1415929426">
      <w:bodyDiv w:val="1"/>
      <w:marLeft w:val="0"/>
      <w:marRight w:val="0"/>
      <w:marTop w:val="0"/>
      <w:marBottom w:val="0"/>
      <w:divBdr>
        <w:top w:val="none" w:sz="0" w:space="0" w:color="auto"/>
        <w:left w:val="none" w:sz="0" w:space="0" w:color="auto"/>
        <w:bottom w:val="none" w:sz="0" w:space="0" w:color="auto"/>
        <w:right w:val="none" w:sz="0" w:space="0" w:color="auto"/>
      </w:divBdr>
    </w:div>
    <w:div w:id="1423794093">
      <w:bodyDiv w:val="1"/>
      <w:marLeft w:val="0"/>
      <w:marRight w:val="0"/>
      <w:marTop w:val="0"/>
      <w:marBottom w:val="0"/>
      <w:divBdr>
        <w:top w:val="none" w:sz="0" w:space="0" w:color="auto"/>
        <w:left w:val="none" w:sz="0" w:space="0" w:color="auto"/>
        <w:bottom w:val="none" w:sz="0" w:space="0" w:color="auto"/>
        <w:right w:val="none" w:sz="0" w:space="0" w:color="auto"/>
      </w:divBdr>
    </w:div>
    <w:div w:id="1452169915">
      <w:bodyDiv w:val="1"/>
      <w:marLeft w:val="0"/>
      <w:marRight w:val="0"/>
      <w:marTop w:val="0"/>
      <w:marBottom w:val="0"/>
      <w:divBdr>
        <w:top w:val="none" w:sz="0" w:space="0" w:color="auto"/>
        <w:left w:val="none" w:sz="0" w:space="0" w:color="auto"/>
        <w:bottom w:val="none" w:sz="0" w:space="0" w:color="auto"/>
        <w:right w:val="none" w:sz="0" w:space="0" w:color="auto"/>
      </w:divBdr>
    </w:div>
    <w:div w:id="1460688961">
      <w:bodyDiv w:val="1"/>
      <w:marLeft w:val="0"/>
      <w:marRight w:val="0"/>
      <w:marTop w:val="0"/>
      <w:marBottom w:val="0"/>
      <w:divBdr>
        <w:top w:val="none" w:sz="0" w:space="0" w:color="auto"/>
        <w:left w:val="none" w:sz="0" w:space="0" w:color="auto"/>
        <w:bottom w:val="none" w:sz="0" w:space="0" w:color="auto"/>
        <w:right w:val="none" w:sz="0" w:space="0" w:color="auto"/>
      </w:divBdr>
    </w:div>
    <w:div w:id="1464538153">
      <w:bodyDiv w:val="1"/>
      <w:marLeft w:val="0"/>
      <w:marRight w:val="0"/>
      <w:marTop w:val="0"/>
      <w:marBottom w:val="0"/>
      <w:divBdr>
        <w:top w:val="none" w:sz="0" w:space="0" w:color="auto"/>
        <w:left w:val="none" w:sz="0" w:space="0" w:color="auto"/>
        <w:bottom w:val="none" w:sz="0" w:space="0" w:color="auto"/>
        <w:right w:val="none" w:sz="0" w:space="0" w:color="auto"/>
      </w:divBdr>
    </w:div>
    <w:div w:id="1469739936">
      <w:bodyDiv w:val="1"/>
      <w:marLeft w:val="0"/>
      <w:marRight w:val="0"/>
      <w:marTop w:val="0"/>
      <w:marBottom w:val="0"/>
      <w:divBdr>
        <w:top w:val="none" w:sz="0" w:space="0" w:color="auto"/>
        <w:left w:val="none" w:sz="0" w:space="0" w:color="auto"/>
        <w:bottom w:val="none" w:sz="0" w:space="0" w:color="auto"/>
        <w:right w:val="none" w:sz="0" w:space="0" w:color="auto"/>
      </w:divBdr>
    </w:div>
    <w:div w:id="1537038510">
      <w:bodyDiv w:val="1"/>
      <w:marLeft w:val="0"/>
      <w:marRight w:val="0"/>
      <w:marTop w:val="0"/>
      <w:marBottom w:val="0"/>
      <w:divBdr>
        <w:top w:val="none" w:sz="0" w:space="0" w:color="auto"/>
        <w:left w:val="none" w:sz="0" w:space="0" w:color="auto"/>
        <w:bottom w:val="none" w:sz="0" w:space="0" w:color="auto"/>
        <w:right w:val="none" w:sz="0" w:space="0" w:color="auto"/>
      </w:divBdr>
    </w:div>
    <w:div w:id="1537503859">
      <w:bodyDiv w:val="1"/>
      <w:marLeft w:val="0"/>
      <w:marRight w:val="0"/>
      <w:marTop w:val="0"/>
      <w:marBottom w:val="0"/>
      <w:divBdr>
        <w:top w:val="none" w:sz="0" w:space="0" w:color="auto"/>
        <w:left w:val="none" w:sz="0" w:space="0" w:color="auto"/>
        <w:bottom w:val="none" w:sz="0" w:space="0" w:color="auto"/>
        <w:right w:val="none" w:sz="0" w:space="0" w:color="auto"/>
      </w:divBdr>
    </w:div>
    <w:div w:id="1559512682">
      <w:bodyDiv w:val="1"/>
      <w:marLeft w:val="0"/>
      <w:marRight w:val="0"/>
      <w:marTop w:val="0"/>
      <w:marBottom w:val="0"/>
      <w:divBdr>
        <w:top w:val="none" w:sz="0" w:space="0" w:color="auto"/>
        <w:left w:val="none" w:sz="0" w:space="0" w:color="auto"/>
        <w:bottom w:val="none" w:sz="0" w:space="0" w:color="auto"/>
        <w:right w:val="none" w:sz="0" w:space="0" w:color="auto"/>
      </w:divBdr>
    </w:div>
    <w:div w:id="1651717147">
      <w:bodyDiv w:val="1"/>
      <w:marLeft w:val="0"/>
      <w:marRight w:val="0"/>
      <w:marTop w:val="0"/>
      <w:marBottom w:val="0"/>
      <w:divBdr>
        <w:top w:val="none" w:sz="0" w:space="0" w:color="auto"/>
        <w:left w:val="none" w:sz="0" w:space="0" w:color="auto"/>
        <w:bottom w:val="none" w:sz="0" w:space="0" w:color="auto"/>
        <w:right w:val="none" w:sz="0" w:space="0" w:color="auto"/>
      </w:divBdr>
    </w:div>
    <w:div w:id="1655718262">
      <w:bodyDiv w:val="1"/>
      <w:marLeft w:val="0"/>
      <w:marRight w:val="0"/>
      <w:marTop w:val="0"/>
      <w:marBottom w:val="0"/>
      <w:divBdr>
        <w:top w:val="none" w:sz="0" w:space="0" w:color="auto"/>
        <w:left w:val="none" w:sz="0" w:space="0" w:color="auto"/>
        <w:bottom w:val="none" w:sz="0" w:space="0" w:color="auto"/>
        <w:right w:val="none" w:sz="0" w:space="0" w:color="auto"/>
      </w:divBdr>
    </w:div>
    <w:div w:id="1678995405">
      <w:bodyDiv w:val="1"/>
      <w:marLeft w:val="0"/>
      <w:marRight w:val="0"/>
      <w:marTop w:val="0"/>
      <w:marBottom w:val="0"/>
      <w:divBdr>
        <w:top w:val="none" w:sz="0" w:space="0" w:color="auto"/>
        <w:left w:val="none" w:sz="0" w:space="0" w:color="auto"/>
        <w:bottom w:val="none" w:sz="0" w:space="0" w:color="auto"/>
        <w:right w:val="none" w:sz="0" w:space="0" w:color="auto"/>
      </w:divBdr>
    </w:div>
    <w:div w:id="1734349840">
      <w:bodyDiv w:val="1"/>
      <w:marLeft w:val="0"/>
      <w:marRight w:val="0"/>
      <w:marTop w:val="0"/>
      <w:marBottom w:val="0"/>
      <w:divBdr>
        <w:top w:val="none" w:sz="0" w:space="0" w:color="auto"/>
        <w:left w:val="none" w:sz="0" w:space="0" w:color="auto"/>
        <w:bottom w:val="none" w:sz="0" w:space="0" w:color="auto"/>
        <w:right w:val="none" w:sz="0" w:space="0" w:color="auto"/>
      </w:divBdr>
    </w:div>
    <w:div w:id="1815289887">
      <w:bodyDiv w:val="1"/>
      <w:marLeft w:val="0"/>
      <w:marRight w:val="0"/>
      <w:marTop w:val="0"/>
      <w:marBottom w:val="0"/>
      <w:divBdr>
        <w:top w:val="none" w:sz="0" w:space="0" w:color="auto"/>
        <w:left w:val="none" w:sz="0" w:space="0" w:color="auto"/>
        <w:bottom w:val="none" w:sz="0" w:space="0" w:color="auto"/>
        <w:right w:val="none" w:sz="0" w:space="0" w:color="auto"/>
      </w:divBdr>
    </w:div>
    <w:div w:id="1843473418">
      <w:bodyDiv w:val="1"/>
      <w:marLeft w:val="0"/>
      <w:marRight w:val="0"/>
      <w:marTop w:val="0"/>
      <w:marBottom w:val="0"/>
      <w:divBdr>
        <w:top w:val="none" w:sz="0" w:space="0" w:color="auto"/>
        <w:left w:val="none" w:sz="0" w:space="0" w:color="auto"/>
        <w:bottom w:val="none" w:sz="0" w:space="0" w:color="auto"/>
        <w:right w:val="none" w:sz="0" w:space="0" w:color="auto"/>
      </w:divBdr>
    </w:div>
    <w:div w:id="1857495289">
      <w:bodyDiv w:val="1"/>
      <w:marLeft w:val="0"/>
      <w:marRight w:val="0"/>
      <w:marTop w:val="0"/>
      <w:marBottom w:val="0"/>
      <w:divBdr>
        <w:top w:val="none" w:sz="0" w:space="0" w:color="auto"/>
        <w:left w:val="none" w:sz="0" w:space="0" w:color="auto"/>
        <w:bottom w:val="none" w:sz="0" w:space="0" w:color="auto"/>
        <w:right w:val="none" w:sz="0" w:space="0" w:color="auto"/>
      </w:divBdr>
    </w:div>
    <w:div w:id="1871915100">
      <w:bodyDiv w:val="1"/>
      <w:marLeft w:val="0"/>
      <w:marRight w:val="0"/>
      <w:marTop w:val="0"/>
      <w:marBottom w:val="0"/>
      <w:divBdr>
        <w:top w:val="none" w:sz="0" w:space="0" w:color="auto"/>
        <w:left w:val="none" w:sz="0" w:space="0" w:color="auto"/>
        <w:bottom w:val="none" w:sz="0" w:space="0" w:color="auto"/>
        <w:right w:val="none" w:sz="0" w:space="0" w:color="auto"/>
      </w:divBdr>
    </w:div>
    <w:div w:id="2001540625">
      <w:bodyDiv w:val="1"/>
      <w:marLeft w:val="0"/>
      <w:marRight w:val="0"/>
      <w:marTop w:val="0"/>
      <w:marBottom w:val="0"/>
      <w:divBdr>
        <w:top w:val="none" w:sz="0" w:space="0" w:color="auto"/>
        <w:left w:val="none" w:sz="0" w:space="0" w:color="auto"/>
        <w:bottom w:val="none" w:sz="0" w:space="0" w:color="auto"/>
        <w:right w:val="none" w:sz="0" w:space="0" w:color="auto"/>
      </w:divBdr>
    </w:div>
    <w:div w:id="2012901699">
      <w:bodyDiv w:val="1"/>
      <w:marLeft w:val="0"/>
      <w:marRight w:val="0"/>
      <w:marTop w:val="0"/>
      <w:marBottom w:val="0"/>
      <w:divBdr>
        <w:top w:val="none" w:sz="0" w:space="0" w:color="auto"/>
        <w:left w:val="none" w:sz="0" w:space="0" w:color="auto"/>
        <w:bottom w:val="none" w:sz="0" w:space="0" w:color="auto"/>
        <w:right w:val="none" w:sz="0" w:space="0" w:color="auto"/>
      </w:divBdr>
    </w:div>
    <w:div w:id="2025747884">
      <w:bodyDiv w:val="1"/>
      <w:marLeft w:val="0"/>
      <w:marRight w:val="0"/>
      <w:marTop w:val="0"/>
      <w:marBottom w:val="0"/>
      <w:divBdr>
        <w:top w:val="none" w:sz="0" w:space="0" w:color="auto"/>
        <w:left w:val="none" w:sz="0" w:space="0" w:color="auto"/>
        <w:bottom w:val="none" w:sz="0" w:space="0" w:color="auto"/>
        <w:right w:val="none" w:sz="0" w:space="0" w:color="auto"/>
      </w:divBdr>
    </w:div>
    <w:div w:id="21237666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chart" Target="charts/chart4.xml"/><Relationship Id="rId26" Type="http://schemas.openxmlformats.org/officeDocument/2006/relationships/chart" Target="charts/chart12.xml"/><Relationship Id="rId39" Type="http://schemas.openxmlformats.org/officeDocument/2006/relationships/fontTable" Target="fontTable.xml"/><Relationship Id="rId21" Type="http://schemas.openxmlformats.org/officeDocument/2006/relationships/chart" Target="charts/chart7.xml"/><Relationship Id="rId34" Type="http://schemas.openxmlformats.org/officeDocument/2006/relationships/chart" Target="charts/chart20.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chart" Target="charts/chart6.xml"/><Relationship Id="rId29"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chart" Target="charts/chart10.xml"/><Relationship Id="rId32" Type="http://schemas.openxmlformats.org/officeDocument/2006/relationships/chart" Target="charts/chart18.xml"/><Relationship Id="rId37" Type="http://schemas.openxmlformats.org/officeDocument/2006/relationships/hyperlink" Target="http://www.brettstapel.org/Brettstapel/Why.html.%20January%204th%202020" TargetMode="Externa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chart" Target="charts/chart9.xml"/><Relationship Id="rId28" Type="http://schemas.openxmlformats.org/officeDocument/2006/relationships/chart" Target="charts/chart14.xml"/><Relationship Id="rId36" Type="http://schemas.openxmlformats.org/officeDocument/2006/relationships/chart" Target="charts/chart22.xml"/><Relationship Id="rId10" Type="http://schemas.openxmlformats.org/officeDocument/2006/relationships/image" Target="media/image2.jpeg"/><Relationship Id="rId19" Type="http://schemas.openxmlformats.org/officeDocument/2006/relationships/chart" Target="charts/chart5.xml"/><Relationship Id="rId31" Type="http://schemas.openxmlformats.org/officeDocument/2006/relationships/chart" Target="charts/chart17.xml"/><Relationship Id="rId44" Type="http://schemas.microsoft.com/office/2016/09/relationships/commentsIds" Target="commentsIds.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chart" Target="charts/chart8.xml"/><Relationship Id="rId27" Type="http://schemas.openxmlformats.org/officeDocument/2006/relationships/chart" Target="charts/chart13.xml"/><Relationship Id="rId30" Type="http://schemas.openxmlformats.org/officeDocument/2006/relationships/chart" Target="charts/chart16.xml"/><Relationship Id="rId35" Type="http://schemas.openxmlformats.org/officeDocument/2006/relationships/chart" Target="charts/chart21.xml"/><Relationship Id="rId43" Type="http://schemas.microsoft.com/office/2018/08/relationships/commentsExtensible" Target="commentsExtensible.xml"/><Relationship Id="rId8" Type="http://schemas.openxmlformats.org/officeDocument/2006/relationships/hyperlink" Target="https://www.sciencedirect.com/science/article/pii/S2352550921003092"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chart" Target="charts/chart3.xml"/><Relationship Id="rId25" Type="http://schemas.openxmlformats.org/officeDocument/2006/relationships/chart" Target="charts/chart11.xml"/><Relationship Id="rId33" Type="http://schemas.openxmlformats.org/officeDocument/2006/relationships/chart" Target="charts/chart19.xml"/><Relationship Id="rId38"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7.xml"/><Relationship Id="rId1" Type="http://schemas.microsoft.com/office/2011/relationships/chartStyle" Target="style17.xml"/></Relationships>
</file>

<file path=word/charts/_rels/chart18.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18.xml"/><Relationship Id="rId1" Type="http://schemas.microsoft.com/office/2011/relationships/chartStyle" Target="style18.xml"/></Relationships>
</file>

<file path=word/charts/_rels/chart19.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21.xml"/><Relationship Id="rId1" Type="http://schemas.microsoft.com/office/2011/relationships/chartStyle" Target="style21.xml"/></Relationships>
</file>

<file path=word/charts/_rels/chart22.xml.rels><?xml version="1.0" encoding="UTF-8" standalone="yes"?>
<Relationships xmlns="http://schemas.openxmlformats.org/package/2006/relationships"><Relationship Id="rId3" Type="http://schemas.openxmlformats.org/officeDocument/2006/relationships/oleObject" Target="file:///C:\Users\Ali\Dropbox\30-IF-%203%20Wall\Pic\-30.xlsx" TargetMode="External"/><Relationship Id="rId2" Type="http://schemas.microsoft.com/office/2011/relationships/chartColorStyle" Target="colors22.xml"/><Relationship Id="rId1" Type="http://schemas.microsoft.com/office/2011/relationships/chartStyle" Target="style2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Ali\Dropbox\30-IF-Wall%20panles\30.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Ali\Dropbox\30-IF-Wall%20panles\Copy%20of%2030.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322844723334498"/>
          <c:y val="0.92954990215264188"/>
        </c:manualLayout>
      </c:layout>
      <c:overlay val="1"/>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'CO2 softwood'!$H$20</c:f>
              <c:strCache>
                <c:ptCount val="1"/>
                <c:pt idx="0">
                  <c:v>CLT</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0E06-4ABF-A551-21782CF71B0C}"/>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0E06-4ABF-A551-21782CF71B0C}"/>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0E06-4ABF-A551-21782CF71B0C}"/>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0E06-4ABF-A551-21782CF71B0C}"/>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0E06-4ABF-A551-21782CF71B0C}"/>
              </c:ext>
            </c:extLst>
          </c:dPt>
          <c:dLbls>
            <c:dLbl>
              <c:idx val="0"/>
              <c:layout>
                <c:manualLayout>
                  <c:x val="4.2662116040955635E-2"/>
                  <c:y val="9.7847358121330719E-3"/>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0E06-4ABF-A551-21782CF71B0C}"/>
                </c:ext>
              </c:extLst>
            </c:dLbl>
            <c:dLbl>
              <c:idx val="1"/>
              <c:layout>
                <c:manualLayout>
                  <c:x val="-7.6791808873720196E-2"/>
                  <c:y val="-1.6811338417691467E-2"/>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34093446830238361"/>
                      <c:h val="0.17175892786129007"/>
                    </c:manualLayout>
                  </c15:layout>
                </c:ext>
                <c:ext xmlns:c16="http://schemas.microsoft.com/office/drawing/2014/chart" uri="{C3380CC4-5D6E-409C-BE32-E72D297353CC}">
                  <c16:uniqueId val="{00000003-0E06-4ABF-A551-21782CF71B0C}"/>
                </c:ext>
              </c:extLst>
            </c:dLbl>
            <c:dLbl>
              <c:idx val="2"/>
              <c:layout>
                <c:manualLayout>
                  <c:x val="-5.1194539249146756E-2"/>
                  <c:y val="-1.3461969934933832E-2"/>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0E06-4ABF-A551-21782CF71B0C}"/>
                </c:ext>
              </c:extLst>
            </c:dLbl>
            <c:dLbl>
              <c:idx val="3"/>
              <c:layout>
                <c:manualLayout>
                  <c:x val="4.2662116040955635E-2"/>
                  <c:y val="-4.4873233116446039E-2"/>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0E06-4ABF-A551-21782CF71B0C}"/>
                </c:ext>
              </c:extLst>
            </c:dLbl>
            <c:dLbl>
              <c:idx val="4"/>
              <c:layout>
                <c:manualLayout>
                  <c:x val="0.19197952218430026"/>
                  <c:y val="4.048723361634478E-4"/>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0E06-4ABF-A551-21782CF71B0C}"/>
                </c:ext>
              </c:extLst>
            </c:dLbl>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'CO2 softwood'!$G$21:$G$25</c:f>
              <c:strCache>
                <c:ptCount val="5"/>
                <c:pt idx="0">
                  <c:v>Wood Plantation</c:v>
                </c:pt>
                <c:pt idx="1">
                  <c:v>Wood Manufacturing &amp; Seasoning</c:v>
                </c:pt>
                <c:pt idx="2">
                  <c:v>Adhesive</c:v>
                </c:pt>
                <c:pt idx="3">
                  <c:v>Pressing</c:v>
                </c:pt>
                <c:pt idx="4">
                  <c:v>Fabrication</c:v>
                </c:pt>
              </c:strCache>
            </c:strRef>
          </c:cat>
          <c:val>
            <c:numRef>
              <c:f>'CO2 softwood'!$H$21:$H$25</c:f>
              <c:numCache>
                <c:formatCode>General</c:formatCode>
                <c:ptCount val="5"/>
                <c:pt idx="0">
                  <c:v>30</c:v>
                </c:pt>
                <c:pt idx="1">
                  <c:v>87</c:v>
                </c:pt>
                <c:pt idx="2">
                  <c:v>3.8</c:v>
                </c:pt>
                <c:pt idx="3">
                  <c:v>5.7</c:v>
                </c:pt>
                <c:pt idx="4">
                  <c:v>3.5</c:v>
                </c:pt>
              </c:numCache>
            </c:numRef>
          </c:val>
          <c:extLst>
            <c:ext xmlns:c16="http://schemas.microsoft.com/office/drawing/2014/chart" uri="{C3380CC4-5D6E-409C-BE32-E72D297353CC}">
              <c16:uniqueId val="{0000000A-0E06-4ABF-A551-21782CF71B0C}"/>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Times New Roman" panose="02020603050405020304" pitchFamily="18" charset="0"/>
                <a:cs typeface="Times New Roman" panose="02020603050405020304" pitchFamily="18" charset="0"/>
              </a:rPr>
              <a:t>Human toxicity potential </a:t>
            </a:r>
            <a:endParaRPr lang="en-US" sz="1100">
              <a:latin typeface="Times New Roman" panose="02020603050405020304" pitchFamily="18" charset="0"/>
              <a:cs typeface="Times New Roman" panose="02020603050405020304" pitchFamily="18" charset="0"/>
            </a:endParaRPr>
          </a:p>
        </c:rich>
      </c:tx>
      <c:layout>
        <c:manualLayout>
          <c:xMode val="edge"/>
          <c:yMode val="edge"/>
          <c:x val="0.1944870565675934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073410286801396"/>
          <c:y val="2.8194444444444459E-2"/>
          <c:w val="0.8372909762118661"/>
          <c:h val="0.8644061679790026"/>
        </c:manualLayout>
      </c:layout>
      <c:barChart>
        <c:barDir val="col"/>
        <c:grouping val="stacked"/>
        <c:varyColors val="0"/>
        <c:ser>
          <c:idx val="0"/>
          <c:order val="0"/>
          <c:tx>
            <c:strRef>
              <c:f>OLD!$A$14</c:f>
              <c:strCache>
                <c:ptCount val="1"/>
                <c:pt idx="0">
                  <c:v>Total</c:v>
                </c:pt>
              </c:strCache>
            </c:strRef>
          </c:tx>
          <c:spPr>
            <a:solidFill>
              <a:schemeClr val="accent2"/>
            </a:solidFill>
            <a:ln>
              <a:noFill/>
            </a:ln>
            <a:effectLst/>
          </c:spPr>
          <c:invertIfNegative val="0"/>
          <c:dPt>
            <c:idx val="0"/>
            <c:invertIfNegative val="0"/>
            <c:bubble3D val="0"/>
            <c:spPr>
              <a:pattFill prst="wdUpDiag">
                <a:fgClr>
                  <a:schemeClr val="accent5"/>
                </a:fgClr>
                <a:bgClr>
                  <a:schemeClr val="bg1"/>
                </a:bgClr>
              </a:pattFill>
              <a:ln>
                <a:noFill/>
              </a:ln>
              <a:effectLst/>
            </c:spPr>
            <c:extLst>
              <c:ext xmlns:c16="http://schemas.microsoft.com/office/drawing/2014/chart" uri="{C3380CC4-5D6E-409C-BE32-E72D297353CC}">
                <c16:uniqueId val="{00000004-6D18-4CC5-A862-A1E2333110E8}"/>
              </c:ext>
            </c:extLst>
          </c:dPt>
          <c:dPt>
            <c:idx val="1"/>
            <c:invertIfNegative val="0"/>
            <c:bubble3D val="0"/>
            <c:spPr>
              <a:pattFill prst="plaid">
                <a:fgClr>
                  <a:schemeClr val="accent4"/>
                </a:fgClr>
                <a:bgClr>
                  <a:schemeClr val="bg1"/>
                </a:bgClr>
              </a:pattFill>
              <a:ln>
                <a:noFill/>
              </a:ln>
              <a:effectLst/>
            </c:spPr>
            <c:extLst>
              <c:ext xmlns:c16="http://schemas.microsoft.com/office/drawing/2014/chart" uri="{C3380CC4-5D6E-409C-BE32-E72D297353CC}">
                <c16:uniqueId val="{00000001-2654-4DED-A143-B4B85CD7E40F}"/>
              </c:ext>
            </c:extLst>
          </c:dPt>
          <c:dPt>
            <c:idx val="2"/>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2-2654-4DED-A143-B4B85CD7E40F}"/>
              </c:ext>
            </c:extLst>
          </c:dPt>
          <c:cat>
            <c:strRef>
              <c:f>OLD!$B$13:$D$13</c:f>
              <c:strCache>
                <c:ptCount val="3"/>
                <c:pt idx="0">
                  <c:v>CLT</c:v>
                </c:pt>
                <c:pt idx="1">
                  <c:v>DLT</c:v>
                </c:pt>
                <c:pt idx="2">
                  <c:v>NLT</c:v>
                </c:pt>
              </c:strCache>
            </c:strRef>
          </c:cat>
          <c:val>
            <c:numRef>
              <c:f>OLD!$B$14:$D$14</c:f>
              <c:numCache>
                <c:formatCode>General</c:formatCode>
                <c:ptCount val="3"/>
                <c:pt idx="0">
                  <c:v>505.45819587628864</c:v>
                </c:pt>
                <c:pt idx="1">
                  <c:v>453.15259278350504</c:v>
                </c:pt>
                <c:pt idx="2">
                  <c:v>437.60366838487971</c:v>
                </c:pt>
              </c:numCache>
            </c:numRef>
          </c:val>
          <c:extLst>
            <c:ext xmlns:c16="http://schemas.microsoft.com/office/drawing/2014/chart" uri="{C3380CC4-5D6E-409C-BE32-E72D297353CC}">
              <c16:uniqueId val="{00000000-2654-4DED-A143-B4B85CD7E40F}"/>
            </c:ext>
          </c:extLst>
        </c:ser>
        <c:dLbls>
          <c:showLegendKey val="0"/>
          <c:showVal val="0"/>
          <c:showCatName val="0"/>
          <c:showSerName val="0"/>
          <c:showPercent val="0"/>
          <c:showBubbleSize val="0"/>
        </c:dLbls>
        <c:gapWidth val="150"/>
        <c:overlap val="100"/>
        <c:axId val="1730478431"/>
        <c:axId val="1730486751"/>
      </c:barChart>
      <c:catAx>
        <c:axId val="17304784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86751"/>
        <c:crosses val="autoZero"/>
        <c:auto val="1"/>
        <c:lblAlgn val="ctr"/>
        <c:lblOffset val="100"/>
        <c:noMultiLvlLbl val="0"/>
      </c:catAx>
      <c:valAx>
        <c:axId val="1730486751"/>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Kg NOx eq</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
              <c:y val="0.409239938757655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3047843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Times New Roman" panose="02020603050405020304" pitchFamily="18" charset="0"/>
                <a:cs typeface="Times New Roman" panose="02020603050405020304" pitchFamily="18" charset="0"/>
              </a:rPr>
              <a:t>Acidification Potential </a:t>
            </a:r>
            <a:endParaRPr lang="en-US" sz="1100">
              <a:latin typeface="Times New Roman" panose="02020603050405020304" pitchFamily="18" charset="0"/>
              <a:cs typeface="Times New Roman" panose="02020603050405020304" pitchFamily="18" charset="0"/>
            </a:endParaRPr>
          </a:p>
        </c:rich>
      </c:tx>
      <c:layout>
        <c:manualLayout>
          <c:xMode val="edge"/>
          <c:yMode val="edge"/>
          <c:x val="0.186459647089568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698973234406309"/>
          <c:y val="2.5428331875182269E-2"/>
          <c:w val="0.83156082762381978"/>
          <c:h val="0.89032042869641292"/>
        </c:manualLayout>
      </c:layout>
      <c:barChart>
        <c:barDir val="col"/>
        <c:grouping val="clustered"/>
        <c:varyColors val="0"/>
        <c:ser>
          <c:idx val="0"/>
          <c:order val="0"/>
          <c:tx>
            <c:strRef>
              <c:f>All!$F$14</c:f>
              <c:strCache>
                <c:ptCount val="1"/>
                <c:pt idx="0">
                  <c:v>Total</c:v>
                </c:pt>
              </c:strCache>
            </c:strRef>
          </c:tx>
          <c:spPr>
            <a:solidFill>
              <a:schemeClr val="accent2"/>
            </a:solidFill>
            <a:ln>
              <a:noFill/>
            </a:ln>
            <a:effectLst/>
          </c:spPr>
          <c:invertIfNegative val="0"/>
          <c:dPt>
            <c:idx val="0"/>
            <c:invertIfNegative val="0"/>
            <c:bubble3D val="0"/>
            <c:spPr>
              <a:pattFill prst="wdUpDiag">
                <a:fgClr>
                  <a:srgbClr val="0070C0"/>
                </a:fgClr>
                <a:bgClr>
                  <a:schemeClr val="bg1"/>
                </a:bgClr>
              </a:pattFill>
              <a:ln>
                <a:noFill/>
              </a:ln>
              <a:effectLst/>
            </c:spPr>
            <c:extLst>
              <c:ext xmlns:c16="http://schemas.microsoft.com/office/drawing/2014/chart" uri="{C3380CC4-5D6E-409C-BE32-E72D297353CC}">
                <c16:uniqueId val="{00000004-91DD-4CC6-ACA3-C4D12123CD56}"/>
              </c:ext>
            </c:extLst>
          </c:dPt>
          <c:dPt>
            <c:idx val="1"/>
            <c:invertIfNegative val="0"/>
            <c:bubble3D val="0"/>
            <c:spPr>
              <a:pattFill prst="plaid">
                <a:fgClr>
                  <a:schemeClr val="accent4"/>
                </a:fgClr>
                <a:bgClr>
                  <a:schemeClr val="bg1"/>
                </a:bgClr>
              </a:pattFill>
              <a:ln>
                <a:noFill/>
              </a:ln>
              <a:effectLst/>
            </c:spPr>
            <c:extLst>
              <c:ext xmlns:c16="http://schemas.microsoft.com/office/drawing/2014/chart" uri="{C3380CC4-5D6E-409C-BE32-E72D297353CC}">
                <c16:uniqueId val="{00000001-9CB2-44D9-BA3B-0924ED925CD4}"/>
              </c:ext>
            </c:extLst>
          </c:dPt>
          <c:dPt>
            <c:idx val="2"/>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2-9CB2-44D9-BA3B-0924ED925CD4}"/>
              </c:ext>
            </c:extLst>
          </c:dPt>
          <c:cat>
            <c:strRef>
              <c:f>All!$G$13:$I$13</c:f>
              <c:strCache>
                <c:ptCount val="3"/>
                <c:pt idx="0">
                  <c:v>CLT</c:v>
                </c:pt>
                <c:pt idx="1">
                  <c:v>DLT</c:v>
                </c:pt>
                <c:pt idx="2">
                  <c:v>NLT</c:v>
                </c:pt>
              </c:strCache>
            </c:strRef>
          </c:cat>
          <c:val>
            <c:numRef>
              <c:f>All!$G$14:$I$14</c:f>
              <c:numCache>
                <c:formatCode>General</c:formatCode>
                <c:ptCount val="3"/>
                <c:pt idx="0">
                  <c:v>251.16711340206186</c:v>
                </c:pt>
                <c:pt idx="1">
                  <c:v>225.1759484536083</c:v>
                </c:pt>
                <c:pt idx="2">
                  <c:v>292.54999999999995</c:v>
                </c:pt>
              </c:numCache>
            </c:numRef>
          </c:val>
          <c:extLst>
            <c:ext xmlns:c16="http://schemas.microsoft.com/office/drawing/2014/chart" uri="{C3380CC4-5D6E-409C-BE32-E72D297353CC}">
              <c16:uniqueId val="{00000000-9CB2-44D9-BA3B-0924ED925CD4}"/>
            </c:ext>
          </c:extLst>
        </c:ser>
        <c:dLbls>
          <c:showLegendKey val="0"/>
          <c:showVal val="0"/>
          <c:showCatName val="0"/>
          <c:showSerName val="0"/>
          <c:showPercent val="0"/>
          <c:showBubbleSize val="0"/>
        </c:dLbls>
        <c:gapWidth val="150"/>
        <c:axId val="1929286719"/>
        <c:axId val="1929290047"/>
      </c:barChart>
      <c:catAx>
        <c:axId val="1929286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290047"/>
        <c:crosses val="autoZero"/>
        <c:auto val="1"/>
        <c:lblAlgn val="ctr"/>
        <c:lblOffset val="100"/>
        <c:noMultiLvlLbl val="0"/>
      </c:catAx>
      <c:valAx>
        <c:axId val="192929004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kg SO2 eq</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
              <c:y val="0.4191531787693205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286719"/>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Times New Roman" panose="02020603050405020304" pitchFamily="18" charset="0"/>
                <a:cs typeface="Times New Roman" panose="02020603050405020304" pitchFamily="18" charset="0"/>
              </a:rPr>
              <a:t>Terrestrial ecotoxicity </a:t>
            </a:r>
            <a:endParaRPr lang="en-US" sz="1100">
              <a:latin typeface="Times New Roman" panose="02020603050405020304" pitchFamily="18" charset="0"/>
              <a:cs typeface="Times New Roman" panose="02020603050405020304" pitchFamily="18" charset="0"/>
            </a:endParaRPr>
          </a:p>
        </c:rich>
      </c:tx>
      <c:layout>
        <c:manualLayout>
          <c:xMode val="edge"/>
          <c:yMode val="edge"/>
          <c:x val="0.1963471728588353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780685614588451"/>
          <c:y val="2.5428331875182269E-2"/>
          <c:w val="0.82219314385411546"/>
          <c:h val="0.89032042869641292"/>
        </c:manualLayout>
      </c:layout>
      <c:barChart>
        <c:barDir val="col"/>
        <c:grouping val="stacked"/>
        <c:varyColors val="0"/>
        <c:ser>
          <c:idx val="0"/>
          <c:order val="0"/>
          <c:tx>
            <c:strRef>
              <c:f>All!$K$14</c:f>
              <c:strCache>
                <c:ptCount val="1"/>
                <c:pt idx="0">
                  <c:v>Total</c:v>
                </c:pt>
              </c:strCache>
            </c:strRef>
          </c:tx>
          <c:spPr>
            <a:solidFill>
              <a:schemeClr val="accent1"/>
            </a:solidFill>
            <a:ln>
              <a:noFill/>
            </a:ln>
            <a:effectLst/>
          </c:spPr>
          <c:invertIfNegative val="0"/>
          <c:dPt>
            <c:idx val="0"/>
            <c:invertIfNegative val="0"/>
            <c:bubble3D val="0"/>
            <c:spPr>
              <a:pattFill prst="wdUpDiag">
                <a:fgClr>
                  <a:schemeClr val="accent5"/>
                </a:fgClr>
                <a:bgClr>
                  <a:schemeClr val="bg1"/>
                </a:bgClr>
              </a:pattFill>
              <a:ln>
                <a:noFill/>
              </a:ln>
              <a:effectLst/>
            </c:spPr>
            <c:extLst>
              <c:ext xmlns:c16="http://schemas.microsoft.com/office/drawing/2014/chart" uri="{C3380CC4-5D6E-409C-BE32-E72D297353CC}">
                <c16:uniqueId val="{00000001-B5E2-4594-88E2-0E43A64D0572}"/>
              </c:ext>
            </c:extLst>
          </c:dPt>
          <c:dPt>
            <c:idx val="1"/>
            <c:invertIfNegative val="0"/>
            <c:bubble3D val="0"/>
            <c:spPr>
              <a:pattFill prst="plaid">
                <a:fgClr>
                  <a:schemeClr val="accent4"/>
                </a:fgClr>
                <a:bgClr>
                  <a:schemeClr val="bg1"/>
                </a:bgClr>
              </a:pattFill>
              <a:ln>
                <a:noFill/>
              </a:ln>
              <a:effectLst/>
            </c:spPr>
            <c:extLst>
              <c:ext xmlns:c16="http://schemas.microsoft.com/office/drawing/2014/chart" uri="{C3380CC4-5D6E-409C-BE32-E72D297353CC}">
                <c16:uniqueId val="{00000002-B5E2-4594-88E2-0E43A64D0572}"/>
              </c:ext>
            </c:extLst>
          </c:dPt>
          <c:dPt>
            <c:idx val="2"/>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3-B5E2-4594-88E2-0E43A64D0572}"/>
              </c:ext>
            </c:extLst>
          </c:dPt>
          <c:cat>
            <c:strRef>
              <c:f>All!$L$13:$N$13</c:f>
              <c:strCache>
                <c:ptCount val="3"/>
                <c:pt idx="0">
                  <c:v>CLT</c:v>
                </c:pt>
                <c:pt idx="1">
                  <c:v>DLT</c:v>
                </c:pt>
                <c:pt idx="2">
                  <c:v>NLT</c:v>
                </c:pt>
              </c:strCache>
            </c:strRef>
          </c:cat>
          <c:val>
            <c:numRef>
              <c:f>All!$L$14:$N$14</c:f>
              <c:numCache>
                <c:formatCode>General</c:formatCode>
                <c:ptCount val="3"/>
                <c:pt idx="0">
                  <c:v>1561.4564862542954</c:v>
                </c:pt>
                <c:pt idx="1">
                  <c:v>1358.3374999999996</c:v>
                </c:pt>
                <c:pt idx="2">
                  <c:v>1693.7045454545455</c:v>
                </c:pt>
              </c:numCache>
            </c:numRef>
          </c:val>
          <c:extLst>
            <c:ext xmlns:c16="http://schemas.microsoft.com/office/drawing/2014/chart" uri="{C3380CC4-5D6E-409C-BE32-E72D297353CC}">
              <c16:uniqueId val="{00000000-B5E2-4594-88E2-0E43A64D0572}"/>
            </c:ext>
          </c:extLst>
        </c:ser>
        <c:dLbls>
          <c:showLegendKey val="0"/>
          <c:showVal val="0"/>
          <c:showCatName val="0"/>
          <c:showSerName val="0"/>
          <c:showPercent val="0"/>
          <c:showBubbleSize val="0"/>
        </c:dLbls>
        <c:gapWidth val="150"/>
        <c:overlap val="100"/>
        <c:axId val="1937818255"/>
        <c:axId val="1937819919"/>
      </c:barChart>
      <c:catAx>
        <c:axId val="193781825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819919"/>
        <c:crosses val="autoZero"/>
        <c:auto val="1"/>
        <c:lblAlgn val="ctr"/>
        <c:lblOffset val="100"/>
        <c:noMultiLvlLbl val="0"/>
      </c:catAx>
      <c:valAx>
        <c:axId val="1937819919"/>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Kg 1,4-DCB</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
              <c:y val="0.3383894721493147"/>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818255"/>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u="none" strike="noStrike" baseline="0">
                <a:effectLst/>
                <a:latin typeface="Times New Roman" panose="02020603050405020304" pitchFamily="18" charset="0"/>
                <a:cs typeface="Times New Roman" panose="02020603050405020304" pitchFamily="18" charset="0"/>
              </a:rPr>
              <a:t>Fossil Depletion </a:t>
            </a:r>
            <a:endParaRPr lang="en-US" sz="1100">
              <a:latin typeface="Times New Roman" panose="02020603050405020304" pitchFamily="18" charset="0"/>
              <a:cs typeface="Times New Roman" panose="02020603050405020304" pitchFamily="18" charset="0"/>
            </a:endParaRPr>
          </a:p>
        </c:rich>
      </c:tx>
      <c:layout>
        <c:manualLayout>
          <c:xMode val="edge"/>
          <c:yMode val="edge"/>
          <c:x val="0.3463721622781393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455309465627143"/>
          <c:y val="2.5428331875182269E-2"/>
          <c:w val="0.84544697835291927"/>
          <c:h val="0.87829505686789155"/>
        </c:manualLayout>
      </c:layout>
      <c:barChart>
        <c:barDir val="col"/>
        <c:grouping val="stacked"/>
        <c:varyColors val="0"/>
        <c:ser>
          <c:idx val="0"/>
          <c:order val="0"/>
          <c:tx>
            <c:strRef>
              <c:f>All!$P$32</c:f>
              <c:strCache>
                <c:ptCount val="1"/>
                <c:pt idx="0">
                  <c:v>Total</c:v>
                </c:pt>
              </c:strCache>
            </c:strRef>
          </c:tx>
          <c:spPr>
            <a:solidFill>
              <a:schemeClr val="accent1"/>
            </a:solidFill>
            <a:ln>
              <a:noFill/>
            </a:ln>
            <a:effectLst/>
          </c:spPr>
          <c:invertIfNegative val="0"/>
          <c:dPt>
            <c:idx val="0"/>
            <c:invertIfNegative val="0"/>
            <c:bubble3D val="0"/>
            <c:spPr>
              <a:pattFill prst="wdUpDiag">
                <a:fgClr>
                  <a:schemeClr val="accent5"/>
                </a:fgClr>
                <a:bgClr>
                  <a:schemeClr val="bg1"/>
                </a:bgClr>
              </a:pattFill>
              <a:ln>
                <a:noFill/>
              </a:ln>
              <a:effectLst/>
            </c:spPr>
            <c:extLst>
              <c:ext xmlns:c16="http://schemas.microsoft.com/office/drawing/2014/chart" uri="{C3380CC4-5D6E-409C-BE32-E72D297353CC}">
                <c16:uniqueId val="{00000001-7493-4A8D-9C37-20AE2EB2FA2B}"/>
              </c:ext>
            </c:extLst>
          </c:dPt>
          <c:dPt>
            <c:idx val="1"/>
            <c:invertIfNegative val="0"/>
            <c:bubble3D val="0"/>
            <c:spPr>
              <a:pattFill prst="plaid">
                <a:fgClr>
                  <a:schemeClr val="accent4"/>
                </a:fgClr>
                <a:bgClr>
                  <a:schemeClr val="bg1"/>
                </a:bgClr>
              </a:pattFill>
              <a:ln>
                <a:noFill/>
              </a:ln>
              <a:effectLst/>
            </c:spPr>
            <c:extLst>
              <c:ext xmlns:c16="http://schemas.microsoft.com/office/drawing/2014/chart" uri="{C3380CC4-5D6E-409C-BE32-E72D297353CC}">
                <c16:uniqueId val="{00000002-7493-4A8D-9C37-20AE2EB2FA2B}"/>
              </c:ext>
            </c:extLst>
          </c:dPt>
          <c:dPt>
            <c:idx val="2"/>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3-7493-4A8D-9C37-20AE2EB2FA2B}"/>
              </c:ext>
            </c:extLst>
          </c:dPt>
          <c:cat>
            <c:strRef>
              <c:f>All!$Q$31:$S$31</c:f>
              <c:strCache>
                <c:ptCount val="3"/>
                <c:pt idx="0">
                  <c:v>CLT</c:v>
                </c:pt>
                <c:pt idx="1">
                  <c:v>DLT</c:v>
                </c:pt>
                <c:pt idx="2">
                  <c:v>NLT</c:v>
                </c:pt>
              </c:strCache>
            </c:strRef>
          </c:cat>
          <c:val>
            <c:numRef>
              <c:f>All!$Q$32:$S$32</c:f>
              <c:numCache>
                <c:formatCode>General</c:formatCode>
                <c:ptCount val="3"/>
                <c:pt idx="0">
                  <c:v>12745.793814432986</c:v>
                </c:pt>
                <c:pt idx="1">
                  <c:v>12074.111111111108</c:v>
                </c:pt>
                <c:pt idx="2">
                  <c:v>16528.188405797104</c:v>
                </c:pt>
              </c:numCache>
            </c:numRef>
          </c:val>
          <c:extLst>
            <c:ext xmlns:c16="http://schemas.microsoft.com/office/drawing/2014/chart" uri="{C3380CC4-5D6E-409C-BE32-E72D297353CC}">
              <c16:uniqueId val="{00000000-7493-4A8D-9C37-20AE2EB2FA2B}"/>
            </c:ext>
          </c:extLst>
        </c:ser>
        <c:dLbls>
          <c:showLegendKey val="0"/>
          <c:showVal val="0"/>
          <c:showCatName val="0"/>
          <c:showSerName val="0"/>
          <c:showPercent val="0"/>
          <c:showBubbleSize val="0"/>
        </c:dLbls>
        <c:gapWidth val="150"/>
        <c:overlap val="100"/>
        <c:axId val="1720946303"/>
        <c:axId val="1720952127"/>
      </c:barChart>
      <c:catAx>
        <c:axId val="1720946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952127"/>
        <c:crosses val="autoZero"/>
        <c:auto val="1"/>
        <c:lblAlgn val="ctr"/>
        <c:lblOffset val="100"/>
        <c:noMultiLvlLbl val="0"/>
      </c:catAx>
      <c:valAx>
        <c:axId val="1720952127"/>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kg Oil eq</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
              <c:y val="0.3866722735509454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0946303"/>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CLT</a:t>
            </a:r>
          </a:p>
        </c:rich>
      </c:tx>
      <c:layout>
        <c:manualLayout>
          <c:xMode val="edge"/>
          <c:yMode val="edge"/>
          <c:x val="0.44458170200998443"/>
          <c:y val="0"/>
        </c:manualLayout>
      </c:layout>
      <c:overlay val="1"/>
      <c:spPr>
        <a:noFill/>
        <a:ln>
          <a:noFill/>
        </a:ln>
        <a:effectLst/>
      </c:spPr>
      <c:txPr>
        <a:bodyPr rot="0" spcFirstLastPara="1" vertOverflow="ellipsis" vert="horz" wrap="square" anchor="ctr" anchorCtr="1"/>
        <a:lstStyle/>
        <a:p>
          <a:pPr>
            <a:defRPr sz="105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EE!$H$18</c:f>
              <c:strCache>
                <c:ptCount val="1"/>
                <c:pt idx="0">
                  <c:v>CLT</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FAE-4123-BDE9-375D92D63984}"/>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FAE-4123-BDE9-375D92D63984}"/>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FAE-4123-BDE9-375D92D63984}"/>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FAE-4123-BDE9-375D92D63984}"/>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1FAE-4123-BDE9-375D92D63984}"/>
              </c:ext>
            </c:extLst>
          </c:dPt>
          <c:dLbls>
            <c:dLbl>
              <c:idx val="0"/>
              <c:delete val="1"/>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1-1FAE-4123-BDE9-375D92D63984}"/>
                </c:ext>
              </c:extLst>
            </c:dLbl>
            <c:dLbl>
              <c:idx val="1"/>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718735179460961"/>
                      <c:h val="0.21659208524560947"/>
                    </c:manualLayout>
                  </c15:layout>
                </c:ext>
                <c:ext xmlns:c16="http://schemas.microsoft.com/office/drawing/2014/chart" uri="{C3380CC4-5D6E-409C-BE32-E72D297353CC}">
                  <c16:uniqueId val="{00000003-1FAE-4123-BDE9-375D92D63984}"/>
                </c:ext>
              </c:extLst>
            </c:dLbl>
            <c:dLbl>
              <c:idx val="2"/>
              <c:layout>
                <c:manualLayout>
                  <c:x val="-0.1166666666666667"/>
                  <c:y val="0.15277777777777776"/>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1FAE-4123-BDE9-375D92D63984}"/>
                </c:ext>
              </c:extLst>
            </c:dLbl>
            <c:dLbl>
              <c:idx val="3"/>
              <c:layout>
                <c:manualLayout>
                  <c:x val="-6.9444444444444489E-2"/>
                  <c:y val="1.3888888888888888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7-1FAE-4123-BDE9-375D92D63984}"/>
                </c:ext>
              </c:extLst>
            </c:dLbl>
            <c:dLbl>
              <c:idx val="4"/>
              <c:layout>
                <c:manualLayout>
                  <c:x val="-2.4563727131151143E-2"/>
                  <c:y val="-2.7706520516786654E-2"/>
                </c:manualLayout>
              </c:layout>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9-1FAE-4123-BDE9-375D92D63984}"/>
                </c:ext>
              </c:extLst>
            </c:dLbl>
            <c:spPr>
              <a:solidFill>
                <a:sysClr val="window" lastClr="FFFFFF"/>
              </a:solidFill>
              <a:ln>
                <a:solidFill>
                  <a:srgbClr val="5B9BD5"/>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EE!$G$19:$G$23</c:f>
              <c:strCache>
                <c:ptCount val="5"/>
                <c:pt idx="1">
                  <c:v>Manufacturing Lumber </c:v>
                </c:pt>
                <c:pt idx="2">
                  <c:v>Adhesive</c:v>
                </c:pt>
                <c:pt idx="3">
                  <c:v>Pressing</c:v>
                </c:pt>
                <c:pt idx="4">
                  <c:v>Fabrication</c:v>
                </c:pt>
              </c:strCache>
            </c:strRef>
          </c:cat>
          <c:val>
            <c:numRef>
              <c:f>EE!$H$19:$H$23</c:f>
              <c:numCache>
                <c:formatCode>General</c:formatCode>
                <c:ptCount val="5"/>
                <c:pt idx="0">
                  <c:v>0</c:v>
                </c:pt>
                <c:pt idx="1">
                  <c:v>1390</c:v>
                </c:pt>
                <c:pt idx="2">
                  <c:v>64.400000000000006</c:v>
                </c:pt>
                <c:pt idx="3">
                  <c:v>208</c:v>
                </c:pt>
                <c:pt idx="4">
                  <c:v>259</c:v>
                </c:pt>
              </c:numCache>
            </c:numRef>
          </c:val>
          <c:extLst>
            <c:ext xmlns:c16="http://schemas.microsoft.com/office/drawing/2014/chart" uri="{C3380CC4-5D6E-409C-BE32-E72D297353CC}">
              <c16:uniqueId val="{0000000A-1FAE-4123-BDE9-375D92D63984}"/>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DLT</a:t>
            </a:r>
            <a:endParaRPr lang="en-US">
              <a:latin typeface="Times New Roman" panose="02020603050405020304" pitchFamily="18" charset="0"/>
              <a:cs typeface="Times New Roman" panose="02020603050405020304" pitchFamily="18" charset="0"/>
            </a:endParaRPr>
          </a:p>
        </c:rich>
      </c:tx>
      <c:layout>
        <c:manualLayout>
          <c:xMode val="edge"/>
          <c:yMode val="edge"/>
          <c:x val="0.44889765896767608"/>
          <c:y val="0"/>
        </c:manualLayout>
      </c:layout>
      <c:overlay val="0"/>
      <c:spPr>
        <a:noFill/>
        <a:ln>
          <a:noFill/>
        </a:ln>
        <a:effectLst/>
      </c:spPr>
      <c:txPr>
        <a:bodyPr rot="0" spcFirstLastPara="1" vertOverflow="ellipsis" vert="horz" wrap="square" anchor="ctr" anchorCtr="1"/>
        <a:lstStyle/>
        <a:p>
          <a:pPr>
            <a:defRPr sz="84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895829672272414"/>
          <c:y val="0.12760840065170137"/>
          <c:w val="0.75350583193771925"/>
          <c:h val="0.75696601539070174"/>
        </c:manualLayout>
      </c:layout>
      <c:pieChart>
        <c:varyColors val="1"/>
        <c:ser>
          <c:idx val="0"/>
          <c:order val="0"/>
          <c:tx>
            <c:strRef>
              <c:f>EE!$H$27</c:f>
              <c:strCache>
                <c:ptCount val="1"/>
                <c:pt idx="0">
                  <c:v>DLT</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B281-4CE4-B22C-FD96E6C89ACC}"/>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B281-4CE4-B22C-FD96E6C89ACC}"/>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B281-4CE4-B22C-FD96E6C89ACC}"/>
              </c:ext>
            </c:extLst>
          </c:dPt>
          <c:dPt>
            <c:idx val="3"/>
            <c:bubble3D val="0"/>
            <c:spPr>
              <a:solidFill>
                <a:schemeClr val="accent2">
                  <a:lumMod val="60000"/>
                </a:schemeClr>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56C1-4E0A-B3E4-7E070E4F3CBC}"/>
              </c:ext>
            </c:extLst>
          </c:dPt>
          <c:dLbls>
            <c:dLbl>
              <c:idx val="0"/>
              <c:layout>
                <c:manualLayout>
                  <c:x val="-1.1972042820490136E-3"/>
                  <c:y val="6.1779544574756158E-2"/>
                </c:manualLayout>
              </c:layout>
              <c:spPr>
                <a:solidFill>
                  <a:sysClr val="window" lastClr="FFFFFF"/>
                </a:solidFill>
                <a:ln>
                  <a:solidFill>
                    <a:srgbClr val="ED7D31"/>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9361585419800051"/>
                      <c:h val="0.17574071474453049"/>
                    </c:manualLayout>
                  </c15:layout>
                </c:ext>
                <c:ext xmlns:c16="http://schemas.microsoft.com/office/drawing/2014/chart" uri="{C3380CC4-5D6E-409C-BE32-E72D297353CC}">
                  <c16:uniqueId val="{00000001-B281-4CE4-B22C-FD96E6C89ACC}"/>
                </c:ext>
              </c:extLst>
            </c:dLbl>
            <c:dLbl>
              <c:idx val="1"/>
              <c:spPr>
                <a:solidFill>
                  <a:sysClr val="window" lastClr="FFFFFF"/>
                </a:solidFill>
                <a:ln>
                  <a:solidFill>
                    <a:srgbClr val="ED7D31"/>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3-B281-4CE4-B22C-FD96E6C89ACC}"/>
                </c:ext>
              </c:extLst>
            </c:dLbl>
            <c:dLbl>
              <c:idx val="2"/>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B281-4CE4-B22C-FD96E6C89ACC}"/>
                </c:ext>
              </c:extLst>
            </c:dLbl>
            <c:dLbl>
              <c:idx val="3"/>
              <c:spPr>
                <a:solidFill>
                  <a:sysClr val="window" lastClr="FFFFFF"/>
                </a:solidFill>
                <a:ln>
                  <a:solidFill>
                    <a:srgbClr val="ED7D31"/>
                  </a:solidFill>
                </a:ln>
                <a:effectLst/>
              </c:spPr>
              <c:txPr>
                <a:bodyPr rot="0" spcFirstLastPara="1" vertOverflow="clip" horzOverflow="clip" vert="horz" wrap="square" lIns="36576" tIns="18288" rIns="36576" bIns="18288"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5938600371582765"/>
                      <c:h val="0.18788567150337973"/>
                    </c:manualLayout>
                  </c15:layout>
                </c:ext>
                <c:ext xmlns:c16="http://schemas.microsoft.com/office/drawing/2014/chart" uri="{C3380CC4-5D6E-409C-BE32-E72D297353CC}">
                  <c16:uniqueId val="{00000007-56C1-4E0A-B3E4-7E070E4F3CBC}"/>
                </c:ext>
              </c:extLst>
            </c:dLbl>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EE!$G$28:$G$31</c:f>
              <c:strCache>
                <c:ptCount val="4"/>
                <c:pt idx="0">
                  <c:v>Manufacturing Lumber </c:v>
                </c:pt>
                <c:pt idx="1">
                  <c:v>Dowel</c:v>
                </c:pt>
                <c:pt idx="2">
                  <c:v>Pressing</c:v>
                </c:pt>
                <c:pt idx="3">
                  <c:v>Fabrication</c:v>
                </c:pt>
              </c:strCache>
            </c:strRef>
          </c:cat>
          <c:val>
            <c:numRef>
              <c:f>EE!$H$28:$H$31</c:f>
              <c:numCache>
                <c:formatCode>General</c:formatCode>
                <c:ptCount val="4"/>
                <c:pt idx="0">
                  <c:v>1390</c:v>
                </c:pt>
                <c:pt idx="1">
                  <c:v>100</c:v>
                </c:pt>
                <c:pt idx="2">
                  <c:v>90</c:v>
                </c:pt>
                <c:pt idx="3">
                  <c:v>322</c:v>
                </c:pt>
              </c:numCache>
            </c:numRef>
          </c:val>
          <c:extLst>
            <c:ext xmlns:c16="http://schemas.microsoft.com/office/drawing/2014/chart" uri="{C3380CC4-5D6E-409C-BE32-E72D297353CC}">
              <c16:uniqueId val="{00000006-B281-4CE4-B22C-FD96E6C89A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700"/>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NLT</a:t>
            </a:r>
            <a:endParaRPr lang="en-US">
              <a:latin typeface="Times New Roman" panose="02020603050405020304" pitchFamily="18" charset="0"/>
              <a:cs typeface="Times New Roman" panose="02020603050405020304" pitchFamily="18" charset="0"/>
            </a:endParaRPr>
          </a:p>
        </c:rich>
      </c:tx>
      <c:layout>
        <c:manualLayout>
          <c:xMode val="edge"/>
          <c:yMode val="edge"/>
          <c:x val="0.44851128672283497"/>
          <c:y val="0"/>
        </c:manualLayout>
      </c:layout>
      <c:overlay val="0"/>
      <c:spPr>
        <a:noFill/>
        <a:ln>
          <a:noFill/>
        </a:ln>
        <a:effectLst/>
      </c:spPr>
      <c:txPr>
        <a:bodyPr rot="0" spcFirstLastPara="1" vertOverflow="ellipsis" vert="horz" wrap="square" anchor="ctr" anchorCtr="1"/>
        <a:lstStyle/>
        <a:p>
          <a:pPr>
            <a:defRPr sz="1000" b="1" i="0" u="none" strike="noStrike" kern="1200" cap="all"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77447621400976"/>
          <c:y val="0.16063035664915673"/>
          <c:w val="0.60865017099175212"/>
          <c:h val="0.8364943323196018"/>
        </c:manualLayout>
      </c:layout>
      <c:pieChart>
        <c:varyColors val="1"/>
        <c:ser>
          <c:idx val="0"/>
          <c:order val="0"/>
          <c:tx>
            <c:strRef>
              <c:f>EE!$H$35</c:f>
              <c:strCache>
                <c:ptCount val="1"/>
                <c:pt idx="0">
                  <c:v>NLT</c:v>
                </c:pt>
              </c:strCache>
            </c:strRef>
          </c:tx>
          <c:dPt>
            <c:idx val="0"/>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C77-467C-9CE1-6F381F647E85}"/>
              </c:ext>
            </c:extLst>
          </c:dPt>
          <c:dPt>
            <c:idx val="1"/>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C77-467C-9CE1-6F381F647E85}"/>
              </c:ext>
            </c:extLst>
          </c:dPt>
          <c:dPt>
            <c:idx val="2"/>
            <c:bubble3D val="0"/>
            <c:spPr>
              <a:solidFill>
                <a:schemeClr val="accent6"/>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C77-467C-9CE1-6F381F647E85}"/>
              </c:ext>
            </c:extLst>
          </c:dPt>
          <c:dLbls>
            <c:dLbl>
              <c:idx val="0"/>
              <c:layout>
                <c:manualLayout>
                  <c:x val="1.1507689480878772E-3"/>
                  <c:y val="9.4000770639086198E-2"/>
                </c:manualLayout>
              </c:layout>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21031336079972501"/>
                      <c:h val="0.18031735527114956"/>
                    </c:manualLayout>
                  </c15:layout>
                </c:ext>
                <c:ext xmlns:c16="http://schemas.microsoft.com/office/drawing/2014/chart" uri="{C3380CC4-5D6E-409C-BE32-E72D297353CC}">
                  <c16:uniqueId val="{00000001-FC77-467C-9CE1-6F381F647E85}"/>
                </c:ext>
              </c:extLst>
            </c:dLbl>
            <c:dLbl>
              <c:idx val="1"/>
              <c:layout>
                <c:manualLayout>
                  <c:x val="-8.0466706900020196E-3"/>
                  <c:y val="7.4647497926458389E-2"/>
                </c:manualLayout>
              </c:layout>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0.14638034458124841"/>
                      <c:h val="0.15087763601017939"/>
                    </c:manualLayout>
                  </c15:layout>
                </c:ext>
                <c:ext xmlns:c16="http://schemas.microsoft.com/office/drawing/2014/chart" uri="{C3380CC4-5D6E-409C-BE32-E72D297353CC}">
                  <c16:uniqueId val="{00000003-FC77-467C-9CE1-6F381F647E85}"/>
                </c:ext>
              </c:extLst>
            </c:dLbl>
            <c:dLbl>
              <c:idx val="2"/>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a:noFill/>
                    <a:ln>
                      <a:noFill/>
                    </a:ln>
                  </c15:spPr>
                </c:ext>
                <c:ext xmlns:c16="http://schemas.microsoft.com/office/drawing/2014/chart" uri="{C3380CC4-5D6E-409C-BE32-E72D297353CC}">
                  <c16:uniqueId val="{00000005-FC77-467C-9CE1-6F381F647E85}"/>
                </c:ext>
              </c:extLst>
            </c:dLbl>
            <c:spPr>
              <a:solidFill>
                <a:sysClr val="window" lastClr="FFFFFF"/>
              </a:solidFill>
              <a:ln>
                <a:solidFill>
                  <a:srgbClr val="ED7D31"/>
                </a:solidFill>
              </a:ln>
              <a:effectLst/>
            </c:spPr>
            <c:txPr>
              <a:bodyPr rot="0" spcFirstLastPara="1" vertOverflow="clip" horzOverflow="clip" vert="horz" wrap="square" lIns="38100" tIns="19050" rIns="38100" bIns="19050" anchor="ctr" anchorCtr="1">
                <a:spAutoFit/>
              </a:bodyPr>
              <a:lstStyle/>
              <a:p>
                <a:pPr>
                  <a:defRPr sz="700" b="1"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EE!$G$36:$G$38</c:f>
              <c:strCache>
                <c:ptCount val="3"/>
                <c:pt idx="0">
                  <c:v>Manufacturing Lumber </c:v>
                </c:pt>
                <c:pt idx="1">
                  <c:v>Nail</c:v>
                </c:pt>
                <c:pt idx="2">
                  <c:v>Fabrication</c:v>
                </c:pt>
              </c:strCache>
            </c:strRef>
          </c:cat>
          <c:val>
            <c:numRef>
              <c:f>EE!$H$36:$H$38</c:f>
              <c:numCache>
                <c:formatCode>General</c:formatCode>
                <c:ptCount val="3"/>
                <c:pt idx="0">
                  <c:v>1390</c:v>
                </c:pt>
                <c:pt idx="1">
                  <c:v>400</c:v>
                </c:pt>
                <c:pt idx="2">
                  <c:v>340</c:v>
                </c:pt>
              </c:numCache>
            </c:numRef>
          </c:val>
          <c:extLst>
            <c:ext xmlns:c16="http://schemas.microsoft.com/office/drawing/2014/chart" uri="{C3380CC4-5D6E-409C-BE32-E72D297353CC}">
              <c16:uniqueId val="{00000006-FC77-467C-9CE1-6F381F647E85}"/>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0" i="0" baseline="0">
                <a:effectLst/>
                <a:latin typeface="Times New Roman" panose="02020603050405020304" pitchFamily="18" charset="0"/>
                <a:cs typeface="Times New Roman" panose="02020603050405020304" pitchFamily="18" charset="0"/>
              </a:rPr>
              <a:t>Embodied energy </a:t>
            </a:r>
            <a:endParaRPr lang="en-US" sz="900">
              <a:effectLst/>
              <a:latin typeface="Times New Roman" panose="02020603050405020304" pitchFamily="18" charset="0"/>
              <a:cs typeface="Times New Roman" panose="02020603050405020304" pitchFamily="18" charset="0"/>
            </a:endParaRPr>
          </a:p>
        </c:rich>
      </c:tx>
      <c:layout>
        <c:manualLayout>
          <c:xMode val="edge"/>
          <c:yMode val="edge"/>
          <c:x val="0.32953646786318808"/>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352103506643915"/>
          <c:y val="2.5566750629722936E-2"/>
          <c:w val="0.79647896493356085"/>
          <c:h val="0.79770754411366085"/>
        </c:manualLayout>
      </c:layout>
      <c:barChart>
        <c:barDir val="col"/>
        <c:grouping val="stacked"/>
        <c:varyColors val="0"/>
        <c:ser>
          <c:idx val="0"/>
          <c:order val="0"/>
          <c:tx>
            <c:strRef>
              <c:f>EE!$A$5</c:f>
              <c:strCache>
                <c:ptCount val="1"/>
                <c:pt idx="0">
                  <c:v>Manufacturing </c:v>
                </c:pt>
              </c:strCache>
            </c:strRef>
          </c:tx>
          <c:spPr>
            <a:solidFill>
              <a:schemeClr val="accent1"/>
            </a:solidFill>
            <a:ln>
              <a:noFill/>
            </a:ln>
            <a:effectLst/>
          </c:spPr>
          <c:invertIfNegative val="0"/>
          <c:cat>
            <c:strRef>
              <c:f>EE!$B$4:$D$4</c:f>
              <c:strCache>
                <c:ptCount val="3"/>
                <c:pt idx="0">
                  <c:v>CLT</c:v>
                </c:pt>
                <c:pt idx="1">
                  <c:v>DLT</c:v>
                </c:pt>
                <c:pt idx="2">
                  <c:v>NLT</c:v>
                </c:pt>
              </c:strCache>
            </c:strRef>
          </c:cat>
          <c:val>
            <c:numRef>
              <c:f>EE!$B$5:$D$5</c:f>
              <c:numCache>
                <c:formatCode>General</c:formatCode>
                <c:ptCount val="3"/>
                <c:pt idx="0">
                  <c:v>719122</c:v>
                </c:pt>
                <c:pt idx="1">
                  <c:v>712590</c:v>
                </c:pt>
                <c:pt idx="2">
                  <c:v>793090</c:v>
                </c:pt>
              </c:numCache>
            </c:numRef>
          </c:val>
          <c:extLst>
            <c:ext xmlns:c16="http://schemas.microsoft.com/office/drawing/2014/chart" uri="{C3380CC4-5D6E-409C-BE32-E72D297353CC}">
              <c16:uniqueId val="{00000000-428C-4497-B5F2-D6C32F5F8B9C}"/>
            </c:ext>
          </c:extLst>
        </c:ser>
        <c:ser>
          <c:idx val="1"/>
          <c:order val="1"/>
          <c:tx>
            <c:strRef>
              <c:f>EE!$A$6</c:f>
              <c:strCache>
                <c:ptCount val="1"/>
                <c:pt idx="0">
                  <c:v>construction</c:v>
                </c:pt>
              </c:strCache>
            </c:strRef>
          </c:tx>
          <c:spPr>
            <a:solidFill>
              <a:schemeClr val="accent2"/>
            </a:solidFill>
            <a:ln>
              <a:noFill/>
            </a:ln>
            <a:effectLst/>
          </c:spPr>
          <c:invertIfNegative val="0"/>
          <c:cat>
            <c:strRef>
              <c:f>EE!$B$4:$D$4</c:f>
              <c:strCache>
                <c:ptCount val="3"/>
                <c:pt idx="0">
                  <c:v>CLT</c:v>
                </c:pt>
                <c:pt idx="1">
                  <c:v>DLT</c:v>
                </c:pt>
                <c:pt idx="2">
                  <c:v>NLT</c:v>
                </c:pt>
              </c:strCache>
            </c:strRef>
          </c:cat>
          <c:val>
            <c:numRef>
              <c:f>EE!$B$6:$D$6</c:f>
              <c:numCache>
                <c:formatCode>General</c:formatCode>
                <c:ptCount val="3"/>
                <c:pt idx="0">
                  <c:v>4100</c:v>
                </c:pt>
                <c:pt idx="1">
                  <c:v>4100</c:v>
                </c:pt>
                <c:pt idx="2">
                  <c:v>4100</c:v>
                </c:pt>
              </c:numCache>
            </c:numRef>
          </c:val>
          <c:extLst>
            <c:ext xmlns:c16="http://schemas.microsoft.com/office/drawing/2014/chart" uri="{C3380CC4-5D6E-409C-BE32-E72D297353CC}">
              <c16:uniqueId val="{00000001-428C-4497-B5F2-D6C32F5F8B9C}"/>
            </c:ext>
          </c:extLst>
        </c:ser>
        <c:ser>
          <c:idx val="2"/>
          <c:order val="2"/>
          <c:tx>
            <c:strRef>
              <c:f>EE!$A$7</c:f>
              <c:strCache>
                <c:ptCount val="1"/>
                <c:pt idx="0">
                  <c:v>Transportation</c:v>
                </c:pt>
              </c:strCache>
            </c:strRef>
          </c:tx>
          <c:spPr>
            <a:solidFill>
              <a:srgbClr val="EA59F1"/>
            </a:solidFill>
            <a:ln>
              <a:noFill/>
            </a:ln>
            <a:effectLst/>
          </c:spPr>
          <c:invertIfNegative val="0"/>
          <c:cat>
            <c:strRef>
              <c:f>EE!$B$4:$D$4</c:f>
              <c:strCache>
                <c:ptCount val="3"/>
                <c:pt idx="0">
                  <c:v>CLT</c:v>
                </c:pt>
                <c:pt idx="1">
                  <c:v>DLT</c:v>
                </c:pt>
                <c:pt idx="2">
                  <c:v>NLT</c:v>
                </c:pt>
              </c:strCache>
            </c:strRef>
          </c:cat>
          <c:val>
            <c:numRef>
              <c:f>EE!$B$7:$D$7</c:f>
              <c:numCache>
                <c:formatCode>General</c:formatCode>
                <c:ptCount val="3"/>
                <c:pt idx="0">
                  <c:v>17500</c:v>
                </c:pt>
                <c:pt idx="1">
                  <c:v>17500</c:v>
                </c:pt>
                <c:pt idx="2">
                  <c:v>17500</c:v>
                </c:pt>
              </c:numCache>
            </c:numRef>
          </c:val>
          <c:extLst>
            <c:ext xmlns:c16="http://schemas.microsoft.com/office/drawing/2014/chart" uri="{C3380CC4-5D6E-409C-BE32-E72D297353CC}">
              <c16:uniqueId val="{00000002-428C-4497-B5F2-D6C32F5F8B9C}"/>
            </c:ext>
          </c:extLst>
        </c:ser>
        <c:ser>
          <c:idx val="3"/>
          <c:order val="3"/>
          <c:tx>
            <c:strRef>
              <c:f>EE!$A$8</c:f>
              <c:strCache>
                <c:ptCount val="1"/>
                <c:pt idx="0">
                  <c:v>Maintenance</c:v>
                </c:pt>
              </c:strCache>
            </c:strRef>
          </c:tx>
          <c:spPr>
            <a:solidFill>
              <a:schemeClr val="accent4"/>
            </a:solidFill>
            <a:ln>
              <a:noFill/>
            </a:ln>
            <a:effectLst/>
          </c:spPr>
          <c:invertIfNegative val="0"/>
          <c:cat>
            <c:strRef>
              <c:f>EE!$B$4:$D$4</c:f>
              <c:strCache>
                <c:ptCount val="3"/>
                <c:pt idx="0">
                  <c:v>CLT</c:v>
                </c:pt>
                <c:pt idx="1">
                  <c:v>DLT</c:v>
                </c:pt>
                <c:pt idx="2">
                  <c:v>NLT</c:v>
                </c:pt>
              </c:strCache>
            </c:strRef>
          </c:cat>
          <c:val>
            <c:numRef>
              <c:f>EE!$B$8:$D$8</c:f>
              <c:numCache>
                <c:formatCode>General</c:formatCode>
                <c:ptCount val="3"/>
                <c:pt idx="0">
                  <c:v>12200</c:v>
                </c:pt>
                <c:pt idx="1">
                  <c:v>12200</c:v>
                </c:pt>
                <c:pt idx="2">
                  <c:v>12200</c:v>
                </c:pt>
              </c:numCache>
            </c:numRef>
          </c:val>
          <c:extLst>
            <c:ext xmlns:c16="http://schemas.microsoft.com/office/drawing/2014/chart" uri="{C3380CC4-5D6E-409C-BE32-E72D297353CC}">
              <c16:uniqueId val="{00000003-428C-4497-B5F2-D6C32F5F8B9C}"/>
            </c:ext>
          </c:extLst>
        </c:ser>
        <c:ser>
          <c:idx val="4"/>
          <c:order val="4"/>
          <c:tx>
            <c:strRef>
              <c:f>EE!$A$9</c:f>
              <c:strCache>
                <c:ptCount val="1"/>
                <c:pt idx="0">
                  <c:v>End of life </c:v>
                </c:pt>
              </c:strCache>
            </c:strRef>
          </c:tx>
          <c:spPr>
            <a:solidFill>
              <a:schemeClr val="accent5"/>
            </a:solidFill>
            <a:ln>
              <a:noFill/>
            </a:ln>
            <a:effectLst/>
          </c:spPr>
          <c:invertIfNegative val="0"/>
          <c:cat>
            <c:strRef>
              <c:f>EE!$B$4:$D$4</c:f>
              <c:strCache>
                <c:ptCount val="3"/>
                <c:pt idx="0">
                  <c:v>CLT</c:v>
                </c:pt>
                <c:pt idx="1">
                  <c:v>DLT</c:v>
                </c:pt>
                <c:pt idx="2">
                  <c:v>NLT</c:v>
                </c:pt>
              </c:strCache>
            </c:strRef>
          </c:cat>
          <c:val>
            <c:numRef>
              <c:f>EE!$B$9:$D$9</c:f>
              <c:numCache>
                <c:formatCode>General</c:formatCode>
                <c:ptCount val="3"/>
                <c:pt idx="0">
                  <c:v>6400</c:v>
                </c:pt>
                <c:pt idx="1">
                  <c:v>6400</c:v>
                </c:pt>
                <c:pt idx="2">
                  <c:v>6400</c:v>
                </c:pt>
              </c:numCache>
            </c:numRef>
          </c:val>
          <c:extLst>
            <c:ext xmlns:c16="http://schemas.microsoft.com/office/drawing/2014/chart" uri="{C3380CC4-5D6E-409C-BE32-E72D297353CC}">
              <c16:uniqueId val="{00000004-428C-4497-B5F2-D6C32F5F8B9C}"/>
            </c:ext>
          </c:extLst>
        </c:ser>
        <c:ser>
          <c:idx val="5"/>
          <c:order val="5"/>
          <c:tx>
            <c:strRef>
              <c:f>EE!$A$10</c:f>
              <c:strCache>
                <c:ptCount val="1"/>
                <c:pt idx="0">
                  <c:v>Benefit and loads</c:v>
                </c:pt>
              </c:strCache>
            </c:strRef>
          </c:tx>
          <c:spPr>
            <a:solidFill>
              <a:schemeClr val="accent6"/>
            </a:solidFill>
            <a:ln>
              <a:noFill/>
            </a:ln>
            <a:effectLst/>
          </c:spPr>
          <c:invertIfNegative val="0"/>
          <c:cat>
            <c:strRef>
              <c:f>EE!$B$4:$D$4</c:f>
              <c:strCache>
                <c:ptCount val="3"/>
                <c:pt idx="0">
                  <c:v>CLT</c:v>
                </c:pt>
                <c:pt idx="1">
                  <c:v>DLT</c:v>
                </c:pt>
                <c:pt idx="2">
                  <c:v>NLT</c:v>
                </c:pt>
              </c:strCache>
            </c:strRef>
          </c:cat>
          <c:val>
            <c:numRef>
              <c:f>EE!$B$10:$D$10</c:f>
              <c:numCache>
                <c:formatCode>General</c:formatCode>
                <c:ptCount val="3"/>
                <c:pt idx="0">
                  <c:v>-287648.8</c:v>
                </c:pt>
                <c:pt idx="1">
                  <c:v>-285036</c:v>
                </c:pt>
                <c:pt idx="2">
                  <c:v>-293737.03703703702</c:v>
                </c:pt>
              </c:numCache>
            </c:numRef>
          </c:val>
          <c:extLst>
            <c:ext xmlns:c16="http://schemas.microsoft.com/office/drawing/2014/chart" uri="{C3380CC4-5D6E-409C-BE32-E72D297353CC}">
              <c16:uniqueId val="{00000005-428C-4497-B5F2-D6C32F5F8B9C}"/>
            </c:ext>
          </c:extLst>
        </c:ser>
        <c:dLbls>
          <c:showLegendKey val="0"/>
          <c:showVal val="0"/>
          <c:showCatName val="0"/>
          <c:showSerName val="0"/>
          <c:showPercent val="0"/>
          <c:showBubbleSize val="0"/>
        </c:dLbls>
        <c:gapWidth val="150"/>
        <c:overlap val="100"/>
        <c:axId val="1638755360"/>
        <c:axId val="1638759520"/>
      </c:barChart>
      <c:catAx>
        <c:axId val="163875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38759520"/>
        <c:crosses val="autoZero"/>
        <c:auto val="1"/>
        <c:lblAlgn val="ctr"/>
        <c:lblOffset val="100"/>
        <c:noMultiLvlLbl val="0"/>
      </c:catAx>
      <c:valAx>
        <c:axId val="16387595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latin typeface="Times New Roman" panose="02020603050405020304" pitchFamily="18" charset="0"/>
                    <a:cs typeface="Times New Roman" panose="02020603050405020304" pitchFamily="18" charset="0"/>
                  </a:rPr>
                  <a:t>MJ</a:t>
                </a:r>
                <a:endParaRPr lang="en-US" sz="600">
                  <a:effectLst/>
                  <a:latin typeface="Times New Roman" panose="02020603050405020304" pitchFamily="18" charset="0"/>
                  <a:cs typeface="Times New Roman" panose="02020603050405020304" pitchFamily="18" charset="0"/>
                </a:endParaRPr>
              </a:p>
            </c:rich>
          </c:tx>
          <c:layout>
            <c:manualLayout>
              <c:xMode val="edge"/>
              <c:yMode val="edge"/>
              <c:x val="0"/>
              <c:y val="0.42849256563332605"/>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38755360"/>
        <c:crosses val="autoZero"/>
        <c:crossBetween val="between"/>
      </c:valAx>
      <c:spPr>
        <a:noFill/>
        <a:ln>
          <a:noFill/>
        </a:ln>
        <a:effectLst/>
      </c:spPr>
    </c:plotArea>
    <c:legend>
      <c:legendPos val="b"/>
      <c:layout>
        <c:manualLayout>
          <c:xMode val="edge"/>
          <c:yMode val="edge"/>
          <c:x val="1.7194342221582615E-2"/>
          <c:y val="0.84426505880719571"/>
          <c:w val="0.97866614584404099"/>
          <c:h val="0.1557349411928043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100" b="0" i="0" baseline="0">
                <a:effectLst/>
                <a:latin typeface="Times New Roman" panose="02020603050405020304" pitchFamily="18" charset="0"/>
                <a:cs typeface="Times New Roman" panose="02020603050405020304" pitchFamily="18" charset="0"/>
              </a:rPr>
              <a:t>Embodied energy </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3305373381852072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20978735360429815"/>
          <c:y val="2.5428331875182269E-2"/>
          <c:w val="0.79021264639570188"/>
          <c:h val="0.85649589743250132"/>
        </c:manualLayout>
      </c:layout>
      <c:barChart>
        <c:barDir val="col"/>
        <c:grouping val="clustered"/>
        <c:varyColors val="0"/>
        <c:ser>
          <c:idx val="0"/>
          <c:order val="0"/>
          <c:tx>
            <c:strRef>
              <c:f>EE!$B$12</c:f>
              <c:strCache>
                <c:ptCount val="1"/>
                <c:pt idx="0">
                  <c:v>CLT</c:v>
                </c:pt>
              </c:strCache>
            </c:strRef>
          </c:tx>
          <c:spPr>
            <a:pattFill prst="wdUpDiag">
              <a:fgClr>
                <a:schemeClr val="accent5"/>
              </a:fgClr>
              <a:bgClr>
                <a:schemeClr val="bg1"/>
              </a:bgClr>
            </a:pattFill>
            <a:ln>
              <a:noFill/>
            </a:ln>
            <a:effectLst/>
          </c:spPr>
          <c:invertIfNegative val="0"/>
          <c:val>
            <c:numRef>
              <c:f>EE!$B$13</c:f>
              <c:numCache>
                <c:formatCode>General</c:formatCode>
                <c:ptCount val="1"/>
                <c:pt idx="0">
                  <c:v>471673.2</c:v>
                </c:pt>
              </c:numCache>
            </c:numRef>
          </c:val>
          <c:extLst>
            <c:ext xmlns:c16="http://schemas.microsoft.com/office/drawing/2014/chart" uri="{C3380CC4-5D6E-409C-BE32-E72D297353CC}">
              <c16:uniqueId val="{00000000-EB31-4388-B3FF-0587E25E4592}"/>
            </c:ext>
          </c:extLst>
        </c:ser>
        <c:ser>
          <c:idx val="1"/>
          <c:order val="1"/>
          <c:tx>
            <c:strRef>
              <c:f>EE!$C$12</c:f>
              <c:strCache>
                <c:ptCount val="1"/>
                <c:pt idx="0">
                  <c:v>DLT</c:v>
                </c:pt>
              </c:strCache>
            </c:strRef>
          </c:tx>
          <c:spPr>
            <a:pattFill prst="plaid">
              <a:fgClr>
                <a:schemeClr val="accent2"/>
              </a:fgClr>
              <a:bgClr>
                <a:schemeClr val="bg1"/>
              </a:bgClr>
            </a:pattFill>
            <a:ln>
              <a:noFill/>
            </a:ln>
            <a:effectLst/>
          </c:spPr>
          <c:invertIfNegative val="0"/>
          <c:val>
            <c:numRef>
              <c:f>EE!$C$13</c:f>
              <c:numCache>
                <c:formatCode>General</c:formatCode>
                <c:ptCount val="1"/>
                <c:pt idx="0">
                  <c:v>467754</c:v>
                </c:pt>
              </c:numCache>
            </c:numRef>
          </c:val>
          <c:extLst>
            <c:ext xmlns:c16="http://schemas.microsoft.com/office/drawing/2014/chart" uri="{C3380CC4-5D6E-409C-BE32-E72D297353CC}">
              <c16:uniqueId val="{00000001-EB31-4388-B3FF-0587E25E4592}"/>
            </c:ext>
          </c:extLst>
        </c:ser>
        <c:ser>
          <c:idx val="2"/>
          <c:order val="2"/>
          <c:tx>
            <c:strRef>
              <c:f>EE!$D$12</c:f>
              <c:strCache>
                <c:ptCount val="1"/>
                <c:pt idx="0">
                  <c:v>NLT</c:v>
                </c:pt>
              </c:strCache>
            </c:strRef>
          </c:tx>
          <c:spPr>
            <a:solidFill>
              <a:schemeClr val="accent3"/>
            </a:solidFill>
            <a:ln>
              <a:noFill/>
            </a:ln>
            <a:effectLst/>
          </c:spPr>
          <c:invertIfNegative val="0"/>
          <c:dPt>
            <c:idx val="0"/>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0-82B0-4B77-88BF-78AD8BCB863D}"/>
              </c:ext>
            </c:extLst>
          </c:dPt>
          <c:val>
            <c:numRef>
              <c:f>EE!$D$13</c:f>
              <c:numCache>
                <c:formatCode>General</c:formatCode>
                <c:ptCount val="1"/>
                <c:pt idx="0">
                  <c:v>539552.96296296292</c:v>
                </c:pt>
              </c:numCache>
            </c:numRef>
          </c:val>
          <c:extLst>
            <c:ext xmlns:c16="http://schemas.microsoft.com/office/drawing/2014/chart" uri="{C3380CC4-5D6E-409C-BE32-E72D297353CC}">
              <c16:uniqueId val="{00000002-EB31-4388-B3FF-0587E25E4592}"/>
            </c:ext>
          </c:extLst>
        </c:ser>
        <c:dLbls>
          <c:showLegendKey val="0"/>
          <c:showVal val="0"/>
          <c:showCatName val="0"/>
          <c:showSerName val="0"/>
          <c:showPercent val="0"/>
          <c:showBubbleSize val="0"/>
        </c:dLbls>
        <c:gapWidth val="219"/>
        <c:overlap val="-27"/>
        <c:axId val="1441362992"/>
        <c:axId val="1441362576"/>
      </c:barChart>
      <c:catAx>
        <c:axId val="1441362992"/>
        <c:scaling>
          <c:orientation val="minMax"/>
        </c:scaling>
        <c:delete val="1"/>
        <c:axPos val="b"/>
        <c:numFmt formatCode="General" sourceLinked="1"/>
        <c:majorTickMark val="none"/>
        <c:minorTickMark val="none"/>
        <c:tickLblPos val="nextTo"/>
        <c:crossAx val="1441362576"/>
        <c:crosses val="autoZero"/>
        <c:auto val="1"/>
        <c:lblAlgn val="ctr"/>
        <c:lblOffset val="100"/>
        <c:noMultiLvlLbl val="0"/>
      </c:catAx>
      <c:valAx>
        <c:axId val="1441362576"/>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b="0" i="0" baseline="0">
                    <a:effectLst/>
                    <a:latin typeface="Times New Roman" panose="02020603050405020304" pitchFamily="18" charset="0"/>
                    <a:cs typeface="Times New Roman" panose="02020603050405020304" pitchFamily="18" charset="0"/>
                  </a:rPr>
                  <a:t>MJ</a:t>
                </a:r>
                <a:endParaRPr lang="en-US" sz="600">
                  <a:effectLst/>
                  <a:latin typeface="Times New Roman" panose="02020603050405020304" pitchFamily="18" charset="0"/>
                  <a:cs typeface="Times New Roman" panose="02020603050405020304" pitchFamily="18" charset="0"/>
                </a:endParaRPr>
              </a:p>
            </c:rich>
          </c:tx>
          <c:layout>
            <c:manualLayout>
              <c:xMode val="edge"/>
              <c:yMode val="edge"/>
              <c:x val="0"/>
              <c:y val="0.41990821374409781"/>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441362992"/>
        <c:crosses val="autoZero"/>
        <c:crossBetween val="between"/>
      </c:valAx>
      <c:spPr>
        <a:noFill/>
        <a:ln>
          <a:noFill/>
        </a:ln>
        <a:effectLst/>
      </c:spPr>
    </c:plotArea>
    <c:legend>
      <c:legendPos val="b"/>
      <c:layout>
        <c:manualLayout>
          <c:xMode val="edge"/>
          <c:yMode val="edge"/>
          <c:x val="0.21197172481377163"/>
          <c:y val="0.92903650920842629"/>
          <c:w val="0.67179197247863598"/>
          <c:h val="7.096349079157367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00">
                <a:latin typeface="Times New Roman" panose="02020603050405020304" pitchFamily="18" charset="0"/>
                <a:cs typeface="Times New Roman" panose="02020603050405020304" pitchFamily="18" charset="0"/>
              </a:rPr>
              <a:t>LCC</a:t>
            </a:r>
          </a:p>
        </c:rich>
      </c:tx>
      <c:layout>
        <c:manualLayout>
          <c:xMode val="edge"/>
          <c:yMode val="edge"/>
          <c:x val="0.45609277668802339"/>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533766024483357"/>
          <c:y val="2.2276114515260442E-2"/>
          <c:w val="0.83466233975516646"/>
          <c:h val="0.80689274427698632"/>
        </c:manualLayout>
      </c:layout>
      <c:barChart>
        <c:barDir val="col"/>
        <c:grouping val="stacked"/>
        <c:varyColors val="0"/>
        <c:ser>
          <c:idx val="0"/>
          <c:order val="0"/>
          <c:tx>
            <c:strRef>
              <c:f>Cost!$A$6</c:f>
              <c:strCache>
                <c:ptCount val="1"/>
                <c:pt idx="0">
                  <c:v>Mass timber </c:v>
                </c:pt>
              </c:strCache>
            </c:strRef>
          </c:tx>
          <c:spPr>
            <a:solidFill>
              <a:schemeClr val="accent1"/>
            </a:solidFill>
            <a:ln>
              <a:noFill/>
            </a:ln>
            <a:effectLst/>
          </c:spPr>
          <c:invertIfNegative val="0"/>
          <c:cat>
            <c:strRef>
              <c:f>Cost!$B$5:$D$5</c:f>
              <c:strCache>
                <c:ptCount val="3"/>
                <c:pt idx="0">
                  <c:v>CLT</c:v>
                </c:pt>
                <c:pt idx="1">
                  <c:v>DLT</c:v>
                </c:pt>
                <c:pt idx="2">
                  <c:v>NLT</c:v>
                </c:pt>
              </c:strCache>
            </c:strRef>
          </c:cat>
          <c:val>
            <c:numRef>
              <c:f>Cost!$B$6:$D$6</c:f>
              <c:numCache>
                <c:formatCode>General</c:formatCode>
                <c:ptCount val="3"/>
                <c:pt idx="0">
                  <c:v>281600</c:v>
                </c:pt>
                <c:pt idx="1">
                  <c:v>264000</c:v>
                </c:pt>
                <c:pt idx="2">
                  <c:v>274560</c:v>
                </c:pt>
              </c:numCache>
            </c:numRef>
          </c:val>
          <c:extLst>
            <c:ext xmlns:c16="http://schemas.microsoft.com/office/drawing/2014/chart" uri="{C3380CC4-5D6E-409C-BE32-E72D297353CC}">
              <c16:uniqueId val="{00000000-E451-4491-9757-C1093F761018}"/>
            </c:ext>
          </c:extLst>
        </c:ser>
        <c:ser>
          <c:idx val="1"/>
          <c:order val="1"/>
          <c:tx>
            <c:strRef>
              <c:f>Cost!$A$7</c:f>
              <c:strCache>
                <c:ptCount val="1"/>
                <c:pt idx="0">
                  <c:v>other materials</c:v>
                </c:pt>
              </c:strCache>
            </c:strRef>
          </c:tx>
          <c:spPr>
            <a:solidFill>
              <a:schemeClr val="accent2"/>
            </a:solidFill>
            <a:ln>
              <a:noFill/>
            </a:ln>
            <a:effectLst/>
          </c:spPr>
          <c:invertIfNegative val="0"/>
          <c:cat>
            <c:strRef>
              <c:f>Cost!$B$5:$D$5</c:f>
              <c:strCache>
                <c:ptCount val="3"/>
                <c:pt idx="0">
                  <c:v>CLT</c:v>
                </c:pt>
                <c:pt idx="1">
                  <c:v>DLT</c:v>
                </c:pt>
                <c:pt idx="2">
                  <c:v>NLT</c:v>
                </c:pt>
              </c:strCache>
            </c:strRef>
          </c:cat>
          <c:val>
            <c:numRef>
              <c:f>Cost!$B$7:$D$7</c:f>
              <c:numCache>
                <c:formatCode>General</c:formatCode>
                <c:ptCount val="3"/>
                <c:pt idx="0">
                  <c:v>23450</c:v>
                </c:pt>
                <c:pt idx="1">
                  <c:v>23450</c:v>
                </c:pt>
                <c:pt idx="2">
                  <c:v>23450</c:v>
                </c:pt>
              </c:numCache>
            </c:numRef>
          </c:val>
          <c:extLst>
            <c:ext xmlns:c16="http://schemas.microsoft.com/office/drawing/2014/chart" uri="{C3380CC4-5D6E-409C-BE32-E72D297353CC}">
              <c16:uniqueId val="{00000001-E451-4491-9757-C1093F761018}"/>
            </c:ext>
          </c:extLst>
        </c:ser>
        <c:ser>
          <c:idx val="2"/>
          <c:order val="2"/>
          <c:tx>
            <c:strRef>
              <c:f>Cost!$A$8</c:f>
              <c:strCache>
                <c:ptCount val="1"/>
                <c:pt idx="0">
                  <c:v>Wages</c:v>
                </c:pt>
              </c:strCache>
            </c:strRef>
          </c:tx>
          <c:spPr>
            <a:solidFill>
              <a:srgbClr val="EA59F1"/>
            </a:solidFill>
            <a:ln>
              <a:noFill/>
            </a:ln>
            <a:effectLst/>
          </c:spPr>
          <c:invertIfNegative val="0"/>
          <c:cat>
            <c:strRef>
              <c:f>Cost!$B$5:$D$5</c:f>
              <c:strCache>
                <c:ptCount val="3"/>
                <c:pt idx="0">
                  <c:v>CLT</c:v>
                </c:pt>
                <c:pt idx="1">
                  <c:v>DLT</c:v>
                </c:pt>
                <c:pt idx="2">
                  <c:v>NLT</c:v>
                </c:pt>
              </c:strCache>
            </c:strRef>
          </c:cat>
          <c:val>
            <c:numRef>
              <c:f>Cost!$B$8:$D$8</c:f>
              <c:numCache>
                <c:formatCode>General</c:formatCode>
                <c:ptCount val="3"/>
                <c:pt idx="0">
                  <c:v>3600</c:v>
                </c:pt>
                <c:pt idx="1">
                  <c:v>3600</c:v>
                </c:pt>
                <c:pt idx="2">
                  <c:v>3600</c:v>
                </c:pt>
              </c:numCache>
            </c:numRef>
          </c:val>
          <c:extLst>
            <c:ext xmlns:c16="http://schemas.microsoft.com/office/drawing/2014/chart" uri="{C3380CC4-5D6E-409C-BE32-E72D297353CC}">
              <c16:uniqueId val="{00000002-E451-4491-9757-C1093F761018}"/>
            </c:ext>
          </c:extLst>
        </c:ser>
        <c:ser>
          <c:idx val="3"/>
          <c:order val="3"/>
          <c:tx>
            <c:strRef>
              <c:f>Cost!$A$9</c:f>
              <c:strCache>
                <c:ptCount val="1"/>
                <c:pt idx="0">
                  <c:v>Transportation </c:v>
                </c:pt>
              </c:strCache>
            </c:strRef>
          </c:tx>
          <c:spPr>
            <a:solidFill>
              <a:schemeClr val="accent4"/>
            </a:solidFill>
            <a:ln>
              <a:noFill/>
            </a:ln>
            <a:effectLst/>
          </c:spPr>
          <c:invertIfNegative val="0"/>
          <c:cat>
            <c:strRef>
              <c:f>Cost!$B$5:$D$5</c:f>
              <c:strCache>
                <c:ptCount val="3"/>
                <c:pt idx="0">
                  <c:v>CLT</c:v>
                </c:pt>
                <c:pt idx="1">
                  <c:v>DLT</c:v>
                </c:pt>
                <c:pt idx="2">
                  <c:v>NLT</c:v>
                </c:pt>
              </c:strCache>
            </c:strRef>
          </c:cat>
          <c:val>
            <c:numRef>
              <c:f>Cost!$B$9:$D$9</c:f>
              <c:numCache>
                <c:formatCode>General</c:formatCode>
                <c:ptCount val="3"/>
                <c:pt idx="0">
                  <c:v>7500</c:v>
                </c:pt>
                <c:pt idx="1">
                  <c:v>7500</c:v>
                </c:pt>
                <c:pt idx="2">
                  <c:v>7500</c:v>
                </c:pt>
              </c:numCache>
            </c:numRef>
          </c:val>
          <c:extLst>
            <c:ext xmlns:c16="http://schemas.microsoft.com/office/drawing/2014/chart" uri="{C3380CC4-5D6E-409C-BE32-E72D297353CC}">
              <c16:uniqueId val="{00000003-E451-4491-9757-C1093F761018}"/>
            </c:ext>
          </c:extLst>
        </c:ser>
        <c:ser>
          <c:idx val="4"/>
          <c:order val="4"/>
          <c:tx>
            <c:strRef>
              <c:f>Cost!$A$10</c:f>
              <c:strCache>
                <c:ptCount val="1"/>
                <c:pt idx="0">
                  <c:v>Maintaining</c:v>
                </c:pt>
              </c:strCache>
            </c:strRef>
          </c:tx>
          <c:spPr>
            <a:solidFill>
              <a:schemeClr val="accent5"/>
            </a:solidFill>
            <a:ln>
              <a:noFill/>
            </a:ln>
            <a:effectLst/>
          </c:spPr>
          <c:invertIfNegative val="0"/>
          <c:cat>
            <c:strRef>
              <c:f>Cost!$B$5:$D$5</c:f>
              <c:strCache>
                <c:ptCount val="3"/>
                <c:pt idx="0">
                  <c:v>CLT</c:v>
                </c:pt>
                <c:pt idx="1">
                  <c:v>DLT</c:v>
                </c:pt>
                <c:pt idx="2">
                  <c:v>NLT</c:v>
                </c:pt>
              </c:strCache>
            </c:strRef>
          </c:cat>
          <c:val>
            <c:numRef>
              <c:f>Cost!$B$10:$D$10</c:f>
              <c:numCache>
                <c:formatCode>General</c:formatCode>
                <c:ptCount val="3"/>
                <c:pt idx="0">
                  <c:v>2400</c:v>
                </c:pt>
                <c:pt idx="1">
                  <c:v>2400</c:v>
                </c:pt>
                <c:pt idx="2">
                  <c:v>2400</c:v>
                </c:pt>
              </c:numCache>
            </c:numRef>
          </c:val>
          <c:extLst>
            <c:ext xmlns:c16="http://schemas.microsoft.com/office/drawing/2014/chart" uri="{C3380CC4-5D6E-409C-BE32-E72D297353CC}">
              <c16:uniqueId val="{00000004-E451-4491-9757-C1093F761018}"/>
            </c:ext>
          </c:extLst>
        </c:ser>
        <c:ser>
          <c:idx val="5"/>
          <c:order val="5"/>
          <c:tx>
            <c:strRef>
              <c:f>Cost!$A$11</c:f>
              <c:strCache>
                <c:ptCount val="1"/>
                <c:pt idx="0">
                  <c:v>Demolition</c:v>
                </c:pt>
              </c:strCache>
            </c:strRef>
          </c:tx>
          <c:spPr>
            <a:solidFill>
              <a:schemeClr val="accent6"/>
            </a:solidFill>
            <a:ln>
              <a:noFill/>
            </a:ln>
            <a:effectLst/>
          </c:spPr>
          <c:invertIfNegative val="0"/>
          <c:cat>
            <c:strRef>
              <c:f>Cost!$B$5:$D$5</c:f>
              <c:strCache>
                <c:ptCount val="3"/>
                <c:pt idx="0">
                  <c:v>CLT</c:v>
                </c:pt>
                <c:pt idx="1">
                  <c:v>DLT</c:v>
                </c:pt>
                <c:pt idx="2">
                  <c:v>NLT</c:v>
                </c:pt>
              </c:strCache>
            </c:strRef>
          </c:cat>
          <c:val>
            <c:numRef>
              <c:f>Cost!$B$11:$D$11</c:f>
              <c:numCache>
                <c:formatCode>General</c:formatCode>
                <c:ptCount val="3"/>
                <c:pt idx="0">
                  <c:v>15000</c:v>
                </c:pt>
                <c:pt idx="1">
                  <c:v>15000</c:v>
                </c:pt>
                <c:pt idx="2">
                  <c:v>15000</c:v>
                </c:pt>
              </c:numCache>
            </c:numRef>
          </c:val>
          <c:extLst>
            <c:ext xmlns:c16="http://schemas.microsoft.com/office/drawing/2014/chart" uri="{C3380CC4-5D6E-409C-BE32-E72D297353CC}">
              <c16:uniqueId val="{00000005-E451-4491-9757-C1093F761018}"/>
            </c:ext>
          </c:extLst>
        </c:ser>
        <c:ser>
          <c:idx val="6"/>
          <c:order val="6"/>
          <c:tx>
            <c:strRef>
              <c:f>Cost!$A$12</c:f>
              <c:strCache>
                <c:ptCount val="1"/>
                <c:pt idx="0">
                  <c:v>Revenue (Mass timber)</c:v>
                </c:pt>
              </c:strCache>
            </c:strRef>
          </c:tx>
          <c:spPr>
            <a:solidFill>
              <a:schemeClr val="accent1">
                <a:lumMod val="60000"/>
              </a:schemeClr>
            </a:solidFill>
            <a:ln>
              <a:noFill/>
            </a:ln>
            <a:effectLst/>
          </c:spPr>
          <c:invertIfNegative val="0"/>
          <c:cat>
            <c:strRef>
              <c:f>Cost!$B$5:$D$5</c:f>
              <c:strCache>
                <c:ptCount val="3"/>
                <c:pt idx="0">
                  <c:v>CLT</c:v>
                </c:pt>
                <c:pt idx="1">
                  <c:v>DLT</c:v>
                </c:pt>
                <c:pt idx="2">
                  <c:v>NLT</c:v>
                </c:pt>
              </c:strCache>
            </c:strRef>
          </c:cat>
          <c:val>
            <c:numRef>
              <c:f>Cost!$B$12:$D$12</c:f>
              <c:numCache>
                <c:formatCode>General</c:formatCode>
                <c:ptCount val="3"/>
                <c:pt idx="0">
                  <c:v>-48000</c:v>
                </c:pt>
                <c:pt idx="1">
                  <c:v>-48000</c:v>
                </c:pt>
                <c:pt idx="2">
                  <c:v>-48000</c:v>
                </c:pt>
              </c:numCache>
            </c:numRef>
          </c:val>
          <c:extLst>
            <c:ext xmlns:c16="http://schemas.microsoft.com/office/drawing/2014/chart" uri="{C3380CC4-5D6E-409C-BE32-E72D297353CC}">
              <c16:uniqueId val="{00000006-E451-4491-9757-C1093F761018}"/>
            </c:ext>
          </c:extLst>
        </c:ser>
        <c:ser>
          <c:idx val="7"/>
          <c:order val="7"/>
          <c:tx>
            <c:strRef>
              <c:f>Cost!$A$13</c:f>
              <c:strCache>
                <c:ptCount val="1"/>
                <c:pt idx="0">
                  <c:v>Revenue (steel ) </c:v>
                </c:pt>
              </c:strCache>
            </c:strRef>
          </c:tx>
          <c:spPr>
            <a:solidFill>
              <a:schemeClr val="accent2">
                <a:lumMod val="60000"/>
              </a:schemeClr>
            </a:solidFill>
            <a:ln>
              <a:noFill/>
            </a:ln>
            <a:effectLst/>
          </c:spPr>
          <c:invertIfNegative val="0"/>
          <c:cat>
            <c:strRef>
              <c:f>Cost!$B$5:$D$5</c:f>
              <c:strCache>
                <c:ptCount val="3"/>
                <c:pt idx="0">
                  <c:v>CLT</c:v>
                </c:pt>
                <c:pt idx="1">
                  <c:v>DLT</c:v>
                </c:pt>
                <c:pt idx="2">
                  <c:v>NLT</c:v>
                </c:pt>
              </c:strCache>
            </c:strRef>
          </c:cat>
          <c:val>
            <c:numRef>
              <c:f>Cost!$B$13:$D$13</c:f>
              <c:numCache>
                <c:formatCode>General</c:formatCode>
                <c:ptCount val="3"/>
                <c:pt idx="0">
                  <c:v>-500</c:v>
                </c:pt>
                <c:pt idx="1">
                  <c:v>-500</c:v>
                </c:pt>
                <c:pt idx="2">
                  <c:v>-1600</c:v>
                </c:pt>
              </c:numCache>
            </c:numRef>
          </c:val>
          <c:extLst>
            <c:ext xmlns:c16="http://schemas.microsoft.com/office/drawing/2014/chart" uri="{C3380CC4-5D6E-409C-BE32-E72D297353CC}">
              <c16:uniqueId val="{00000007-E451-4491-9757-C1093F761018}"/>
            </c:ext>
          </c:extLst>
        </c:ser>
        <c:dLbls>
          <c:showLegendKey val="0"/>
          <c:showVal val="0"/>
          <c:showCatName val="0"/>
          <c:showSerName val="0"/>
          <c:showPercent val="0"/>
          <c:showBubbleSize val="0"/>
        </c:dLbls>
        <c:gapWidth val="150"/>
        <c:overlap val="100"/>
        <c:axId val="660576432"/>
        <c:axId val="661220768"/>
      </c:barChart>
      <c:catAx>
        <c:axId val="660576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FFFF00"/>
                </a:solidFill>
                <a:latin typeface="Times New Roman" panose="02020603050405020304" pitchFamily="18" charset="0"/>
                <a:ea typeface="+mn-ea"/>
                <a:cs typeface="Times New Roman" panose="02020603050405020304" pitchFamily="18" charset="0"/>
              </a:defRPr>
            </a:pPr>
            <a:endParaRPr lang="en-US"/>
          </a:p>
        </c:txPr>
        <c:crossAx val="661220768"/>
        <c:crosses val="autoZero"/>
        <c:auto val="1"/>
        <c:lblAlgn val="ctr"/>
        <c:lblOffset val="100"/>
        <c:noMultiLvlLbl val="0"/>
      </c:catAx>
      <c:valAx>
        <c:axId val="6612207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900">
                    <a:latin typeface="Times New Roman" panose="02020603050405020304" pitchFamily="18" charset="0"/>
                    <a:cs typeface="Times New Roman" panose="02020603050405020304" pitchFamily="18" charset="0"/>
                  </a:rPr>
                  <a:t>MYR</a:t>
                </a:r>
                <a:endParaRPr lang="en-US">
                  <a:latin typeface="Times New Roman" panose="02020603050405020304" pitchFamily="18" charset="0"/>
                  <a:cs typeface="Times New Roman" panose="02020603050405020304" pitchFamily="18" charset="0"/>
                </a:endParaRPr>
              </a:p>
            </c:rich>
          </c:tx>
          <c:layout>
            <c:manualLayout>
              <c:xMode val="edge"/>
              <c:yMode val="edge"/>
              <c:x val="0"/>
              <c:y val="0.3957781482765387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0576432"/>
        <c:crosses val="autoZero"/>
        <c:crossBetween val="between"/>
        <c:majorUnit val="50000"/>
      </c:valAx>
      <c:spPr>
        <a:noFill/>
        <a:ln>
          <a:noFill/>
        </a:ln>
        <a:effectLst/>
      </c:spPr>
    </c:plotArea>
    <c:legend>
      <c:legendPos val="b"/>
      <c:layout>
        <c:manualLayout>
          <c:xMode val="edge"/>
          <c:yMode val="edge"/>
          <c:x val="0"/>
          <c:y val="0.8282088952717388"/>
          <c:w val="1"/>
          <c:h val="0.17179108387791636"/>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layout>
        <c:manualLayout>
          <c:xMode val="edge"/>
          <c:yMode val="edge"/>
          <c:x val="0.45899944692680505"/>
          <c:y val="0.92977734279422564"/>
        </c:manualLayout>
      </c:layout>
      <c:overlay val="1"/>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'CO2 softwood'!$H$27</c:f>
              <c:strCache>
                <c:ptCount val="1"/>
                <c:pt idx="0">
                  <c:v>DLT</c:v>
                </c:pt>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F4B3-42DB-BEE1-99F2F54F52C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F4B3-42DB-BEE1-99F2F54F52C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F4B3-42DB-BEE1-99F2F54F52C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F4B3-42DB-BEE1-99F2F54F52CB}"/>
              </c:ext>
            </c:extLst>
          </c:dPt>
          <c:dPt>
            <c:idx val="4"/>
            <c:bubble3D val="0"/>
            <c:spPr>
              <a:solidFill>
                <a:schemeClr val="accent5"/>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9-5DF9-44DE-9A35-D1D751BE4363}"/>
              </c:ext>
            </c:extLst>
          </c:dPt>
          <c:dLbls>
            <c:dLbl>
              <c:idx val="0"/>
              <c:layout>
                <c:manualLayout>
                  <c:x val="3.6968576709796676E-2"/>
                  <c:y val="5.8722779544898435E-2"/>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F4B3-42DB-BEE1-99F2F54F52CB}"/>
                </c:ext>
              </c:extLst>
            </c:dLbl>
            <c:dLbl>
              <c:idx val="1"/>
              <c:layout>
                <c:manualLayout>
                  <c:x val="-3.9279112754159004E-2"/>
                  <c:y val="-8.3193484451258969E-3"/>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186691312384466"/>
                      <c:h val="0.22436937749193564"/>
                    </c:manualLayout>
                  </c15:layout>
                </c:ext>
                <c:ext xmlns:c16="http://schemas.microsoft.com/office/drawing/2014/chart" uri="{C3380CC4-5D6E-409C-BE32-E72D297353CC}">
                  <c16:uniqueId val="{00000003-F4B3-42DB-BEE1-99F2F54F52CB}"/>
                </c:ext>
              </c:extLst>
            </c:dLbl>
            <c:dLbl>
              <c:idx val="2"/>
              <c:layout>
                <c:manualLayout>
                  <c:x val="-0.16635859519408502"/>
                  <c:y val="0.10765842916564718"/>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F4B3-42DB-BEE1-99F2F54F52CB}"/>
                </c:ext>
              </c:extLst>
            </c:dLbl>
            <c:dLbl>
              <c:idx val="3"/>
              <c:layout>
                <c:manualLayout>
                  <c:x val="3.4658040665434389E-2"/>
                  <c:y val="-7.8297039393197945E-2"/>
                </c:manualLayout>
              </c:layout>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6238447319778191"/>
                      <c:h val="0.13286028872033276"/>
                    </c:manualLayout>
                  </c15:layout>
                </c:ext>
                <c:ext xmlns:c16="http://schemas.microsoft.com/office/drawing/2014/chart" uri="{C3380CC4-5D6E-409C-BE32-E72D297353CC}">
                  <c16:uniqueId val="{00000007-F4B3-42DB-BEE1-99F2F54F52CB}"/>
                </c:ext>
              </c:extLst>
            </c:dLbl>
            <c:dLbl>
              <c:idx val="4"/>
              <c:layout>
                <c:manualLayout>
                  <c:x val="0.24029574861367828"/>
                  <c:y val="1.9266003787696345E-7"/>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1973197781885398"/>
                      <c:h val="0.14974308783949106"/>
                    </c:manualLayout>
                  </c15:layout>
                </c:ext>
                <c:ext xmlns:c16="http://schemas.microsoft.com/office/drawing/2014/chart" uri="{C3380CC4-5D6E-409C-BE32-E72D297353CC}">
                  <c16:uniqueId val="{00000009-5DF9-44DE-9A35-D1D751BE4363}"/>
                </c:ext>
              </c:extLst>
            </c:dLbl>
            <c:spPr>
              <a:noFill/>
              <a:ln>
                <a:noFill/>
              </a:ln>
              <a:effectLst/>
            </c:spPr>
            <c:txPr>
              <a:bodyPr rot="0" spcFirstLastPara="1" vertOverflow="ellipsis" vert="horz" wrap="square" lIns="38100" tIns="19050" rIns="38100" bIns="19050" anchor="ctr" anchorCtr="0">
                <a:spAutoFit/>
              </a:bodyPr>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'CO2 softwood'!$G$28:$G$32</c:f>
              <c:strCache>
                <c:ptCount val="5"/>
                <c:pt idx="0">
                  <c:v>Wood Plantation</c:v>
                </c:pt>
                <c:pt idx="1">
                  <c:v>Wood Manufacturing &amp; Seasoning</c:v>
                </c:pt>
                <c:pt idx="2">
                  <c:v>Dowel</c:v>
                </c:pt>
                <c:pt idx="3">
                  <c:v>Hydraulical press</c:v>
                </c:pt>
                <c:pt idx="4">
                  <c:v>Fabrication</c:v>
                </c:pt>
              </c:strCache>
            </c:strRef>
          </c:cat>
          <c:val>
            <c:numRef>
              <c:f>'CO2 softwood'!$H$28:$H$32</c:f>
              <c:numCache>
                <c:formatCode>General</c:formatCode>
                <c:ptCount val="5"/>
                <c:pt idx="0">
                  <c:v>30</c:v>
                </c:pt>
                <c:pt idx="1">
                  <c:v>78</c:v>
                </c:pt>
                <c:pt idx="2">
                  <c:v>2</c:v>
                </c:pt>
                <c:pt idx="3">
                  <c:v>5.7</c:v>
                </c:pt>
                <c:pt idx="4">
                  <c:v>2.5</c:v>
                </c:pt>
              </c:numCache>
            </c:numRef>
          </c:val>
          <c:extLst>
            <c:ext xmlns:c16="http://schemas.microsoft.com/office/drawing/2014/chart" uri="{C3380CC4-5D6E-409C-BE32-E72D297353CC}">
              <c16:uniqueId val="{00000008-F4B3-42DB-BEE1-99F2F54F52C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LCC</a:t>
            </a:r>
          </a:p>
        </c:rich>
      </c:tx>
      <c:layout>
        <c:manualLayout>
          <c:xMode val="edge"/>
          <c:yMode val="edge"/>
          <c:x val="0.48504485446781836"/>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061777725545502"/>
          <c:y val="2.8194444444444459E-2"/>
          <c:w val="0.82732126767736125"/>
          <c:h val="0.87053186060075827"/>
        </c:manualLayout>
      </c:layout>
      <c:barChart>
        <c:barDir val="col"/>
        <c:grouping val="clustered"/>
        <c:varyColors val="0"/>
        <c:ser>
          <c:idx val="0"/>
          <c:order val="0"/>
          <c:tx>
            <c:strRef>
              <c:f>Cost!$B$16</c:f>
              <c:strCache>
                <c:ptCount val="1"/>
                <c:pt idx="0">
                  <c:v>CLT</c:v>
                </c:pt>
              </c:strCache>
            </c:strRef>
          </c:tx>
          <c:spPr>
            <a:pattFill prst="wdUpDiag">
              <a:fgClr>
                <a:schemeClr val="accent1"/>
              </a:fgClr>
              <a:bgClr>
                <a:schemeClr val="bg1"/>
              </a:bgClr>
            </a:pattFill>
            <a:ln>
              <a:noFill/>
            </a:ln>
            <a:effectLst/>
          </c:spPr>
          <c:invertIfNegative val="0"/>
          <c:cat>
            <c:strRef>
              <c:f>Cost!$A$17</c:f>
              <c:strCache>
                <c:ptCount val="1"/>
                <c:pt idx="0">
                  <c:v>Total</c:v>
                </c:pt>
              </c:strCache>
            </c:strRef>
          </c:cat>
          <c:val>
            <c:numRef>
              <c:f>Cost!$B$17</c:f>
              <c:numCache>
                <c:formatCode>General</c:formatCode>
                <c:ptCount val="1"/>
                <c:pt idx="0">
                  <c:v>285050</c:v>
                </c:pt>
              </c:numCache>
            </c:numRef>
          </c:val>
          <c:extLst>
            <c:ext xmlns:c16="http://schemas.microsoft.com/office/drawing/2014/chart" uri="{C3380CC4-5D6E-409C-BE32-E72D297353CC}">
              <c16:uniqueId val="{00000000-3EA8-4D96-A820-800C20098235}"/>
            </c:ext>
          </c:extLst>
        </c:ser>
        <c:ser>
          <c:idx val="1"/>
          <c:order val="1"/>
          <c:tx>
            <c:strRef>
              <c:f>Cost!$C$16</c:f>
              <c:strCache>
                <c:ptCount val="1"/>
                <c:pt idx="0">
                  <c:v>DLT</c:v>
                </c:pt>
              </c:strCache>
            </c:strRef>
          </c:tx>
          <c:spPr>
            <a:pattFill prst="plaid">
              <a:fgClr>
                <a:schemeClr val="accent2"/>
              </a:fgClr>
              <a:bgClr>
                <a:schemeClr val="bg1"/>
              </a:bgClr>
            </a:pattFill>
            <a:ln>
              <a:noFill/>
            </a:ln>
            <a:effectLst/>
          </c:spPr>
          <c:invertIfNegative val="0"/>
          <c:cat>
            <c:strRef>
              <c:f>Cost!$A$17</c:f>
              <c:strCache>
                <c:ptCount val="1"/>
                <c:pt idx="0">
                  <c:v>Total</c:v>
                </c:pt>
              </c:strCache>
            </c:strRef>
          </c:cat>
          <c:val>
            <c:numRef>
              <c:f>Cost!$C$17</c:f>
              <c:numCache>
                <c:formatCode>General</c:formatCode>
                <c:ptCount val="1"/>
                <c:pt idx="0">
                  <c:v>267450</c:v>
                </c:pt>
              </c:numCache>
            </c:numRef>
          </c:val>
          <c:extLst>
            <c:ext xmlns:c16="http://schemas.microsoft.com/office/drawing/2014/chart" uri="{C3380CC4-5D6E-409C-BE32-E72D297353CC}">
              <c16:uniqueId val="{00000001-3EA8-4D96-A820-800C20098235}"/>
            </c:ext>
          </c:extLst>
        </c:ser>
        <c:ser>
          <c:idx val="2"/>
          <c:order val="2"/>
          <c:tx>
            <c:strRef>
              <c:f>Cost!$D$16</c:f>
              <c:strCache>
                <c:ptCount val="1"/>
                <c:pt idx="0">
                  <c:v>NLT</c:v>
                </c:pt>
              </c:strCache>
            </c:strRef>
          </c:tx>
          <c:spPr>
            <a:solidFill>
              <a:schemeClr val="accent3"/>
            </a:solidFill>
            <a:ln>
              <a:noFill/>
            </a:ln>
            <a:effectLst/>
          </c:spPr>
          <c:invertIfNegative val="0"/>
          <c:dPt>
            <c:idx val="0"/>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0-CAAA-4EFB-A099-6C03F1DEB347}"/>
              </c:ext>
            </c:extLst>
          </c:dPt>
          <c:cat>
            <c:strRef>
              <c:f>Cost!$A$17</c:f>
              <c:strCache>
                <c:ptCount val="1"/>
                <c:pt idx="0">
                  <c:v>Total</c:v>
                </c:pt>
              </c:strCache>
            </c:strRef>
          </c:cat>
          <c:val>
            <c:numRef>
              <c:f>Cost!$D$17</c:f>
              <c:numCache>
                <c:formatCode>General</c:formatCode>
                <c:ptCount val="1"/>
                <c:pt idx="0">
                  <c:v>276910</c:v>
                </c:pt>
              </c:numCache>
            </c:numRef>
          </c:val>
          <c:extLst>
            <c:ext xmlns:c16="http://schemas.microsoft.com/office/drawing/2014/chart" uri="{C3380CC4-5D6E-409C-BE32-E72D297353CC}">
              <c16:uniqueId val="{00000002-3EA8-4D96-A820-800C20098235}"/>
            </c:ext>
          </c:extLst>
        </c:ser>
        <c:dLbls>
          <c:showLegendKey val="0"/>
          <c:showVal val="0"/>
          <c:showCatName val="0"/>
          <c:showSerName val="0"/>
          <c:showPercent val="0"/>
          <c:showBubbleSize val="0"/>
        </c:dLbls>
        <c:gapWidth val="219"/>
        <c:overlap val="-27"/>
        <c:axId val="666446944"/>
        <c:axId val="666447360"/>
      </c:barChart>
      <c:catAx>
        <c:axId val="666446944"/>
        <c:scaling>
          <c:orientation val="minMax"/>
        </c:scaling>
        <c:delete val="1"/>
        <c:axPos val="b"/>
        <c:numFmt formatCode="General" sourceLinked="1"/>
        <c:majorTickMark val="none"/>
        <c:minorTickMark val="none"/>
        <c:tickLblPos val="nextTo"/>
        <c:crossAx val="666447360"/>
        <c:crosses val="autoZero"/>
        <c:auto val="1"/>
        <c:lblAlgn val="ctr"/>
        <c:lblOffset val="100"/>
        <c:noMultiLvlLbl val="0"/>
      </c:catAx>
      <c:valAx>
        <c:axId val="666447360"/>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900">
                    <a:latin typeface="Times New Roman" panose="02020603050405020304" pitchFamily="18" charset="0"/>
                    <a:cs typeface="Times New Roman" panose="02020603050405020304" pitchFamily="18" charset="0"/>
                  </a:rPr>
                  <a:t>MYR</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666446944"/>
        <c:crosses val="autoZero"/>
        <c:crossBetween val="between"/>
      </c:valAx>
      <c:spPr>
        <a:noFill/>
        <a:ln>
          <a:noFill/>
        </a:ln>
        <a:effectLst/>
      </c:spPr>
    </c:plotArea>
    <c:legend>
      <c:legendPos val="b"/>
      <c:layout>
        <c:manualLayout>
          <c:xMode val="edge"/>
          <c:yMode val="edge"/>
          <c:x val="0.15731108238335881"/>
          <c:y val="0.9218742835342647"/>
          <c:w val="0.76174599443726254"/>
          <c:h val="7.812554680664916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0" i="0" baseline="0">
                <a:effectLst/>
                <a:latin typeface="Times New Roman" panose="02020603050405020304" pitchFamily="18" charset="0"/>
                <a:cs typeface="Times New Roman" panose="02020603050405020304" pitchFamily="18" charset="0"/>
              </a:rPr>
              <a:t>Global</a:t>
            </a:r>
            <a:r>
              <a:rPr lang="en-US" sz="1100" b="0" i="0" baseline="0">
                <a:effectLst/>
                <a:latin typeface="Times New Roman" panose="02020603050405020304" pitchFamily="18" charset="0"/>
                <a:cs typeface="Times New Roman" panose="02020603050405020304" pitchFamily="18" charset="0"/>
              </a:rPr>
              <a:t> warming potential</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2431145275845484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5667676765960048"/>
          <c:y val="2.5428331875182269E-2"/>
          <c:w val="0.63203719975322536"/>
          <c:h val="0.95112964905525088"/>
        </c:manualLayout>
      </c:layout>
      <c:barChart>
        <c:barDir val="col"/>
        <c:grouping val="stacked"/>
        <c:varyColors val="0"/>
        <c:ser>
          <c:idx val="0"/>
          <c:order val="0"/>
          <c:tx>
            <c:strRef>
              <c:f>'CO2 hardwood'!$G$26</c:f>
              <c:strCache>
                <c:ptCount val="1"/>
                <c:pt idx="0">
                  <c:v>Manufacturing &amp; construction </c:v>
                </c:pt>
              </c:strCache>
            </c:strRef>
          </c:tx>
          <c:spPr>
            <a:solidFill>
              <a:schemeClr val="accent1"/>
            </a:solidFill>
            <a:ln>
              <a:noFill/>
            </a:ln>
            <a:effectLst/>
          </c:spPr>
          <c:invertIfNegative val="0"/>
          <c:cat>
            <c:strRef>
              <c:f>'CO2 hardwood'!$H$25:$J$25</c:f>
              <c:strCache>
                <c:ptCount val="3"/>
                <c:pt idx="0">
                  <c:v>CLT</c:v>
                </c:pt>
                <c:pt idx="1">
                  <c:v>DLT</c:v>
                </c:pt>
                <c:pt idx="2">
                  <c:v>NLT</c:v>
                </c:pt>
              </c:strCache>
            </c:strRef>
          </c:cat>
          <c:val>
            <c:numRef>
              <c:f>'CO2 hardwood'!$H$26:$J$26</c:f>
              <c:numCache>
                <c:formatCode>General</c:formatCode>
                <c:ptCount val="3"/>
                <c:pt idx="0">
                  <c:v>58138.060000000005</c:v>
                </c:pt>
                <c:pt idx="1">
                  <c:v>54170.5</c:v>
                </c:pt>
                <c:pt idx="2">
                  <c:v>58996.200000000004</c:v>
                </c:pt>
              </c:numCache>
            </c:numRef>
          </c:val>
          <c:extLst>
            <c:ext xmlns:c16="http://schemas.microsoft.com/office/drawing/2014/chart" uri="{C3380CC4-5D6E-409C-BE32-E72D297353CC}">
              <c16:uniqueId val="{00000000-6F79-48DD-A627-57B49DB6948B}"/>
            </c:ext>
          </c:extLst>
        </c:ser>
        <c:ser>
          <c:idx val="1"/>
          <c:order val="1"/>
          <c:tx>
            <c:strRef>
              <c:f>'CO2 hardwood'!$G$27</c:f>
              <c:strCache>
                <c:ptCount val="1"/>
                <c:pt idx="0">
                  <c:v>Transportation</c:v>
                </c:pt>
              </c:strCache>
            </c:strRef>
          </c:tx>
          <c:spPr>
            <a:solidFill>
              <a:schemeClr val="accent2"/>
            </a:solidFill>
            <a:ln>
              <a:noFill/>
            </a:ln>
            <a:effectLst/>
          </c:spPr>
          <c:invertIfNegative val="0"/>
          <c:cat>
            <c:strRef>
              <c:f>'CO2 hardwood'!$H$25:$J$25</c:f>
              <c:strCache>
                <c:ptCount val="3"/>
                <c:pt idx="0">
                  <c:v>CLT</c:v>
                </c:pt>
                <c:pt idx="1">
                  <c:v>DLT</c:v>
                </c:pt>
                <c:pt idx="2">
                  <c:v>NLT</c:v>
                </c:pt>
              </c:strCache>
            </c:strRef>
          </c:cat>
          <c:val>
            <c:numRef>
              <c:f>'CO2 hardwood'!$H$27:$J$27</c:f>
              <c:numCache>
                <c:formatCode>General</c:formatCode>
                <c:ptCount val="3"/>
                <c:pt idx="0">
                  <c:v>53.5</c:v>
                </c:pt>
                <c:pt idx="1">
                  <c:v>98.6</c:v>
                </c:pt>
                <c:pt idx="2">
                  <c:v>120</c:v>
                </c:pt>
              </c:numCache>
            </c:numRef>
          </c:val>
          <c:extLst>
            <c:ext xmlns:c16="http://schemas.microsoft.com/office/drawing/2014/chart" uri="{C3380CC4-5D6E-409C-BE32-E72D297353CC}">
              <c16:uniqueId val="{00000001-6F79-48DD-A627-57B49DB6948B}"/>
            </c:ext>
          </c:extLst>
        </c:ser>
        <c:ser>
          <c:idx val="2"/>
          <c:order val="2"/>
          <c:tx>
            <c:strRef>
              <c:f>'CO2 hardwood'!$G$28</c:f>
              <c:strCache>
                <c:ptCount val="1"/>
                <c:pt idx="0">
                  <c:v>Maintenance</c:v>
                </c:pt>
              </c:strCache>
            </c:strRef>
          </c:tx>
          <c:spPr>
            <a:solidFill>
              <a:srgbClr val="EA59F1"/>
            </a:solidFill>
            <a:ln>
              <a:noFill/>
            </a:ln>
            <a:effectLst/>
          </c:spPr>
          <c:invertIfNegative val="0"/>
          <c:cat>
            <c:strRef>
              <c:f>'CO2 hardwood'!$H$25:$J$25</c:f>
              <c:strCache>
                <c:ptCount val="3"/>
                <c:pt idx="0">
                  <c:v>CLT</c:v>
                </c:pt>
                <c:pt idx="1">
                  <c:v>DLT</c:v>
                </c:pt>
                <c:pt idx="2">
                  <c:v>NLT</c:v>
                </c:pt>
              </c:strCache>
            </c:strRef>
          </c:cat>
          <c:val>
            <c:numRef>
              <c:f>'CO2 hardwood'!$H$28:$J$28</c:f>
              <c:numCache>
                <c:formatCode>General</c:formatCode>
                <c:ptCount val="3"/>
                <c:pt idx="0">
                  <c:v>2200</c:v>
                </c:pt>
                <c:pt idx="1">
                  <c:v>2200</c:v>
                </c:pt>
                <c:pt idx="2">
                  <c:v>2200</c:v>
                </c:pt>
              </c:numCache>
            </c:numRef>
          </c:val>
          <c:extLst>
            <c:ext xmlns:c16="http://schemas.microsoft.com/office/drawing/2014/chart" uri="{C3380CC4-5D6E-409C-BE32-E72D297353CC}">
              <c16:uniqueId val="{00000002-6F79-48DD-A627-57B49DB6948B}"/>
            </c:ext>
          </c:extLst>
        </c:ser>
        <c:ser>
          <c:idx val="3"/>
          <c:order val="3"/>
          <c:tx>
            <c:strRef>
              <c:f>'CO2 hardwood'!$G$29</c:f>
              <c:strCache>
                <c:ptCount val="1"/>
                <c:pt idx="0">
                  <c:v>End of life </c:v>
                </c:pt>
              </c:strCache>
            </c:strRef>
          </c:tx>
          <c:spPr>
            <a:solidFill>
              <a:schemeClr val="accent4"/>
            </a:solidFill>
            <a:ln>
              <a:noFill/>
            </a:ln>
            <a:effectLst/>
          </c:spPr>
          <c:invertIfNegative val="0"/>
          <c:cat>
            <c:strRef>
              <c:f>'CO2 hardwood'!$H$25:$J$25</c:f>
              <c:strCache>
                <c:ptCount val="3"/>
                <c:pt idx="0">
                  <c:v>CLT</c:v>
                </c:pt>
                <c:pt idx="1">
                  <c:v>DLT</c:v>
                </c:pt>
                <c:pt idx="2">
                  <c:v>NLT</c:v>
                </c:pt>
              </c:strCache>
            </c:strRef>
          </c:cat>
          <c:val>
            <c:numRef>
              <c:f>'CO2 hardwood'!$H$29:$J$29</c:f>
              <c:numCache>
                <c:formatCode>General</c:formatCode>
                <c:ptCount val="3"/>
                <c:pt idx="0">
                  <c:v>850</c:v>
                </c:pt>
                <c:pt idx="1">
                  <c:v>850</c:v>
                </c:pt>
                <c:pt idx="2">
                  <c:v>1200</c:v>
                </c:pt>
              </c:numCache>
            </c:numRef>
          </c:val>
          <c:extLst>
            <c:ext xmlns:c16="http://schemas.microsoft.com/office/drawing/2014/chart" uri="{C3380CC4-5D6E-409C-BE32-E72D297353CC}">
              <c16:uniqueId val="{00000003-6F79-48DD-A627-57B49DB6948B}"/>
            </c:ext>
          </c:extLst>
        </c:ser>
        <c:ser>
          <c:idx val="4"/>
          <c:order val="4"/>
          <c:tx>
            <c:strRef>
              <c:f>'CO2 hardwood'!$G$30</c:f>
              <c:strCache>
                <c:ptCount val="1"/>
                <c:pt idx="0">
                  <c:v>Benefit and loads</c:v>
                </c:pt>
              </c:strCache>
            </c:strRef>
          </c:tx>
          <c:spPr>
            <a:solidFill>
              <a:srgbClr val="92D050"/>
            </a:solidFill>
            <a:ln>
              <a:noFill/>
            </a:ln>
            <a:effectLst/>
          </c:spPr>
          <c:invertIfNegative val="0"/>
          <c:cat>
            <c:strRef>
              <c:f>'CO2 hardwood'!$H$25:$J$25</c:f>
              <c:strCache>
                <c:ptCount val="3"/>
                <c:pt idx="0">
                  <c:v>CLT</c:v>
                </c:pt>
                <c:pt idx="1">
                  <c:v>DLT</c:v>
                </c:pt>
                <c:pt idx="2">
                  <c:v>NLT</c:v>
                </c:pt>
              </c:strCache>
            </c:strRef>
          </c:cat>
          <c:val>
            <c:numRef>
              <c:f>'CO2 hardwood'!$H$30:$J$30</c:f>
              <c:numCache>
                <c:formatCode>General</c:formatCode>
                <c:ptCount val="3"/>
                <c:pt idx="0">
                  <c:v>-22840</c:v>
                </c:pt>
                <c:pt idx="1">
                  <c:v>-22840</c:v>
                </c:pt>
                <c:pt idx="2">
                  <c:v>-28840</c:v>
                </c:pt>
              </c:numCache>
            </c:numRef>
          </c:val>
          <c:extLst>
            <c:ext xmlns:c16="http://schemas.microsoft.com/office/drawing/2014/chart" uri="{C3380CC4-5D6E-409C-BE32-E72D297353CC}">
              <c16:uniqueId val="{00000004-6F79-48DD-A627-57B49DB6948B}"/>
            </c:ext>
          </c:extLst>
        </c:ser>
        <c:dLbls>
          <c:showLegendKey val="0"/>
          <c:showVal val="0"/>
          <c:showCatName val="0"/>
          <c:showSerName val="0"/>
          <c:showPercent val="0"/>
          <c:showBubbleSize val="0"/>
        </c:dLbls>
        <c:gapWidth val="150"/>
        <c:overlap val="100"/>
        <c:axId val="1623132368"/>
        <c:axId val="1623141520"/>
      </c:barChart>
      <c:catAx>
        <c:axId val="16231323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23141520"/>
        <c:crosses val="autoZero"/>
        <c:auto val="1"/>
        <c:lblAlgn val="ctr"/>
        <c:lblOffset val="100"/>
        <c:noMultiLvlLbl val="0"/>
      </c:catAx>
      <c:valAx>
        <c:axId val="1623141520"/>
        <c:scaling>
          <c:orientation val="minMax"/>
          <c:min val="-4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baseline="0">
                    <a:effectLst/>
                    <a:latin typeface="Times New Roman" panose="02020603050405020304" pitchFamily="18" charset="0"/>
                    <a:cs typeface="Times New Roman" panose="02020603050405020304" pitchFamily="18" charset="0"/>
                  </a:rPr>
                  <a:t>Kg CO</a:t>
                </a:r>
                <a:r>
                  <a:rPr lang="en-US" sz="800" b="0" i="0" baseline="-25000">
                    <a:effectLst/>
                    <a:latin typeface="Times New Roman" panose="02020603050405020304" pitchFamily="18" charset="0"/>
                    <a:cs typeface="Times New Roman" panose="02020603050405020304" pitchFamily="18" charset="0"/>
                  </a:rPr>
                  <a:t>2</a:t>
                </a:r>
                <a:endParaRPr lang="en-US" sz="2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23132368"/>
        <c:crosses val="autoZero"/>
        <c:crossBetween val="between"/>
      </c:valAx>
      <c:spPr>
        <a:noFill/>
        <a:ln>
          <a:noFill/>
        </a:ln>
        <a:effectLst/>
      </c:spPr>
    </c:plotArea>
    <c:legend>
      <c:legendPos val="r"/>
      <c:legendEntry>
        <c:idx val="4"/>
        <c:txPr>
          <a:bodyPr rot="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Entry>
      <c:layout>
        <c:manualLayout>
          <c:xMode val="edge"/>
          <c:yMode val="edge"/>
          <c:x val="0.75504349998555387"/>
          <c:y val="0.24690649440320803"/>
          <c:w val="0.24495650001444619"/>
          <c:h val="0.57214417548565288"/>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100" b="0" i="0" baseline="0">
                <a:effectLst/>
                <a:latin typeface="Times New Roman" panose="02020603050405020304" pitchFamily="18" charset="0"/>
                <a:cs typeface="Times New Roman" panose="02020603050405020304" pitchFamily="18" charset="0"/>
              </a:rPr>
              <a:t>Global warming potential</a:t>
            </a:r>
            <a:endParaRPr lang="en-US" sz="1000">
              <a:effectLst/>
              <a:latin typeface="Times New Roman" panose="02020603050405020304" pitchFamily="18" charset="0"/>
              <a:cs typeface="Times New Roman" panose="02020603050405020304" pitchFamily="18" charset="0"/>
            </a:endParaRPr>
          </a:p>
        </c:rich>
      </c:tx>
      <c:layout>
        <c:manualLayout>
          <c:xMode val="edge"/>
          <c:yMode val="edge"/>
          <c:x val="0.2544323473079378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6997454777612259"/>
          <c:y val="2.5428331875182269E-2"/>
          <c:w val="0.81729593530538425"/>
          <c:h val="0.88018432746632747"/>
        </c:manualLayout>
      </c:layout>
      <c:barChart>
        <c:barDir val="col"/>
        <c:grouping val="clustered"/>
        <c:varyColors val="0"/>
        <c:ser>
          <c:idx val="0"/>
          <c:order val="0"/>
          <c:tx>
            <c:strRef>
              <c:f>'CO2 hardwood'!$H$31</c:f>
              <c:strCache>
                <c:ptCount val="1"/>
                <c:pt idx="0">
                  <c:v>CLT</c:v>
                </c:pt>
              </c:strCache>
            </c:strRef>
          </c:tx>
          <c:spPr>
            <a:pattFill prst="wdUpDiag">
              <a:fgClr>
                <a:srgbClr val="0070C0"/>
              </a:fgClr>
              <a:bgClr>
                <a:schemeClr val="bg1"/>
              </a:bgClr>
            </a:pattFill>
            <a:ln>
              <a:noFill/>
            </a:ln>
            <a:effectLst/>
          </c:spPr>
          <c:invertIfNegative val="0"/>
          <c:val>
            <c:numRef>
              <c:f>'CO2 hardwood'!$H$32</c:f>
              <c:numCache>
                <c:formatCode>General</c:formatCode>
                <c:ptCount val="1"/>
                <c:pt idx="0">
                  <c:v>38401.560000000005</c:v>
                </c:pt>
              </c:numCache>
            </c:numRef>
          </c:val>
          <c:extLst>
            <c:ext xmlns:c16="http://schemas.microsoft.com/office/drawing/2014/chart" uri="{C3380CC4-5D6E-409C-BE32-E72D297353CC}">
              <c16:uniqueId val="{00000000-A055-4BA3-A50C-F47AFD2BE276}"/>
            </c:ext>
          </c:extLst>
        </c:ser>
        <c:ser>
          <c:idx val="1"/>
          <c:order val="1"/>
          <c:tx>
            <c:strRef>
              <c:f>'CO2 hardwood'!$I$31</c:f>
              <c:strCache>
                <c:ptCount val="1"/>
                <c:pt idx="0">
                  <c:v>DLT</c:v>
                </c:pt>
              </c:strCache>
            </c:strRef>
          </c:tx>
          <c:spPr>
            <a:pattFill prst="plaid">
              <a:fgClr>
                <a:srgbClr val="FFC000"/>
              </a:fgClr>
              <a:bgClr>
                <a:schemeClr val="bg1"/>
              </a:bgClr>
            </a:pattFill>
            <a:ln>
              <a:noFill/>
            </a:ln>
            <a:effectLst/>
          </c:spPr>
          <c:invertIfNegative val="0"/>
          <c:val>
            <c:numRef>
              <c:f>'CO2 hardwood'!$I$32</c:f>
              <c:numCache>
                <c:formatCode>General</c:formatCode>
                <c:ptCount val="1"/>
                <c:pt idx="0">
                  <c:v>34479.1</c:v>
                </c:pt>
              </c:numCache>
            </c:numRef>
          </c:val>
          <c:extLst>
            <c:ext xmlns:c16="http://schemas.microsoft.com/office/drawing/2014/chart" uri="{C3380CC4-5D6E-409C-BE32-E72D297353CC}">
              <c16:uniqueId val="{00000001-A055-4BA3-A50C-F47AFD2BE276}"/>
            </c:ext>
          </c:extLst>
        </c:ser>
        <c:ser>
          <c:idx val="2"/>
          <c:order val="2"/>
          <c:tx>
            <c:strRef>
              <c:f>'CO2 hardwood'!$J$31</c:f>
              <c:strCache>
                <c:ptCount val="1"/>
                <c:pt idx="0">
                  <c:v>NLT</c:v>
                </c:pt>
              </c:strCache>
            </c:strRef>
          </c:tx>
          <c:spPr>
            <a:pattFill prst="pct90">
              <a:fgClr>
                <a:srgbClr val="00B050"/>
              </a:fgClr>
              <a:bgClr>
                <a:schemeClr val="bg1"/>
              </a:bgClr>
            </a:pattFill>
            <a:ln>
              <a:noFill/>
            </a:ln>
            <a:effectLst/>
          </c:spPr>
          <c:invertIfNegative val="0"/>
          <c:val>
            <c:numRef>
              <c:f>'CO2 hardwood'!$J$32</c:f>
              <c:numCache>
                <c:formatCode>General</c:formatCode>
                <c:ptCount val="1"/>
                <c:pt idx="0">
                  <c:v>33676.200000000004</c:v>
                </c:pt>
              </c:numCache>
            </c:numRef>
          </c:val>
          <c:extLst>
            <c:ext xmlns:c16="http://schemas.microsoft.com/office/drawing/2014/chart" uri="{C3380CC4-5D6E-409C-BE32-E72D297353CC}">
              <c16:uniqueId val="{00000002-A055-4BA3-A50C-F47AFD2BE276}"/>
            </c:ext>
          </c:extLst>
        </c:ser>
        <c:dLbls>
          <c:showLegendKey val="0"/>
          <c:showVal val="0"/>
          <c:showCatName val="0"/>
          <c:showSerName val="0"/>
          <c:showPercent val="0"/>
          <c:showBubbleSize val="0"/>
        </c:dLbls>
        <c:gapWidth val="219"/>
        <c:overlap val="-27"/>
        <c:axId val="1640041248"/>
        <c:axId val="1640045408"/>
      </c:barChart>
      <c:catAx>
        <c:axId val="1640041248"/>
        <c:scaling>
          <c:orientation val="minMax"/>
        </c:scaling>
        <c:delete val="1"/>
        <c:axPos val="b"/>
        <c:numFmt formatCode="General" sourceLinked="1"/>
        <c:majorTickMark val="none"/>
        <c:minorTickMark val="none"/>
        <c:tickLblPos val="nextTo"/>
        <c:crossAx val="1640045408"/>
        <c:crosses val="autoZero"/>
        <c:auto val="1"/>
        <c:lblAlgn val="ctr"/>
        <c:lblOffset val="100"/>
        <c:noMultiLvlLbl val="0"/>
      </c:catAx>
      <c:valAx>
        <c:axId val="1640045408"/>
        <c:scaling>
          <c:orientation val="minMax"/>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800" b="0" i="0" baseline="0">
                    <a:effectLst/>
                    <a:latin typeface="Times New Roman" panose="02020603050405020304" pitchFamily="18" charset="0"/>
                    <a:cs typeface="Times New Roman" panose="02020603050405020304" pitchFamily="18" charset="0"/>
                  </a:rPr>
                  <a:t>Kg CO</a:t>
                </a:r>
                <a:r>
                  <a:rPr lang="en-US" sz="800" b="0" i="0" baseline="-25000">
                    <a:effectLst/>
                    <a:latin typeface="Times New Roman" panose="02020603050405020304" pitchFamily="18" charset="0"/>
                    <a:cs typeface="Times New Roman" panose="02020603050405020304" pitchFamily="18" charset="0"/>
                  </a:rPr>
                  <a:t>2</a:t>
                </a:r>
                <a:endParaRPr lang="en-US" sz="200">
                  <a:effectLst/>
                  <a:latin typeface="Times New Roman" panose="02020603050405020304" pitchFamily="18" charset="0"/>
                  <a:cs typeface="Times New Roman" panose="02020603050405020304" pitchFamily="18" charset="0"/>
                </a:endParaRPr>
              </a:p>
            </c:rich>
          </c:tx>
          <c:layout>
            <c:manualLayout>
              <c:xMode val="edge"/>
              <c:yMode val="edge"/>
              <c:x val="0"/>
              <c:y val="0.40672776455956733"/>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640041248"/>
        <c:crosses val="autoZero"/>
        <c:crossBetween val="between"/>
      </c:valAx>
      <c:spPr>
        <a:noFill/>
        <a:ln>
          <a:noFill/>
        </a:ln>
        <a:effectLst/>
      </c:spPr>
    </c:plotArea>
    <c:legend>
      <c:legendPos val="b"/>
      <c:layout>
        <c:manualLayout>
          <c:xMode val="edge"/>
          <c:yMode val="edge"/>
          <c:x val="0.26336417322834649"/>
          <c:y val="0.92427964875790725"/>
          <c:w val="0.56866192806980209"/>
          <c:h val="5.5859378054406557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96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a:t>nlt</a:t>
            </a:r>
          </a:p>
        </c:rich>
      </c:tx>
      <c:layout>
        <c:manualLayout>
          <c:xMode val="edge"/>
          <c:yMode val="edge"/>
          <c:x val="0.43602370139040963"/>
          <c:y val="0.90609972158947105"/>
        </c:manualLayout>
      </c:layout>
      <c:overlay val="1"/>
      <c:spPr>
        <a:noFill/>
        <a:ln>
          <a:noFill/>
        </a:ln>
        <a:effectLst/>
      </c:spPr>
      <c:txPr>
        <a:bodyPr rot="0" spcFirstLastPara="1" vertOverflow="ellipsis" vert="horz" wrap="square" anchor="ctr" anchorCtr="1"/>
        <a:lstStyle/>
        <a:p>
          <a:pPr>
            <a:defRPr sz="960" b="1" i="0" u="none" strike="noStrike" kern="1200" cap="all"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tx>
            <c:strRef>
              <c:f>'CO2 softwood'!$H$33</c:f>
              <c:strCache>
                <c:ptCount val="1"/>
              </c:strCache>
            </c:strRef>
          </c:tx>
          <c:dPt>
            <c:idx val="0"/>
            <c:bubble3D val="0"/>
            <c:spPr>
              <a:solidFill>
                <a:schemeClr val="accent1"/>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1-1292-4940-877F-352733164D6B}"/>
              </c:ext>
            </c:extLst>
          </c:dPt>
          <c:dPt>
            <c:idx val="1"/>
            <c:bubble3D val="0"/>
            <c:spPr>
              <a:solidFill>
                <a:schemeClr val="accent2"/>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3-1292-4940-877F-352733164D6B}"/>
              </c:ext>
            </c:extLst>
          </c:dPt>
          <c:dPt>
            <c:idx val="2"/>
            <c:bubble3D val="0"/>
            <c:spPr>
              <a:solidFill>
                <a:schemeClr val="accent3"/>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5-1292-4940-877F-352733164D6B}"/>
              </c:ext>
            </c:extLst>
          </c:dPt>
          <c:dPt>
            <c:idx val="3"/>
            <c:bubble3D val="0"/>
            <c:spPr>
              <a:solidFill>
                <a:schemeClr val="accent4"/>
              </a:solidFill>
              <a:ln>
                <a:noFill/>
              </a:ln>
              <a:effectLst>
                <a:outerShdw blurRad="63500" sx="102000" sy="102000" algn="ctr" rotWithShape="0">
                  <a:prstClr val="black">
                    <a:alpha val="20000"/>
                  </a:prstClr>
                </a:outerShdw>
              </a:effectLst>
            </c:spPr>
            <c:extLst>
              <c:ext xmlns:c16="http://schemas.microsoft.com/office/drawing/2014/chart" uri="{C3380CC4-5D6E-409C-BE32-E72D297353CC}">
                <c16:uniqueId val="{00000007-1292-4940-877F-352733164D6B}"/>
              </c:ext>
            </c:extLst>
          </c:dPt>
          <c:dLbls>
            <c:dLbl>
              <c:idx val="0"/>
              <c:layout>
                <c:manualLayout>
                  <c:x val="2.8214429665457477E-2"/>
                  <c:y val="2.5310048089091368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1292-4940-877F-352733164D6B}"/>
                </c:ext>
              </c:extLst>
            </c:dLbl>
            <c:dLbl>
              <c:idx val="1"/>
              <c:layout>
                <c:manualLayout>
                  <c:x val="-0.13828512705658122"/>
                  <c:y val="-9.2802437598323405E-17"/>
                </c:manualLayout>
              </c:layout>
              <c:spPr>
                <a:noFill/>
                <a:ln>
                  <a:noFill/>
                </a:ln>
                <a:effectLst/>
              </c:spPr>
              <c:txPr>
                <a:bodyPr rot="0" spcFirstLastPara="1" vertOverflow="ellipsis" vert="horz" wrap="square" anchor="ctr" anchorCtr="0"/>
                <a:lstStyle/>
                <a:p>
                  <a:pPr algn="l">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15:layout>
                    <c:manualLayout>
                      <c:w val="0.2998102376240403"/>
                      <c:h val="0.15489749430523919"/>
                    </c:manualLayout>
                  </c15:layout>
                </c:ext>
                <c:ext xmlns:c16="http://schemas.microsoft.com/office/drawing/2014/chart" uri="{C3380CC4-5D6E-409C-BE32-E72D297353CC}">
                  <c16:uniqueId val="{00000003-1292-4940-877F-352733164D6B}"/>
                </c:ext>
              </c:extLst>
            </c:dLbl>
            <c:dLbl>
              <c:idx val="2"/>
              <c:layout>
                <c:manualLayout>
                  <c:x val="-0.10479645304312779"/>
                  <c:y val="1.0124019235636553E-2"/>
                </c:manualLayout>
              </c:layout>
              <c:spPr>
                <a:noFill/>
                <a:ln>
                  <a:noFill/>
                </a:ln>
                <a:effectLst/>
              </c:spPr>
              <c:txPr>
                <a:bodyPr rot="0" spcFirstLastPara="1" vertOverflow="ellipsis" vert="horz" wrap="square" anchor="ctr" anchorCtr="1"/>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1292-4940-877F-352733164D6B}"/>
                </c:ext>
              </c:extLst>
            </c:dLbl>
            <c:dLbl>
              <c:idx val="3"/>
              <c:layout>
                <c:manualLayout>
                  <c:x val="-6.0459492140266059E-2"/>
                  <c:y val="0"/>
                </c:manualLayout>
              </c:layout>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1292-4940-877F-352733164D6B}"/>
                </c:ext>
              </c:extLst>
            </c:dLbl>
            <c:spPr>
              <a:noFill/>
              <a:ln>
                <a:noFill/>
              </a:ln>
              <a:effectLst/>
            </c:spPr>
            <c:txPr>
              <a:bodyPr rot="0" spcFirstLastPara="1" vertOverflow="ellipsis" vert="horz" wrap="square" lIns="38100" tIns="19050" rIns="38100" bIns="19050" anchor="ctr" anchorCtr="1">
                <a:spAutoFit/>
              </a:bodyPr>
              <a:lstStyle/>
              <a:p>
                <a:pPr>
                  <a:defRPr sz="800" b="1"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'CO2 softwood'!$G$35:$G$38</c:f>
              <c:strCache>
                <c:ptCount val="4"/>
                <c:pt idx="0">
                  <c:v>Wood Plantation</c:v>
                </c:pt>
                <c:pt idx="1">
                  <c:v>Wood Manufacturing &amp; Seasoning</c:v>
                </c:pt>
                <c:pt idx="2">
                  <c:v>Nail</c:v>
                </c:pt>
                <c:pt idx="3">
                  <c:v>Fabrication</c:v>
                </c:pt>
              </c:strCache>
            </c:strRef>
          </c:cat>
          <c:val>
            <c:numRef>
              <c:f>'CO2 softwood'!$H$35:$H$38</c:f>
              <c:numCache>
                <c:formatCode>General</c:formatCode>
                <c:ptCount val="4"/>
                <c:pt idx="0">
                  <c:v>30</c:v>
                </c:pt>
                <c:pt idx="1">
                  <c:v>87</c:v>
                </c:pt>
                <c:pt idx="2">
                  <c:v>12</c:v>
                </c:pt>
                <c:pt idx="3">
                  <c:v>4.5</c:v>
                </c:pt>
              </c:numCache>
            </c:numRef>
          </c:val>
          <c:extLst>
            <c:ext xmlns:c16="http://schemas.microsoft.com/office/drawing/2014/chart" uri="{C3380CC4-5D6E-409C-BE32-E72D297353CC}">
              <c16:uniqueId val="{00000008-1292-4940-877F-352733164D6B}"/>
            </c:ext>
          </c:extLst>
        </c:ser>
        <c:dLbls>
          <c:dLblPos val="out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800">
          <a:latin typeface="Times New Roman" panose="02020603050405020304" pitchFamily="18" charset="0"/>
          <a:cs typeface="Times New Roman" panose="02020603050405020304" pitchFamily="18" charset="0"/>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a:latin typeface="Times New Roman" panose="02020603050405020304" pitchFamily="18" charset="0"/>
                <a:cs typeface="Times New Roman" panose="02020603050405020304" pitchFamily="18" charset="0"/>
              </a:rPr>
              <a:t>Global warming potential</a:t>
            </a:r>
          </a:p>
        </c:rich>
      </c:tx>
      <c:layout>
        <c:manualLayout>
          <c:xMode val="edge"/>
          <c:yMode val="edge"/>
          <c:x val="0.27521662531909541"/>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6387768309783196"/>
          <c:y val="2.7327798967915654E-2"/>
          <c:w val="0.63025239995685467"/>
          <c:h val="0.9480254894097403"/>
        </c:manualLayout>
      </c:layout>
      <c:barChart>
        <c:barDir val="col"/>
        <c:grouping val="stacked"/>
        <c:varyColors val="0"/>
        <c:ser>
          <c:idx val="0"/>
          <c:order val="0"/>
          <c:tx>
            <c:strRef>
              <c:f>'CO2 softwood'!$A$26</c:f>
              <c:strCache>
                <c:ptCount val="1"/>
                <c:pt idx="0">
                  <c:v>Manufactring &amp; construction </c:v>
                </c:pt>
              </c:strCache>
            </c:strRef>
          </c:tx>
          <c:spPr>
            <a:solidFill>
              <a:schemeClr val="accent1"/>
            </a:solidFill>
            <a:ln>
              <a:noFill/>
            </a:ln>
            <a:effectLst/>
          </c:spPr>
          <c:invertIfNegative val="0"/>
          <c:cat>
            <c:strRef>
              <c:f>'CO2 softwood'!$B$25:$D$25</c:f>
              <c:strCache>
                <c:ptCount val="3"/>
                <c:pt idx="0">
                  <c:v>CLT</c:v>
                </c:pt>
                <c:pt idx="1">
                  <c:v>DLT</c:v>
                </c:pt>
                <c:pt idx="2">
                  <c:v>NLT</c:v>
                </c:pt>
              </c:strCache>
            </c:strRef>
          </c:cat>
          <c:val>
            <c:numRef>
              <c:f>'CO2 softwood'!$B$26:$D$26</c:f>
              <c:numCache>
                <c:formatCode>General</c:formatCode>
                <c:ptCount val="3"/>
                <c:pt idx="0">
                  <c:v>54959.5</c:v>
                </c:pt>
                <c:pt idx="1">
                  <c:v>51251.5</c:v>
                </c:pt>
                <c:pt idx="2">
                  <c:v>55761.5</c:v>
                </c:pt>
              </c:numCache>
            </c:numRef>
          </c:val>
          <c:extLst>
            <c:ext xmlns:c16="http://schemas.microsoft.com/office/drawing/2014/chart" uri="{C3380CC4-5D6E-409C-BE32-E72D297353CC}">
              <c16:uniqueId val="{00000000-D806-4E61-B042-110261B240EE}"/>
            </c:ext>
          </c:extLst>
        </c:ser>
        <c:ser>
          <c:idx val="1"/>
          <c:order val="1"/>
          <c:tx>
            <c:strRef>
              <c:f>'CO2 softwood'!$A$27</c:f>
              <c:strCache>
                <c:ptCount val="1"/>
                <c:pt idx="0">
                  <c:v>Transportation</c:v>
                </c:pt>
              </c:strCache>
            </c:strRef>
          </c:tx>
          <c:spPr>
            <a:solidFill>
              <a:srgbClr val="FF0000"/>
            </a:solidFill>
            <a:ln>
              <a:noFill/>
            </a:ln>
            <a:effectLst/>
          </c:spPr>
          <c:invertIfNegative val="0"/>
          <c:cat>
            <c:strRef>
              <c:f>'CO2 softwood'!$B$25:$D$25</c:f>
              <c:strCache>
                <c:ptCount val="3"/>
                <c:pt idx="0">
                  <c:v>CLT</c:v>
                </c:pt>
                <c:pt idx="1">
                  <c:v>DLT</c:v>
                </c:pt>
                <c:pt idx="2">
                  <c:v>NLT</c:v>
                </c:pt>
              </c:strCache>
            </c:strRef>
          </c:cat>
          <c:val>
            <c:numRef>
              <c:f>'CO2 softwood'!$B$27:$D$27</c:f>
              <c:numCache>
                <c:formatCode>General</c:formatCode>
                <c:ptCount val="3"/>
                <c:pt idx="0">
                  <c:v>353.5</c:v>
                </c:pt>
                <c:pt idx="1">
                  <c:v>298.60000000000002</c:v>
                </c:pt>
                <c:pt idx="2">
                  <c:v>320</c:v>
                </c:pt>
              </c:numCache>
            </c:numRef>
          </c:val>
          <c:extLst>
            <c:ext xmlns:c16="http://schemas.microsoft.com/office/drawing/2014/chart" uri="{C3380CC4-5D6E-409C-BE32-E72D297353CC}">
              <c16:uniqueId val="{00000001-D806-4E61-B042-110261B240EE}"/>
            </c:ext>
          </c:extLst>
        </c:ser>
        <c:ser>
          <c:idx val="2"/>
          <c:order val="2"/>
          <c:tx>
            <c:strRef>
              <c:f>'CO2 softwood'!$A$28</c:f>
              <c:strCache>
                <c:ptCount val="1"/>
                <c:pt idx="0">
                  <c:v>Maintenance</c:v>
                </c:pt>
              </c:strCache>
            </c:strRef>
          </c:tx>
          <c:spPr>
            <a:solidFill>
              <a:srgbClr val="EA59F1"/>
            </a:solidFill>
            <a:ln>
              <a:noFill/>
            </a:ln>
            <a:effectLst/>
          </c:spPr>
          <c:invertIfNegative val="0"/>
          <c:cat>
            <c:strRef>
              <c:f>'CO2 softwood'!$B$25:$D$25</c:f>
              <c:strCache>
                <c:ptCount val="3"/>
                <c:pt idx="0">
                  <c:v>CLT</c:v>
                </c:pt>
                <c:pt idx="1">
                  <c:v>DLT</c:v>
                </c:pt>
                <c:pt idx="2">
                  <c:v>NLT</c:v>
                </c:pt>
              </c:strCache>
            </c:strRef>
          </c:cat>
          <c:val>
            <c:numRef>
              <c:f>'CO2 softwood'!$B$28:$D$28</c:f>
              <c:numCache>
                <c:formatCode>General</c:formatCode>
                <c:ptCount val="3"/>
                <c:pt idx="0">
                  <c:v>2200</c:v>
                </c:pt>
                <c:pt idx="1">
                  <c:v>2200</c:v>
                </c:pt>
                <c:pt idx="2">
                  <c:v>2200</c:v>
                </c:pt>
              </c:numCache>
            </c:numRef>
          </c:val>
          <c:extLst>
            <c:ext xmlns:c16="http://schemas.microsoft.com/office/drawing/2014/chart" uri="{C3380CC4-5D6E-409C-BE32-E72D297353CC}">
              <c16:uniqueId val="{00000002-D806-4E61-B042-110261B240EE}"/>
            </c:ext>
          </c:extLst>
        </c:ser>
        <c:ser>
          <c:idx val="3"/>
          <c:order val="3"/>
          <c:tx>
            <c:strRef>
              <c:f>'CO2 softwood'!$A$29</c:f>
              <c:strCache>
                <c:ptCount val="1"/>
                <c:pt idx="0">
                  <c:v>End of life </c:v>
                </c:pt>
              </c:strCache>
            </c:strRef>
          </c:tx>
          <c:spPr>
            <a:solidFill>
              <a:schemeClr val="accent4">
                <a:lumMod val="60000"/>
                <a:lumOff val="40000"/>
              </a:schemeClr>
            </a:solidFill>
            <a:ln>
              <a:noFill/>
            </a:ln>
            <a:effectLst/>
          </c:spPr>
          <c:invertIfNegative val="0"/>
          <c:cat>
            <c:strRef>
              <c:f>'CO2 softwood'!$B$25:$D$25</c:f>
              <c:strCache>
                <c:ptCount val="3"/>
                <c:pt idx="0">
                  <c:v>CLT</c:v>
                </c:pt>
                <c:pt idx="1">
                  <c:v>DLT</c:v>
                </c:pt>
                <c:pt idx="2">
                  <c:v>NLT</c:v>
                </c:pt>
              </c:strCache>
            </c:strRef>
          </c:cat>
          <c:val>
            <c:numRef>
              <c:f>'CO2 softwood'!$B$29:$D$29</c:f>
              <c:numCache>
                <c:formatCode>General</c:formatCode>
                <c:ptCount val="3"/>
                <c:pt idx="0">
                  <c:v>850</c:v>
                </c:pt>
                <c:pt idx="1">
                  <c:v>850</c:v>
                </c:pt>
                <c:pt idx="2">
                  <c:v>1200</c:v>
                </c:pt>
              </c:numCache>
            </c:numRef>
          </c:val>
          <c:extLst>
            <c:ext xmlns:c16="http://schemas.microsoft.com/office/drawing/2014/chart" uri="{C3380CC4-5D6E-409C-BE32-E72D297353CC}">
              <c16:uniqueId val="{00000003-D806-4E61-B042-110261B240EE}"/>
            </c:ext>
          </c:extLst>
        </c:ser>
        <c:ser>
          <c:idx val="4"/>
          <c:order val="4"/>
          <c:tx>
            <c:strRef>
              <c:f>'CO2 softwood'!$A$30</c:f>
              <c:strCache>
                <c:ptCount val="1"/>
                <c:pt idx="0">
                  <c:v>Benefit and loads</c:v>
                </c:pt>
              </c:strCache>
            </c:strRef>
          </c:tx>
          <c:spPr>
            <a:solidFill>
              <a:srgbClr val="92D050"/>
            </a:solidFill>
            <a:ln>
              <a:noFill/>
            </a:ln>
            <a:effectLst/>
          </c:spPr>
          <c:invertIfNegative val="0"/>
          <c:cat>
            <c:strRef>
              <c:f>'CO2 softwood'!$B$25:$D$25</c:f>
              <c:strCache>
                <c:ptCount val="3"/>
                <c:pt idx="0">
                  <c:v>CLT</c:v>
                </c:pt>
                <c:pt idx="1">
                  <c:v>DLT</c:v>
                </c:pt>
                <c:pt idx="2">
                  <c:v>NLT</c:v>
                </c:pt>
              </c:strCache>
            </c:strRef>
          </c:cat>
          <c:val>
            <c:numRef>
              <c:f>'CO2 softwood'!$B$30:$D$30</c:f>
              <c:numCache>
                <c:formatCode>General</c:formatCode>
                <c:ptCount val="3"/>
                <c:pt idx="0">
                  <c:v>-22000</c:v>
                </c:pt>
                <c:pt idx="1">
                  <c:v>-22000</c:v>
                </c:pt>
                <c:pt idx="2">
                  <c:v>-28000</c:v>
                </c:pt>
              </c:numCache>
            </c:numRef>
          </c:val>
          <c:extLst>
            <c:ext xmlns:c16="http://schemas.microsoft.com/office/drawing/2014/chart" uri="{C3380CC4-5D6E-409C-BE32-E72D297353CC}">
              <c16:uniqueId val="{00000004-D806-4E61-B042-110261B240EE}"/>
            </c:ext>
          </c:extLst>
        </c:ser>
        <c:dLbls>
          <c:showLegendKey val="0"/>
          <c:showVal val="0"/>
          <c:showCatName val="0"/>
          <c:showSerName val="0"/>
          <c:showPercent val="0"/>
          <c:showBubbleSize val="0"/>
        </c:dLbls>
        <c:gapWidth val="150"/>
        <c:overlap val="100"/>
        <c:axId val="861206320"/>
        <c:axId val="861206736"/>
      </c:barChart>
      <c:catAx>
        <c:axId val="861206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6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1206736"/>
        <c:crosses val="autoZero"/>
        <c:auto val="1"/>
        <c:lblAlgn val="ctr"/>
        <c:lblOffset val="100"/>
        <c:noMultiLvlLbl val="0"/>
      </c:catAx>
      <c:valAx>
        <c:axId val="861206736"/>
        <c:scaling>
          <c:orientation val="minMax"/>
          <c:min val="-300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baseline="0">
                    <a:effectLst/>
                    <a:latin typeface="Times New Roman" panose="02020603050405020304" pitchFamily="18" charset="0"/>
                    <a:cs typeface="Times New Roman" panose="02020603050405020304" pitchFamily="18" charset="0"/>
                  </a:rPr>
                  <a:t>Kg CO</a:t>
                </a:r>
                <a:r>
                  <a:rPr lang="en-US" sz="1000" b="0" i="0" baseline="-25000">
                    <a:effectLst/>
                    <a:latin typeface="Times New Roman" panose="02020603050405020304" pitchFamily="18" charset="0"/>
                    <a:cs typeface="Times New Roman" panose="02020603050405020304" pitchFamily="18" charset="0"/>
                  </a:rPr>
                  <a:t>2 eq</a:t>
                </a:r>
                <a:endParaRPr lang="en-US" sz="400">
                  <a:effectLst/>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7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861206320"/>
        <c:crosses val="autoZero"/>
        <c:crossBetween val="between"/>
      </c:valAx>
      <c:spPr>
        <a:noFill/>
        <a:ln>
          <a:noFill/>
        </a:ln>
        <a:effectLst/>
      </c:spPr>
    </c:plotArea>
    <c:legend>
      <c:legendPos val="r"/>
      <c:layout>
        <c:manualLayout>
          <c:xMode val="edge"/>
          <c:yMode val="edge"/>
          <c:x val="0.77714917484629487"/>
          <c:y val="0.22878381653197111"/>
          <c:w val="0.20634020062560673"/>
          <c:h val="0.60278071616231155"/>
        </c:manualLayout>
      </c:layout>
      <c:overlay val="0"/>
      <c:spPr>
        <a:noFill/>
        <a:ln>
          <a:noFill/>
        </a:ln>
        <a:effectLst/>
      </c:spPr>
      <c:txPr>
        <a:bodyPr rot="0" spcFirstLastPara="1" vertOverflow="ellipsis" vert="horz" wrap="square" anchor="ctr" anchorCtr="1"/>
        <a:lstStyle/>
        <a:p>
          <a:pPr>
            <a:defRPr sz="6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r>
              <a:rPr lang="en-US" sz="1000" b="0" i="0" u="none" strike="noStrike" baseline="0">
                <a:effectLst/>
                <a:latin typeface="Times New Roman" panose="02020603050405020304" pitchFamily="18" charset="0"/>
                <a:cs typeface="Times New Roman" panose="02020603050405020304" pitchFamily="18" charset="0"/>
              </a:rPr>
              <a:t>Human toxicity potential</a:t>
            </a:r>
            <a:endParaRPr lang="en-US" sz="1000">
              <a:latin typeface="Times New Roman" panose="02020603050405020304" pitchFamily="18" charset="0"/>
              <a:cs typeface="Times New Roman" panose="02020603050405020304" pitchFamily="18" charset="0"/>
            </a:endParaRPr>
          </a:p>
        </c:rich>
      </c:tx>
      <c:layout>
        <c:manualLayout>
          <c:xMode val="edge"/>
          <c:yMode val="edge"/>
          <c:x val="0.27484327197953756"/>
          <c:y val="0"/>
        </c:manualLayout>
      </c:layout>
      <c:overlay val="0"/>
      <c:spPr>
        <a:noFill/>
        <a:ln>
          <a:noFill/>
        </a:ln>
        <a:effectLst/>
      </c:spPr>
      <c:txPr>
        <a:bodyPr rot="0" spcFirstLastPara="1" vertOverflow="ellipsis" vert="horz" wrap="square" anchor="ctr" anchorCtr="1"/>
        <a:lstStyle/>
        <a:p>
          <a:pPr>
            <a:defRPr sz="105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226316877454756"/>
          <c:y val="2.5428331875182269E-2"/>
          <c:w val="0.60040946314831667"/>
          <c:h val="0.9502013275486566"/>
        </c:manualLayout>
      </c:layout>
      <c:barChart>
        <c:barDir val="col"/>
        <c:grouping val="stacked"/>
        <c:varyColors val="0"/>
        <c:ser>
          <c:idx val="0"/>
          <c:order val="0"/>
          <c:tx>
            <c:strRef>
              <c:f>OLD!$A$5</c:f>
              <c:strCache>
                <c:ptCount val="1"/>
                <c:pt idx="0">
                  <c:v>Manufactring &amp; construction </c:v>
                </c:pt>
              </c:strCache>
            </c:strRef>
          </c:tx>
          <c:spPr>
            <a:solidFill>
              <a:schemeClr val="accent1"/>
            </a:solidFill>
            <a:ln>
              <a:noFill/>
            </a:ln>
            <a:effectLst/>
          </c:spPr>
          <c:invertIfNegative val="0"/>
          <c:cat>
            <c:strRef>
              <c:f>OLD!$B$4:$D$4</c:f>
              <c:strCache>
                <c:ptCount val="3"/>
                <c:pt idx="0">
                  <c:v>CLT</c:v>
                </c:pt>
                <c:pt idx="1">
                  <c:v>DLT</c:v>
                </c:pt>
                <c:pt idx="2">
                  <c:v>NLT</c:v>
                </c:pt>
              </c:strCache>
            </c:strRef>
          </c:cat>
          <c:val>
            <c:numRef>
              <c:f>OLD!$B$5:$D$5</c:f>
              <c:numCache>
                <c:formatCode>General</c:formatCode>
                <c:ptCount val="3"/>
                <c:pt idx="0">
                  <c:v>763.95593642611686</c:v>
                </c:pt>
                <c:pt idx="1">
                  <c:v>712.41346219931268</c:v>
                </c:pt>
                <c:pt idx="2">
                  <c:v>775.10401202749142</c:v>
                </c:pt>
              </c:numCache>
            </c:numRef>
          </c:val>
          <c:extLst>
            <c:ext xmlns:c16="http://schemas.microsoft.com/office/drawing/2014/chart" uri="{C3380CC4-5D6E-409C-BE32-E72D297353CC}">
              <c16:uniqueId val="{00000000-3E28-4490-A379-D2890BADB17E}"/>
            </c:ext>
          </c:extLst>
        </c:ser>
        <c:ser>
          <c:idx val="1"/>
          <c:order val="1"/>
          <c:tx>
            <c:strRef>
              <c:f>OLD!$A$6</c:f>
              <c:strCache>
                <c:ptCount val="1"/>
                <c:pt idx="0">
                  <c:v>Transportation</c:v>
                </c:pt>
              </c:strCache>
            </c:strRef>
          </c:tx>
          <c:spPr>
            <a:solidFill>
              <a:schemeClr val="accent2"/>
            </a:solidFill>
            <a:ln>
              <a:noFill/>
            </a:ln>
            <a:effectLst/>
          </c:spPr>
          <c:invertIfNegative val="0"/>
          <c:cat>
            <c:strRef>
              <c:f>OLD!$B$4:$D$4</c:f>
              <c:strCache>
                <c:ptCount val="3"/>
                <c:pt idx="0">
                  <c:v>CLT</c:v>
                </c:pt>
                <c:pt idx="1">
                  <c:v>DLT</c:v>
                </c:pt>
                <c:pt idx="2">
                  <c:v>NLT</c:v>
                </c:pt>
              </c:strCache>
            </c:strRef>
          </c:cat>
          <c:val>
            <c:numRef>
              <c:f>OLD!$B$6:$D$6</c:f>
              <c:numCache>
                <c:formatCode>General</c:formatCode>
                <c:ptCount val="3"/>
                <c:pt idx="0">
                  <c:v>4.9137714776632304</c:v>
                </c:pt>
                <c:pt idx="1">
                  <c:v>4.1506426116838488</c:v>
                </c:pt>
                <c:pt idx="2">
                  <c:v>4.448109965635739</c:v>
                </c:pt>
              </c:numCache>
            </c:numRef>
          </c:val>
          <c:extLst>
            <c:ext xmlns:c16="http://schemas.microsoft.com/office/drawing/2014/chart" uri="{C3380CC4-5D6E-409C-BE32-E72D297353CC}">
              <c16:uniqueId val="{00000001-3E28-4490-A379-D2890BADB17E}"/>
            </c:ext>
          </c:extLst>
        </c:ser>
        <c:ser>
          <c:idx val="2"/>
          <c:order val="2"/>
          <c:tx>
            <c:strRef>
              <c:f>OLD!$A$7</c:f>
              <c:strCache>
                <c:ptCount val="1"/>
                <c:pt idx="0">
                  <c:v>Maintenance</c:v>
                </c:pt>
              </c:strCache>
            </c:strRef>
          </c:tx>
          <c:spPr>
            <a:solidFill>
              <a:srgbClr val="EA59F1"/>
            </a:solidFill>
            <a:ln>
              <a:noFill/>
            </a:ln>
            <a:effectLst/>
          </c:spPr>
          <c:invertIfNegative val="0"/>
          <c:cat>
            <c:strRef>
              <c:f>OLD!$B$4:$D$4</c:f>
              <c:strCache>
                <c:ptCount val="3"/>
                <c:pt idx="0">
                  <c:v>CLT</c:v>
                </c:pt>
                <c:pt idx="1">
                  <c:v>DLT</c:v>
                </c:pt>
                <c:pt idx="2">
                  <c:v>NLT</c:v>
                </c:pt>
              </c:strCache>
            </c:strRef>
          </c:cat>
          <c:val>
            <c:numRef>
              <c:f>OLD!$B$7:$D$7</c:f>
              <c:numCache>
                <c:formatCode>General</c:formatCode>
                <c:ptCount val="3"/>
                <c:pt idx="0">
                  <c:v>30.580756013745702</c:v>
                </c:pt>
                <c:pt idx="1">
                  <c:v>30.580756013745702</c:v>
                </c:pt>
                <c:pt idx="2">
                  <c:v>30.580756013745702</c:v>
                </c:pt>
              </c:numCache>
            </c:numRef>
          </c:val>
          <c:extLst>
            <c:ext xmlns:c16="http://schemas.microsoft.com/office/drawing/2014/chart" uri="{C3380CC4-5D6E-409C-BE32-E72D297353CC}">
              <c16:uniqueId val="{00000002-3E28-4490-A379-D2890BADB17E}"/>
            </c:ext>
          </c:extLst>
        </c:ser>
        <c:ser>
          <c:idx val="3"/>
          <c:order val="3"/>
          <c:tx>
            <c:strRef>
              <c:f>OLD!$A$8</c:f>
              <c:strCache>
                <c:ptCount val="1"/>
                <c:pt idx="0">
                  <c:v>End of life </c:v>
                </c:pt>
              </c:strCache>
            </c:strRef>
          </c:tx>
          <c:spPr>
            <a:solidFill>
              <a:schemeClr val="accent4"/>
            </a:solidFill>
            <a:ln>
              <a:noFill/>
            </a:ln>
            <a:effectLst/>
          </c:spPr>
          <c:invertIfNegative val="0"/>
          <c:cat>
            <c:strRef>
              <c:f>OLD!$B$4:$D$4</c:f>
              <c:strCache>
                <c:ptCount val="3"/>
                <c:pt idx="0">
                  <c:v>CLT</c:v>
                </c:pt>
                <c:pt idx="1">
                  <c:v>DLT</c:v>
                </c:pt>
                <c:pt idx="2">
                  <c:v>NLT</c:v>
                </c:pt>
              </c:strCache>
            </c:strRef>
          </c:cat>
          <c:val>
            <c:numRef>
              <c:f>OLD!$B$8:$D$8</c:f>
              <c:numCache>
                <c:formatCode>General</c:formatCode>
                <c:ptCount val="3"/>
                <c:pt idx="0">
                  <c:v>11.815292096219931</c:v>
                </c:pt>
                <c:pt idx="1">
                  <c:v>11.815292096219931</c:v>
                </c:pt>
                <c:pt idx="2">
                  <c:v>16.680412371134022</c:v>
                </c:pt>
              </c:numCache>
            </c:numRef>
          </c:val>
          <c:extLst>
            <c:ext xmlns:c16="http://schemas.microsoft.com/office/drawing/2014/chart" uri="{C3380CC4-5D6E-409C-BE32-E72D297353CC}">
              <c16:uniqueId val="{00000003-3E28-4490-A379-D2890BADB17E}"/>
            </c:ext>
          </c:extLst>
        </c:ser>
        <c:ser>
          <c:idx val="4"/>
          <c:order val="4"/>
          <c:tx>
            <c:strRef>
              <c:f>OLD!$A$9</c:f>
              <c:strCache>
                <c:ptCount val="1"/>
                <c:pt idx="0">
                  <c:v>Benefit and loads</c:v>
                </c:pt>
              </c:strCache>
            </c:strRef>
          </c:tx>
          <c:spPr>
            <a:solidFill>
              <a:srgbClr val="92D050"/>
            </a:solidFill>
            <a:ln>
              <a:noFill/>
            </a:ln>
            <a:effectLst/>
          </c:spPr>
          <c:invertIfNegative val="0"/>
          <c:cat>
            <c:strRef>
              <c:f>OLD!$B$4:$D$4</c:f>
              <c:strCache>
                <c:ptCount val="3"/>
                <c:pt idx="0">
                  <c:v>CLT</c:v>
                </c:pt>
                <c:pt idx="1">
                  <c:v>DLT</c:v>
                </c:pt>
                <c:pt idx="2">
                  <c:v>NLT</c:v>
                </c:pt>
              </c:strCache>
            </c:strRef>
          </c:cat>
          <c:val>
            <c:numRef>
              <c:f>OLD!$B$9:$D$9</c:f>
              <c:numCache>
                <c:formatCode>General</c:formatCode>
                <c:ptCount val="3"/>
                <c:pt idx="0">
                  <c:v>-305.80756013745702</c:v>
                </c:pt>
                <c:pt idx="1">
                  <c:v>-305.80756013745702</c:v>
                </c:pt>
                <c:pt idx="2">
                  <c:v>-389.20962199312714</c:v>
                </c:pt>
              </c:numCache>
            </c:numRef>
          </c:val>
          <c:extLst>
            <c:ext xmlns:c16="http://schemas.microsoft.com/office/drawing/2014/chart" uri="{C3380CC4-5D6E-409C-BE32-E72D297353CC}">
              <c16:uniqueId val="{00000004-3E28-4490-A379-D2890BADB17E}"/>
            </c:ext>
          </c:extLst>
        </c:ser>
        <c:dLbls>
          <c:showLegendKey val="0"/>
          <c:showVal val="0"/>
          <c:showCatName val="0"/>
          <c:showSerName val="0"/>
          <c:showPercent val="0"/>
          <c:showBubbleSize val="0"/>
        </c:dLbls>
        <c:gapWidth val="150"/>
        <c:overlap val="100"/>
        <c:axId val="1929276735"/>
        <c:axId val="1929278399"/>
      </c:barChart>
      <c:catAx>
        <c:axId val="192927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278399"/>
        <c:crosses val="autoZero"/>
        <c:auto val="1"/>
        <c:lblAlgn val="ctr"/>
        <c:lblOffset val="100"/>
        <c:noMultiLvlLbl val="0"/>
      </c:catAx>
      <c:valAx>
        <c:axId val="1929278399"/>
        <c:scaling>
          <c:orientation val="minMax"/>
          <c:min val="-4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Kg</a:t>
                </a:r>
                <a:r>
                  <a:rPr lang="en-US" baseline="0">
                    <a:latin typeface="Times New Roman" panose="02020603050405020304" pitchFamily="18" charset="0"/>
                    <a:cs typeface="Times New Roman" panose="02020603050405020304" pitchFamily="18" charset="0"/>
                  </a:rPr>
                  <a:t> 1,4-DCB</a:t>
                </a:r>
                <a:endParaRPr lang="en-US">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9276735"/>
        <c:crosses val="autoZero"/>
        <c:crossBetween val="between"/>
      </c:valAx>
      <c:spPr>
        <a:noFill/>
        <a:ln>
          <a:noFill/>
        </a:ln>
        <a:effectLst/>
      </c:spPr>
    </c:plotArea>
    <c:legend>
      <c:legendPos val="r"/>
      <c:layout>
        <c:manualLayout>
          <c:xMode val="edge"/>
          <c:yMode val="edge"/>
          <c:x val="0.73275440211978271"/>
          <c:y val="0.14189943058291596"/>
          <c:w val="0.26724559788021723"/>
          <c:h val="0.76555305861895662"/>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0" i="0" u="none" strike="noStrike" baseline="0">
                <a:effectLst/>
                <a:latin typeface="Times New Roman" panose="02020603050405020304" pitchFamily="18" charset="0"/>
                <a:cs typeface="Times New Roman" panose="02020603050405020304" pitchFamily="18" charset="0"/>
              </a:rPr>
              <a:t>Acidification Potential </a:t>
            </a:r>
            <a:endParaRPr lang="en-US" sz="1050">
              <a:latin typeface="Times New Roman" panose="02020603050405020304" pitchFamily="18" charset="0"/>
              <a:cs typeface="Times New Roman" panose="02020603050405020304" pitchFamily="18" charset="0"/>
            </a:endParaRPr>
          </a:p>
        </c:rich>
      </c:tx>
      <c:layout>
        <c:manualLayout>
          <c:xMode val="edge"/>
          <c:yMode val="edge"/>
          <c:x val="0.2021575899300290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792633500654809"/>
          <c:y val="2.5428331875182269E-2"/>
          <c:w val="0.6275446852843104"/>
          <c:h val="0.93534448818897642"/>
        </c:manualLayout>
      </c:layout>
      <c:barChart>
        <c:barDir val="col"/>
        <c:grouping val="stacked"/>
        <c:varyColors val="0"/>
        <c:ser>
          <c:idx val="0"/>
          <c:order val="0"/>
          <c:tx>
            <c:strRef>
              <c:f>All!$F$5</c:f>
              <c:strCache>
                <c:ptCount val="1"/>
                <c:pt idx="0">
                  <c:v>Manufactring &amp; construction </c:v>
                </c:pt>
              </c:strCache>
            </c:strRef>
          </c:tx>
          <c:spPr>
            <a:solidFill>
              <a:schemeClr val="accent1"/>
            </a:solidFill>
            <a:ln>
              <a:noFill/>
            </a:ln>
            <a:effectLst/>
          </c:spPr>
          <c:invertIfNegative val="0"/>
          <c:cat>
            <c:strRef>
              <c:f>All!$G$4:$I$4</c:f>
              <c:strCache>
                <c:ptCount val="3"/>
                <c:pt idx="0">
                  <c:v>CLT</c:v>
                </c:pt>
                <c:pt idx="1">
                  <c:v>DLT</c:v>
                </c:pt>
                <c:pt idx="2">
                  <c:v>NLT</c:v>
                </c:pt>
              </c:strCache>
            </c:strRef>
          </c:cat>
          <c:val>
            <c:numRef>
              <c:f>All!$G$5:$I$5</c:f>
              <c:numCache>
                <c:formatCode>General</c:formatCode>
                <c:ptCount val="3"/>
                <c:pt idx="0">
                  <c:v>379.61716494845359</c:v>
                </c:pt>
                <c:pt idx="1">
                  <c:v>354.00520618556703</c:v>
                </c:pt>
                <c:pt idx="2">
                  <c:v>428.93461538461537</c:v>
                </c:pt>
              </c:numCache>
            </c:numRef>
          </c:val>
          <c:extLst>
            <c:ext xmlns:c16="http://schemas.microsoft.com/office/drawing/2014/chart" uri="{C3380CC4-5D6E-409C-BE32-E72D297353CC}">
              <c16:uniqueId val="{00000000-ABA3-479C-948F-53B95B4CC941}"/>
            </c:ext>
          </c:extLst>
        </c:ser>
        <c:ser>
          <c:idx val="1"/>
          <c:order val="1"/>
          <c:tx>
            <c:strRef>
              <c:f>All!$F$6</c:f>
              <c:strCache>
                <c:ptCount val="1"/>
                <c:pt idx="0">
                  <c:v>Transportation</c:v>
                </c:pt>
              </c:strCache>
            </c:strRef>
          </c:tx>
          <c:spPr>
            <a:solidFill>
              <a:schemeClr val="accent2"/>
            </a:solidFill>
            <a:ln>
              <a:noFill/>
            </a:ln>
            <a:effectLst/>
          </c:spPr>
          <c:invertIfNegative val="0"/>
          <c:cat>
            <c:strRef>
              <c:f>All!$G$4:$I$4</c:f>
              <c:strCache>
                <c:ptCount val="3"/>
                <c:pt idx="0">
                  <c:v>CLT</c:v>
                </c:pt>
                <c:pt idx="1">
                  <c:v>DLT</c:v>
                </c:pt>
                <c:pt idx="2">
                  <c:v>NLT</c:v>
                </c:pt>
              </c:strCache>
            </c:strRef>
          </c:cat>
          <c:val>
            <c:numRef>
              <c:f>All!$G$6:$I$6</c:f>
              <c:numCache>
                <c:formatCode>General</c:formatCode>
                <c:ptCount val="3"/>
                <c:pt idx="0">
                  <c:v>2.4417010309278351</c:v>
                </c:pt>
                <c:pt idx="1">
                  <c:v>2.0624948453608249</c:v>
                </c:pt>
                <c:pt idx="2">
                  <c:v>2.4615384615384617</c:v>
                </c:pt>
              </c:numCache>
            </c:numRef>
          </c:val>
          <c:extLst>
            <c:ext xmlns:c16="http://schemas.microsoft.com/office/drawing/2014/chart" uri="{C3380CC4-5D6E-409C-BE32-E72D297353CC}">
              <c16:uniqueId val="{00000001-ABA3-479C-948F-53B95B4CC941}"/>
            </c:ext>
          </c:extLst>
        </c:ser>
        <c:ser>
          <c:idx val="2"/>
          <c:order val="2"/>
          <c:tx>
            <c:strRef>
              <c:f>All!$F$7</c:f>
              <c:strCache>
                <c:ptCount val="1"/>
                <c:pt idx="0">
                  <c:v>Maintenance</c:v>
                </c:pt>
              </c:strCache>
            </c:strRef>
          </c:tx>
          <c:spPr>
            <a:solidFill>
              <a:srgbClr val="EA59F1"/>
            </a:solidFill>
            <a:ln>
              <a:noFill/>
            </a:ln>
            <a:effectLst/>
          </c:spPr>
          <c:invertIfNegative val="0"/>
          <c:cat>
            <c:strRef>
              <c:f>All!$G$4:$I$4</c:f>
              <c:strCache>
                <c:ptCount val="3"/>
                <c:pt idx="0">
                  <c:v>CLT</c:v>
                </c:pt>
                <c:pt idx="1">
                  <c:v>DLT</c:v>
                </c:pt>
                <c:pt idx="2">
                  <c:v>NLT</c:v>
                </c:pt>
              </c:strCache>
            </c:strRef>
          </c:cat>
          <c:val>
            <c:numRef>
              <c:f>All!$G$7:$I$7</c:f>
              <c:numCache>
                <c:formatCode>General</c:formatCode>
                <c:ptCount val="3"/>
                <c:pt idx="0">
                  <c:v>15.195876288659793</c:v>
                </c:pt>
                <c:pt idx="1">
                  <c:v>15.195876288659793</c:v>
                </c:pt>
                <c:pt idx="2">
                  <c:v>16.923076923076923</c:v>
                </c:pt>
              </c:numCache>
            </c:numRef>
          </c:val>
          <c:extLst>
            <c:ext xmlns:c16="http://schemas.microsoft.com/office/drawing/2014/chart" uri="{C3380CC4-5D6E-409C-BE32-E72D297353CC}">
              <c16:uniqueId val="{00000002-ABA3-479C-948F-53B95B4CC941}"/>
            </c:ext>
          </c:extLst>
        </c:ser>
        <c:ser>
          <c:idx val="3"/>
          <c:order val="3"/>
          <c:tx>
            <c:strRef>
              <c:f>All!$F$8</c:f>
              <c:strCache>
                <c:ptCount val="1"/>
                <c:pt idx="0">
                  <c:v>End of life </c:v>
                </c:pt>
              </c:strCache>
            </c:strRef>
          </c:tx>
          <c:spPr>
            <a:solidFill>
              <a:schemeClr val="accent4"/>
            </a:solidFill>
            <a:ln>
              <a:noFill/>
            </a:ln>
            <a:effectLst/>
          </c:spPr>
          <c:invertIfNegative val="0"/>
          <c:cat>
            <c:strRef>
              <c:f>All!$G$4:$I$4</c:f>
              <c:strCache>
                <c:ptCount val="3"/>
                <c:pt idx="0">
                  <c:v>CLT</c:v>
                </c:pt>
                <c:pt idx="1">
                  <c:v>DLT</c:v>
                </c:pt>
                <c:pt idx="2">
                  <c:v>NLT</c:v>
                </c:pt>
              </c:strCache>
            </c:strRef>
          </c:cat>
          <c:val>
            <c:numRef>
              <c:f>All!$G$8:$I$8</c:f>
              <c:numCache>
                <c:formatCode>General</c:formatCode>
                <c:ptCount val="3"/>
                <c:pt idx="0">
                  <c:v>5.8711340206185572</c:v>
                </c:pt>
                <c:pt idx="1">
                  <c:v>5.8711340206185572</c:v>
                </c:pt>
                <c:pt idx="2">
                  <c:v>9.2307692307692299</c:v>
                </c:pt>
              </c:numCache>
            </c:numRef>
          </c:val>
          <c:extLst>
            <c:ext xmlns:c16="http://schemas.microsoft.com/office/drawing/2014/chart" uri="{C3380CC4-5D6E-409C-BE32-E72D297353CC}">
              <c16:uniqueId val="{00000003-ABA3-479C-948F-53B95B4CC941}"/>
            </c:ext>
          </c:extLst>
        </c:ser>
        <c:ser>
          <c:idx val="4"/>
          <c:order val="4"/>
          <c:tx>
            <c:strRef>
              <c:f>All!$F$9</c:f>
              <c:strCache>
                <c:ptCount val="1"/>
                <c:pt idx="0">
                  <c:v>Benefit and loads</c:v>
                </c:pt>
              </c:strCache>
            </c:strRef>
          </c:tx>
          <c:spPr>
            <a:solidFill>
              <a:srgbClr val="92D050"/>
            </a:solidFill>
            <a:ln>
              <a:noFill/>
            </a:ln>
            <a:effectLst/>
          </c:spPr>
          <c:invertIfNegative val="0"/>
          <c:cat>
            <c:strRef>
              <c:f>All!$G$4:$I$4</c:f>
              <c:strCache>
                <c:ptCount val="3"/>
                <c:pt idx="0">
                  <c:v>CLT</c:v>
                </c:pt>
                <c:pt idx="1">
                  <c:v>DLT</c:v>
                </c:pt>
                <c:pt idx="2">
                  <c:v>NLT</c:v>
                </c:pt>
              </c:strCache>
            </c:strRef>
          </c:cat>
          <c:val>
            <c:numRef>
              <c:f>All!$G$9:$I$9</c:f>
              <c:numCache>
                <c:formatCode>General</c:formatCode>
                <c:ptCount val="3"/>
                <c:pt idx="0">
                  <c:v>-151.95876288659795</c:v>
                </c:pt>
                <c:pt idx="1">
                  <c:v>-151.95876288659795</c:v>
                </c:pt>
                <c:pt idx="2">
                  <c:v>-165</c:v>
                </c:pt>
              </c:numCache>
            </c:numRef>
          </c:val>
          <c:extLst>
            <c:ext xmlns:c16="http://schemas.microsoft.com/office/drawing/2014/chart" uri="{C3380CC4-5D6E-409C-BE32-E72D297353CC}">
              <c16:uniqueId val="{00000004-ABA3-479C-948F-53B95B4CC941}"/>
            </c:ext>
          </c:extLst>
        </c:ser>
        <c:dLbls>
          <c:showLegendKey val="0"/>
          <c:showVal val="0"/>
          <c:showCatName val="0"/>
          <c:showSerName val="0"/>
          <c:showPercent val="0"/>
          <c:showBubbleSize val="0"/>
        </c:dLbls>
        <c:gapWidth val="150"/>
        <c:overlap val="100"/>
        <c:axId val="1937814927"/>
        <c:axId val="1937818671"/>
      </c:barChart>
      <c:catAx>
        <c:axId val="19378149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37818671"/>
        <c:crosses val="autoZero"/>
        <c:auto val="1"/>
        <c:lblAlgn val="ctr"/>
        <c:lblOffset val="100"/>
        <c:noMultiLvlLbl val="0"/>
      </c:catAx>
      <c:valAx>
        <c:axId val="193781867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50" b="0" i="0" baseline="0">
                    <a:effectLst/>
                    <a:latin typeface="Times New Roman" panose="02020603050405020304" pitchFamily="18" charset="0"/>
                    <a:cs typeface="Times New Roman" panose="02020603050405020304" pitchFamily="18" charset="0"/>
                  </a:rPr>
                  <a:t>kg SO2 eq</a:t>
                </a:r>
                <a:endParaRPr lang="en-US" sz="500">
                  <a:effectLst/>
                  <a:latin typeface="Times New Roman" panose="02020603050405020304" pitchFamily="18" charset="0"/>
                  <a:cs typeface="Times New Roman" panose="02020603050405020304" pitchFamily="18" charset="0"/>
                </a:endParaRPr>
              </a:p>
            </c:rich>
          </c:tx>
          <c:layout>
            <c:manualLayout>
              <c:xMode val="edge"/>
              <c:yMode val="edge"/>
              <c:x val="0"/>
              <c:y val="0.37767975632259448"/>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37814927"/>
        <c:crosses val="autoZero"/>
        <c:crossBetween val="between"/>
      </c:valAx>
      <c:spPr>
        <a:noFill/>
        <a:ln>
          <a:noFill/>
        </a:ln>
        <a:effectLst/>
      </c:spPr>
    </c:plotArea>
    <c:legend>
      <c:legendPos val="r"/>
      <c:layout>
        <c:manualLayout>
          <c:xMode val="edge"/>
          <c:yMode val="edge"/>
          <c:x val="0.75733367733844548"/>
          <c:y val="0.16828438178775004"/>
          <c:w val="0.2426663226615545"/>
          <c:h val="0.63632736116653155"/>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050" b="0" i="0" u="none" strike="noStrike" baseline="0">
                <a:effectLst/>
                <a:latin typeface="Times New Roman" panose="02020603050405020304" pitchFamily="18" charset="0"/>
                <a:cs typeface="Times New Roman" panose="02020603050405020304" pitchFamily="18" charset="0"/>
              </a:rPr>
              <a:t>Terrestrial ecotoxicity </a:t>
            </a:r>
            <a:endParaRPr lang="en-US" sz="1050">
              <a:latin typeface="Times New Roman" panose="02020603050405020304" pitchFamily="18" charset="0"/>
              <a:cs typeface="Times New Roman" panose="02020603050405020304" pitchFamily="18" charset="0"/>
            </a:endParaRPr>
          </a:p>
        </c:rich>
      </c:tx>
      <c:layout>
        <c:manualLayout>
          <c:xMode val="edge"/>
          <c:yMode val="edge"/>
          <c:x val="0.2282051282051282"/>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7304148709806333"/>
          <c:y val="2.1116953806379738E-2"/>
          <c:w val="0.5571825641136422"/>
          <c:h val="0.94214994078667835"/>
        </c:manualLayout>
      </c:layout>
      <c:barChart>
        <c:barDir val="col"/>
        <c:grouping val="stacked"/>
        <c:varyColors val="0"/>
        <c:ser>
          <c:idx val="0"/>
          <c:order val="0"/>
          <c:tx>
            <c:strRef>
              <c:f>OLD!$K$5</c:f>
              <c:strCache>
                <c:ptCount val="1"/>
                <c:pt idx="0">
                  <c:v>Manufactring &amp; construction </c:v>
                </c:pt>
              </c:strCache>
            </c:strRef>
          </c:tx>
          <c:spPr>
            <a:solidFill>
              <a:schemeClr val="accent1"/>
            </a:solidFill>
            <a:ln>
              <a:noFill/>
            </a:ln>
            <a:effectLst/>
          </c:spPr>
          <c:invertIfNegative val="0"/>
          <c:cat>
            <c:strRef>
              <c:f>OLD!$L$4:$N$4</c:f>
              <c:strCache>
                <c:ptCount val="3"/>
                <c:pt idx="0">
                  <c:v>CLT</c:v>
                </c:pt>
                <c:pt idx="1">
                  <c:v>DLT</c:v>
                </c:pt>
                <c:pt idx="2">
                  <c:v>NLT</c:v>
                </c:pt>
              </c:strCache>
            </c:strRef>
          </c:cat>
          <c:val>
            <c:numRef>
              <c:f>OLD!$L$5:$N$5</c:f>
              <c:numCache>
                <c:formatCode>General</c:formatCode>
                <c:ptCount val="3"/>
                <c:pt idx="0">
                  <c:v>2289.9791666666665</c:v>
                </c:pt>
                <c:pt idx="1">
                  <c:v>2135.4791666666665</c:v>
                </c:pt>
                <c:pt idx="2">
                  <c:v>2788.0749999999998</c:v>
                </c:pt>
              </c:numCache>
            </c:numRef>
          </c:val>
          <c:extLst>
            <c:ext xmlns:c16="http://schemas.microsoft.com/office/drawing/2014/chart" uri="{C3380CC4-5D6E-409C-BE32-E72D297353CC}">
              <c16:uniqueId val="{00000000-7C89-4679-8DA3-9FD81FD44AC2}"/>
            </c:ext>
          </c:extLst>
        </c:ser>
        <c:ser>
          <c:idx val="1"/>
          <c:order val="1"/>
          <c:tx>
            <c:strRef>
              <c:f>OLD!$K$6</c:f>
              <c:strCache>
                <c:ptCount val="1"/>
                <c:pt idx="0">
                  <c:v>Transportation</c:v>
                </c:pt>
              </c:strCache>
            </c:strRef>
          </c:tx>
          <c:spPr>
            <a:solidFill>
              <a:schemeClr val="accent2"/>
            </a:solidFill>
            <a:ln>
              <a:noFill/>
            </a:ln>
            <a:effectLst/>
          </c:spPr>
          <c:invertIfNegative val="0"/>
          <c:cat>
            <c:strRef>
              <c:f>OLD!$L$4:$N$4</c:f>
              <c:strCache>
                <c:ptCount val="3"/>
                <c:pt idx="0">
                  <c:v>CLT</c:v>
                </c:pt>
                <c:pt idx="1">
                  <c:v>DLT</c:v>
                </c:pt>
                <c:pt idx="2">
                  <c:v>NLT</c:v>
                </c:pt>
              </c:strCache>
            </c:strRef>
          </c:cat>
          <c:val>
            <c:numRef>
              <c:f>OLD!$L$6:$N$6</c:f>
              <c:numCache>
                <c:formatCode>General</c:formatCode>
                <c:ptCount val="3"/>
                <c:pt idx="0">
                  <c:v>13.848453608247421</c:v>
                </c:pt>
                <c:pt idx="1">
                  <c:v>12.441666666666668</c:v>
                </c:pt>
                <c:pt idx="2">
                  <c:v>13.333333333333334</c:v>
                </c:pt>
              </c:numCache>
            </c:numRef>
          </c:val>
          <c:extLst>
            <c:ext xmlns:c16="http://schemas.microsoft.com/office/drawing/2014/chart" uri="{C3380CC4-5D6E-409C-BE32-E72D297353CC}">
              <c16:uniqueId val="{00000001-7C89-4679-8DA3-9FD81FD44AC2}"/>
            </c:ext>
          </c:extLst>
        </c:ser>
        <c:ser>
          <c:idx val="2"/>
          <c:order val="2"/>
          <c:tx>
            <c:strRef>
              <c:f>OLD!$K$7</c:f>
              <c:strCache>
                <c:ptCount val="1"/>
                <c:pt idx="0">
                  <c:v>Maintenance</c:v>
                </c:pt>
              </c:strCache>
            </c:strRef>
          </c:tx>
          <c:spPr>
            <a:solidFill>
              <a:srgbClr val="EA59F1"/>
            </a:solidFill>
            <a:ln>
              <a:noFill/>
            </a:ln>
            <a:effectLst/>
          </c:spPr>
          <c:invertIfNegative val="0"/>
          <c:cat>
            <c:strRef>
              <c:f>OLD!$L$4:$N$4</c:f>
              <c:strCache>
                <c:ptCount val="3"/>
                <c:pt idx="0">
                  <c:v>CLT</c:v>
                </c:pt>
                <c:pt idx="1">
                  <c:v>DLT</c:v>
                </c:pt>
                <c:pt idx="2">
                  <c:v>NLT</c:v>
                </c:pt>
              </c:strCache>
            </c:strRef>
          </c:cat>
          <c:val>
            <c:numRef>
              <c:f>OLD!$L$7:$N$7</c:f>
              <c:numCache>
                <c:formatCode>General</c:formatCode>
                <c:ptCount val="3"/>
                <c:pt idx="0">
                  <c:v>86.185567010309271</c:v>
                </c:pt>
                <c:pt idx="1">
                  <c:v>91.666666666666671</c:v>
                </c:pt>
                <c:pt idx="2">
                  <c:v>91.666666666666671</c:v>
                </c:pt>
              </c:numCache>
            </c:numRef>
          </c:val>
          <c:extLst>
            <c:ext xmlns:c16="http://schemas.microsoft.com/office/drawing/2014/chart" uri="{C3380CC4-5D6E-409C-BE32-E72D297353CC}">
              <c16:uniqueId val="{00000002-7C89-4679-8DA3-9FD81FD44AC2}"/>
            </c:ext>
          </c:extLst>
        </c:ser>
        <c:ser>
          <c:idx val="3"/>
          <c:order val="3"/>
          <c:tx>
            <c:strRef>
              <c:f>OLD!$K$8</c:f>
              <c:strCache>
                <c:ptCount val="1"/>
                <c:pt idx="0">
                  <c:v>End of life </c:v>
                </c:pt>
              </c:strCache>
            </c:strRef>
          </c:tx>
          <c:spPr>
            <a:solidFill>
              <a:schemeClr val="accent4"/>
            </a:solidFill>
            <a:ln>
              <a:noFill/>
            </a:ln>
            <a:effectLst/>
          </c:spPr>
          <c:invertIfNegative val="0"/>
          <c:cat>
            <c:strRef>
              <c:f>OLD!$L$4:$N$4</c:f>
              <c:strCache>
                <c:ptCount val="3"/>
                <c:pt idx="0">
                  <c:v>CLT</c:v>
                </c:pt>
                <c:pt idx="1">
                  <c:v>DLT</c:v>
                </c:pt>
                <c:pt idx="2">
                  <c:v>NLT</c:v>
                </c:pt>
              </c:strCache>
            </c:strRef>
          </c:cat>
          <c:val>
            <c:numRef>
              <c:f>OLD!$L$8:$N$8</c:f>
              <c:numCache>
                <c:formatCode>General</c:formatCode>
                <c:ptCount val="3"/>
                <c:pt idx="0">
                  <c:v>33.298969072164951</c:v>
                </c:pt>
                <c:pt idx="1">
                  <c:v>35.416666666666664</c:v>
                </c:pt>
                <c:pt idx="2">
                  <c:v>50</c:v>
                </c:pt>
              </c:numCache>
            </c:numRef>
          </c:val>
          <c:extLst>
            <c:ext xmlns:c16="http://schemas.microsoft.com/office/drawing/2014/chart" uri="{C3380CC4-5D6E-409C-BE32-E72D297353CC}">
              <c16:uniqueId val="{00000003-7C89-4679-8DA3-9FD81FD44AC2}"/>
            </c:ext>
          </c:extLst>
        </c:ser>
        <c:ser>
          <c:idx val="4"/>
          <c:order val="4"/>
          <c:tx>
            <c:strRef>
              <c:f>OLD!$K$9</c:f>
              <c:strCache>
                <c:ptCount val="1"/>
                <c:pt idx="0">
                  <c:v>Benefit and loads</c:v>
                </c:pt>
              </c:strCache>
            </c:strRef>
          </c:tx>
          <c:spPr>
            <a:solidFill>
              <a:srgbClr val="92D050"/>
            </a:solidFill>
            <a:ln>
              <a:noFill/>
            </a:ln>
            <a:effectLst/>
          </c:spPr>
          <c:invertIfNegative val="0"/>
          <c:cat>
            <c:strRef>
              <c:f>OLD!$L$4:$N$4</c:f>
              <c:strCache>
                <c:ptCount val="3"/>
                <c:pt idx="0">
                  <c:v>CLT</c:v>
                </c:pt>
                <c:pt idx="1">
                  <c:v>DLT</c:v>
                </c:pt>
                <c:pt idx="2">
                  <c:v>NLT</c:v>
                </c:pt>
              </c:strCache>
            </c:strRef>
          </c:cat>
          <c:val>
            <c:numRef>
              <c:f>OLD!$L$9:$N$9</c:f>
              <c:numCache>
                <c:formatCode>General</c:formatCode>
                <c:ptCount val="3"/>
                <c:pt idx="0">
                  <c:v>-861.85567010309273</c:v>
                </c:pt>
                <c:pt idx="1">
                  <c:v>-916.66666666666663</c:v>
                </c:pt>
                <c:pt idx="2">
                  <c:v>-1166.6666666666667</c:v>
                </c:pt>
              </c:numCache>
            </c:numRef>
          </c:val>
          <c:extLst>
            <c:ext xmlns:c16="http://schemas.microsoft.com/office/drawing/2014/chart" uri="{C3380CC4-5D6E-409C-BE32-E72D297353CC}">
              <c16:uniqueId val="{00000004-7C89-4679-8DA3-9FD81FD44AC2}"/>
            </c:ext>
          </c:extLst>
        </c:ser>
        <c:dLbls>
          <c:showLegendKey val="0"/>
          <c:showVal val="0"/>
          <c:showCatName val="0"/>
          <c:showSerName val="0"/>
          <c:showPercent val="0"/>
          <c:showBubbleSize val="0"/>
        </c:dLbls>
        <c:gapWidth val="150"/>
        <c:overlap val="100"/>
        <c:axId val="1929281727"/>
        <c:axId val="1929285887"/>
      </c:barChart>
      <c:catAx>
        <c:axId val="19292817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29285887"/>
        <c:crosses val="autoZero"/>
        <c:auto val="1"/>
        <c:lblAlgn val="ctr"/>
        <c:lblOffset val="100"/>
        <c:noMultiLvlLbl val="0"/>
      </c:catAx>
      <c:valAx>
        <c:axId val="1929285887"/>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latin typeface="Times New Roman" panose="02020603050405020304" pitchFamily="18" charset="0"/>
                    <a:cs typeface="Times New Roman" panose="02020603050405020304" pitchFamily="18" charset="0"/>
                  </a:rPr>
                  <a:t>Kg 1,4-DCB</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929281727"/>
        <c:crosses val="autoZero"/>
        <c:crossBetween val="between"/>
      </c:valAx>
      <c:spPr>
        <a:noFill/>
        <a:ln>
          <a:noFill/>
        </a:ln>
        <a:effectLst/>
      </c:spPr>
    </c:plotArea>
    <c:legend>
      <c:legendPos val="r"/>
      <c:layout>
        <c:manualLayout>
          <c:xMode val="edge"/>
          <c:yMode val="edge"/>
          <c:x val="0.73659419115820401"/>
          <c:y val="0.17701221331260114"/>
          <c:w val="0.26340580884179599"/>
          <c:h val="0.63720404639431549"/>
        </c:manualLayout>
      </c:layout>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b="0" i="0" u="none" strike="noStrike" baseline="0">
                <a:effectLst/>
                <a:latin typeface="Times New Roman" panose="02020603050405020304" pitchFamily="18" charset="0"/>
                <a:cs typeface="Times New Roman" panose="02020603050405020304" pitchFamily="18" charset="0"/>
              </a:rPr>
              <a:t>Fossil Depletion </a:t>
            </a:r>
            <a:endParaRPr lang="en-US" sz="1200">
              <a:latin typeface="Times New Roman" panose="02020603050405020304" pitchFamily="18" charset="0"/>
              <a:cs typeface="Times New Roman" panose="02020603050405020304" pitchFamily="18" charset="0"/>
            </a:endParaRPr>
          </a:p>
        </c:rich>
      </c:tx>
      <c:layout>
        <c:manualLayout>
          <c:xMode val="edge"/>
          <c:yMode val="edge"/>
          <c:x val="0.32582545065143675"/>
          <c:y val="0"/>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0.14287087961931025"/>
          <c:y val="2.5428331875182269E-2"/>
          <c:w val="0.62027597932746881"/>
          <c:h val="0.94346351327803013"/>
        </c:manualLayout>
      </c:layout>
      <c:barChart>
        <c:barDir val="col"/>
        <c:grouping val="stacked"/>
        <c:varyColors val="0"/>
        <c:ser>
          <c:idx val="0"/>
          <c:order val="0"/>
          <c:tx>
            <c:strRef>
              <c:f>OLD!$P$5</c:f>
              <c:strCache>
                <c:ptCount val="1"/>
                <c:pt idx="0">
                  <c:v>Manufactring &amp; construction </c:v>
                </c:pt>
              </c:strCache>
            </c:strRef>
          </c:tx>
          <c:spPr>
            <a:solidFill>
              <a:schemeClr val="accent1"/>
            </a:solidFill>
            <a:ln>
              <a:noFill/>
            </a:ln>
            <a:effectLst/>
          </c:spPr>
          <c:invertIfNegative val="0"/>
          <c:cat>
            <c:strRef>
              <c:f>OLD!$Q$4:$S$4</c:f>
              <c:strCache>
                <c:ptCount val="3"/>
                <c:pt idx="0">
                  <c:v>CLT</c:v>
                </c:pt>
                <c:pt idx="1">
                  <c:v>DLT</c:v>
                </c:pt>
                <c:pt idx="2">
                  <c:v>NLT</c:v>
                </c:pt>
              </c:strCache>
            </c:strRef>
          </c:cat>
          <c:val>
            <c:numRef>
              <c:f>OLD!$Q$5:$S$5</c:f>
              <c:numCache>
                <c:formatCode>General</c:formatCode>
                <c:ptCount val="3"/>
                <c:pt idx="0">
                  <c:v>19264.154639175256</c:v>
                </c:pt>
                <c:pt idx="1">
                  <c:v>16532.741935483871</c:v>
                </c:pt>
                <c:pt idx="2">
                  <c:v>24244.130434782612</c:v>
                </c:pt>
              </c:numCache>
            </c:numRef>
          </c:val>
          <c:extLst>
            <c:ext xmlns:c16="http://schemas.microsoft.com/office/drawing/2014/chart" uri="{C3380CC4-5D6E-409C-BE32-E72D297353CC}">
              <c16:uniqueId val="{00000000-0B31-4E81-963D-068593AF85A7}"/>
            </c:ext>
          </c:extLst>
        </c:ser>
        <c:ser>
          <c:idx val="1"/>
          <c:order val="1"/>
          <c:tx>
            <c:strRef>
              <c:f>OLD!$P$6</c:f>
              <c:strCache>
                <c:ptCount val="1"/>
                <c:pt idx="0">
                  <c:v>Transportation</c:v>
                </c:pt>
              </c:strCache>
            </c:strRef>
          </c:tx>
          <c:spPr>
            <a:solidFill>
              <a:schemeClr val="accent2"/>
            </a:solidFill>
            <a:ln>
              <a:noFill/>
            </a:ln>
            <a:effectLst/>
          </c:spPr>
          <c:invertIfNegative val="0"/>
          <c:cat>
            <c:strRef>
              <c:f>OLD!$Q$4:$S$4</c:f>
              <c:strCache>
                <c:ptCount val="3"/>
                <c:pt idx="0">
                  <c:v>CLT</c:v>
                </c:pt>
                <c:pt idx="1">
                  <c:v>DLT</c:v>
                </c:pt>
                <c:pt idx="2">
                  <c:v>NLT</c:v>
                </c:pt>
              </c:strCache>
            </c:strRef>
          </c:cat>
          <c:val>
            <c:numRef>
              <c:f>OLD!$Q$6:$S$6</c:f>
              <c:numCache>
                <c:formatCode>General</c:formatCode>
                <c:ptCount val="3"/>
                <c:pt idx="0">
                  <c:v>123.90721649484536</c:v>
                </c:pt>
                <c:pt idx="1">
                  <c:v>96.322580645161295</c:v>
                </c:pt>
                <c:pt idx="2">
                  <c:v>139.13043478260872</c:v>
                </c:pt>
              </c:numCache>
            </c:numRef>
          </c:val>
          <c:extLst>
            <c:ext xmlns:c16="http://schemas.microsoft.com/office/drawing/2014/chart" uri="{C3380CC4-5D6E-409C-BE32-E72D297353CC}">
              <c16:uniqueId val="{00000001-0B31-4E81-963D-068593AF85A7}"/>
            </c:ext>
          </c:extLst>
        </c:ser>
        <c:ser>
          <c:idx val="2"/>
          <c:order val="2"/>
          <c:tx>
            <c:strRef>
              <c:f>OLD!$P$7</c:f>
              <c:strCache>
                <c:ptCount val="1"/>
                <c:pt idx="0">
                  <c:v>Maintenance</c:v>
                </c:pt>
              </c:strCache>
            </c:strRef>
          </c:tx>
          <c:spPr>
            <a:solidFill>
              <a:srgbClr val="EA59F1"/>
            </a:solidFill>
            <a:ln>
              <a:noFill/>
            </a:ln>
            <a:effectLst/>
          </c:spPr>
          <c:invertIfNegative val="0"/>
          <c:cat>
            <c:strRef>
              <c:f>OLD!$Q$4:$S$4</c:f>
              <c:strCache>
                <c:ptCount val="3"/>
                <c:pt idx="0">
                  <c:v>CLT</c:v>
                </c:pt>
                <c:pt idx="1">
                  <c:v>DLT</c:v>
                </c:pt>
                <c:pt idx="2">
                  <c:v>NLT</c:v>
                </c:pt>
              </c:strCache>
            </c:strRef>
          </c:cat>
          <c:val>
            <c:numRef>
              <c:f>OLD!$Q$7:$S$7</c:f>
              <c:numCache>
                <c:formatCode>General</c:formatCode>
                <c:ptCount val="3"/>
                <c:pt idx="0">
                  <c:v>771.13402061855663</c:v>
                </c:pt>
                <c:pt idx="1">
                  <c:v>709.67741935483866</c:v>
                </c:pt>
                <c:pt idx="2">
                  <c:v>956.52173913043487</c:v>
                </c:pt>
              </c:numCache>
            </c:numRef>
          </c:val>
          <c:extLst>
            <c:ext xmlns:c16="http://schemas.microsoft.com/office/drawing/2014/chart" uri="{C3380CC4-5D6E-409C-BE32-E72D297353CC}">
              <c16:uniqueId val="{00000002-0B31-4E81-963D-068593AF85A7}"/>
            </c:ext>
          </c:extLst>
        </c:ser>
        <c:ser>
          <c:idx val="3"/>
          <c:order val="3"/>
          <c:tx>
            <c:strRef>
              <c:f>OLD!$P$8</c:f>
              <c:strCache>
                <c:ptCount val="1"/>
                <c:pt idx="0">
                  <c:v>End of life </c:v>
                </c:pt>
              </c:strCache>
            </c:strRef>
          </c:tx>
          <c:spPr>
            <a:solidFill>
              <a:schemeClr val="accent4"/>
            </a:solidFill>
            <a:ln>
              <a:noFill/>
            </a:ln>
            <a:effectLst/>
          </c:spPr>
          <c:invertIfNegative val="0"/>
          <c:cat>
            <c:strRef>
              <c:f>OLD!$Q$4:$S$4</c:f>
              <c:strCache>
                <c:ptCount val="3"/>
                <c:pt idx="0">
                  <c:v>CLT</c:v>
                </c:pt>
                <c:pt idx="1">
                  <c:v>DLT</c:v>
                </c:pt>
                <c:pt idx="2">
                  <c:v>NLT</c:v>
                </c:pt>
              </c:strCache>
            </c:strRef>
          </c:cat>
          <c:val>
            <c:numRef>
              <c:f>OLD!$Q$8:$S$8</c:f>
              <c:numCache>
                <c:formatCode>General</c:formatCode>
                <c:ptCount val="3"/>
                <c:pt idx="0">
                  <c:v>297.93814432989689</c:v>
                </c:pt>
                <c:pt idx="1">
                  <c:v>274.19354838709677</c:v>
                </c:pt>
                <c:pt idx="2">
                  <c:v>521.73913043478262</c:v>
                </c:pt>
              </c:numCache>
            </c:numRef>
          </c:val>
          <c:extLst>
            <c:ext xmlns:c16="http://schemas.microsoft.com/office/drawing/2014/chart" uri="{C3380CC4-5D6E-409C-BE32-E72D297353CC}">
              <c16:uniqueId val="{00000003-0B31-4E81-963D-068593AF85A7}"/>
            </c:ext>
          </c:extLst>
        </c:ser>
        <c:ser>
          <c:idx val="4"/>
          <c:order val="4"/>
          <c:tx>
            <c:strRef>
              <c:f>OLD!$P$9</c:f>
              <c:strCache>
                <c:ptCount val="1"/>
                <c:pt idx="0">
                  <c:v>Benefit and loads</c:v>
                </c:pt>
              </c:strCache>
            </c:strRef>
          </c:tx>
          <c:spPr>
            <a:solidFill>
              <a:srgbClr val="92D050"/>
            </a:solidFill>
            <a:ln>
              <a:noFill/>
            </a:ln>
            <a:effectLst/>
          </c:spPr>
          <c:invertIfNegative val="0"/>
          <c:cat>
            <c:strRef>
              <c:f>OLD!$Q$4:$S$4</c:f>
              <c:strCache>
                <c:ptCount val="3"/>
                <c:pt idx="0">
                  <c:v>CLT</c:v>
                </c:pt>
                <c:pt idx="1">
                  <c:v>DLT</c:v>
                </c:pt>
                <c:pt idx="2">
                  <c:v>NLT</c:v>
                </c:pt>
              </c:strCache>
            </c:strRef>
          </c:cat>
          <c:val>
            <c:numRef>
              <c:f>OLD!$Q$9:$S$9</c:f>
              <c:numCache>
                <c:formatCode>General</c:formatCode>
                <c:ptCount val="3"/>
                <c:pt idx="0">
                  <c:v>-7711.3402061855668</c:v>
                </c:pt>
                <c:pt idx="1">
                  <c:v>-7096.7741935483873</c:v>
                </c:pt>
                <c:pt idx="2">
                  <c:v>-12173.913043478262</c:v>
                </c:pt>
              </c:numCache>
            </c:numRef>
          </c:val>
          <c:extLst>
            <c:ext xmlns:c16="http://schemas.microsoft.com/office/drawing/2014/chart" uri="{C3380CC4-5D6E-409C-BE32-E72D297353CC}">
              <c16:uniqueId val="{00000004-0B31-4E81-963D-068593AF85A7}"/>
            </c:ext>
          </c:extLst>
        </c:ser>
        <c:dLbls>
          <c:showLegendKey val="0"/>
          <c:showVal val="0"/>
          <c:showCatName val="0"/>
          <c:showSerName val="0"/>
          <c:showPercent val="0"/>
          <c:showBubbleSize val="0"/>
        </c:dLbls>
        <c:gapWidth val="150"/>
        <c:overlap val="100"/>
        <c:axId val="1728540879"/>
        <c:axId val="1728542543"/>
      </c:barChart>
      <c:catAx>
        <c:axId val="17285408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8542543"/>
        <c:crosses val="autoZero"/>
        <c:auto val="1"/>
        <c:lblAlgn val="ctr"/>
        <c:lblOffset val="100"/>
        <c:noMultiLvlLbl val="0"/>
      </c:catAx>
      <c:valAx>
        <c:axId val="1728542543"/>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0" i="0" u="none" strike="noStrike" baseline="0"/>
                  <a:t>kg Oil eq</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crossAx val="1728540879"/>
        <c:crosses val="autoZero"/>
        <c:crossBetween val="between"/>
      </c:valAx>
      <c:spPr>
        <a:noFill/>
        <a:ln>
          <a:noFill/>
        </a:ln>
        <a:effectLst/>
      </c:spPr>
    </c:plotArea>
    <c:legend>
      <c:legendPos val="r"/>
      <c:layout>
        <c:manualLayout>
          <c:xMode val="edge"/>
          <c:yMode val="edge"/>
          <c:x val="0.74542876840855721"/>
          <c:y val="0.11249792309157444"/>
          <c:w val="0.23482139617340458"/>
          <c:h val="0.78061363019277774"/>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r>
              <a:rPr lang="en-US" sz="1100">
                <a:latin typeface="Times New Roman" panose="02020603050405020304" pitchFamily="18" charset="0"/>
                <a:cs typeface="Times New Roman" panose="02020603050405020304" pitchFamily="18" charset="0"/>
              </a:rPr>
              <a:t>Global warming potential</a:t>
            </a:r>
          </a:p>
        </c:rich>
      </c:tx>
      <c:layout>
        <c:manualLayout>
          <c:xMode val="edge"/>
          <c:yMode val="edge"/>
          <c:x val="0.25578849623662814"/>
          <c:y val="4.7103155911446069E-3"/>
        </c:manualLayout>
      </c:layout>
      <c:overlay val="0"/>
      <c:spPr>
        <a:noFill/>
        <a:ln>
          <a:noFill/>
        </a:ln>
        <a:effectLst/>
      </c:spPr>
      <c:txPr>
        <a:bodyPr rot="0" spcFirstLastPara="1" vertOverflow="ellipsis" vert="horz" wrap="square" anchor="ctr" anchorCtr="1"/>
        <a:lstStyle/>
        <a:p>
          <a:pPr>
            <a:defRPr sz="1100" b="0" i="0" u="none" strike="noStrike" kern="1200" cap="none" spc="50" normalizeH="0" baseline="0">
              <a:solidFill>
                <a:schemeClr val="tx1">
                  <a:lumMod val="65000"/>
                  <a:lumOff val="35000"/>
                </a:schemeClr>
              </a:solidFill>
              <a:latin typeface="+mj-lt"/>
              <a:ea typeface="+mj-ea"/>
              <a:cs typeface="+mj-cs"/>
            </a:defRPr>
          </a:pPr>
          <a:endParaRPr lang="en-US"/>
        </a:p>
      </c:txPr>
    </c:title>
    <c:autoTitleDeleted val="0"/>
    <c:plotArea>
      <c:layout>
        <c:manualLayout>
          <c:layoutTarget val="inner"/>
          <c:xMode val="edge"/>
          <c:yMode val="edge"/>
          <c:x val="0.22814925161381855"/>
          <c:y val="2.5871501107109611E-2"/>
          <c:w val="0.77023991967447025"/>
          <c:h val="0.87928277100077512"/>
        </c:manualLayout>
      </c:layout>
      <c:barChart>
        <c:barDir val="col"/>
        <c:grouping val="clustered"/>
        <c:varyColors val="0"/>
        <c:ser>
          <c:idx val="0"/>
          <c:order val="0"/>
          <c:tx>
            <c:strRef>
              <c:f>'CO2 softwood'!$A$35</c:f>
              <c:strCache>
                <c:ptCount val="1"/>
                <c:pt idx="0">
                  <c:v>Total</c:v>
                </c:pt>
              </c:strCache>
            </c:strRef>
          </c:tx>
          <c:spPr>
            <a:solidFill>
              <a:schemeClr val="accent2">
                <a:alpha val="70000"/>
              </a:schemeClr>
            </a:solidFill>
            <a:ln>
              <a:noFill/>
            </a:ln>
            <a:effectLst/>
          </c:spPr>
          <c:invertIfNegative val="0"/>
          <c:dPt>
            <c:idx val="0"/>
            <c:invertIfNegative val="0"/>
            <c:bubble3D val="0"/>
            <c:spPr>
              <a:pattFill prst="wdUpDiag">
                <a:fgClr>
                  <a:srgbClr val="0070C0"/>
                </a:fgClr>
                <a:bgClr>
                  <a:schemeClr val="bg1"/>
                </a:bgClr>
              </a:pattFill>
              <a:ln>
                <a:noFill/>
              </a:ln>
              <a:effectLst/>
            </c:spPr>
            <c:extLst>
              <c:ext xmlns:c16="http://schemas.microsoft.com/office/drawing/2014/chart" uri="{C3380CC4-5D6E-409C-BE32-E72D297353CC}">
                <c16:uniqueId val="{00000004-075C-4FA5-A953-784D969F5912}"/>
              </c:ext>
            </c:extLst>
          </c:dPt>
          <c:dPt>
            <c:idx val="1"/>
            <c:invertIfNegative val="0"/>
            <c:bubble3D val="0"/>
            <c:spPr>
              <a:pattFill prst="plaid">
                <a:fgClr>
                  <a:schemeClr val="accent4"/>
                </a:fgClr>
                <a:bgClr>
                  <a:schemeClr val="bg1"/>
                </a:bgClr>
              </a:pattFill>
              <a:ln>
                <a:noFill/>
              </a:ln>
              <a:effectLst/>
            </c:spPr>
            <c:extLst>
              <c:ext xmlns:c16="http://schemas.microsoft.com/office/drawing/2014/chart" uri="{C3380CC4-5D6E-409C-BE32-E72D297353CC}">
                <c16:uniqueId val="{00000001-93BE-45B2-A7DE-79A02F0CC4A1}"/>
              </c:ext>
            </c:extLst>
          </c:dPt>
          <c:dPt>
            <c:idx val="2"/>
            <c:invertIfNegative val="0"/>
            <c:bubble3D val="0"/>
            <c:spPr>
              <a:pattFill prst="pct90">
                <a:fgClr>
                  <a:schemeClr val="accent6"/>
                </a:fgClr>
                <a:bgClr>
                  <a:schemeClr val="bg1"/>
                </a:bgClr>
              </a:pattFill>
              <a:ln>
                <a:noFill/>
              </a:ln>
              <a:effectLst/>
            </c:spPr>
            <c:extLst>
              <c:ext xmlns:c16="http://schemas.microsoft.com/office/drawing/2014/chart" uri="{C3380CC4-5D6E-409C-BE32-E72D297353CC}">
                <c16:uniqueId val="{00000002-93BE-45B2-A7DE-79A02F0CC4A1}"/>
              </c:ext>
            </c:extLst>
          </c:dPt>
          <c:dLbls>
            <c:delete val="1"/>
          </c:dLbls>
          <c:cat>
            <c:strRef>
              <c:f>'CO2 softwood'!$B$34:$D$34</c:f>
              <c:strCache>
                <c:ptCount val="3"/>
                <c:pt idx="0">
                  <c:v>CLT</c:v>
                </c:pt>
                <c:pt idx="1">
                  <c:v>DLT</c:v>
                </c:pt>
                <c:pt idx="2">
                  <c:v>NLT</c:v>
                </c:pt>
              </c:strCache>
            </c:strRef>
          </c:cat>
          <c:val>
            <c:numRef>
              <c:f>'CO2 softwood'!$B$35:$D$35</c:f>
              <c:numCache>
                <c:formatCode>General</c:formatCode>
                <c:ptCount val="3"/>
                <c:pt idx="0">
                  <c:v>36363</c:v>
                </c:pt>
                <c:pt idx="1">
                  <c:v>32600.1</c:v>
                </c:pt>
                <c:pt idx="2">
                  <c:v>31481.5</c:v>
                </c:pt>
              </c:numCache>
            </c:numRef>
          </c:val>
          <c:extLst>
            <c:ext xmlns:c16="http://schemas.microsoft.com/office/drawing/2014/chart" uri="{C3380CC4-5D6E-409C-BE32-E72D297353CC}">
              <c16:uniqueId val="{00000000-93BE-45B2-A7DE-79A02F0CC4A1}"/>
            </c:ext>
          </c:extLst>
        </c:ser>
        <c:dLbls>
          <c:dLblPos val="inEnd"/>
          <c:showLegendKey val="0"/>
          <c:showVal val="1"/>
          <c:showCatName val="0"/>
          <c:showSerName val="0"/>
          <c:showPercent val="0"/>
          <c:showBubbleSize val="0"/>
        </c:dLbls>
        <c:gapWidth val="80"/>
        <c:overlap val="25"/>
        <c:axId val="159317952"/>
        <c:axId val="159320032"/>
      </c:barChart>
      <c:catAx>
        <c:axId val="159317952"/>
        <c:scaling>
          <c:orientation val="minMax"/>
        </c:scaling>
        <c:delete val="0"/>
        <c:axPos val="b"/>
        <c:numFmt formatCode="General" sourceLinked="1"/>
        <c:majorTickMark val="none"/>
        <c:minorTickMark val="none"/>
        <c:tickLblPos val="nextTo"/>
        <c:spPr>
          <a:noFill/>
          <a:ln w="1587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cap="none" spc="20" normalizeH="0" baseline="0">
                <a:solidFill>
                  <a:schemeClr val="tx1">
                    <a:lumMod val="65000"/>
                    <a:lumOff val="35000"/>
                  </a:schemeClr>
                </a:solidFill>
                <a:latin typeface="+mn-lt"/>
                <a:ea typeface="+mn-ea"/>
                <a:cs typeface="+mn-cs"/>
              </a:defRPr>
            </a:pPr>
            <a:endParaRPr lang="en-US"/>
          </a:p>
        </c:txPr>
        <c:crossAx val="159320032"/>
        <c:crosses val="autoZero"/>
        <c:auto val="1"/>
        <c:lblAlgn val="ctr"/>
        <c:lblOffset val="100"/>
        <c:noMultiLvlLbl val="0"/>
      </c:catAx>
      <c:valAx>
        <c:axId val="159320032"/>
        <c:scaling>
          <c:orientation val="minMax"/>
          <c:min val="0"/>
        </c:scaling>
        <c:delete val="0"/>
        <c:axPos val="l"/>
        <c:majorGridlines>
          <c:spPr>
            <a:ln w="9525" cap="flat" cmpd="sng" algn="ctr">
              <a:solidFill>
                <a:schemeClr val="tx1">
                  <a:lumMod val="5000"/>
                  <a:lumOff val="95000"/>
                </a:schemeClr>
              </a:solidFill>
              <a:round/>
            </a:ln>
            <a:effectLst/>
          </c:spPr>
        </c:majorGridlines>
        <c:title>
          <c:tx>
            <c:rich>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r>
                  <a:rPr lang="en-US" sz="1000" b="0" i="0" cap="none" baseline="0">
                    <a:effectLst/>
                    <a:latin typeface="Times New Roman" panose="02020603050405020304" pitchFamily="18" charset="0"/>
                    <a:cs typeface="Times New Roman" panose="02020603050405020304" pitchFamily="18" charset="0"/>
                  </a:rPr>
                  <a:t>kg co</a:t>
                </a:r>
                <a:r>
                  <a:rPr lang="en-US" sz="1000" b="0" i="0" cap="none" baseline="-25000">
                    <a:effectLst/>
                    <a:latin typeface="Times New Roman" panose="02020603050405020304" pitchFamily="18" charset="0"/>
                    <a:cs typeface="Times New Roman" panose="02020603050405020304" pitchFamily="18" charset="0"/>
                  </a:rPr>
                  <a:t>2</a:t>
                </a:r>
                <a:r>
                  <a:rPr lang="en-US" sz="1000" b="0" i="0" cap="none" baseline="0">
                    <a:effectLst/>
                    <a:latin typeface="Times New Roman" panose="02020603050405020304" pitchFamily="18" charset="0"/>
                    <a:cs typeface="Times New Roman" panose="02020603050405020304" pitchFamily="18" charset="0"/>
                  </a:rPr>
                  <a:t>eq</a:t>
                </a:r>
                <a:endParaRPr lang="en-US" sz="1000" cap="none">
                  <a:effectLst/>
                  <a:latin typeface="Times New Roman" panose="02020603050405020304" pitchFamily="18" charset="0"/>
                  <a:cs typeface="Times New Roman" panose="02020603050405020304" pitchFamily="18" charset="0"/>
                </a:endParaRPr>
              </a:p>
            </c:rich>
          </c:tx>
          <c:layout>
            <c:manualLayout>
              <c:xMode val="edge"/>
              <c:yMode val="edge"/>
              <c:x val="0"/>
              <c:y val="0.38780972164824035"/>
            </c:manualLayout>
          </c:layout>
          <c:overlay val="0"/>
          <c:spPr>
            <a:noFill/>
            <a:ln>
              <a:noFill/>
            </a:ln>
            <a:effectLst/>
          </c:spPr>
          <c:txPr>
            <a:bodyPr rot="-5400000" spcFirstLastPara="1" vertOverflow="ellipsis" vert="horz" wrap="square" anchor="ctr" anchorCtr="1"/>
            <a:lstStyle/>
            <a:p>
              <a:pPr marL="0" marR="0" lvl="0" indent="0" algn="ctr" defTabSz="914400" rtl="0" eaLnBrk="1" fontAlgn="auto" latinLnBrk="0" hangingPunct="1">
                <a:lnSpc>
                  <a:spcPct val="100000"/>
                </a:lnSpc>
                <a:spcBef>
                  <a:spcPts val="0"/>
                </a:spcBef>
                <a:spcAft>
                  <a:spcPts val="0"/>
                </a:spcAft>
                <a:buClrTx/>
                <a:buSzTx/>
                <a:buFontTx/>
                <a:buNone/>
                <a:tabLst/>
                <a:defRPr sz="900" b="0" i="0" u="none" strike="noStrike" kern="1200" cap="all" baseline="0">
                  <a:solidFill>
                    <a:sysClr val="windowText" lastClr="000000">
                      <a:lumMod val="65000"/>
                      <a:lumOff val="35000"/>
                    </a:sys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tx1">
                    <a:lumMod val="65000"/>
                    <a:lumOff val="35000"/>
                  </a:schemeClr>
                </a:solidFill>
                <a:latin typeface="+mn-lt"/>
                <a:ea typeface="+mn-ea"/>
                <a:cs typeface="+mn-cs"/>
              </a:defRPr>
            </a:pPr>
            <a:endParaRPr lang="en-US"/>
          </a:p>
        </c:txPr>
        <c:crossAx val="1593179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9">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cs:styleClr val="auto"/>
    </cs:fontRef>
    <cs:defRPr sz="1000" b="1" i="0" u="none" strike="noStrike" kern="1200" spc="0" baseline="0"/>
  </cs:dataLabel>
  <cs:dataLabelCallout>
    <cs:lnRef idx="0">
      <cs:styleClr val="auto"/>
    </cs:lnRef>
    <cs:fillRef idx="0"/>
    <cs:effectRef idx="0"/>
    <cs:fontRef idx="minor">
      <cs:styleClr val="auto"/>
    </cs:fontRef>
    <cs:spPr>
      <a:solidFill>
        <a:schemeClr val="lt1"/>
      </a:solidFill>
      <a:ln>
        <a:solidFill>
          <a:schemeClr val="phClr"/>
        </a:solidFill>
      </a:ln>
    </cs:spPr>
    <cs:defRPr sz="1000" b="1"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635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88900" sx="102000" sy="102000" algn="ctr" rotWithShape="0">
          <a:prstClr val="black">
            <a:alpha val="10000"/>
          </a:prstClr>
        </a:outerShdw>
      </a:effectLst>
      <a:scene3d>
        <a:camera prst="orthographicFront"/>
        <a:lightRig rig="threePt" dir="t"/>
      </a:scene3d>
      <a:sp3d>
        <a:bevelT w="127000" h="127000"/>
        <a:bevelB w="127000" h="127000"/>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15875" cap="flat" cmpd="sng" algn="ctr">
        <a:solidFill>
          <a:schemeClr val="tx1">
            <a:lumMod val="25000"/>
            <a:lumOff val="75000"/>
          </a:schemeClr>
        </a:solidFill>
        <a:round/>
      </a:ln>
    </cs:spPr>
    <cs:defRPr sz="900" kern="1200" cap="none" spc="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alpha val="70000"/>
        </a:schemeClr>
      </a:solidFill>
    </cs:spPr>
  </cs:dataPoint>
  <cs:dataPoint3D>
    <cs:lnRef idx="0"/>
    <cs:fillRef idx="0">
      <cs:styleClr val="auto"/>
    </cs:fillRef>
    <cs:effectRef idx="0"/>
    <cs:fontRef idx="minor">
      <a:schemeClr val="dk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alpha val="70000"/>
          </a:schemeClr>
        </a:solidFill>
        <a:round/>
      </a:ln>
    </cs:spPr>
  </cs:dataPointLine>
  <cs:dataPointMarker>
    <cs:lnRef idx="0"/>
    <cs:fillRef idx="0">
      <cs:styleClr val="auto"/>
    </cs:fillRef>
    <cs:effectRef idx="0"/>
    <cs:fontRef idx="minor">
      <a:schemeClr val="dk1"/>
    </cs:fontRef>
    <cs:spPr>
      <a:solidFill>
        <a:schemeClr val="phClr">
          <a:alpha val="70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5000"/>
            <a:lumOff val="9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baseline="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ajor">
      <a:schemeClr val="tx1">
        <a:lumMod val="65000"/>
        <a:lumOff val="35000"/>
      </a:schemeClr>
    </cs:fontRef>
    <cs:defRPr sz="1600" b="0" i="0" kern="1200" cap="none" spc="50" normalizeH="0" baseline="0"/>
  </cs:title>
  <cs:trendline>
    <cs:lnRef idx="0">
      <cs:styleClr val="auto"/>
    </cs:lnRef>
    <cs:fillRef idx="0"/>
    <cs:effectRef idx="0"/>
    <cs:fontRef idx="minor">
      <a:schemeClr val="dk1"/>
    </cs:fontRef>
    <cs:spPr>
      <a:ln w="1587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spc="20" baseline="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CB5E45B7-4246-43F3-B693-96FF241301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213</TotalTime>
  <Pages>27</Pages>
  <Words>32855</Words>
  <Characters>187278</Characters>
  <Application>Microsoft Office Word</Application>
  <DocSecurity>0</DocSecurity>
  <Lines>1560</Lines>
  <Paragraphs>439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219694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dc:creator>
  <cp:keywords/>
  <dc:description/>
  <cp:lastModifiedBy>ATB</cp:lastModifiedBy>
  <cp:revision>79</cp:revision>
  <cp:lastPrinted>2022-05-26T09:26:00Z</cp:lastPrinted>
  <dcterms:created xsi:type="dcterms:W3CDTF">2022-05-26T02:26:00Z</dcterms:created>
  <dcterms:modified xsi:type="dcterms:W3CDTF">2022-10-13T00:02:00Z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8th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Unique User Id_1">
    <vt:lpwstr>1925b4fe-36fc-3059-9786-12e99c144cd6</vt:lpwstr>
  </property>
  <property fmtid="{D5CDD505-2E9C-101B-9397-08002B2CF9AE}" pid="24" name="Mendeley Citation Style_1">
    <vt:lpwstr>http://www.zotero.org/styles/apa</vt:lpwstr>
  </property>
</Properties>
</file>