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2B52" w14:textId="1FA1A7EB" w:rsidR="00252BF9" w:rsidRPr="00252BF9" w:rsidRDefault="00252BF9" w:rsidP="00252BF9">
      <w:pPr>
        <w:pStyle w:val="Title"/>
        <w:rPr>
          <w:u w:val="single"/>
        </w:rPr>
      </w:pPr>
      <w:r w:rsidRPr="00252BF9">
        <w:rPr>
          <w:u w:val="single"/>
        </w:rPr>
        <w:t>This is a draft chapter/article. The final version will be available in</w:t>
      </w:r>
      <w:r w:rsidR="00354614">
        <w:rPr>
          <w:u w:val="single"/>
        </w:rPr>
        <w:t xml:space="preserve"> </w:t>
      </w:r>
      <w:r w:rsidR="00354614" w:rsidRPr="00354614">
        <w:rPr>
          <w:i/>
          <w:iCs/>
          <w:u w:val="single"/>
        </w:rPr>
        <w:t>Research Handbook on Marriage, Cohabitation and the Law</w:t>
      </w:r>
      <w:r w:rsidRPr="00252BF9">
        <w:rPr>
          <w:u w:val="single"/>
        </w:rPr>
        <w:t xml:space="preserve"> edited by </w:t>
      </w:r>
      <w:r w:rsidR="009B15CE" w:rsidRPr="009B15CE">
        <w:rPr>
          <w:u w:val="single"/>
        </w:rPr>
        <w:t>Rebecca Probert and Sharon Thompson</w:t>
      </w:r>
      <w:r w:rsidR="009B15CE">
        <w:rPr>
          <w:u w:val="single"/>
        </w:rPr>
        <w:t xml:space="preserve">, </w:t>
      </w:r>
      <w:r w:rsidRPr="00252BF9">
        <w:rPr>
          <w:u w:val="single"/>
        </w:rPr>
        <w:t>forthcoming 20</w:t>
      </w:r>
      <w:r w:rsidR="009B15CE">
        <w:rPr>
          <w:u w:val="single"/>
        </w:rPr>
        <w:t>24</w:t>
      </w:r>
      <w:r w:rsidRPr="00252BF9">
        <w:rPr>
          <w:u w:val="single"/>
        </w:rPr>
        <w:t>, Edward Elgar Publishing Ltd.</w:t>
      </w:r>
    </w:p>
    <w:p w14:paraId="2840B8AB" w14:textId="0AF53AC1" w:rsidR="00252BF9" w:rsidRPr="00252BF9" w:rsidRDefault="00252BF9" w:rsidP="006E7D85">
      <w:pPr>
        <w:pStyle w:val="Title"/>
        <w:rPr>
          <w:u w:val="single"/>
        </w:rPr>
      </w:pPr>
      <w:r w:rsidRPr="00252BF9">
        <w:rPr>
          <w:u w:val="single"/>
        </w:rPr>
        <w:t xml:space="preserve">The material cannot be used for any other purpose without further permission of the </w:t>
      </w:r>
      <w:proofErr w:type="gramStart"/>
      <w:r w:rsidRPr="00252BF9">
        <w:rPr>
          <w:u w:val="single"/>
        </w:rPr>
        <w:t>publisher, and</w:t>
      </w:r>
      <w:proofErr w:type="gramEnd"/>
      <w:r w:rsidRPr="00252BF9">
        <w:rPr>
          <w:u w:val="single"/>
        </w:rPr>
        <w:t xml:space="preserve"> is for private use only.</w:t>
      </w:r>
    </w:p>
    <w:p w14:paraId="1D527EE4" w14:textId="77777777" w:rsidR="00252BF9" w:rsidRDefault="00252BF9" w:rsidP="006E7D85">
      <w:pPr>
        <w:pStyle w:val="Title"/>
      </w:pPr>
    </w:p>
    <w:p w14:paraId="5D134CB6" w14:textId="6C268894" w:rsidR="006E7D85" w:rsidRPr="006E7D85" w:rsidRDefault="006E7D85" w:rsidP="006E7D85">
      <w:pPr>
        <w:pStyle w:val="Title"/>
      </w:pPr>
      <w:r w:rsidRPr="006E7D85">
        <w:t>Complex Relationships: Marriage and Relationship Status, Procreation and Criminal Law</w:t>
      </w:r>
    </w:p>
    <w:p w14:paraId="525355BD" w14:textId="6EDF875A" w:rsidR="006E7D85" w:rsidRDefault="006E7D85" w:rsidP="00023C2F">
      <w:pPr>
        <w:pStyle w:val="Subtitle"/>
      </w:pPr>
      <w:r w:rsidRPr="006E7D85">
        <w:t>Cameron Giles</w:t>
      </w:r>
    </w:p>
    <w:p w14:paraId="2D860E3D" w14:textId="7384C7C0" w:rsidR="006E7D85" w:rsidRDefault="006E7D85" w:rsidP="006E7D85">
      <w:pPr>
        <w:pStyle w:val="Heading1"/>
      </w:pPr>
      <w:r w:rsidRPr="006E7D85">
        <w:t>INTRODUCTION</w:t>
      </w:r>
    </w:p>
    <w:p w14:paraId="1C4656E0" w14:textId="14535778" w:rsidR="006E7D85" w:rsidRDefault="006E7D85" w:rsidP="00677622">
      <w:pPr>
        <w:jc w:val="both"/>
      </w:pPr>
      <w:r>
        <w:t>At first sight, it may seem outdated to speak of a relationship between the law on marital and relationship status and criminal law.</w:t>
      </w:r>
      <w:r w:rsidR="00554568" w:rsidRPr="00444F1D">
        <w:rPr>
          <w:rStyle w:val="FootnoteReference"/>
        </w:rPr>
        <w:footnoteReference w:id="1"/>
      </w:r>
      <w:r w:rsidR="00554568">
        <w:t xml:space="preserve"> Contemporary marital law no longer relies on criminal law to communicate the setting for legitimate sexual activity, as Witte has highlighted: </w:t>
      </w:r>
    </w:p>
    <w:p w14:paraId="56CF2722" w14:textId="1D8681A9" w:rsidR="00FF7841" w:rsidRDefault="00554568" w:rsidP="00FF7841">
      <w:pPr>
        <w:ind w:left="720"/>
        <w:jc w:val="both"/>
      </w:pPr>
      <w:r>
        <w:t>Historically, Western family law promoted the integration of marriage, sex, procreation, and child-rearing within an enduring and exclusive marital household; criminal law, in turn, prohibited sexual conduct that threatened or undermined this integrative domestic ideal. Today, family law embraces a far wider range of sexual activities and domestic relationships … This new family law reg</w:t>
      </w:r>
      <w:r w:rsidR="00FF7841">
        <w:t>ime</w:t>
      </w:r>
      <w:r>
        <w:t xml:space="preserve"> </w:t>
      </w:r>
      <w:r w:rsidR="00FF7841">
        <w:t>has far less room and need for many traditional sex crimes.</w:t>
      </w:r>
      <w:r w:rsidR="00292513" w:rsidRPr="00444F1D">
        <w:rPr>
          <w:rStyle w:val="FootnoteReference"/>
        </w:rPr>
        <w:footnoteReference w:id="2"/>
      </w:r>
    </w:p>
    <w:p w14:paraId="1F004864" w14:textId="42A5B273" w:rsidR="00FF7841" w:rsidRDefault="00FF7841" w:rsidP="00677622">
      <w:pPr>
        <w:jc w:val="both"/>
      </w:pPr>
      <w:r>
        <w:t>Despite increased diversity of relationship recognition, including the extension of marriage to same-sex couples in jurisdictions including the U</w:t>
      </w:r>
      <w:r w:rsidR="00FD32EE">
        <w:t>K</w:t>
      </w:r>
      <w:r>
        <w:t>, I argue that a relationship between family and criminal law persists. Family law may no longer depend upon criminal law as a regulatory mechanism. However, many aspects of criminal law continue to rely upon models and ideals of family life and relationships, even where these are no longer perceived as immutable within family law</w:t>
      </w:r>
      <w:r w:rsidR="003038D6">
        <w:t xml:space="preserve"> itself</w:t>
      </w:r>
      <w:r>
        <w:t xml:space="preserve">. </w:t>
      </w:r>
    </w:p>
    <w:p w14:paraId="4F2E7C12" w14:textId="70A99823" w:rsidR="00FF7841" w:rsidRDefault="00FF7841" w:rsidP="00677622">
      <w:pPr>
        <w:jc w:val="both"/>
      </w:pPr>
      <w:proofErr w:type="gramStart"/>
      <w:r>
        <w:t>In particular, criminal</w:t>
      </w:r>
      <w:proofErr w:type="gramEnd"/>
      <w:r>
        <w:t xml:space="preserve"> law continues to draw upon models of family life to shape and limit criminal liability, particularly in relation to offences linked to sexual conduct. Writing on this prior to the introduction of the Sexual Offences Act 2003, Lacey suggested that ‘criminal law produces, both explicitly and implicitly, a norm of adult heterosexual activity, and of penetrative heterosexual intercourse as the paradigm of normal sexual behaviour.’</w:t>
      </w:r>
      <w:r w:rsidR="00FB338A" w:rsidRPr="00444F1D">
        <w:rPr>
          <w:rStyle w:val="FootnoteReference"/>
        </w:rPr>
        <w:footnoteReference w:id="3"/>
      </w:r>
      <w:r>
        <w:t xml:space="preserve"> </w:t>
      </w:r>
      <w:r w:rsidR="00C25782">
        <w:t xml:space="preserve">This chapter uses </w:t>
      </w:r>
      <w:r>
        <w:t>English law as a case study to argue that</w:t>
      </w:r>
      <w:r w:rsidR="0027454C">
        <w:t>,</w:t>
      </w:r>
      <w:r>
        <w:t xml:space="preserve"> even after the 2003 Act, criminal law continues to frame heterosexual sex, with the procreative consequences it </w:t>
      </w:r>
      <w:r w:rsidR="00FD32EE">
        <w:t>potentially</w:t>
      </w:r>
      <w:r>
        <w:t xml:space="preserve"> entails, as the norm. </w:t>
      </w:r>
    </w:p>
    <w:p w14:paraId="48E88879" w14:textId="1E467C3F" w:rsidR="00DB4050" w:rsidRDefault="00DB4050" w:rsidP="00677622">
      <w:pPr>
        <w:jc w:val="both"/>
      </w:pPr>
      <w:r>
        <w:lastRenderedPageBreak/>
        <w:t xml:space="preserve">These issues are, of course, not unique to England and Wales. Issues </w:t>
      </w:r>
      <w:r w:rsidR="009D5658">
        <w:t>concerning</w:t>
      </w:r>
      <w:r>
        <w:t xml:space="preserve"> the relationship between sexual consent, marital status, </w:t>
      </w:r>
      <w:proofErr w:type="gramStart"/>
      <w:r>
        <w:t>procreation</w:t>
      </w:r>
      <w:proofErr w:type="gramEnd"/>
      <w:r>
        <w:t xml:space="preserve"> and the relationship between family and criminal law can also be seen in other jurisdictions. This chapter builds on the work of Murray, whose analysis of criminal and family law in the USA demonstrates the benefits of an analysis </w:t>
      </w:r>
      <w:r w:rsidR="009D5658">
        <w:t>combining</w:t>
      </w:r>
      <w:r>
        <w:t xml:space="preserve"> both perspectives.</w:t>
      </w:r>
      <w:r w:rsidRPr="00444F1D">
        <w:rPr>
          <w:rStyle w:val="FootnoteReference"/>
        </w:rPr>
        <w:footnoteReference w:id="4"/>
      </w:r>
      <w:r>
        <w:t xml:space="preserve"> Murray points to sodomy offences and other uses of criminal law to highlight where ‘criminal law has reflected and furthered family law’s stated interest in protecting and promoting the family as a cornerstone of society’</w:t>
      </w:r>
      <w:r w:rsidR="00032F93">
        <w:t>.</w:t>
      </w:r>
      <w:r w:rsidR="00FB338A" w:rsidRPr="00444F1D">
        <w:rPr>
          <w:rStyle w:val="FootnoteReference"/>
        </w:rPr>
        <w:footnoteReference w:id="5"/>
      </w:r>
      <w:r w:rsidR="00817D3A">
        <w:t xml:space="preserve"> </w:t>
      </w:r>
      <w:r w:rsidR="009F5AF1">
        <w:t>This,</w:t>
      </w:r>
      <w:r w:rsidR="00817D3A">
        <w:t xml:space="preserve"> Murray suggests</w:t>
      </w:r>
      <w:r w:rsidR="009F5AF1">
        <w:t>,</w:t>
      </w:r>
      <w:r w:rsidR="00817D3A">
        <w:t xml:space="preserve"> is demonstrative of the value communication seen in aspects of both criminal and family law:</w:t>
      </w:r>
    </w:p>
    <w:p w14:paraId="7F4F886D" w14:textId="2263CC1C" w:rsidR="00677622" w:rsidRDefault="00817D3A" w:rsidP="00D847F3">
      <w:pPr>
        <w:ind w:left="720"/>
        <w:jc w:val="both"/>
      </w:pPr>
      <w:r>
        <w:t>On one level, criminalizing [sodomy] conduct reiterate[d] the understanding of marriage as a heterosexual undertaking; however, these laws also were intended to denounce the non-procreative character of same-sex sex. In this way, anti-sodomy laws were not solely about defining marriage as a heterosexual enterprise; they also were intended to clarify marriage’s procreative purpose.</w:t>
      </w:r>
      <w:r w:rsidR="00FB338A" w:rsidRPr="00444F1D">
        <w:rPr>
          <w:rStyle w:val="FootnoteReference"/>
        </w:rPr>
        <w:footnoteReference w:id="6"/>
      </w:r>
    </w:p>
    <w:p w14:paraId="3DA64DD3" w14:textId="4E0EB523" w:rsidR="00633D24" w:rsidRDefault="009D5658" w:rsidP="00677622">
      <w:pPr>
        <w:jc w:val="both"/>
      </w:pPr>
      <w:r>
        <w:t>Similarly</w:t>
      </w:r>
      <w:r w:rsidR="0019062B">
        <w:t xml:space="preserve">, </w:t>
      </w:r>
      <w:r>
        <w:t xml:space="preserve">I argue that in England and Wales, criminal law continues to reproduce hierarchies of sex and sexuality. </w:t>
      </w:r>
      <w:r w:rsidR="0019062B">
        <w:t>This has significance no</w:t>
      </w:r>
      <w:r w:rsidR="00A2674C">
        <w:t>t</w:t>
      </w:r>
      <w:r w:rsidR="0019062B">
        <w:t xml:space="preserve"> only to the critical analysis of criminal law; but </w:t>
      </w:r>
      <w:r w:rsidR="00FD32EE">
        <w:t>also offers</w:t>
      </w:r>
      <w:r w:rsidR="0019062B">
        <w:t xml:space="preserve"> an underexplored perspective on ongoing debates in family law, most notably </w:t>
      </w:r>
      <w:r w:rsidR="009F5AF1">
        <w:t xml:space="preserve">those concerning the </w:t>
      </w:r>
      <w:r w:rsidR="0019062B">
        <w:t xml:space="preserve">availability of same-sex marriage. </w:t>
      </w:r>
    </w:p>
    <w:p w14:paraId="34C51B6E" w14:textId="10C80B85" w:rsidR="0019062B" w:rsidRDefault="0019062B" w:rsidP="00677622">
      <w:pPr>
        <w:jc w:val="both"/>
      </w:pPr>
      <w:r>
        <w:t xml:space="preserve">The position as it currently stands in England and Wales is particularly complex due to three factors: first, developments in English criminal law, particularly in cases such as </w:t>
      </w:r>
      <w:proofErr w:type="spellStart"/>
      <w:r>
        <w:rPr>
          <w:i/>
          <w:iCs/>
        </w:rPr>
        <w:t>Dica</w:t>
      </w:r>
      <w:proofErr w:type="spellEnd"/>
      <w:r>
        <w:rPr>
          <w:i/>
          <w:iCs/>
        </w:rPr>
        <w:t>,</w:t>
      </w:r>
      <w:r w:rsidRPr="00444F1D">
        <w:rPr>
          <w:rStyle w:val="FootnoteReference"/>
        </w:rPr>
        <w:footnoteReference w:id="7"/>
      </w:r>
      <w:r>
        <w:rPr>
          <w:i/>
          <w:iCs/>
        </w:rPr>
        <w:t xml:space="preserve"> McNally,</w:t>
      </w:r>
      <w:r w:rsidRPr="00444F1D">
        <w:rPr>
          <w:rStyle w:val="FootnoteReference"/>
        </w:rPr>
        <w:footnoteReference w:id="8"/>
      </w:r>
      <w:r>
        <w:rPr>
          <w:i/>
          <w:iCs/>
        </w:rPr>
        <w:t xml:space="preserve"> </w:t>
      </w:r>
      <w:r>
        <w:t xml:space="preserve">and </w:t>
      </w:r>
      <w:r>
        <w:rPr>
          <w:i/>
          <w:iCs/>
        </w:rPr>
        <w:t>Lawrance</w:t>
      </w:r>
      <w:r w:rsidR="00005997">
        <w:t>;</w:t>
      </w:r>
      <w:r w:rsidR="00005997" w:rsidRPr="00444F1D">
        <w:rPr>
          <w:rStyle w:val="FootnoteReference"/>
        </w:rPr>
        <w:footnoteReference w:id="9"/>
      </w:r>
      <w:r>
        <w:rPr>
          <w:i/>
          <w:iCs/>
        </w:rPr>
        <w:t xml:space="preserve"> </w:t>
      </w:r>
      <w:r>
        <w:t xml:space="preserve"> </w:t>
      </w:r>
      <w:r w:rsidR="00005997">
        <w:t xml:space="preserve">second, the position of the Church of England as the established church; and third, the restrictions on </w:t>
      </w:r>
      <w:r w:rsidR="00FD32EE">
        <w:t xml:space="preserve">same-sex </w:t>
      </w:r>
      <w:r w:rsidR="00005997">
        <w:t xml:space="preserve">marriage set out in the Marriage (Same Sex) Couples Act 2013. </w:t>
      </w:r>
    </w:p>
    <w:p w14:paraId="0CA5CCCC" w14:textId="6AAF8B21" w:rsidR="00005997" w:rsidRDefault="00005997" w:rsidP="00677622">
      <w:pPr>
        <w:jc w:val="both"/>
      </w:pPr>
      <w:r>
        <w:t xml:space="preserve">Restrictions on the </w:t>
      </w:r>
      <w:r w:rsidR="00B64BBB">
        <w:t>extension</w:t>
      </w:r>
      <w:r>
        <w:t xml:space="preserve"> of marriage to same-sex couples, particularly the prohibition on clergy in the Church of England solemnizing same-sex marriages,</w:t>
      </w:r>
      <w:r w:rsidR="002F043D" w:rsidRPr="00444F1D">
        <w:rPr>
          <w:rStyle w:val="FootnoteReference"/>
        </w:rPr>
        <w:footnoteReference w:id="10"/>
      </w:r>
      <w:r w:rsidR="00B64BBB">
        <w:t xml:space="preserve"> have been subject to critique both during and since the passage of the 2013 Act – including</w:t>
      </w:r>
      <w:r w:rsidR="0027454C">
        <w:t xml:space="preserve"> </w:t>
      </w:r>
      <w:r w:rsidR="00B64BBB">
        <w:t>through The Campaign for Marriage Equality in the Church of England.</w:t>
      </w:r>
      <w:r w:rsidR="00B64BBB" w:rsidRPr="00444F1D">
        <w:rPr>
          <w:rStyle w:val="FootnoteReference"/>
        </w:rPr>
        <w:footnoteReference w:id="11"/>
      </w:r>
      <w:r w:rsidR="00B64BBB">
        <w:t xml:space="preserve"> Recently, further scrutiny of this position has been prompted by calls from </w:t>
      </w:r>
      <w:r w:rsidR="009F5AF1">
        <w:t xml:space="preserve">among </w:t>
      </w:r>
      <w:r w:rsidR="00B64BBB">
        <w:t>Anglican clergy to extend some provision to same-sex couples.</w:t>
      </w:r>
      <w:r w:rsidR="00B64BBB" w:rsidRPr="00444F1D">
        <w:rPr>
          <w:rStyle w:val="FootnoteReference"/>
        </w:rPr>
        <w:footnoteReference w:id="12"/>
      </w:r>
    </w:p>
    <w:p w14:paraId="587C2E2D" w14:textId="65FCEB88" w:rsidR="00633D24" w:rsidRDefault="00383F9B" w:rsidP="00677622">
      <w:pPr>
        <w:jc w:val="both"/>
      </w:pPr>
      <w:r>
        <w:lastRenderedPageBreak/>
        <w:t xml:space="preserve">The current position of the Church of England is complex and </w:t>
      </w:r>
      <w:r w:rsidR="00B964F1">
        <w:t>precarious</w:t>
      </w:r>
      <w:r>
        <w:t xml:space="preserve">. </w:t>
      </w:r>
      <w:r w:rsidR="00AB4AA1">
        <w:t xml:space="preserve">Resolution </w:t>
      </w:r>
      <w:r w:rsidR="00FD32EE">
        <w:t>I</w:t>
      </w:r>
      <w:r w:rsidR="00AB4AA1">
        <w:t>.10 of the 1998 Lambeth Conference condemned ‘homosexual practice’ and rejected the possibility of ‘the legitimising or blessing of same sex unions’.</w:t>
      </w:r>
      <w:r w:rsidR="00AB4AA1" w:rsidRPr="00444F1D">
        <w:rPr>
          <w:rStyle w:val="FootnoteReference"/>
        </w:rPr>
        <w:footnoteReference w:id="13"/>
      </w:r>
      <w:r w:rsidR="00AB4AA1">
        <w:t xml:space="preserve"> </w:t>
      </w:r>
      <w:r w:rsidR="00A44D87">
        <w:t xml:space="preserve">As recently as 2022 </w:t>
      </w:r>
      <w:r w:rsidR="00390BAC">
        <w:t xml:space="preserve">this </w:t>
      </w:r>
      <w:r w:rsidR="00A44D87">
        <w:t xml:space="preserve">position </w:t>
      </w:r>
      <w:r w:rsidR="00770066">
        <w:t>was</w:t>
      </w:r>
      <w:r w:rsidR="00A44D87">
        <w:t xml:space="preserve"> reiterated,</w:t>
      </w:r>
      <w:r w:rsidR="00A44D87" w:rsidRPr="00444F1D">
        <w:rPr>
          <w:rStyle w:val="FootnoteReference"/>
        </w:rPr>
        <w:footnoteReference w:id="14"/>
      </w:r>
      <w:r w:rsidR="00A44D87">
        <w:t xml:space="preserve"> however, the </w:t>
      </w:r>
      <w:r w:rsidR="00770066">
        <w:t xml:space="preserve">February 2023 </w:t>
      </w:r>
      <w:r w:rsidR="00A44D87">
        <w:t xml:space="preserve">General Synod </w:t>
      </w:r>
      <w:r w:rsidR="0015367A">
        <w:t>acknowledged the intention t</w:t>
      </w:r>
      <w:r w:rsidR="00390BAC">
        <w:t>o replace Resolution I.10</w:t>
      </w:r>
      <w:r w:rsidR="0015367A">
        <w:t>,</w:t>
      </w:r>
      <w:r w:rsidR="00770066">
        <w:t xml:space="preserve"> although</w:t>
      </w:r>
      <w:r w:rsidR="0015367A">
        <w:t xml:space="preserve"> not</w:t>
      </w:r>
      <w:r w:rsidR="005F3319">
        <w:t xml:space="preserve"> without contention.</w:t>
      </w:r>
      <w:r w:rsidR="00970CEE" w:rsidRPr="00444F1D">
        <w:rPr>
          <w:rStyle w:val="FootnoteReference"/>
        </w:rPr>
        <w:footnoteReference w:id="15"/>
      </w:r>
      <w:r w:rsidR="005F3319">
        <w:t xml:space="preserve"> </w:t>
      </w:r>
      <w:r w:rsidR="00C5629B">
        <w:t xml:space="preserve">The </w:t>
      </w:r>
      <w:r w:rsidR="001163FD">
        <w:t>dual emphasis on marriage and sexual activity seen in Lambeth I.10 highlight</w:t>
      </w:r>
      <w:r w:rsidR="00C5629B">
        <w:t>s</w:t>
      </w:r>
      <w:r w:rsidR="001163FD">
        <w:t xml:space="preserve"> the connection</w:t>
      </w:r>
      <w:r w:rsidR="007D026E">
        <w:t>s that can exist between judgments about the value of sexual activity and positions on same-sex marriage</w:t>
      </w:r>
      <w:r w:rsidR="004D6F26">
        <w:t xml:space="preserve"> recognition</w:t>
      </w:r>
      <w:r w:rsidR="007D026E">
        <w:t xml:space="preserve"> </w:t>
      </w:r>
      <w:r w:rsidR="00D1119B">
        <w:t>which</w:t>
      </w:r>
      <w:r w:rsidR="007D026E">
        <w:t xml:space="preserve">, I </w:t>
      </w:r>
      <w:r w:rsidR="002F7512">
        <w:t>suggest</w:t>
      </w:r>
      <w:r w:rsidR="007D026E">
        <w:t xml:space="preserve">, can be critically evaluated through comparison using </w:t>
      </w:r>
      <w:r w:rsidR="00390BAC">
        <w:t>the dual lenses of criminal and family law.</w:t>
      </w:r>
      <w:r w:rsidR="001163FD">
        <w:t xml:space="preserve"> </w:t>
      </w:r>
    </w:p>
    <w:p w14:paraId="16C7CEB9" w14:textId="76FBFFB8" w:rsidR="009B7B71" w:rsidRDefault="00390BAC" w:rsidP="00677622">
      <w:pPr>
        <w:jc w:val="both"/>
      </w:pPr>
      <w:r>
        <w:t xml:space="preserve">The heteronormative and </w:t>
      </w:r>
      <w:r w:rsidR="009B7B71">
        <w:t>procreative foundations of marital law have been extensively discussed elsewhere.</w:t>
      </w:r>
      <w:r w:rsidR="009B7B71" w:rsidRPr="00444F1D">
        <w:rPr>
          <w:rStyle w:val="FootnoteReference"/>
        </w:rPr>
        <w:footnoteReference w:id="16"/>
      </w:r>
      <w:r w:rsidR="009B7B71">
        <w:t xml:space="preserve"> I argue that</w:t>
      </w:r>
      <w:r w:rsidR="00770066">
        <w:t>,</w:t>
      </w:r>
      <w:r w:rsidR="009B7B71">
        <w:t xml:space="preserve"> by examining how procreation </w:t>
      </w:r>
      <w:r w:rsidR="00FD32EE">
        <w:t>influences both</w:t>
      </w:r>
      <w:r w:rsidR="009B7B71">
        <w:t xml:space="preserve"> criminal and family law,</w:t>
      </w:r>
      <w:r w:rsidR="002F043D" w:rsidRPr="00444F1D">
        <w:rPr>
          <w:rStyle w:val="FootnoteReference"/>
        </w:rPr>
        <w:footnoteReference w:id="17"/>
      </w:r>
      <w:r w:rsidR="009B7B71">
        <w:t xml:space="preserve"> further important reflection on future reform in England is possible.</w:t>
      </w:r>
      <w:r w:rsidR="002F043D" w:rsidRPr="00444F1D">
        <w:rPr>
          <w:rStyle w:val="FootnoteReference"/>
        </w:rPr>
        <w:footnoteReference w:id="18"/>
      </w:r>
      <w:r w:rsidR="009B7B71">
        <w:t xml:space="preserve"> </w:t>
      </w:r>
      <w:r w:rsidR="00633D24">
        <w:t>B</w:t>
      </w:r>
      <w:r w:rsidR="009B7B71">
        <w:t xml:space="preserve">eginning by first </w:t>
      </w:r>
      <w:r w:rsidR="00FD32EE">
        <w:t>reviewing</w:t>
      </w:r>
      <w:r w:rsidR="009B7B71">
        <w:t xml:space="preserve"> the role of procreation within religious ideals of marriage, before then addressing the deployment</w:t>
      </w:r>
      <w:r w:rsidR="00FD32EE">
        <w:t xml:space="preserve"> of procreation</w:t>
      </w:r>
      <w:r w:rsidR="009B7B71">
        <w:t xml:space="preserve"> within </w:t>
      </w:r>
      <w:proofErr w:type="spellStart"/>
      <w:r w:rsidR="009B7B71">
        <w:rPr>
          <w:i/>
          <w:iCs/>
        </w:rPr>
        <w:t>Dica</w:t>
      </w:r>
      <w:proofErr w:type="spellEnd"/>
      <w:r w:rsidR="009B7B71">
        <w:rPr>
          <w:i/>
          <w:iCs/>
        </w:rPr>
        <w:t xml:space="preserve"> </w:t>
      </w:r>
      <w:r w:rsidR="009B7B71">
        <w:t xml:space="preserve">and </w:t>
      </w:r>
      <w:r w:rsidR="009B7B71">
        <w:rPr>
          <w:i/>
          <w:iCs/>
        </w:rPr>
        <w:t>Lawrance</w:t>
      </w:r>
      <w:r w:rsidR="009B7B71">
        <w:t>,</w:t>
      </w:r>
      <w:r w:rsidR="009B7B71" w:rsidRPr="00444F1D">
        <w:rPr>
          <w:rStyle w:val="FootnoteReference"/>
        </w:rPr>
        <w:footnoteReference w:id="19"/>
      </w:r>
      <w:r w:rsidR="009B7B71">
        <w:t xml:space="preserve"> this chapter </w:t>
      </w:r>
      <w:r w:rsidR="005A67E6">
        <w:t>explores the role</w:t>
      </w:r>
      <w:r w:rsidR="009B7B71">
        <w:t xml:space="preserve"> of </w:t>
      </w:r>
      <w:r w:rsidR="00770066">
        <w:t xml:space="preserve">procreation, </w:t>
      </w:r>
      <w:r w:rsidR="009B7B71">
        <w:t>privacy</w:t>
      </w:r>
      <w:r w:rsidR="005A67E6">
        <w:t xml:space="preserve"> </w:t>
      </w:r>
      <w:r w:rsidR="009B7B71">
        <w:t xml:space="preserve">and </w:t>
      </w:r>
      <w:r w:rsidR="00D01D81">
        <w:t>“</w:t>
      </w:r>
      <w:r w:rsidR="009B7B71" w:rsidRPr="00DB725C">
        <w:t>common sense</w:t>
      </w:r>
      <w:r w:rsidR="00D01D81">
        <w:t>”</w:t>
      </w:r>
      <w:r w:rsidR="009B7B71">
        <w:rPr>
          <w:i/>
          <w:iCs/>
        </w:rPr>
        <w:t xml:space="preserve"> </w:t>
      </w:r>
      <w:r w:rsidR="009B7B71">
        <w:t xml:space="preserve">attitudes </w:t>
      </w:r>
      <w:r w:rsidR="00946445">
        <w:t xml:space="preserve">towards sexual activity. It then </w:t>
      </w:r>
      <w:r w:rsidR="00FD32EE">
        <w:t xml:space="preserve">discusses </w:t>
      </w:r>
      <w:r w:rsidR="00946445">
        <w:t>how these themes emerge in debate</w:t>
      </w:r>
      <w:r w:rsidR="004B45FE">
        <w:t>s</w:t>
      </w:r>
      <w:r w:rsidR="00946445">
        <w:t xml:space="preserve"> </w:t>
      </w:r>
      <w:r w:rsidR="004B45FE">
        <w:t>about</w:t>
      </w:r>
      <w:r w:rsidR="00946445">
        <w:t xml:space="preserve"> same-sex marriage before concluding with the observation that the continued positioning of procreative</w:t>
      </w:r>
      <w:r w:rsidR="00032F93">
        <w:t xml:space="preserve"> </w:t>
      </w:r>
      <w:r w:rsidR="00946445">
        <w:t>sex as the norm in criminal law reinforces/is reinforced by hierarchies of marriage and relationship status</w:t>
      </w:r>
      <w:r w:rsidR="00633D24">
        <w:t>.</w:t>
      </w:r>
      <w:r w:rsidR="00946445">
        <w:t xml:space="preserve"> </w:t>
      </w:r>
    </w:p>
    <w:p w14:paraId="692F9194" w14:textId="71C284BB" w:rsidR="00946445" w:rsidRDefault="00946445" w:rsidP="00023C2F">
      <w:pPr>
        <w:pStyle w:val="Heading1"/>
        <w:jc w:val="both"/>
      </w:pPr>
      <w:r>
        <w:t xml:space="preserve">PROCREATION, MARRIAGE, AND SEXUAL </w:t>
      </w:r>
      <w:r w:rsidR="000B3771">
        <w:t>H</w:t>
      </w:r>
      <w:r w:rsidR="00BD684F">
        <w:t>I</w:t>
      </w:r>
      <w:r w:rsidR="000B3771">
        <w:t>ERARCHIES</w:t>
      </w:r>
    </w:p>
    <w:p w14:paraId="53907695" w14:textId="047AF688" w:rsidR="00023C2F" w:rsidRDefault="00023C2F" w:rsidP="00023C2F">
      <w:pPr>
        <w:jc w:val="both"/>
      </w:pPr>
      <w:r>
        <w:t>When determining the validity of a marriage between a cisgender man and a transgender woman, prior to the Civil Partnership Act 2004,</w:t>
      </w:r>
      <w:r w:rsidR="002F043D" w:rsidRPr="00444F1D">
        <w:rPr>
          <w:rStyle w:val="FootnoteReference"/>
        </w:rPr>
        <w:footnoteReference w:id="20"/>
      </w:r>
      <w:r>
        <w:t xml:space="preserve"> the then House of Lords </w:t>
      </w:r>
      <w:r w:rsidR="00770066">
        <w:t>stated</w:t>
      </w:r>
      <w:r>
        <w:t xml:space="preserve">: </w:t>
      </w:r>
    </w:p>
    <w:p w14:paraId="7FD13B7F" w14:textId="31446394" w:rsidR="00023C2F" w:rsidRDefault="00023C2F" w:rsidP="00023C2F">
      <w:pPr>
        <w:ind w:left="720"/>
        <w:jc w:val="both"/>
        <w:rPr>
          <w:rFonts w:cstheme="minorHAnsi"/>
          <w:color w:val="000000" w:themeColor="text1"/>
        </w:rPr>
      </w:pPr>
      <w:r w:rsidRPr="00B4221B">
        <w:rPr>
          <w:rFonts w:cstheme="minorHAnsi"/>
          <w:color w:val="000000" w:themeColor="text1"/>
        </w:rPr>
        <w:t xml:space="preserve">Marriage is an institution, or relationship, deeply embedded in the religious and social culture of this country. It is deeply embedded as a relationship between two persons of the opposite sex. </w:t>
      </w:r>
      <w:r w:rsidRPr="00B4221B">
        <w:rPr>
          <w:rFonts w:cstheme="minorHAnsi"/>
          <w:i/>
          <w:iCs/>
          <w:color w:val="000000" w:themeColor="text1"/>
        </w:rPr>
        <w:t xml:space="preserve">There was a time when the reproductive functions of male and </w:t>
      </w:r>
      <w:r w:rsidRPr="00B4221B">
        <w:rPr>
          <w:rFonts w:cstheme="minorHAnsi"/>
          <w:i/>
          <w:iCs/>
          <w:color w:val="000000" w:themeColor="text1"/>
        </w:rPr>
        <w:lastRenderedPageBreak/>
        <w:t xml:space="preserve">female were regarded as the primary raison </w:t>
      </w:r>
      <w:proofErr w:type="spellStart"/>
      <w:r w:rsidRPr="00B4221B">
        <w:rPr>
          <w:rFonts w:cstheme="minorHAnsi"/>
          <w:i/>
          <w:iCs/>
          <w:color w:val="000000" w:themeColor="text1"/>
        </w:rPr>
        <w:t>d'être</w:t>
      </w:r>
      <w:proofErr w:type="spellEnd"/>
      <w:r w:rsidRPr="00B4221B">
        <w:rPr>
          <w:rFonts w:cstheme="minorHAnsi"/>
          <w:i/>
          <w:iCs/>
          <w:color w:val="000000" w:themeColor="text1"/>
        </w:rPr>
        <w:t xml:space="preserve"> of marriage</w:t>
      </w:r>
      <w:r w:rsidRPr="00B4221B">
        <w:rPr>
          <w:rFonts w:cstheme="minorHAnsi"/>
          <w:color w:val="000000" w:themeColor="text1"/>
        </w:rPr>
        <w:t xml:space="preserve">. The Church of England Book of Common Prayer of 1662 declared that the first cause for which matrimony was ordained was the ‘procreation of children’. For centuries this was proclaimed at innumerable marriage services. </w:t>
      </w:r>
      <w:r w:rsidRPr="00B4221B">
        <w:rPr>
          <w:rFonts w:cstheme="minorHAnsi"/>
          <w:i/>
          <w:iCs/>
          <w:color w:val="000000" w:themeColor="text1"/>
        </w:rPr>
        <w:t xml:space="preserve">For a long time </w:t>
      </w:r>
      <w:proofErr w:type="gramStart"/>
      <w:r w:rsidRPr="00B4221B">
        <w:rPr>
          <w:rFonts w:cstheme="minorHAnsi"/>
          <w:i/>
          <w:iCs/>
          <w:color w:val="000000" w:themeColor="text1"/>
        </w:rPr>
        <w:t>now</w:t>
      </w:r>
      <w:proofErr w:type="gramEnd"/>
      <w:r w:rsidRPr="00B4221B">
        <w:rPr>
          <w:rFonts w:cstheme="minorHAnsi"/>
          <w:i/>
          <w:iCs/>
          <w:color w:val="000000" w:themeColor="text1"/>
        </w:rPr>
        <w:t xml:space="preserve"> the emphasis has been different</w:t>
      </w:r>
      <w:r w:rsidRPr="00B4221B">
        <w:rPr>
          <w:rFonts w:cstheme="minorHAnsi"/>
          <w:color w:val="000000" w:themeColor="text1"/>
        </w:rPr>
        <w:t>. Variously expressed, there is much more emphasis now on the “mutual society, help and comfort that the one ought to have of the other</w:t>
      </w:r>
      <w:r>
        <w:rPr>
          <w:rFonts w:cstheme="minorHAnsi"/>
          <w:color w:val="000000" w:themeColor="text1"/>
        </w:rPr>
        <w:t>”.</w:t>
      </w:r>
      <w:r w:rsidR="002F043D" w:rsidRPr="00444F1D">
        <w:rPr>
          <w:rStyle w:val="FootnoteReference"/>
        </w:rPr>
        <w:footnoteReference w:id="21"/>
      </w:r>
    </w:p>
    <w:p w14:paraId="57AE3808" w14:textId="7FC94913" w:rsidR="004E6747" w:rsidRDefault="00023C2F" w:rsidP="00023C2F">
      <w:pPr>
        <w:jc w:val="both"/>
        <w:rPr>
          <w:rFonts w:cstheme="minorHAnsi"/>
          <w:color w:val="000000" w:themeColor="text1"/>
        </w:rPr>
      </w:pPr>
      <w:r>
        <w:rPr>
          <w:rFonts w:cstheme="minorHAnsi"/>
          <w:color w:val="000000" w:themeColor="text1"/>
        </w:rPr>
        <w:t xml:space="preserve">Bainham highlights that this acknowledgement – although doing little to distinguish the domination of ‘questions of sex and gender [… </w:t>
      </w:r>
      <w:r w:rsidR="00FD32EE">
        <w:rPr>
          <w:rFonts w:cstheme="minorHAnsi"/>
          <w:color w:val="000000" w:themeColor="text1"/>
        </w:rPr>
        <w:t>and</w:t>
      </w:r>
      <w:r>
        <w:rPr>
          <w:rFonts w:cstheme="minorHAnsi"/>
          <w:color w:val="000000" w:themeColor="text1"/>
        </w:rPr>
        <w:t xml:space="preserve"> being] really more concerned with </w:t>
      </w:r>
      <w:r>
        <w:rPr>
          <w:rFonts w:cstheme="minorHAnsi"/>
          <w:i/>
          <w:iCs/>
          <w:color w:val="000000" w:themeColor="text1"/>
        </w:rPr>
        <w:t xml:space="preserve">sexuality </w:t>
      </w:r>
      <w:r>
        <w:rPr>
          <w:rFonts w:cstheme="minorHAnsi"/>
          <w:color w:val="000000" w:themeColor="text1"/>
        </w:rPr>
        <w:t>and the capacity for its expression in sexual relationships</w:t>
      </w:r>
      <w:r w:rsidR="00F36A9B">
        <w:rPr>
          <w:rFonts w:cstheme="minorHAnsi"/>
          <w:color w:val="000000" w:themeColor="text1"/>
        </w:rPr>
        <w:t>’</w:t>
      </w:r>
      <w:r>
        <w:rPr>
          <w:rFonts w:cstheme="minorHAnsi"/>
          <w:color w:val="000000" w:themeColor="text1"/>
        </w:rPr>
        <w:t xml:space="preserve"> – was built on established principles in English law</w:t>
      </w:r>
      <w:r w:rsidR="00032F93">
        <w:rPr>
          <w:rFonts w:cstheme="minorHAnsi"/>
          <w:color w:val="000000" w:themeColor="text1"/>
        </w:rPr>
        <w:t>.</w:t>
      </w:r>
      <w:r w:rsidR="002F043D" w:rsidRPr="00444F1D">
        <w:rPr>
          <w:rStyle w:val="FootnoteReference"/>
        </w:rPr>
        <w:footnoteReference w:id="22"/>
      </w:r>
      <w:r>
        <w:rPr>
          <w:rFonts w:cstheme="minorHAnsi"/>
          <w:color w:val="000000" w:themeColor="text1"/>
        </w:rPr>
        <w:t xml:space="preserve"> </w:t>
      </w:r>
      <w:r w:rsidR="000B3771">
        <w:rPr>
          <w:rFonts w:cstheme="minorHAnsi"/>
          <w:color w:val="000000" w:themeColor="text1"/>
        </w:rPr>
        <w:t>As</w:t>
      </w:r>
      <w:r w:rsidR="00344267">
        <w:rPr>
          <w:rFonts w:cstheme="minorHAnsi"/>
          <w:color w:val="000000" w:themeColor="text1"/>
        </w:rPr>
        <w:t xml:space="preserve"> Bainham discusses</w:t>
      </w:r>
      <w:r w:rsidR="000B3771">
        <w:rPr>
          <w:rFonts w:cstheme="minorHAnsi"/>
          <w:color w:val="000000" w:themeColor="text1"/>
        </w:rPr>
        <w:t>,</w:t>
      </w:r>
      <w:r w:rsidR="000B3771" w:rsidRPr="00444F1D">
        <w:rPr>
          <w:rStyle w:val="FootnoteReference"/>
        </w:rPr>
        <w:footnoteReference w:id="23"/>
      </w:r>
      <w:r w:rsidR="000B3771">
        <w:rPr>
          <w:rFonts w:cstheme="minorHAnsi"/>
          <w:color w:val="000000" w:themeColor="text1"/>
        </w:rPr>
        <w:t xml:space="preserve"> n</w:t>
      </w:r>
      <w:r>
        <w:rPr>
          <w:rFonts w:cstheme="minorHAnsi"/>
          <w:color w:val="000000" w:themeColor="text1"/>
        </w:rPr>
        <w:t xml:space="preserve">either insistence on condom use </w:t>
      </w:r>
      <w:r w:rsidR="00032F93">
        <w:rPr>
          <w:rFonts w:cstheme="minorHAnsi"/>
          <w:color w:val="000000" w:themeColor="text1"/>
        </w:rPr>
        <w:t>(</w:t>
      </w:r>
      <w:r>
        <w:rPr>
          <w:rFonts w:cstheme="minorHAnsi"/>
          <w:color w:val="000000" w:themeColor="text1"/>
        </w:rPr>
        <w:t>thereby intending to eliminate the potential for conception</w:t>
      </w:r>
      <w:r w:rsidR="00F67769">
        <w:rPr>
          <w:rFonts w:cstheme="minorHAnsi"/>
          <w:color w:val="000000" w:themeColor="text1"/>
        </w:rPr>
        <w:t>),</w:t>
      </w:r>
      <w:r w:rsidR="002F043D" w:rsidRPr="00444F1D">
        <w:rPr>
          <w:rStyle w:val="FootnoteReference"/>
        </w:rPr>
        <w:footnoteReference w:id="24"/>
      </w:r>
      <w:r>
        <w:rPr>
          <w:rFonts w:cstheme="minorHAnsi"/>
          <w:color w:val="000000" w:themeColor="text1"/>
        </w:rPr>
        <w:t xml:space="preserve"> nor an agreement that the marriage will not involve sexual activity</w:t>
      </w:r>
      <w:r w:rsidR="00032F93">
        <w:rPr>
          <w:rFonts w:cstheme="minorHAnsi"/>
          <w:color w:val="000000" w:themeColor="text1"/>
        </w:rPr>
        <w:t>,</w:t>
      </w:r>
      <w:r w:rsidR="002F043D" w:rsidRPr="00444F1D">
        <w:rPr>
          <w:rStyle w:val="FootnoteReference"/>
        </w:rPr>
        <w:footnoteReference w:id="25"/>
      </w:r>
      <w:r w:rsidR="009C0C16">
        <w:rPr>
          <w:rFonts w:cstheme="minorHAnsi"/>
          <w:color w:val="000000" w:themeColor="text1"/>
        </w:rPr>
        <w:t xml:space="preserve"> will necessarily be a bar to a valid marriage</w:t>
      </w:r>
      <w:r w:rsidR="007D460F">
        <w:rPr>
          <w:rFonts w:cstheme="minorHAnsi"/>
          <w:color w:val="000000" w:themeColor="text1"/>
        </w:rPr>
        <w:t>.</w:t>
      </w:r>
    </w:p>
    <w:p w14:paraId="4681ED9C" w14:textId="76B5F09B" w:rsidR="00360F60" w:rsidRPr="004E6747" w:rsidRDefault="004E6747" w:rsidP="00677622">
      <w:pPr>
        <w:jc w:val="both"/>
        <w:rPr>
          <w:rFonts w:cstheme="minorHAnsi"/>
          <w:color w:val="000000" w:themeColor="text1"/>
        </w:rPr>
      </w:pPr>
      <w:r>
        <w:rPr>
          <w:rFonts w:cstheme="minorHAnsi"/>
          <w:color w:val="000000" w:themeColor="text1"/>
        </w:rPr>
        <w:t>Even in a religious context, the relationship between procreation and marriage is complex. Contemporary religious communities frequently recognise and celebrate marriages which will</w:t>
      </w:r>
      <w:r w:rsidR="00FD32EE">
        <w:rPr>
          <w:rFonts w:cstheme="minorHAnsi"/>
          <w:color w:val="000000" w:themeColor="text1"/>
        </w:rPr>
        <w:t xml:space="preserve"> (</w:t>
      </w:r>
      <w:r>
        <w:rPr>
          <w:rFonts w:cstheme="minorHAnsi"/>
          <w:color w:val="000000" w:themeColor="text1"/>
        </w:rPr>
        <w:t>or are likely to</w:t>
      </w:r>
      <w:r w:rsidR="00FD32EE">
        <w:rPr>
          <w:rFonts w:cstheme="minorHAnsi"/>
          <w:color w:val="000000" w:themeColor="text1"/>
        </w:rPr>
        <w:t>)</w:t>
      </w:r>
      <w:r>
        <w:rPr>
          <w:rFonts w:cstheme="minorHAnsi"/>
          <w:color w:val="000000" w:themeColor="text1"/>
        </w:rPr>
        <w:t xml:space="preserve"> be child-free – even where these communities consider procreation a core function of marriage.</w:t>
      </w:r>
      <w:r w:rsidRPr="00444F1D">
        <w:rPr>
          <w:rStyle w:val="FootnoteReference"/>
        </w:rPr>
        <w:footnoteReference w:id="26"/>
      </w:r>
      <w:r>
        <w:rPr>
          <w:rFonts w:cstheme="minorHAnsi"/>
          <w:color w:val="000000" w:themeColor="text1"/>
        </w:rPr>
        <w:t xml:space="preserve"> Whilst</w:t>
      </w:r>
      <w:r w:rsidR="00806C76">
        <w:rPr>
          <w:rFonts w:cstheme="minorHAnsi"/>
          <w:color w:val="000000" w:themeColor="text1"/>
        </w:rPr>
        <w:t>,</w:t>
      </w:r>
      <w:r w:rsidR="00FD32EE">
        <w:rPr>
          <w:rFonts w:cstheme="minorHAnsi"/>
          <w:color w:val="000000" w:themeColor="text1"/>
        </w:rPr>
        <w:t xml:space="preserve"> in some communities</w:t>
      </w:r>
      <w:r w:rsidR="00806C76">
        <w:rPr>
          <w:rFonts w:cstheme="minorHAnsi"/>
          <w:color w:val="000000" w:themeColor="text1"/>
        </w:rPr>
        <w:t>,</w:t>
      </w:r>
      <w:r>
        <w:rPr>
          <w:rFonts w:cstheme="minorHAnsi"/>
          <w:color w:val="000000" w:themeColor="text1"/>
        </w:rPr>
        <w:t xml:space="preserve"> same-sex marriage and marriages involving</w:t>
      </w:r>
      <w:r w:rsidR="006874A0">
        <w:t xml:space="preserve"> ‘voluntary child free couples’</w:t>
      </w:r>
      <w:r>
        <w:t xml:space="preserve"> are distinguished from couples unlikely to have children,</w:t>
      </w:r>
      <w:r w:rsidR="002F043D" w:rsidRPr="00444F1D">
        <w:rPr>
          <w:rStyle w:val="FootnoteReference"/>
        </w:rPr>
        <w:footnoteReference w:id="27"/>
      </w:r>
      <w:r w:rsidR="006874A0">
        <w:t xml:space="preserve"> </w:t>
      </w:r>
      <w:r>
        <w:t>other denominations have explicitly moved away from a pro-procreative ideal of marriage. For instance, t</w:t>
      </w:r>
      <w:r w:rsidR="00A26082">
        <w:t xml:space="preserve">he Religious Society of Friends, </w:t>
      </w:r>
      <w:r w:rsidR="00A2674C">
        <w:t>in</w:t>
      </w:r>
      <w:r w:rsidR="00A26082">
        <w:t xml:space="preserve"> </w:t>
      </w:r>
      <w:r w:rsidR="00A26082">
        <w:rPr>
          <w:i/>
          <w:iCs/>
        </w:rPr>
        <w:t xml:space="preserve">Quaker Faith and Practice </w:t>
      </w:r>
      <w:r w:rsidR="00A26082">
        <w:t>acknowledge</w:t>
      </w:r>
      <w:r>
        <w:t xml:space="preserve"> that</w:t>
      </w:r>
      <w:r w:rsidR="00A26082">
        <w:t>:</w:t>
      </w:r>
    </w:p>
    <w:p w14:paraId="319437B2" w14:textId="007B0B0A" w:rsidR="00677622" w:rsidRDefault="00A26082" w:rsidP="00751A85">
      <w:pPr>
        <w:ind w:left="720"/>
        <w:jc w:val="both"/>
      </w:pPr>
      <w:r>
        <w:t>At the beginning of the 21</w:t>
      </w:r>
      <w:r w:rsidRPr="00A26082">
        <w:rPr>
          <w:vertAlign w:val="superscript"/>
        </w:rPr>
        <w:t>st</w:t>
      </w:r>
      <w:r>
        <w:t xml:space="preserve"> century marriage has become a contract between individuals and is no longer seen as the way in which communities renew themselves through the creation of new life and new energy for life. In contrast we need to have faith that the synergy created within marriage will flow out into the world and that in God we have the power to make right relationships.</w:t>
      </w:r>
      <w:r w:rsidR="00970CEE" w:rsidRPr="00444F1D">
        <w:rPr>
          <w:rStyle w:val="FootnoteReference"/>
        </w:rPr>
        <w:footnoteReference w:id="28"/>
      </w:r>
    </w:p>
    <w:p w14:paraId="72F6AF96" w14:textId="49ABAFB8" w:rsidR="004E67CD" w:rsidRDefault="004E67CD" w:rsidP="004E67CD">
      <w:pPr>
        <w:jc w:val="both"/>
      </w:pPr>
      <w:r>
        <w:t>Th</w:t>
      </w:r>
      <w:r w:rsidR="00677622">
        <w:t>u</w:t>
      </w:r>
      <w:r>
        <w:t>s, it can be suggested that whilst seeking marriage to have a publicly visible output</w:t>
      </w:r>
      <w:r w:rsidR="00032F93">
        <w:t>,</w:t>
      </w:r>
      <w:r>
        <w:t xml:space="preserve"> procreation is not intrinsic to the modern Quaker meaning of marriage. This is perhaps unsurprising given the British Quaker involvement in marriage equality</w:t>
      </w:r>
      <w:r w:rsidR="000E307B">
        <w:t xml:space="preserve"> campaigning</w:t>
      </w:r>
      <w:r>
        <w:t>.</w:t>
      </w:r>
      <w:r w:rsidR="002F043D" w:rsidRPr="00444F1D">
        <w:rPr>
          <w:rStyle w:val="FootnoteReference"/>
        </w:rPr>
        <w:footnoteReference w:id="29"/>
      </w:r>
      <w:r>
        <w:t xml:space="preserve"> However, </w:t>
      </w:r>
      <w:r w:rsidR="00E121FA">
        <w:t>positions also appear dynamic</w:t>
      </w:r>
      <w:r>
        <w:t xml:space="preserve"> </w:t>
      </w:r>
      <w:r w:rsidR="00E121FA">
        <w:t>among</w:t>
      </w:r>
      <w:r>
        <w:t xml:space="preserve"> some other Christian denominations. Farley notes how the shifting attitudes of the Catholic Church saw procreation’s prominence wain </w:t>
      </w:r>
      <w:r>
        <w:lastRenderedPageBreak/>
        <w:t>over the 20</w:t>
      </w:r>
      <w:r w:rsidRPr="00A26082">
        <w:rPr>
          <w:vertAlign w:val="superscript"/>
        </w:rPr>
        <w:t>th</w:t>
      </w:r>
      <w:r>
        <w:t xml:space="preserve"> Century</w:t>
      </w:r>
      <w:r w:rsidR="00032F93">
        <w:t>,</w:t>
      </w:r>
      <w:r>
        <w:t xml:space="preserve"> with procreation becoming ‘relativised for heterosexual relationships … but… absolutized once again where homosexual relationships are an issue.’</w:t>
      </w:r>
      <w:r w:rsidR="00910B41" w:rsidRPr="00444F1D">
        <w:rPr>
          <w:rStyle w:val="FootnoteReference"/>
        </w:rPr>
        <w:footnoteReference w:id="30"/>
      </w:r>
      <w:r>
        <w:t xml:space="preserve"> </w:t>
      </w:r>
      <w:r w:rsidR="00677622">
        <w:t xml:space="preserve">Similarly, </w:t>
      </w:r>
      <w:r>
        <w:t>Simpkins</w:t>
      </w:r>
      <w:r w:rsidR="00677622">
        <w:t xml:space="preserve"> and O’Donovan</w:t>
      </w:r>
      <w:r>
        <w:t xml:space="preserve"> suggest that the Church</w:t>
      </w:r>
      <w:r w:rsidR="00677622">
        <w:t xml:space="preserve"> of England</w:t>
      </w:r>
      <w:r>
        <w:t xml:space="preserve"> no longer places procreation centrally</w:t>
      </w:r>
      <w:r w:rsidR="000B417B">
        <w:t>, instead position</w:t>
      </w:r>
      <w:r w:rsidR="00DB2FB1">
        <w:t>ing</w:t>
      </w:r>
      <w:r w:rsidR="000B417B">
        <w:t xml:space="preserve"> it as ‘not </w:t>
      </w:r>
      <w:r w:rsidR="000B417B">
        <w:rPr>
          <w:i/>
          <w:iCs/>
        </w:rPr>
        <w:t xml:space="preserve">necessary </w:t>
      </w:r>
      <w:r w:rsidR="000B417B">
        <w:t>for a valid marriage, … [but] honoured in the sense that marriage provides the only proper context for’ it.</w:t>
      </w:r>
      <w:r w:rsidR="00910B41" w:rsidRPr="00444F1D">
        <w:rPr>
          <w:rStyle w:val="FootnoteReference"/>
        </w:rPr>
        <w:footnoteReference w:id="31"/>
      </w:r>
    </w:p>
    <w:p w14:paraId="21D1F32D" w14:textId="06835BF8" w:rsidR="008F2350" w:rsidRDefault="007B2A3F" w:rsidP="004E67CD">
      <w:pPr>
        <w:jc w:val="both"/>
      </w:pPr>
      <w:r>
        <w:t xml:space="preserve">In a legal context, although the High Court in </w:t>
      </w:r>
      <w:r>
        <w:rPr>
          <w:i/>
          <w:iCs/>
        </w:rPr>
        <w:t xml:space="preserve">NB </w:t>
      </w:r>
      <w:r>
        <w:t xml:space="preserve">v </w:t>
      </w:r>
      <w:r>
        <w:rPr>
          <w:i/>
          <w:iCs/>
        </w:rPr>
        <w:t xml:space="preserve">MI </w:t>
      </w:r>
      <w:r>
        <w:t xml:space="preserve">clearly </w:t>
      </w:r>
      <w:r w:rsidR="00FD32EE">
        <w:t>stated</w:t>
      </w:r>
      <w:r>
        <w:t xml:space="preserve"> </w:t>
      </w:r>
      <w:r w:rsidR="00FD32EE">
        <w:t xml:space="preserve">that </w:t>
      </w:r>
      <w:r>
        <w:t xml:space="preserve">‘sexual relations, and </w:t>
      </w:r>
      <w:r>
        <w:rPr>
          <w:i/>
          <w:iCs/>
        </w:rPr>
        <w:t xml:space="preserve">a fortiori </w:t>
      </w:r>
      <w:r>
        <w:t>procreation are not essential features of the marital contract’,</w:t>
      </w:r>
      <w:r w:rsidR="00910B41" w:rsidRPr="00444F1D">
        <w:rPr>
          <w:rStyle w:val="FootnoteReference"/>
        </w:rPr>
        <w:footnoteReference w:id="32"/>
      </w:r>
      <w:r>
        <w:t xml:space="preserve"> these two concepts continue to shape</w:t>
      </w:r>
      <w:r w:rsidR="00AE0771">
        <w:t xml:space="preserve"> aspects of</w:t>
      </w:r>
      <w:r w:rsidR="00161087">
        <w:t xml:space="preserve"> our understanding of marriage.</w:t>
      </w:r>
      <w:r w:rsidR="00910B41" w:rsidRPr="00444F1D">
        <w:rPr>
          <w:rStyle w:val="FootnoteReference"/>
        </w:rPr>
        <w:footnoteReference w:id="33"/>
      </w:r>
      <w:r w:rsidR="00910B41">
        <w:t xml:space="preserve"> </w:t>
      </w:r>
      <w:r w:rsidR="0075272E">
        <w:t>The potential for procreation appears central to the law’s approach to consummation, which has ‘been interpreted in a heterosexual manner’</w:t>
      </w:r>
      <w:r w:rsidR="00910B41" w:rsidRPr="00444F1D">
        <w:rPr>
          <w:rStyle w:val="FootnoteReference"/>
        </w:rPr>
        <w:footnoteReference w:id="34"/>
      </w:r>
      <w:r w:rsidR="0075272E">
        <w:t xml:space="preserve"> focused on</w:t>
      </w:r>
      <w:r w:rsidR="008F2350">
        <w:t xml:space="preserve"> sexual activity as a ‘generative act’,</w:t>
      </w:r>
      <w:r w:rsidR="00910B41" w:rsidRPr="00444F1D">
        <w:rPr>
          <w:rStyle w:val="FootnoteReference"/>
        </w:rPr>
        <w:footnoteReference w:id="35"/>
      </w:r>
      <w:r w:rsidR="008F2350">
        <w:t xml:space="preserve"> and thus on penile-vaginal penetration</w:t>
      </w:r>
      <w:r w:rsidR="005A67E6">
        <w:t>,</w:t>
      </w:r>
      <w:r w:rsidR="00910B41" w:rsidRPr="00444F1D">
        <w:rPr>
          <w:rStyle w:val="FootnoteReference"/>
        </w:rPr>
        <w:footnoteReference w:id="36"/>
      </w:r>
      <w:r w:rsidR="00BF16C3">
        <w:t xml:space="preserve"> with ejaculation.</w:t>
      </w:r>
      <w:r w:rsidR="00BF16C3" w:rsidRPr="00444F1D">
        <w:rPr>
          <w:rStyle w:val="FootnoteReference"/>
        </w:rPr>
        <w:footnoteReference w:id="37"/>
      </w:r>
      <w:r w:rsidR="008F2350">
        <w:t xml:space="preserve"> Given the persistence of non-consummation as a ground for marriage nullification,</w:t>
      </w:r>
      <w:r w:rsidR="00DB2FB1" w:rsidRPr="00444F1D">
        <w:rPr>
          <w:rStyle w:val="FootnoteReference"/>
        </w:rPr>
        <w:footnoteReference w:id="38"/>
      </w:r>
      <w:r w:rsidR="00910B41">
        <w:t xml:space="preserve"> </w:t>
      </w:r>
      <w:r w:rsidR="008F2350">
        <w:t xml:space="preserve">although </w:t>
      </w:r>
      <w:r w:rsidR="0075272E">
        <w:t xml:space="preserve">legal </w:t>
      </w:r>
      <w:r w:rsidR="00161087">
        <w:t xml:space="preserve">marriage need not necessitate sexual relationships, consummation remains, in Maine’s words, ‘a symbolic recognition of the ideated nature of marriage, distinguishing it from non-sexual, platonic </w:t>
      </w:r>
      <w:r w:rsidR="008F2350">
        <w:t>relationships’.</w:t>
      </w:r>
      <w:r w:rsidR="00910B41" w:rsidRPr="00444F1D">
        <w:rPr>
          <w:rStyle w:val="FootnoteReference"/>
        </w:rPr>
        <w:footnoteReference w:id="39"/>
      </w:r>
    </w:p>
    <w:p w14:paraId="3563A40B" w14:textId="0D1837A6" w:rsidR="008F2350" w:rsidRDefault="00021394" w:rsidP="004E67CD">
      <w:pPr>
        <w:jc w:val="both"/>
      </w:pPr>
      <w:r>
        <w:t xml:space="preserve">The persistence of penile-vaginal intercourse as the idealised form of sexual activity and, consequently, presumptions about the procreative potential of sexual activity can also be seen in analysis of sexual offences. Looking at two key cases – </w:t>
      </w:r>
      <w:proofErr w:type="spellStart"/>
      <w:r>
        <w:rPr>
          <w:i/>
          <w:iCs/>
        </w:rPr>
        <w:t>Dica</w:t>
      </w:r>
      <w:proofErr w:type="spellEnd"/>
      <w:r>
        <w:rPr>
          <w:i/>
          <w:iCs/>
        </w:rPr>
        <w:t xml:space="preserve"> </w:t>
      </w:r>
      <w:r>
        <w:t xml:space="preserve">and </w:t>
      </w:r>
      <w:r>
        <w:softHyphen/>
      </w:r>
      <w:r>
        <w:rPr>
          <w:i/>
          <w:iCs/>
        </w:rPr>
        <w:t xml:space="preserve">Lawrance </w:t>
      </w:r>
      <w:r>
        <w:t xml:space="preserve">– I suggest that English </w:t>
      </w:r>
      <w:r w:rsidR="00BB04E8">
        <w:t>c</w:t>
      </w:r>
      <w:r>
        <w:t xml:space="preserve">riminal </w:t>
      </w:r>
      <w:r w:rsidR="00BB04E8">
        <w:t>l</w:t>
      </w:r>
      <w:r>
        <w:t>aw’s approach to the potential consequences of sexual activity</w:t>
      </w:r>
      <w:r w:rsidR="00BB793E">
        <w:t xml:space="preserve"> </w:t>
      </w:r>
      <w:r w:rsidR="00DB2FB1">
        <w:t>contributes to</w:t>
      </w:r>
      <w:r w:rsidR="00BB793E">
        <w:t xml:space="preserve"> a hierarchy in which heterosexual, procreative</w:t>
      </w:r>
      <w:r w:rsidR="00DB2FB1">
        <w:t>,</w:t>
      </w:r>
      <w:r w:rsidR="00BB793E">
        <w:t xml:space="preserve"> sex dominates. </w:t>
      </w:r>
    </w:p>
    <w:p w14:paraId="4F6BA95A" w14:textId="0D1FEAA8" w:rsidR="00BB793E" w:rsidRDefault="00BB793E" w:rsidP="00BB793E">
      <w:pPr>
        <w:pStyle w:val="Heading1"/>
      </w:pPr>
      <w:r>
        <w:t xml:space="preserve">PROSECUTING THE </w:t>
      </w:r>
      <w:r w:rsidR="000E307B">
        <w:t>R</w:t>
      </w:r>
      <w:r>
        <w:t>ECKLESS TRANSMISSION OF HIV</w:t>
      </w:r>
    </w:p>
    <w:p w14:paraId="456A18BB" w14:textId="5098321E" w:rsidR="00BB793E" w:rsidRDefault="00BB793E" w:rsidP="00BB793E">
      <w:pPr>
        <w:jc w:val="both"/>
      </w:pPr>
      <w:proofErr w:type="spellStart"/>
      <w:r>
        <w:rPr>
          <w:i/>
          <w:iCs/>
        </w:rPr>
        <w:t>Dica</w:t>
      </w:r>
      <w:proofErr w:type="spellEnd"/>
      <w:r>
        <w:rPr>
          <w:i/>
          <w:iCs/>
        </w:rPr>
        <w:t xml:space="preserve"> </w:t>
      </w:r>
      <w:r>
        <w:t>was the first successful prosecution of reckless HIV transmission in England and Wales.</w:t>
      </w:r>
      <w:r w:rsidRPr="00444F1D">
        <w:rPr>
          <w:rStyle w:val="FootnoteReference"/>
        </w:rPr>
        <w:footnoteReference w:id="40"/>
      </w:r>
      <w:r>
        <w:t xml:space="preserve"> The defendant, </w:t>
      </w:r>
      <w:proofErr w:type="spellStart"/>
      <w:r>
        <w:t>Dica</w:t>
      </w:r>
      <w:proofErr w:type="spellEnd"/>
      <w:r>
        <w:t xml:space="preserve">, was initially convicted of </w:t>
      </w:r>
      <w:r w:rsidR="00032F93">
        <w:t>g</w:t>
      </w:r>
      <w:r>
        <w:t xml:space="preserve">rievous </w:t>
      </w:r>
      <w:r w:rsidR="00032F93">
        <w:t>bodily harm</w:t>
      </w:r>
      <w:r>
        <w:t>, successfully appealed and was subsequently convicted at re-trial.</w:t>
      </w:r>
      <w:r w:rsidR="00910B41" w:rsidRPr="00444F1D">
        <w:rPr>
          <w:rStyle w:val="FootnoteReference"/>
        </w:rPr>
        <w:footnoteReference w:id="41"/>
      </w:r>
      <w:r>
        <w:t xml:space="preserve"> Both complainants had been in long</w:t>
      </w:r>
      <w:r w:rsidR="00032F93">
        <w:t>-</w:t>
      </w:r>
      <w:r>
        <w:t xml:space="preserve">term relationships with </w:t>
      </w:r>
      <w:proofErr w:type="spellStart"/>
      <w:r w:rsidR="003D4EDF">
        <w:t>Dica</w:t>
      </w:r>
      <w:proofErr w:type="spellEnd"/>
      <w:r>
        <w:t>,</w:t>
      </w:r>
      <w:r w:rsidR="00910B41" w:rsidRPr="00444F1D">
        <w:rPr>
          <w:rStyle w:val="FootnoteReference"/>
        </w:rPr>
        <w:footnoteReference w:id="42"/>
      </w:r>
      <w:r>
        <w:t xml:space="preserve"> </w:t>
      </w:r>
      <w:r w:rsidR="00EC7D60">
        <w:t>although the exact length of these relationships is unclear.</w:t>
      </w:r>
      <w:r w:rsidR="00910B41" w:rsidRPr="00444F1D">
        <w:rPr>
          <w:rStyle w:val="FootnoteReference"/>
        </w:rPr>
        <w:footnoteReference w:id="43"/>
      </w:r>
      <w:r w:rsidR="00EC7D60">
        <w:t xml:space="preserve"> The </w:t>
      </w:r>
      <w:r w:rsidR="00EC7D60">
        <w:lastRenderedPageBreak/>
        <w:t xml:space="preserve">nature and duration of these relationships appears to have been a significant factor in the Court of Appeal’s analysis of </w:t>
      </w:r>
      <w:r w:rsidR="00E0201F">
        <w:t>the issue of</w:t>
      </w:r>
      <w:r w:rsidR="00EC7D60">
        <w:t xml:space="preserve"> the complaints’ awareness of HIV transmission risk:</w:t>
      </w:r>
    </w:p>
    <w:p w14:paraId="640AFDEA" w14:textId="718C9428" w:rsidR="00D847F3" w:rsidRPr="00EC7D60" w:rsidRDefault="00EC7D60" w:rsidP="00D40476">
      <w:pPr>
        <w:ind w:left="720"/>
        <w:jc w:val="both"/>
      </w:pPr>
      <w:r>
        <w:t xml:space="preserve">Given the </w:t>
      </w:r>
      <w:r w:rsidR="005D7B6E">
        <w:t>long-term nature of the relationships, if the appellant concealed the truth about his condition from then, and therefore kept them in ignorance of it, there was no reason for them to think that they were running any risk of infection, and they were not consenting to it.</w:t>
      </w:r>
      <w:r w:rsidR="00910B41" w:rsidRPr="00444F1D">
        <w:rPr>
          <w:rStyle w:val="FootnoteReference"/>
        </w:rPr>
        <w:footnoteReference w:id="44"/>
      </w:r>
    </w:p>
    <w:p w14:paraId="3C3C3220" w14:textId="5AEF9BD3" w:rsidR="008F2350" w:rsidRDefault="005D7B6E" w:rsidP="00BB793E">
      <w:pPr>
        <w:jc w:val="both"/>
      </w:pPr>
      <w:r>
        <w:t xml:space="preserve">Whilst </w:t>
      </w:r>
      <w:proofErr w:type="spellStart"/>
      <w:r>
        <w:t>Dica</w:t>
      </w:r>
      <w:proofErr w:type="spellEnd"/>
      <w:r>
        <w:t xml:space="preserve"> was not married to either complainant, marriage nevertheless played a major role in the court’s analysis of </w:t>
      </w:r>
      <w:r w:rsidR="00E0201F">
        <w:t>the extent to which a complainant could consent to injury – with hypothetical married couples used</w:t>
      </w:r>
      <w:r w:rsidR="004E6747">
        <w:t xml:space="preserve"> as exemplars of where consent defences may arise. </w:t>
      </w:r>
      <w:r w:rsidR="008331A0">
        <w:t>English law enables individuals to consent to injuries which constitute lower levels of harm, but not to more serious injuries.</w:t>
      </w:r>
      <w:r w:rsidR="008331A0" w:rsidRPr="00444F1D">
        <w:rPr>
          <w:rStyle w:val="FootnoteReference"/>
        </w:rPr>
        <w:footnoteReference w:id="45"/>
      </w:r>
      <w:r w:rsidR="008331A0">
        <w:t xml:space="preserve"> In </w:t>
      </w:r>
      <w:proofErr w:type="spellStart"/>
      <w:r w:rsidR="008331A0">
        <w:rPr>
          <w:i/>
          <w:iCs/>
        </w:rPr>
        <w:t>Dica</w:t>
      </w:r>
      <w:proofErr w:type="spellEnd"/>
      <w:r w:rsidR="008331A0">
        <w:rPr>
          <w:i/>
          <w:iCs/>
        </w:rPr>
        <w:t xml:space="preserve">, </w:t>
      </w:r>
      <w:r w:rsidR="008331A0">
        <w:t>at first instance it was held that this principle effectively precented sexual partners from consenting to the risk of HIV transmission.</w:t>
      </w:r>
      <w:r w:rsidR="008331A0" w:rsidRPr="00444F1D">
        <w:rPr>
          <w:rStyle w:val="FootnoteReference"/>
        </w:rPr>
        <w:footnoteReference w:id="46"/>
      </w:r>
      <w:r w:rsidR="008331A0">
        <w:t xml:space="preserve"> The Court of Appeal, however, approached this issue by distinguishing between consent to the risk of HIV transmission and consent to transmission itself.</w:t>
      </w:r>
      <w:r w:rsidR="00947167" w:rsidRPr="00444F1D">
        <w:rPr>
          <w:rStyle w:val="FootnoteReference"/>
        </w:rPr>
        <w:footnoteReference w:id="47"/>
      </w:r>
      <w:r w:rsidR="008331A0">
        <w:t xml:space="preserve"> As Ryan highlights, ‘[i]n neither </w:t>
      </w:r>
      <w:proofErr w:type="spellStart"/>
      <w:r w:rsidR="008331A0">
        <w:rPr>
          <w:i/>
          <w:iCs/>
        </w:rPr>
        <w:t>Dica</w:t>
      </w:r>
      <w:proofErr w:type="spellEnd"/>
      <w:r w:rsidR="008331A0">
        <w:rPr>
          <w:i/>
          <w:iCs/>
        </w:rPr>
        <w:t xml:space="preserve"> </w:t>
      </w:r>
      <w:r w:rsidR="008331A0">
        <w:t xml:space="preserve">nor [the subsequent case of] </w:t>
      </w:r>
      <w:proofErr w:type="spellStart"/>
      <w:r w:rsidR="008331A0">
        <w:rPr>
          <w:i/>
          <w:iCs/>
        </w:rPr>
        <w:t>Konzani</w:t>
      </w:r>
      <w:proofErr w:type="spellEnd"/>
      <w:r w:rsidR="008331A0">
        <w:t xml:space="preserve"> was the nature of the risk taken or whether it was reasonable or not to take that risk discussed’.</w:t>
      </w:r>
      <w:r w:rsidR="008331A0" w:rsidRPr="00444F1D">
        <w:rPr>
          <w:rStyle w:val="FootnoteReference"/>
        </w:rPr>
        <w:footnoteReference w:id="48"/>
      </w:r>
      <w:r w:rsidR="000F7152">
        <w:t xml:space="preserve"> However, </w:t>
      </w:r>
      <w:r w:rsidR="000F7152">
        <w:rPr>
          <w:i/>
          <w:iCs/>
        </w:rPr>
        <w:t xml:space="preserve">why </w:t>
      </w:r>
      <w:r w:rsidR="000F7152">
        <w:t xml:space="preserve">sexual partners may be willing to take such risks was addressed by the Court of Appeal in </w:t>
      </w:r>
      <w:proofErr w:type="spellStart"/>
      <w:r w:rsidR="000F7152">
        <w:rPr>
          <w:i/>
          <w:iCs/>
        </w:rPr>
        <w:t>Dica</w:t>
      </w:r>
      <w:proofErr w:type="spellEnd"/>
      <w:r w:rsidR="000F7152">
        <w:rPr>
          <w:i/>
          <w:iCs/>
        </w:rPr>
        <w:t xml:space="preserve"> </w:t>
      </w:r>
      <w:r w:rsidR="000F7152">
        <w:t xml:space="preserve">through two primary examples: the </w:t>
      </w:r>
      <w:r w:rsidR="000F7152">
        <w:rPr>
          <w:i/>
          <w:iCs/>
        </w:rPr>
        <w:t xml:space="preserve">Roman Catholic </w:t>
      </w:r>
      <w:r w:rsidR="000F7152" w:rsidRPr="00FD32EE">
        <w:t>partners</w:t>
      </w:r>
      <w:r w:rsidR="000F7152">
        <w:rPr>
          <w:i/>
          <w:iCs/>
        </w:rPr>
        <w:t xml:space="preserve"> </w:t>
      </w:r>
      <w:r w:rsidR="000F7152">
        <w:t xml:space="preserve">and the </w:t>
      </w:r>
      <w:r w:rsidR="000F7152">
        <w:rPr>
          <w:i/>
          <w:iCs/>
        </w:rPr>
        <w:t>young</w:t>
      </w:r>
      <w:r w:rsidR="00FD32EE">
        <w:rPr>
          <w:i/>
          <w:iCs/>
        </w:rPr>
        <w:t xml:space="preserve"> couple</w:t>
      </w:r>
      <w:r w:rsidR="000F7152">
        <w:rPr>
          <w:i/>
          <w:iCs/>
        </w:rPr>
        <w:t xml:space="preserve"> </w:t>
      </w:r>
      <w:r w:rsidR="000F7152">
        <w:t xml:space="preserve">partners. </w:t>
      </w:r>
    </w:p>
    <w:p w14:paraId="5CE477E0" w14:textId="33722D08" w:rsidR="00BB2670" w:rsidRDefault="00BB2670" w:rsidP="00BB793E">
      <w:pPr>
        <w:jc w:val="both"/>
      </w:pPr>
      <w:r>
        <w:t>In the first example, the non-usage of condoms and</w:t>
      </w:r>
      <w:r w:rsidR="006F7B9D">
        <w:t>,</w:t>
      </w:r>
      <w:r>
        <w:t xml:space="preserve"> consequently, </w:t>
      </w:r>
      <w:r w:rsidR="006F7B9D">
        <w:t xml:space="preserve">consent to the risk of transmission by the couple was justified on religious grounds: </w:t>
      </w:r>
    </w:p>
    <w:p w14:paraId="4387A48F" w14:textId="48F37560" w:rsidR="006F7B9D" w:rsidRPr="000F7152" w:rsidRDefault="006F7B9D" w:rsidP="006F7B9D">
      <w:pPr>
        <w:ind w:left="720"/>
        <w:jc w:val="both"/>
      </w:pPr>
      <w:r>
        <w:t>The parties are Roman Catholics. They are conscientiously unable to use artificial contraception. They both know of the risk that the healthy partner may become infected with HIV.</w:t>
      </w:r>
      <w:r w:rsidR="00947167" w:rsidRPr="00444F1D">
        <w:rPr>
          <w:rStyle w:val="FootnoteReference"/>
        </w:rPr>
        <w:footnoteReference w:id="49"/>
      </w:r>
    </w:p>
    <w:p w14:paraId="780080EB" w14:textId="272AE681" w:rsidR="008F2350" w:rsidRDefault="006F7B9D" w:rsidP="004E67CD">
      <w:pPr>
        <w:jc w:val="both"/>
      </w:pPr>
      <w:r>
        <w:t xml:space="preserve">In the second example, the desire for a child was used not only as justification for the non-usage of condoms, but also as part of a broader justification of hypothetical </w:t>
      </w:r>
      <w:r w:rsidR="00235B0D">
        <w:t>serious risks to the wife’s health:</w:t>
      </w:r>
    </w:p>
    <w:p w14:paraId="3DCDF4C0" w14:textId="2D6C61F1" w:rsidR="00235B0D" w:rsidRDefault="00235B0D" w:rsidP="00235B0D">
      <w:pPr>
        <w:ind w:left="720"/>
        <w:jc w:val="both"/>
      </w:pPr>
      <w:r>
        <w:t>a young couple, desperate for a family, who are advised that if the wife were to become pregnant and give birth, her long-term health, indeed her life itself, would be at risk. Together the couple decide to run that risk, and she becomes pregnant. She may be advised that the foetus should be aborted, on the grounds of her health, yet, nevertheless, decide to bring her baby to term.</w:t>
      </w:r>
      <w:r w:rsidR="00947167" w:rsidRPr="00444F1D">
        <w:rPr>
          <w:rStyle w:val="FootnoteReference"/>
        </w:rPr>
        <w:footnoteReference w:id="50"/>
      </w:r>
    </w:p>
    <w:p w14:paraId="06646A5E" w14:textId="77777777" w:rsidR="00D847F3" w:rsidRDefault="00D847F3" w:rsidP="00235B0D">
      <w:pPr>
        <w:ind w:left="720"/>
        <w:jc w:val="both"/>
      </w:pPr>
    </w:p>
    <w:p w14:paraId="1A37BE24" w14:textId="69DDE372" w:rsidR="00235B0D" w:rsidRDefault="00235B0D" w:rsidP="00235B0D">
      <w:pPr>
        <w:jc w:val="both"/>
      </w:pPr>
      <w:r>
        <w:lastRenderedPageBreak/>
        <w:t xml:space="preserve">Given subsequent advancements in </w:t>
      </w:r>
      <w:r w:rsidR="00C33E25">
        <w:t>HIV treatment</w:t>
      </w:r>
      <w:r>
        <w:t xml:space="preserve">, both of these justifications </w:t>
      </w:r>
      <w:r w:rsidR="00FD32EE">
        <w:t xml:space="preserve">arguably </w:t>
      </w:r>
      <w:r>
        <w:t>carry less weight today</w:t>
      </w:r>
      <w:r w:rsidR="000279B3">
        <w:t>.</w:t>
      </w:r>
      <w:r w:rsidR="00947167" w:rsidRPr="00444F1D">
        <w:rPr>
          <w:rStyle w:val="FootnoteReference"/>
        </w:rPr>
        <w:footnoteReference w:id="51"/>
      </w:r>
      <w:r w:rsidR="000279B3">
        <w:t xml:space="preserve"> </w:t>
      </w:r>
      <w:proofErr w:type="gramStart"/>
      <w:r w:rsidR="000279B3">
        <w:t>Non-usage</w:t>
      </w:r>
      <w:proofErr w:type="gramEnd"/>
      <w:r w:rsidR="000279B3">
        <w:t xml:space="preserve"> of condoms and conception can now be achieved without HIV transmission risk.</w:t>
      </w:r>
      <w:r w:rsidR="000279B3" w:rsidRPr="00444F1D">
        <w:rPr>
          <w:rStyle w:val="FootnoteReference"/>
        </w:rPr>
        <w:footnoteReference w:id="52"/>
      </w:r>
      <w:r w:rsidR="000279B3">
        <w:t xml:space="preserve"> However, that consent is capable of providing a defence at all in these circumstances it in itself worthy of note. As Davies points out, consent to the risk of injury of such perceived severity is not typically available, irrespective of the motivations behind that consent.</w:t>
      </w:r>
      <w:r w:rsidR="00947167" w:rsidRPr="00444F1D">
        <w:rPr>
          <w:rStyle w:val="FootnoteReference"/>
        </w:rPr>
        <w:footnoteReference w:id="53"/>
      </w:r>
    </w:p>
    <w:p w14:paraId="0FC7E8A5" w14:textId="406B594E" w:rsidR="000279B3" w:rsidRDefault="000279B3" w:rsidP="00235B0D">
      <w:pPr>
        <w:jc w:val="both"/>
      </w:pPr>
      <w:r>
        <w:t xml:space="preserve">Procreation is central to </w:t>
      </w:r>
      <w:r w:rsidR="003E6866">
        <w:t>these</w:t>
      </w:r>
      <w:r>
        <w:t xml:space="preserve"> examples and to the archetypes they represent. </w:t>
      </w:r>
      <w:r w:rsidR="004D3FFB">
        <w:t xml:space="preserve">In the case of the </w:t>
      </w:r>
      <w:r w:rsidR="004D3FFB">
        <w:rPr>
          <w:i/>
          <w:iCs/>
        </w:rPr>
        <w:t>young couple</w:t>
      </w:r>
      <w:r w:rsidR="004D3FFB">
        <w:t>, the procreative idea</w:t>
      </w:r>
      <w:r w:rsidR="003A4819">
        <w:t xml:space="preserve">l is direct and explicit, the sexual activity is justified by the desire to conceive. In the case of the </w:t>
      </w:r>
      <w:r w:rsidR="003A4819">
        <w:rPr>
          <w:i/>
          <w:iCs/>
        </w:rPr>
        <w:t xml:space="preserve">Roman Catholic </w:t>
      </w:r>
      <w:r w:rsidR="003A4819">
        <w:t>couple, procreation is addressed indirectly – through reference to the inability of the couple to use contraception – but is no less powerful. Longstanding debate about the nature of condom use for HIV prevention exists among Catholic commentators, often centring on whether condoms act contrary to the ‘generative function of sex’.</w:t>
      </w:r>
      <w:r w:rsidR="00947167" w:rsidRPr="00444F1D">
        <w:rPr>
          <w:rStyle w:val="FootnoteReference"/>
        </w:rPr>
        <w:footnoteReference w:id="54"/>
      </w:r>
    </w:p>
    <w:p w14:paraId="0EF0CB27" w14:textId="4AC48C7A" w:rsidR="0052215D" w:rsidRDefault="0050032E" w:rsidP="00235B0D">
      <w:pPr>
        <w:jc w:val="both"/>
      </w:pPr>
      <w:r>
        <w:t>B</w:t>
      </w:r>
      <w:r w:rsidR="0052215D">
        <w:t>oth these archetypes</w:t>
      </w:r>
      <w:r w:rsidR="00AE0771">
        <w:t xml:space="preserve"> appear to</w:t>
      </w:r>
      <w:r w:rsidR="0052215D">
        <w:t xml:space="preserve"> involve </w:t>
      </w:r>
      <w:r w:rsidR="004B45FE">
        <w:t>different</w:t>
      </w:r>
      <w:r w:rsidR="0052215D">
        <w:t>-sex couples</w:t>
      </w:r>
      <w:r>
        <w:t>,</w:t>
      </w:r>
      <w:r w:rsidR="00947167" w:rsidRPr="00444F1D">
        <w:rPr>
          <w:rStyle w:val="FootnoteReference"/>
        </w:rPr>
        <w:footnoteReference w:id="55"/>
      </w:r>
      <w:r>
        <w:t xml:space="preserve"> although </w:t>
      </w:r>
      <w:r w:rsidR="00B17E85">
        <w:t xml:space="preserve">their sexual orientation and gender identity is not explicitly discussed. </w:t>
      </w:r>
      <w:r>
        <w:t>Notably, both couples appear to be married. I</w:t>
      </w:r>
      <w:r w:rsidR="00463023">
        <w:t xml:space="preserve">n the </w:t>
      </w:r>
      <w:r w:rsidR="00463023">
        <w:rPr>
          <w:i/>
          <w:iCs/>
        </w:rPr>
        <w:t xml:space="preserve">Roman Catholic </w:t>
      </w:r>
      <w:r w:rsidR="00463023">
        <w:t>couple</w:t>
      </w:r>
      <w:r w:rsidR="00B579C2">
        <w:t xml:space="preserve"> example, this is implied through their conscientious religious beliefs; whereas, in the </w:t>
      </w:r>
      <w:r w:rsidR="00B579C2">
        <w:rPr>
          <w:i/>
          <w:iCs/>
        </w:rPr>
        <w:t xml:space="preserve">young couple </w:t>
      </w:r>
      <w:r w:rsidR="00B579C2">
        <w:t>example this is explicit through the use of the term ‘wife’.</w:t>
      </w:r>
      <w:r w:rsidR="00947167" w:rsidRPr="00444F1D">
        <w:rPr>
          <w:rStyle w:val="FootnoteReference"/>
        </w:rPr>
        <w:footnoteReference w:id="56"/>
      </w:r>
      <w:r w:rsidR="00B579C2">
        <w:t xml:space="preserve"> This explicit construction of the </w:t>
      </w:r>
      <w:r w:rsidR="00B579C2">
        <w:rPr>
          <w:i/>
          <w:iCs/>
        </w:rPr>
        <w:t xml:space="preserve">young couple </w:t>
      </w:r>
      <w:r w:rsidR="00B579C2">
        <w:t xml:space="preserve">as a young </w:t>
      </w:r>
      <w:r w:rsidR="00B579C2">
        <w:rPr>
          <w:i/>
          <w:iCs/>
        </w:rPr>
        <w:t xml:space="preserve">married </w:t>
      </w:r>
      <w:r w:rsidR="00B579C2">
        <w:t xml:space="preserve">couple is </w:t>
      </w:r>
      <w:r w:rsidR="004E6747">
        <w:t xml:space="preserve">also </w:t>
      </w:r>
      <w:r w:rsidR="00B579C2">
        <w:t>significant because of the growing proportion of children born outside of marriage.</w:t>
      </w:r>
      <w:r w:rsidR="00947167" w:rsidRPr="00444F1D">
        <w:rPr>
          <w:rStyle w:val="FootnoteReference"/>
        </w:rPr>
        <w:footnoteReference w:id="57"/>
      </w:r>
      <w:r w:rsidR="00B579C2">
        <w:t xml:space="preserve"> Whilst their marital status is not essential to their procreative motivations, it is key to the idealised form of sexual activity </w:t>
      </w:r>
      <w:r w:rsidR="003E2D96">
        <w:t>they represent.</w:t>
      </w:r>
      <w:r w:rsidR="0051105C">
        <w:t xml:space="preserve"> The boundaries that th</w:t>
      </w:r>
      <w:r w:rsidR="003E6866">
        <w:t>ese</w:t>
      </w:r>
      <w:r w:rsidR="0051105C">
        <w:t xml:space="preserve"> archetype</w:t>
      </w:r>
      <w:r w:rsidR="003E6866">
        <w:t>s</w:t>
      </w:r>
      <w:r w:rsidR="0051105C">
        <w:t xml:space="preserve"> place on criminalisation arguably rely on the perceived normality of the heteronormative couples and the nuclear families that procreation would make them a part of.</w:t>
      </w:r>
      <w:r w:rsidR="0051105C" w:rsidRPr="00444F1D">
        <w:rPr>
          <w:rStyle w:val="FootnoteReference"/>
        </w:rPr>
        <w:footnoteReference w:id="58"/>
      </w:r>
    </w:p>
    <w:p w14:paraId="2307B7A9" w14:textId="0232F89A" w:rsidR="00B579C2" w:rsidRDefault="00B579C2" w:rsidP="00B579C2">
      <w:pPr>
        <w:pStyle w:val="Heading1"/>
      </w:pPr>
      <w:r>
        <w:t>SEXUAL CONSENT</w:t>
      </w:r>
      <w:r w:rsidR="00CC5173">
        <w:t xml:space="preserve"> AND</w:t>
      </w:r>
      <w:r w:rsidR="0051105C">
        <w:t xml:space="preserve"> “COMMON SENSE”</w:t>
      </w:r>
      <w:r>
        <w:t xml:space="preserve"> </w:t>
      </w:r>
    </w:p>
    <w:p w14:paraId="73CB0BBF" w14:textId="2C2AA0CB" w:rsidR="00ED7764" w:rsidRDefault="00E6094E" w:rsidP="00BA7C23">
      <w:pPr>
        <w:jc w:val="both"/>
      </w:pPr>
      <w:proofErr w:type="spellStart"/>
      <w:r>
        <w:rPr>
          <w:i/>
          <w:iCs/>
        </w:rPr>
        <w:lastRenderedPageBreak/>
        <w:t>Dica</w:t>
      </w:r>
      <w:proofErr w:type="spellEnd"/>
      <w:r>
        <w:rPr>
          <w:i/>
          <w:iCs/>
        </w:rPr>
        <w:t xml:space="preserve"> </w:t>
      </w:r>
      <w:r>
        <w:t>and subsequent cases have emphasised that non-disclosure of HIV transmission risk does not negate sexual consent and does not amount to a sexual offence.</w:t>
      </w:r>
      <w:r w:rsidRPr="00444F1D">
        <w:rPr>
          <w:rStyle w:val="FootnoteReference"/>
        </w:rPr>
        <w:footnoteReference w:id="59"/>
      </w:r>
      <w:r>
        <w:t xml:space="preserve"> Other deceptions, however, may give rise to sexual offences. In </w:t>
      </w:r>
      <w:r w:rsidR="00ED7764">
        <w:rPr>
          <w:i/>
          <w:iCs/>
        </w:rPr>
        <w:t>F v DPP</w:t>
      </w:r>
      <w:r>
        <w:rPr>
          <w:i/>
          <w:iCs/>
        </w:rPr>
        <w:t xml:space="preserve">, </w:t>
      </w:r>
      <w:r>
        <w:t xml:space="preserve">the High Court examined a situation where consent was negated due to a deception about the intent to withdraw prior to ejaculation. The Court concluded that whilst </w:t>
      </w:r>
      <w:r w:rsidR="00CC5173">
        <w:t>ejaculation and subsequent pregnancy were not central to the definition of rape,</w:t>
      </w:r>
      <w:r w:rsidR="00CC5173">
        <w:rPr>
          <w:rStyle w:val="FootnoteReference"/>
        </w:rPr>
        <w:footnoteReference w:id="60"/>
      </w:r>
      <w:r w:rsidR="00CC5173">
        <w:t xml:space="preserve"> ‘</w:t>
      </w:r>
      <w:r w:rsidR="00CC5173" w:rsidRPr="00CC5173">
        <w:t xml:space="preserve">evidence relating to “choice” and the “freedom” to make any </w:t>
      </w:r>
      <w:proofErr w:type="gramStart"/>
      <w:r w:rsidR="00CC5173" w:rsidRPr="00CC5173">
        <w:t>particular choice</w:t>
      </w:r>
      <w:proofErr w:type="gramEnd"/>
      <w:r w:rsidR="00CC5173" w:rsidRPr="00CC5173">
        <w:t xml:space="preserve"> must be approached in a broad commonsense way’</w:t>
      </w:r>
      <w:r w:rsidR="00CC5173">
        <w:t xml:space="preserve"> including in relation to ejaculation.</w:t>
      </w:r>
      <w:r w:rsidR="00ED7764">
        <w:rPr>
          <w:rStyle w:val="FootnoteReference"/>
        </w:rPr>
        <w:footnoteReference w:id="61"/>
      </w:r>
      <w:r w:rsidR="00ED7764">
        <w:t xml:space="preserve"> </w:t>
      </w:r>
    </w:p>
    <w:p w14:paraId="5310FF6F" w14:textId="230BF436" w:rsidR="006A7894" w:rsidRDefault="00C33E25" w:rsidP="0051105C">
      <w:pPr>
        <w:jc w:val="both"/>
      </w:pPr>
      <w:r>
        <w:t>In</w:t>
      </w:r>
      <w:r w:rsidR="00BA7C23">
        <w:t xml:space="preserve"> </w:t>
      </w:r>
      <w:r w:rsidR="00BA7C23">
        <w:rPr>
          <w:i/>
          <w:iCs/>
        </w:rPr>
        <w:t xml:space="preserve">Lawrance, </w:t>
      </w:r>
      <w:r w:rsidR="00BA7C23">
        <w:t xml:space="preserve">the defendant was charged </w:t>
      </w:r>
      <w:r w:rsidR="00ED7764">
        <w:t>with</w:t>
      </w:r>
      <w:r w:rsidR="00E20A20">
        <w:t xml:space="preserve"> rape, on the basis that he deceived the complainant into thinking he had undergone a vasectomy. </w:t>
      </w:r>
      <w:r w:rsidR="00BA2121">
        <w:t xml:space="preserve">Lawrance </w:t>
      </w:r>
      <w:r w:rsidR="006A7894">
        <w:t xml:space="preserve">successfully appealed, </w:t>
      </w:r>
      <w:r w:rsidR="00BA2121">
        <w:t>on the basis that deceptions relating to fertility could not vitiate consent to sexual activity.</w:t>
      </w:r>
      <w:r w:rsidR="00BA2121" w:rsidRPr="00444F1D">
        <w:rPr>
          <w:rStyle w:val="FootnoteReference"/>
        </w:rPr>
        <w:footnoteReference w:id="62"/>
      </w:r>
      <w:r w:rsidR="00BA2121">
        <w:t xml:space="preserve"> </w:t>
      </w:r>
      <w:r w:rsidR="0080547D">
        <w:rPr>
          <w:i/>
          <w:iCs/>
        </w:rPr>
        <w:t>Lawrance</w:t>
      </w:r>
      <w:r w:rsidR="0051105C">
        <w:t xml:space="preserve"> emphasises that a range of deceptions, such as ‘</w:t>
      </w:r>
      <w:r w:rsidR="00BA2121" w:rsidRPr="00BA2121">
        <w:t>lies concerning marital status or being in a committed relationship; lies about political or religious views; lies about status, employment or wealth</w:t>
      </w:r>
      <w:r w:rsidR="0051105C">
        <w:t>’ would not vitiate consent to sexual activity.</w:t>
      </w:r>
      <w:r w:rsidR="00BA2121" w:rsidRPr="00444F1D">
        <w:rPr>
          <w:rStyle w:val="FootnoteReference"/>
        </w:rPr>
        <w:footnoteReference w:id="63"/>
      </w:r>
      <w:r w:rsidR="008365C5">
        <w:t xml:space="preserve"> </w:t>
      </w:r>
    </w:p>
    <w:p w14:paraId="534D14F7" w14:textId="7B66C660" w:rsidR="00BA2121" w:rsidRPr="008365C5" w:rsidRDefault="0080547D" w:rsidP="0051105C">
      <w:pPr>
        <w:jc w:val="both"/>
      </w:pPr>
      <w:r>
        <w:rPr>
          <w:i/>
          <w:iCs/>
        </w:rPr>
        <w:t xml:space="preserve">Lawrance </w:t>
      </w:r>
      <w:r>
        <w:t>reiterate</w:t>
      </w:r>
      <w:r w:rsidR="00C33E25">
        <w:t>s</w:t>
      </w:r>
      <w:r>
        <w:t xml:space="preserve"> that consent</w:t>
      </w:r>
      <w:r w:rsidR="00C33E25">
        <w:t xml:space="preserve"> is</w:t>
      </w:r>
      <w:r>
        <w:t xml:space="preserve"> not affected by subsequent pregnancy</w:t>
      </w:r>
      <w:r w:rsidR="00C33E25">
        <w:t>.</w:t>
      </w:r>
      <w:r>
        <w:t xml:space="preserve"> </w:t>
      </w:r>
      <w:r w:rsidR="00C33E25">
        <w:t xml:space="preserve">The </w:t>
      </w:r>
      <w:r w:rsidR="002A4CF2">
        <w:t xml:space="preserve">judgment distinguishes the case </w:t>
      </w:r>
      <w:r>
        <w:t xml:space="preserve">from </w:t>
      </w:r>
      <w:r>
        <w:rPr>
          <w:i/>
          <w:iCs/>
        </w:rPr>
        <w:t xml:space="preserve">F </w:t>
      </w:r>
      <w:r>
        <w:t xml:space="preserve">on the basis that in </w:t>
      </w:r>
      <w:r>
        <w:rPr>
          <w:i/>
          <w:iCs/>
        </w:rPr>
        <w:t xml:space="preserve">Lawrance </w:t>
      </w:r>
      <w:r w:rsidRPr="0080547D">
        <w:t>‘</w:t>
      </w:r>
      <w:r>
        <w:t>[t]</w:t>
      </w:r>
      <w:r w:rsidRPr="0080547D">
        <w:t>he deception was one which related not to the physical performance of the sexual act but to risks or consequences associated with it</w:t>
      </w:r>
      <w:r>
        <w:t>’.</w:t>
      </w:r>
      <w:r>
        <w:rPr>
          <w:rStyle w:val="FootnoteReference"/>
        </w:rPr>
        <w:footnoteReference w:id="64"/>
      </w:r>
      <w:r>
        <w:t xml:space="preserve"> In</w:t>
      </w:r>
      <w:r w:rsidR="008365C5">
        <w:t xml:space="preserve"> this section, I suggest that </w:t>
      </w:r>
      <w:r w:rsidR="006A7894">
        <w:t xml:space="preserve">the idea of pregnancy as a normal consequence of sex </w:t>
      </w:r>
      <w:r w:rsidR="008C2DFC">
        <w:t>is</w:t>
      </w:r>
      <w:r w:rsidR="006A7894">
        <w:t xml:space="preserve"> central to the Court of Appeal’s analysis</w:t>
      </w:r>
      <w:r w:rsidR="008C2DFC">
        <w:t xml:space="preserve"> -</w:t>
      </w:r>
      <w:r w:rsidR="006A7894">
        <w:t xml:space="preserve"> in a manner which </w:t>
      </w:r>
      <w:r w:rsidR="008365C5">
        <w:t>sustain</w:t>
      </w:r>
      <w:r w:rsidR="006A7894">
        <w:t>s</w:t>
      </w:r>
      <w:r w:rsidR="008365C5">
        <w:t xml:space="preserve"> hierarchies of sexual activity, seen in criminal law, </w:t>
      </w:r>
      <w:r w:rsidR="006A7894">
        <w:t>in which</w:t>
      </w:r>
      <w:r w:rsidR="008365C5">
        <w:t xml:space="preserve"> procreation is </w:t>
      </w:r>
      <w:r w:rsidR="00C33E25">
        <w:t xml:space="preserve">nevertheless </w:t>
      </w:r>
      <w:r w:rsidR="008365C5">
        <w:t xml:space="preserve">privileged. </w:t>
      </w:r>
    </w:p>
    <w:p w14:paraId="3403AB37" w14:textId="5F7EC6E1" w:rsidR="00D12140" w:rsidRDefault="008365C5" w:rsidP="00D12140">
      <w:pPr>
        <w:jc w:val="both"/>
        <w:rPr>
          <w:i/>
          <w:iCs/>
        </w:rPr>
      </w:pPr>
      <w:r>
        <w:t>C</w:t>
      </w:r>
      <w:r w:rsidR="00D12140">
        <w:t xml:space="preserve">omparatively little is said in </w:t>
      </w:r>
      <w:r w:rsidR="00D12140">
        <w:rPr>
          <w:i/>
          <w:iCs/>
        </w:rPr>
        <w:t xml:space="preserve">Lawrance </w:t>
      </w:r>
      <w:r w:rsidR="00D12140">
        <w:t xml:space="preserve">about the nature of the relationship between the parties. It </w:t>
      </w:r>
      <w:r w:rsidR="00A379A4">
        <w:t>is</w:t>
      </w:r>
      <w:r w:rsidR="00D12140">
        <w:t xml:space="preserve"> noted that </w:t>
      </w:r>
      <w:r w:rsidR="00B253B4">
        <w:t>they</w:t>
      </w:r>
      <w:r w:rsidR="00D12140">
        <w:t xml:space="preserve"> met and initially communicated via a dating website, where the defendant made statements </w:t>
      </w:r>
      <w:r w:rsidR="00B253B4">
        <w:t>indicating</w:t>
      </w:r>
      <w:r w:rsidR="00D12140">
        <w:t xml:space="preserve"> he had undergone a vasectomy.</w:t>
      </w:r>
      <w:r w:rsidR="00D12140" w:rsidRPr="00444F1D">
        <w:rPr>
          <w:rStyle w:val="FootnoteReference"/>
        </w:rPr>
        <w:footnoteReference w:id="65"/>
      </w:r>
      <w:r w:rsidR="00D12140">
        <w:t xml:space="preserve"> </w:t>
      </w:r>
      <w:r w:rsidR="00C33E25">
        <w:t>These facts are, in a sense</w:t>
      </w:r>
      <w:r w:rsidR="00D12140">
        <w:t>,</w:t>
      </w:r>
      <w:r w:rsidR="00C33E25">
        <w:t xml:space="preserve"> unsurprising</w:t>
      </w:r>
      <w:r w:rsidR="003B6A83">
        <w:t>,</w:t>
      </w:r>
      <w:r w:rsidR="00D12140">
        <w:t xml:space="preserve"> given the proportion of relationships which now begin through</w:t>
      </w:r>
      <w:r w:rsidR="00A379A4">
        <w:t xml:space="preserve"> </w:t>
      </w:r>
      <w:r w:rsidR="00D12140">
        <w:t>digital technolog</w:t>
      </w:r>
      <w:r w:rsidR="00A379A4">
        <w:t>ies</w:t>
      </w:r>
      <w:r w:rsidR="00D12140">
        <w:t>.</w:t>
      </w:r>
      <w:r w:rsidR="00D12140" w:rsidRPr="00444F1D">
        <w:rPr>
          <w:rStyle w:val="FootnoteReference"/>
        </w:rPr>
        <w:footnoteReference w:id="66"/>
      </w:r>
      <w:r w:rsidR="00D12140">
        <w:t xml:space="preserve"> It is significant, however, that little was said about the context of the relationship, given </w:t>
      </w:r>
      <w:r w:rsidR="00FD32EE">
        <w:t>how this</w:t>
      </w:r>
      <w:r w:rsidR="00D12140">
        <w:t xml:space="preserve"> context might inter</w:t>
      </w:r>
      <w:r w:rsidR="00B253B4">
        <w:t>act</w:t>
      </w:r>
      <w:r w:rsidR="00D12140">
        <w:t xml:space="preserve"> with the </w:t>
      </w:r>
      <w:r w:rsidR="00B253B4">
        <w:t>concept</w:t>
      </w:r>
      <w:r w:rsidR="00D12140">
        <w:t xml:space="preserve"> of ‘common</w:t>
      </w:r>
      <w:r w:rsidR="003A4DE6">
        <w:t>-</w:t>
      </w:r>
      <w:r w:rsidR="00D12140">
        <w:t>sense’</w:t>
      </w:r>
      <w:r w:rsidR="00A379A4">
        <w:t xml:space="preserve"> -</w:t>
      </w:r>
      <w:r w:rsidR="00D12140">
        <w:t xml:space="preserve"> which </w:t>
      </w:r>
      <w:r w:rsidR="00E1711A">
        <w:t xml:space="preserve">arose during discussion of </w:t>
      </w:r>
      <w:r w:rsidR="00D12140">
        <w:t>earlier case law</w:t>
      </w:r>
      <w:r w:rsidR="00D12140">
        <w:rPr>
          <w:i/>
          <w:iCs/>
        </w:rPr>
        <w:t>.</w:t>
      </w:r>
      <w:r w:rsidR="00795C70" w:rsidRPr="00444F1D">
        <w:rPr>
          <w:rStyle w:val="FootnoteReference"/>
        </w:rPr>
        <w:footnoteReference w:id="67"/>
      </w:r>
    </w:p>
    <w:p w14:paraId="79D68CD8" w14:textId="22C93EA5" w:rsidR="002233B5" w:rsidRDefault="002233B5" w:rsidP="00D12140">
      <w:pPr>
        <w:jc w:val="both"/>
      </w:pPr>
      <w:r>
        <w:t xml:space="preserve">In those cases, the </w:t>
      </w:r>
      <w:r w:rsidR="00751A85">
        <w:t>c</w:t>
      </w:r>
      <w:r>
        <w:t xml:space="preserve">ourts examined other situations </w:t>
      </w:r>
      <w:r w:rsidR="00FD32EE">
        <w:t>where</w:t>
      </w:r>
      <w:r>
        <w:t xml:space="preserve"> allegations of deception and non-disclosure of information might potentially vitiate consent to sexual activity. In </w:t>
      </w:r>
      <w:r>
        <w:rPr>
          <w:i/>
          <w:iCs/>
        </w:rPr>
        <w:t xml:space="preserve">Monica, </w:t>
      </w:r>
      <w:r>
        <w:t xml:space="preserve">the complainant had unknowingly been in a (sexual) relationship with an undercover police office </w:t>
      </w:r>
      <w:r>
        <w:lastRenderedPageBreak/>
        <w:t>for a period of approximately seven months in 1997</w:t>
      </w:r>
      <w:r w:rsidR="00A379A4">
        <w:t>, not discovering the officer’s profession until 2011</w:t>
      </w:r>
      <w:r>
        <w:t>.</w:t>
      </w:r>
      <w:r w:rsidRPr="00444F1D">
        <w:rPr>
          <w:rStyle w:val="FootnoteReference"/>
        </w:rPr>
        <w:footnoteReference w:id="68"/>
      </w:r>
      <w:r w:rsidR="0081262A">
        <w:t xml:space="preserve"> In </w:t>
      </w:r>
      <w:r w:rsidR="0081262A">
        <w:rPr>
          <w:i/>
          <w:iCs/>
        </w:rPr>
        <w:t>McNally</w:t>
      </w:r>
      <w:r w:rsidR="0081262A">
        <w:t xml:space="preserve">, </w:t>
      </w:r>
      <w:r w:rsidR="00B632C8">
        <w:t>the defendant had digitally and orally penetrated the complainant on more than one occasion,</w:t>
      </w:r>
      <w:r w:rsidR="00B632C8" w:rsidRPr="00444F1D">
        <w:rPr>
          <w:rStyle w:val="FootnoteReference"/>
        </w:rPr>
        <w:footnoteReference w:id="69"/>
      </w:r>
      <w:r w:rsidR="00B632C8">
        <w:t xml:space="preserve"> following a period of three years where the defendant had presented as male.</w:t>
      </w:r>
      <w:r w:rsidR="00B632C8" w:rsidRPr="00444F1D">
        <w:rPr>
          <w:rStyle w:val="FootnoteReference"/>
        </w:rPr>
        <w:footnoteReference w:id="70"/>
      </w:r>
      <w:r w:rsidR="00B632C8">
        <w:t xml:space="preserve"> </w:t>
      </w:r>
      <w:r w:rsidR="00BF5CEB">
        <w:t>The</w:t>
      </w:r>
      <w:r w:rsidR="00B632C8">
        <w:t xml:space="preserve"> Court of Appeal </w:t>
      </w:r>
      <w:r w:rsidR="00BF5CEB">
        <w:t xml:space="preserve">in </w:t>
      </w:r>
      <w:r w:rsidR="00BF5CEB">
        <w:rPr>
          <w:i/>
          <w:iCs/>
        </w:rPr>
        <w:t xml:space="preserve">McNally </w:t>
      </w:r>
      <w:r w:rsidR="00B632C8">
        <w:t xml:space="preserve">held that ‘the sexual nature of the acts [making up the charge] is, on </w:t>
      </w:r>
      <w:r w:rsidR="00B632C8">
        <w:rPr>
          <w:i/>
          <w:iCs/>
        </w:rPr>
        <w:t>any common sense view</w:t>
      </w:r>
      <w:r w:rsidR="00B632C8">
        <w:t>, different where the complainant is deliberately deceived by a defendant into believing the latter is a male’</w:t>
      </w:r>
      <w:r w:rsidR="003B6A83">
        <w:t>.</w:t>
      </w:r>
      <w:r w:rsidR="00BF5CEB" w:rsidRPr="00444F1D">
        <w:rPr>
          <w:rStyle w:val="FootnoteReference"/>
        </w:rPr>
        <w:footnoteReference w:id="71"/>
      </w:r>
      <w:r w:rsidR="00BF5CEB">
        <w:t xml:space="preserve"> This principle was also discussed in </w:t>
      </w:r>
      <w:r w:rsidR="00BF5CEB">
        <w:rPr>
          <w:i/>
          <w:iCs/>
        </w:rPr>
        <w:t xml:space="preserve">Monica </w:t>
      </w:r>
      <w:r w:rsidR="00BF5CEB">
        <w:t>where it was emphasised that whilst juries might rightly be expected to draw on ‘their common sense and experience of life’, this had to be within the limits of the legal (and, in the case of the jury, factual) questions being posited.</w:t>
      </w:r>
      <w:r w:rsidR="00BF5CEB" w:rsidRPr="00444F1D">
        <w:rPr>
          <w:rStyle w:val="FootnoteReference"/>
        </w:rPr>
        <w:footnoteReference w:id="72"/>
      </w:r>
    </w:p>
    <w:p w14:paraId="65180FFE" w14:textId="093B52B8" w:rsidR="006E7D85" w:rsidRDefault="00236287" w:rsidP="00873C97">
      <w:pPr>
        <w:jc w:val="both"/>
      </w:pPr>
      <w:r>
        <w:t>“</w:t>
      </w:r>
      <w:r w:rsidR="008365C5" w:rsidRPr="00D26025">
        <w:t>Common sense</w:t>
      </w:r>
      <w:r>
        <w:t>”</w:t>
      </w:r>
      <w:r w:rsidR="008365C5">
        <w:rPr>
          <w:i/>
          <w:iCs/>
        </w:rPr>
        <w:t xml:space="preserve"> </w:t>
      </w:r>
      <w:r w:rsidR="005E54E7">
        <w:t>thinking may perpetuate broader myths and misapprehensions surrounding sexual offending.</w:t>
      </w:r>
      <w:r w:rsidR="004560E5" w:rsidRPr="00444F1D">
        <w:rPr>
          <w:rStyle w:val="FootnoteReference"/>
        </w:rPr>
        <w:footnoteReference w:id="73"/>
      </w:r>
      <w:r w:rsidR="00B6372A">
        <w:t xml:space="preserve"> In</w:t>
      </w:r>
      <w:r w:rsidR="00F14562">
        <w:t xml:space="preserve"> </w:t>
      </w:r>
      <w:r w:rsidR="00F14562">
        <w:rPr>
          <w:i/>
          <w:iCs/>
        </w:rPr>
        <w:t xml:space="preserve">McNally, </w:t>
      </w:r>
      <w:r w:rsidR="00B6372A">
        <w:t>it</w:t>
      </w:r>
      <w:r w:rsidR="00F14562">
        <w:rPr>
          <w:i/>
          <w:iCs/>
        </w:rPr>
        <w:t xml:space="preserve"> </w:t>
      </w:r>
      <w:r w:rsidR="00F14562">
        <w:t>appears to be imbued with normative expectations of penile-vaginal intercourse, which serve to distinguish different forms of sexual activity.</w:t>
      </w:r>
      <w:r w:rsidR="00F14562" w:rsidRPr="00444F1D">
        <w:rPr>
          <w:rStyle w:val="FootnoteReference"/>
        </w:rPr>
        <w:footnoteReference w:id="74"/>
      </w:r>
      <w:r w:rsidR="00873C97">
        <w:t xml:space="preserve"> </w:t>
      </w:r>
      <w:r w:rsidR="00B6372A">
        <w:t>However, the concept is ambiguous</w:t>
      </w:r>
      <w:r w:rsidR="003B6A83">
        <w:t>,</w:t>
      </w:r>
      <w:r w:rsidR="00B6372A">
        <w:t xml:space="preserve"> particular</w:t>
      </w:r>
      <w:r w:rsidR="003B6A83">
        <w:t>ly</w:t>
      </w:r>
      <w:r w:rsidR="00B6372A">
        <w:t xml:space="preserve"> when considering the impact of </w:t>
      </w:r>
      <w:r w:rsidR="00B6372A">
        <w:rPr>
          <w:i/>
          <w:iCs/>
        </w:rPr>
        <w:t>Lawrance.</w:t>
      </w:r>
      <w:r w:rsidR="00873C97" w:rsidRPr="00444F1D">
        <w:rPr>
          <w:rStyle w:val="FootnoteReference"/>
        </w:rPr>
        <w:footnoteReference w:id="75"/>
      </w:r>
      <w:r w:rsidR="00873C97">
        <w:t xml:space="preserve"> Murray and Beattie argue that the discussion of </w:t>
      </w:r>
      <w:r w:rsidR="00135DDB">
        <w:t>“</w:t>
      </w:r>
      <w:r w:rsidR="00873C97">
        <w:t>c</w:t>
      </w:r>
      <w:r w:rsidR="00873C97" w:rsidRPr="00873C97">
        <w:t>ommon sense</w:t>
      </w:r>
      <w:r w:rsidR="00135DDB">
        <w:t>”</w:t>
      </w:r>
      <w:r w:rsidR="00873C97">
        <w:rPr>
          <w:i/>
          <w:iCs/>
        </w:rPr>
        <w:t xml:space="preserve"> </w:t>
      </w:r>
      <w:r w:rsidR="00873C97">
        <w:t xml:space="preserve">in </w:t>
      </w:r>
      <w:r w:rsidR="00873C97">
        <w:rPr>
          <w:i/>
          <w:iCs/>
        </w:rPr>
        <w:t xml:space="preserve">McNally </w:t>
      </w:r>
      <w:r w:rsidR="00873C97">
        <w:t xml:space="preserve">has been misinterpreted as establishing a new legal principle, rather than acknowledging judicial and jury practices, and consequently cases such as </w:t>
      </w:r>
      <w:r w:rsidR="00873C97">
        <w:rPr>
          <w:i/>
          <w:iCs/>
        </w:rPr>
        <w:t xml:space="preserve">Lawrance </w:t>
      </w:r>
      <w:r w:rsidR="00873C97">
        <w:t>have over</w:t>
      </w:r>
      <w:r w:rsidR="00B6372A">
        <w:t>-</w:t>
      </w:r>
      <w:r w:rsidR="00873C97">
        <w:t>relied on a purported '</w:t>
      </w:r>
      <w:r w:rsidR="003A4DE6">
        <w:t>“</w:t>
      </w:r>
      <w:r w:rsidR="00873C97">
        <w:t>common sense</w:t>
      </w:r>
      <w:r w:rsidR="003A4DE6">
        <w:t>”</w:t>
      </w:r>
      <w:r w:rsidR="00873C97">
        <w:t>’ test rather than the established concepts of freedom and capacity to choose set out in the 2003</w:t>
      </w:r>
      <w:r w:rsidR="00840097">
        <w:t xml:space="preserve"> Act</w:t>
      </w:r>
      <w:r w:rsidR="00873C97">
        <w:t>.</w:t>
      </w:r>
      <w:r w:rsidR="00873C97" w:rsidRPr="00444F1D">
        <w:rPr>
          <w:rStyle w:val="FootnoteReference"/>
        </w:rPr>
        <w:footnoteReference w:id="76"/>
      </w:r>
    </w:p>
    <w:p w14:paraId="3E7C70E3" w14:textId="1B9B6EFC" w:rsidR="00873C97" w:rsidRPr="009E64F2" w:rsidRDefault="00873C97" w:rsidP="009E64F2">
      <w:pPr>
        <w:jc w:val="both"/>
      </w:pPr>
      <w:r>
        <w:t xml:space="preserve">Weait and Gerry similarly argue that the use of </w:t>
      </w:r>
      <w:r w:rsidR="003A4DE6">
        <w:t>“</w:t>
      </w:r>
      <w:r w:rsidRPr="003A4DE6">
        <w:t>common sense</w:t>
      </w:r>
      <w:r w:rsidR="003A4DE6">
        <w:t>”</w:t>
      </w:r>
      <w:r>
        <w:t xml:space="preserve"> in </w:t>
      </w:r>
      <w:r>
        <w:rPr>
          <w:i/>
          <w:iCs/>
        </w:rPr>
        <w:t xml:space="preserve">Lawrance </w:t>
      </w:r>
      <w:r>
        <w:t xml:space="preserve">does nothing to develop the analysis of factors which have the potential to vitiate consent and instead </w:t>
      </w:r>
      <w:r w:rsidR="001B2A39">
        <w:t>attempt</w:t>
      </w:r>
      <w:r w:rsidR="00751A85">
        <w:t>s</w:t>
      </w:r>
      <w:r w:rsidR="001B2A39">
        <w:t xml:space="preserve"> to address such factors ‘on a </w:t>
      </w:r>
      <w:proofErr w:type="gramStart"/>
      <w:r w:rsidR="001B2A39">
        <w:t>case by case</w:t>
      </w:r>
      <w:proofErr w:type="gramEnd"/>
      <w:r w:rsidR="001B2A39">
        <w:t xml:space="preserve"> basis’.</w:t>
      </w:r>
      <w:r w:rsidR="001B2A39" w:rsidRPr="00444F1D">
        <w:rPr>
          <w:rStyle w:val="FootnoteReference"/>
        </w:rPr>
        <w:footnoteReference w:id="77"/>
      </w:r>
      <w:r>
        <w:t xml:space="preserve"> </w:t>
      </w:r>
      <w:r w:rsidR="001B2A39">
        <w:t>A case-by-case analysis is likely to depend heavily on the nature of the alleged deception and its significance to</w:t>
      </w:r>
      <w:r w:rsidR="0011231A">
        <w:t>/</w:t>
      </w:r>
      <w:r w:rsidR="001B2A39">
        <w:t>in the context of the relationship between the parties. The significance of various deceptions is a problematic issue when considering the limits of criminalisation, given potential ‘deal breakers’ vary significantly between individuals and sexual partnerships.</w:t>
      </w:r>
      <w:r w:rsidR="001B2A39" w:rsidRPr="00444F1D">
        <w:rPr>
          <w:rStyle w:val="FootnoteReference"/>
        </w:rPr>
        <w:footnoteReference w:id="78"/>
      </w:r>
      <w:r w:rsidR="009E64F2">
        <w:t xml:space="preserve"> It is here that </w:t>
      </w:r>
      <w:r w:rsidR="009E64F2">
        <w:lastRenderedPageBreak/>
        <w:t xml:space="preserve">deployment of </w:t>
      </w:r>
      <w:r w:rsidR="003A4DE6">
        <w:t>“</w:t>
      </w:r>
      <w:r w:rsidR="009E64F2" w:rsidRPr="00D26025">
        <w:t>common sense</w:t>
      </w:r>
      <w:r w:rsidR="003A4DE6">
        <w:t>”</w:t>
      </w:r>
      <w:r w:rsidR="009E64F2">
        <w:rPr>
          <w:i/>
          <w:iCs/>
        </w:rPr>
        <w:t xml:space="preserve"> </w:t>
      </w:r>
      <w:r w:rsidR="009E64F2">
        <w:t xml:space="preserve">rationales regarding sexual deal breakers are likely to play a critical role in the development of criminal law, although it remains unclear what the source of </w:t>
      </w:r>
      <w:r w:rsidR="00135DDB">
        <w:t>“</w:t>
      </w:r>
      <w:r w:rsidR="009E64F2">
        <w:t>common sense</w:t>
      </w:r>
      <w:r w:rsidR="00135DDB">
        <w:t>”</w:t>
      </w:r>
      <w:r w:rsidR="009E64F2">
        <w:t xml:space="preserve"> reasoning is to be.</w:t>
      </w:r>
      <w:r w:rsidR="009E64F2" w:rsidRPr="00444F1D">
        <w:rPr>
          <w:rStyle w:val="FootnoteReference"/>
        </w:rPr>
        <w:footnoteReference w:id="79"/>
      </w:r>
      <w:r w:rsidR="009E64F2">
        <w:t xml:space="preserve"> On this point Laird suggests that the deployment of ‘common sense’ within </w:t>
      </w:r>
      <w:r w:rsidR="009E64F2">
        <w:rPr>
          <w:i/>
          <w:iCs/>
        </w:rPr>
        <w:t xml:space="preserve">Lawrance </w:t>
      </w:r>
      <w:r w:rsidR="009E64F2">
        <w:t xml:space="preserve">and </w:t>
      </w:r>
      <w:r w:rsidR="009E64F2">
        <w:rPr>
          <w:i/>
          <w:iCs/>
        </w:rPr>
        <w:t xml:space="preserve">McNally </w:t>
      </w:r>
      <w:r w:rsidR="009E64F2">
        <w:t xml:space="preserve">is predominantly a judicial conceptualisation </w:t>
      </w:r>
      <w:r w:rsidR="00135DDB">
        <w:t>of the concept</w:t>
      </w:r>
      <w:r w:rsidR="009E64F2">
        <w:t xml:space="preserve">, which may not reflect – or even harmonise with – the </w:t>
      </w:r>
      <w:r w:rsidR="00135DDB">
        <w:t>“</w:t>
      </w:r>
      <w:r w:rsidR="009E64F2">
        <w:t>common sense</w:t>
      </w:r>
      <w:r w:rsidR="00135DDB">
        <w:t>”</w:t>
      </w:r>
      <w:r w:rsidR="009E64F2">
        <w:t xml:space="preserve"> interpretations of juries.</w:t>
      </w:r>
      <w:r w:rsidR="009E64F2" w:rsidRPr="00444F1D">
        <w:rPr>
          <w:rStyle w:val="FootnoteReference"/>
        </w:rPr>
        <w:footnoteReference w:id="80"/>
      </w:r>
    </w:p>
    <w:p w14:paraId="77A0F525" w14:textId="5AC3DCEC" w:rsidR="006E7D85" w:rsidRDefault="009E64F2" w:rsidP="009E64F2">
      <w:pPr>
        <w:jc w:val="both"/>
      </w:pPr>
      <w:r>
        <w:t xml:space="preserve">The deployment of </w:t>
      </w:r>
      <w:r w:rsidR="00135DDB">
        <w:t>“</w:t>
      </w:r>
      <w:r>
        <w:t>common sense</w:t>
      </w:r>
      <w:r w:rsidR="00135DDB">
        <w:t>”</w:t>
      </w:r>
      <w:r>
        <w:t xml:space="preserve"> within these judgments therefore has the potential to disguise the impact of broader influences, including </w:t>
      </w:r>
      <w:r w:rsidR="002E6DC6">
        <w:t>residual</w:t>
      </w:r>
      <w:r>
        <w:t xml:space="preserve"> heteronormativity. Discussing </w:t>
      </w:r>
      <w:proofErr w:type="spellStart"/>
      <w:r>
        <w:rPr>
          <w:i/>
          <w:iCs/>
        </w:rPr>
        <w:t>Konzani</w:t>
      </w:r>
      <w:proofErr w:type="spellEnd"/>
      <w:r>
        <w:rPr>
          <w:i/>
          <w:iCs/>
        </w:rPr>
        <w:t xml:space="preserve"> </w:t>
      </w:r>
      <w:r>
        <w:t xml:space="preserve">and other early HIV transmission cases, including </w:t>
      </w:r>
      <w:proofErr w:type="spellStart"/>
      <w:r>
        <w:rPr>
          <w:i/>
          <w:iCs/>
        </w:rPr>
        <w:t>Dica</w:t>
      </w:r>
      <w:proofErr w:type="spellEnd"/>
      <w:r>
        <w:rPr>
          <w:i/>
          <w:iCs/>
        </w:rPr>
        <w:t xml:space="preserve">, </w:t>
      </w:r>
      <w:r>
        <w:t>Ryan argues that ignoring the broader context of HIV transmission carries the risk that:</w:t>
      </w:r>
    </w:p>
    <w:p w14:paraId="11D06CB9" w14:textId="7DC983A3" w:rsidR="009E64F2" w:rsidRDefault="009E64F2" w:rsidP="009E64F2">
      <w:pPr>
        <w:ind w:left="720"/>
        <w:jc w:val="both"/>
      </w:pPr>
      <w:r w:rsidRPr="009E64F2">
        <w:t xml:space="preserve">a very narrow, cold and unrealistic approach to criminal liability for HIV transmission will be adopted in which a </w:t>
      </w:r>
      <w:proofErr w:type="gramStart"/>
      <w:r w:rsidRPr="00F369E7">
        <w:rPr>
          <w:i/>
          <w:iCs/>
        </w:rPr>
        <w:t>common sense</w:t>
      </w:r>
      <w:proofErr w:type="gramEnd"/>
      <w:r w:rsidRPr="009E64F2">
        <w:t xml:space="preserve"> pragmatic view of what constitutes ‘proper’ conduct</w:t>
      </w:r>
      <w:r>
        <w:t xml:space="preserve"> </w:t>
      </w:r>
      <w:r w:rsidRPr="009E64F2">
        <w:t>in sexual relations, that is largely at odds with the reality of sexual behaviour and sexual encounters, will prevail.</w:t>
      </w:r>
      <w:r w:rsidR="00F369E7" w:rsidRPr="00444F1D">
        <w:rPr>
          <w:rStyle w:val="FootnoteReference"/>
        </w:rPr>
        <w:footnoteReference w:id="81"/>
      </w:r>
    </w:p>
    <w:p w14:paraId="7279D043" w14:textId="0F9B58D1" w:rsidR="00F369E7" w:rsidRDefault="00F369E7" w:rsidP="00F369E7">
      <w:pPr>
        <w:jc w:val="both"/>
      </w:pPr>
      <w:r>
        <w:t xml:space="preserve">Indeed, Travis </w:t>
      </w:r>
      <w:r w:rsidR="00791CF0">
        <w:t>argues</w:t>
      </w:r>
      <w:r>
        <w:t xml:space="preserve"> that </w:t>
      </w:r>
      <w:r>
        <w:rPr>
          <w:i/>
          <w:iCs/>
        </w:rPr>
        <w:t xml:space="preserve">McNally </w:t>
      </w:r>
      <w:r>
        <w:t>is demonstrative of a judicial conservativism regarding sexual activity:</w:t>
      </w:r>
    </w:p>
    <w:p w14:paraId="2667187F" w14:textId="190ACDC2" w:rsidR="00F369E7" w:rsidRDefault="00F369E7" w:rsidP="008D1103">
      <w:pPr>
        <w:ind w:left="720"/>
        <w:jc w:val="both"/>
      </w:pPr>
      <w:r w:rsidRPr="00F369E7">
        <w:t xml:space="preserve">The McNally decision plays into this conservatism, highlighting that while </w:t>
      </w:r>
      <w:r>
        <w:t>“</w:t>
      </w:r>
      <w:r w:rsidRPr="00F369E7">
        <w:t>appropriate</w:t>
      </w:r>
      <w:r>
        <w:t>”</w:t>
      </w:r>
      <w:r w:rsidRPr="00F369E7">
        <w:t xml:space="preserve"> same-sex relationships are accepted (i.e. relationships that mirror the traditional reproductive family) other same-sex relationships will not be tolerated. As a result, a whole host of experimental, </w:t>
      </w:r>
      <w:proofErr w:type="gramStart"/>
      <w:r w:rsidRPr="00F369E7">
        <w:t>fleeting</w:t>
      </w:r>
      <w:proofErr w:type="gramEnd"/>
      <w:r w:rsidRPr="00F369E7">
        <w:t xml:space="preserve"> and tentative encounters are institutionally signified as dangerous. This construction of sex outside the confines of marriage (or marriage-like relationships) as unsafe is not particularly new but rather, depressingly persistent.</w:t>
      </w:r>
      <w:r w:rsidRPr="00444F1D">
        <w:rPr>
          <w:rStyle w:val="FootnoteReference"/>
        </w:rPr>
        <w:footnoteReference w:id="82"/>
      </w:r>
    </w:p>
    <w:p w14:paraId="51DB480A" w14:textId="6652144E" w:rsidR="00386206" w:rsidRDefault="00F369E7" w:rsidP="00386206">
      <w:pPr>
        <w:jc w:val="both"/>
      </w:pPr>
      <w:r>
        <w:t xml:space="preserve">Whilst </w:t>
      </w:r>
      <w:r>
        <w:rPr>
          <w:i/>
          <w:iCs/>
        </w:rPr>
        <w:t xml:space="preserve">Lawrance </w:t>
      </w:r>
      <w:r>
        <w:t xml:space="preserve">moves away from the use of </w:t>
      </w:r>
      <w:r w:rsidR="00135DDB">
        <w:t>“</w:t>
      </w:r>
      <w:r>
        <w:t>common sense</w:t>
      </w:r>
      <w:r w:rsidR="00135DDB">
        <w:t>”</w:t>
      </w:r>
      <w:r>
        <w:t xml:space="preserve"> exemplified in </w:t>
      </w:r>
      <w:r>
        <w:rPr>
          <w:i/>
          <w:iCs/>
        </w:rPr>
        <w:t xml:space="preserve">McNally </w:t>
      </w:r>
      <w:r>
        <w:t xml:space="preserve">and appears to reiterate a narrower interpretation closer to that seen in </w:t>
      </w:r>
      <w:r>
        <w:rPr>
          <w:i/>
          <w:iCs/>
        </w:rPr>
        <w:t>Moni</w:t>
      </w:r>
      <w:r w:rsidR="008B7C06">
        <w:rPr>
          <w:i/>
          <w:iCs/>
        </w:rPr>
        <w:t>c</w:t>
      </w:r>
      <w:r>
        <w:rPr>
          <w:i/>
          <w:iCs/>
        </w:rPr>
        <w:t>a</w:t>
      </w:r>
      <w:r>
        <w:t>,</w:t>
      </w:r>
      <w:r>
        <w:rPr>
          <w:i/>
          <w:iCs/>
        </w:rPr>
        <w:t xml:space="preserve"> </w:t>
      </w:r>
      <w:r>
        <w:t xml:space="preserve">it does so whilst </w:t>
      </w:r>
      <w:r w:rsidR="00B964F1">
        <w:t>arguably retaining</w:t>
      </w:r>
      <w:r>
        <w:t xml:space="preserve"> the conservativism Travis highlights. This is most notable in the </w:t>
      </w:r>
      <w:r w:rsidR="003B6A83">
        <w:t>c</w:t>
      </w:r>
      <w:r>
        <w:t>ourt’s discussion of deception and deceit</w:t>
      </w:r>
      <w:r w:rsidR="00B6372A">
        <w:t xml:space="preserve">. </w:t>
      </w:r>
      <w:r w:rsidR="00F30FC4">
        <w:t xml:space="preserve">The </w:t>
      </w:r>
      <w:r w:rsidR="00F30FC4">
        <w:rPr>
          <w:i/>
          <w:iCs/>
        </w:rPr>
        <w:t xml:space="preserve">Lawrance </w:t>
      </w:r>
      <w:r w:rsidR="00F30FC4">
        <w:t xml:space="preserve">judgment presumes the jury’s </w:t>
      </w:r>
      <w:r w:rsidR="00135DDB">
        <w:t>“</w:t>
      </w:r>
      <w:r w:rsidR="00F30FC4">
        <w:t>common sense</w:t>
      </w:r>
      <w:r w:rsidR="00135DDB">
        <w:t>”</w:t>
      </w:r>
      <w:r w:rsidR="00F30FC4">
        <w:t xml:space="preserve"> was influenced by the </w:t>
      </w:r>
      <w:r w:rsidR="003B6A83">
        <w:t>j</w:t>
      </w:r>
      <w:r w:rsidR="00F30FC4">
        <w:t>udge’s summing up, which</w:t>
      </w:r>
      <w:r w:rsidR="00C33E25">
        <w:t xml:space="preserve"> instructed</w:t>
      </w:r>
      <w:r w:rsidR="00F30FC4">
        <w:t xml:space="preserve"> them to consider whether the complainant would have consented had she known the truth,</w:t>
      </w:r>
      <w:r w:rsidR="00F30FC4" w:rsidRPr="00444F1D">
        <w:rPr>
          <w:rStyle w:val="FootnoteReference"/>
        </w:rPr>
        <w:footnoteReference w:id="83"/>
      </w:r>
      <w:r w:rsidR="00F30FC4">
        <w:t xml:space="preserve"> an approach</w:t>
      </w:r>
      <w:r w:rsidR="00386206">
        <w:t xml:space="preserve"> it</w:t>
      </w:r>
      <w:r w:rsidR="00F30FC4">
        <w:t xml:space="preserve"> considered flawed.</w:t>
      </w:r>
      <w:r w:rsidR="00C02687" w:rsidRPr="00444F1D">
        <w:rPr>
          <w:rStyle w:val="FootnoteReference"/>
        </w:rPr>
        <w:footnoteReference w:id="84"/>
      </w:r>
      <w:r w:rsidR="00C02687">
        <w:t xml:space="preserve"> </w:t>
      </w:r>
    </w:p>
    <w:p w14:paraId="16A2256C" w14:textId="1A2DB320" w:rsidR="00444F1D" w:rsidRPr="00444F1D" w:rsidRDefault="00F30FC4" w:rsidP="00386206">
      <w:pPr>
        <w:jc w:val="both"/>
      </w:pPr>
      <w:r>
        <w:t xml:space="preserve">Instead, the </w:t>
      </w:r>
      <w:r w:rsidR="00C02687">
        <w:t xml:space="preserve">appellate court’s analysis centred on </w:t>
      </w:r>
      <w:r w:rsidR="003B6A83">
        <w:t xml:space="preserve">section 74 of </w:t>
      </w:r>
      <w:r>
        <w:t>the Sexual Offences Act 2003</w:t>
      </w:r>
      <w:r w:rsidR="003B6A83">
        <w:t xml:space="preserve"> </w:t>
      </w:r>
      <w:r w:rsidR="00386206">
        <w:t>as well as</w:t>
      </w:r>
      <w:r w:rsidR="003B6A83">
        <w:t xml:space="preserve"> on</w:t>
      </w:r>
      <w:r w:rsidR="00386206">
        <w:t xml:space="preserve"> </w:t>
      </w:r>
      <w:r>
        <w:t>the</w:t>
      </w:r>
      <w:r w:rsidR="00C02687">
        <w:t xml:space="preserve"> complainant’s decision not to impose ‘any physical restrictions’</w:t>
      </w:r>
      <w:r w:rsidR="00386206">
        <w:t xml:space="preserve"> and </w:t>
      </w:r>
      <w:r w:rsidR="009A5083">
        <w:lastRenderedPageBreak/>
        <w:t>agreement ‘b</w:t>
      </w:r>
      <w:r w:rsidR="009A5083" w:rsidRPr="009A5083">
        <w:t>oth to penetration of her vagina and to ejaculation without the protection of a condom</w:t>
      </w:r>
      <w:r w:rsidR="009A5083">
        <w:t>’</w:t>
      </w:r>
      <w:r w:rsidR="00386206">
        <w:t>.</w:t>
      </w:r>
      <w:r w:rsidR="00194D01" w:rsidRPr="00444F1D">
        <w:rPr>
          <w:rStyle w:val="FootnoteReference"/>
        </w:rPr>
        <w:footnoteReference w:id="85"/>
      </w:r>
      <w:r w:rsidR="00386206">
        <w:t xml:space="preserve"> This analysis, which continues to employ the physical performance/consequences distinction to penile-vaginal sex seen in </w:t>
      </w:r>
      <w:r w:rsidR="00386206">
        <w:rPr>
          <w:i/>
          <w:iCs/>
        </w:rPr>
        <w:t xml:space="preserve">F, </w:t>
      </w:r>
      <w:r w:rsidR="00386206">
        <w:t xml:space="preserve">suggests </w:t>
      </w:r>
      <w:r w:rsidR="0061589D">
        <w:t xml:space="preserve">the binary of condom usage/non-usage </w:t>
      </w:r>
      <w:r w:rsidR="00C84E2D">
        <w:t xml:space="preserve">continues to </w:t>
      </w:r>
      <w:r w:rsidR="00386206">
        <w:t>shape</w:t>
      </w:r>
      <w:r w:rsidR="00D86C77">
        <w:t xml:space="preserve"> a “common sense”</w:t>
      </w:r>
      <w:r w:rsidR="000961B0">
        <w:t xml:space="preserve"> understanding of “safe” </w:t>
      </w:r>
      <w:r w:rsidR="00B83D0A">
        <w:t xml:space="preserve">and “dangerous” </w:t>
      </w:r>
      <w:r w:rsidR="000961B0">
        <w:t>sexual practices.</w:t>
      </w:r>
      <w:r w:rsidR="00C84E2D" w:rsidRPr="00444F1D">
        <w:rPr>
          <w:rStyle w:val="FootnoteReference"/>
        </w:rPr>
        <w:footnoteReference w:id="86"/>
      </w:r>
      <w:r w:rsidR="00444F1D">
        <w:t xml:space="preserve"> </w:t>
      </w:r>
    </w:p>
    <w:p w14:paraId="286FECB8" w14:textId="044643C2" w:rsidR="000009B9" w:rsidRDefault="00607737" w:rsidP="00F369E7">
      <w:pPr>
        <w:jc w:val="both"/>
      </w:pPr>
      <w:r>
        <w:t>As with the conservativism highlighted by Travis</w:t>
      </w:r>
      <w:r w:rsidR="000009B9">
        <w:t>, which upholds the model of the procreative family unit</w:t>
      </w:r>
      <w:r>
        <w:t>,</w:t>
      </w:r>
      <w:r w:rsidR="000009B9" w:rsidRPr="00444F1D">
        <w:rPr>
          <w:rStyle w:val="FootnoteReference"/>
        </w:rPr>
        <w:footnoteReference w:id="87"/>
      </w:r>
      <w:r>
        <w:t xml:space="preserve"> the paradigms of safe barriered sexual activity and dangerous condomless sex reinforce a phallocentric view o</w:t>
      </w:r>
      <w:r w:rsidR="006A5896">
        <w:t>f sexual activity.</w:t>
      </w:r>
      <w:r w:rsidR="006A5896" w:rsidRPr="00444F1D">
        <w:rPr>
          <w:rStyle w:val="FootnoteReference"/>
        </w:rPr>
        <w:footnoteReference w:id="88"/>
      </w:r>
      <w:r w:rsidR="00D86C77">
        <w:t xml:space="preserve"> As such, the “common sense” view of sexual activity in </w:t>
      </w:r>
      <w:r w:rsidR="00D86C77">
        <w:rPr>
          <w:i/>
          <w:iCs/>
        </w:rPr>
        <w:t>Lawrance</w:t>
      </w:r>
      <w:r w:rsidR="00D86C77">
        <w:t xml:space="preserve"> speaks to a ‘coital </w:t>
      </w:r>
      <w:r w:rsidR="008B7C06">
        <w:t>hierarchy</w:t>
      </w:r>
      <w:r w:rsidR="00D86C77">
        <w:t>’,</w:t>
      </w:r>
      <w:r w:rsidR="00D86C77" w:rsidRPr="00444F1D">
        <w:rPr>
          <w:rStyle w:val="FootnoteReference"/>
        </w:rPr>
        <w:footnoteReference w:id="89"/>
      </w:r>
      <w:r w:rsidR="00D86C77">
        <w:t xml:space="preserve"> with penetration and ejaculation at its apex. </w:t>
      </w:r>
      <w:r w:rsidR="00220AF3">
        <w:t>These aspects of criminal law therefore echo the heteronormative and phallocentric idealisation of sexual activity.</w:t>
      </w:r>
      <w:r w:rsidR="00220AF3" w:rsidRPr="00444F1D">
        <w:rPr>
          <w:rStyle w:val="FootnoteReference"/>
        </w:rPr>
        <w:footnoteReference w:id="90"/>
      </w:r>
    </w:p>
    <w:p w14:paraId="5EB5A70E" w14:textId="420D2155" w:rsidR="00FF5F6C" w:rsidRDefault="00FF5F6C" w:rsidP="00FF5F6C">
      <w:pPr>
        <w:pStyle w:val="Heading1"/>
      </w:pPr>
      <w:r>
        <w:t>PRIVACY, CRIMINALISATION AND MARRIAGE</w:t>
      </w:r>
    </w:p>
    <w:p w14:paraId="5F545AA3" w14:textId="33A93A24" w:rsidR="00220AF3" w:rsidRDefault="004B6B41" w:rsidP="00F369E7">
      <w:pPr>
        <w:jc w:val="both"/>
      </w:pPr>
      <w:r>
        <w:t xml:space="preserve">The </w:t>
      </w:r>
      <w:r w:rsidR="003A4DE6">
        <w:t>“</w:t>
      </w:r>
      <w:r w:rsidRPr="00D26025">
        <w:t>common sense</w:t>
      </w:r>
      <w:r w:rsidR="003A4DE6">
        <w:t>”</w:t>
      </w:r>
      <w:r>
        <w:rPr>
          <w:i/>
          <w:iCs/>
        </w:rPr>
        <w:t xml:space="preserve"> </w:t>
      </w:r>
      <w:r>
        <w:t>perspective seen in the prosecutions discussed above, and other similar perspectives on the nature of sexual and romantic relationships</w:t>
      </w:r>
      <w:r w:rsidR="00A22084">
        <w:t xml:space="preserve"> discussed here</w:t>
      </w:r>
      <w:r>
        <w:t xml:space="preserve">, demonstrate the idealisation of certain forms of relationship. In this section, I discuss how the privacy arguments which contributed to the decriminalisation of homosexuality are interconnected with the continued role of procreation, </w:t>
      </w:r>
      <w:r w:rsidR="00FF5F6C">
        <w:t>and the extent to which th</w:t>
      </w:r>
      <w:r>
        <w:t xml:space="preserve">is </w:t>
      </w:r>
      <w:r w:rsidR="00FF5F6C">
        <w:t>sustain</w:t>
      </w:r>
      <w:r>
        <w:t>s</w:t>
      </w:r>
      <w:r w:rsidR="00FF5F6C">
        <w:t xml:space="preserve"> </w:t>
      </w:r>
      <w:r w:rsidR="00D046D1">
        <w:t>hierarchies surrounding sexuality and marriage.</w:t>
      </w:r>
      <w:r w:rsidR="00FF5F6C">
        <w:t xml:space="preserve"> </w:t>
      </w:r>
    </w:p>
    <w:p w14:paraId="237F5EC7" w14:textId="648FDD7E" w:rsidR="00883AED" w:rsidRPr="00883AED" w:rsidRDefault="00883AED" w:rsidP="00883AED">
      <w:pPr>
        <w:pStyle w:val="Heading2"/>
      </w:pPr>
      <w:r w:rsidRPr="00883AED">
        <w:t>Privacy, Relationships and Criminal Law</w:t>
      </w:r>
    </w:p>
    <w:p w14:paraId="39C16A40" w14:textId="55627B14" w:rsidR="00883AED" w:rsidRDefault="00883AED" w:rsidP="000E6537">
      <w:pPr>
        <w:jc w:val="both"/>
      </w:pPr>
      <w:r>
        <w:t>Rubin argues that</w:t>
      </w:r>
      <w:r w:rsidR="000E6537">
        <w:t xml:space="preserve">, </w:t>
      </w:r>
      <w:r w:rsidR="00386206">
        <w:t>within</w:t>
      </w:r>
      <w:r w:rsidR="000E6537">
        <w:t xml:space="preserve"> the multifaceted </w:t>
      </w:r>
      <w:proofErr w:type="gramStart"/>
      <w:r w:rsidR="000E6537">
        <w:t>hierarchies</w:t>
      </w:r>
      <w:proofErr w:type="gramEnd"/>
      <w:r w:rsidR="000E6537">
        <w:t xml:space="preserve"> sexuality is subjected to, the ‘</w:t>
      </w:r>
      <w:r w:rsidR="000E6537" w:rsidRPr="000E6537">
        <w:t>notion of a single ideal sexuality characterizes most systems of thought about sex</w:t>
      </w:r>
      <w:r w:rsidR="000E6537">
        <w:t>.</w:t>
      </w:r>
      <w:r w:rsidR="005B5C5D">
        <w:t xml:space="preserve"> F</w:t>
      </w:r>
      <w:r w:rsidR="000E6537">
        <w:t xml:space="preserve">or </w:t>
      </w:r>
      <w:r w:rsidR="000E6537" w:rsidRPr="000E6537">
        <w:t>religion, the ideal is procreative marriage.</w:t>
      </w:r>
      <w:r w:rsidR="000E6537">
        <w:t>’</w:t>
      </w:r>
      <w:r w:rsidR="000E6537" w:rsidRPr="00444F1D">
        <w:rPr>
          <w:rStyle w:val="FootnoteReference"/>
        </w:rPr>
        <w:footnoteReference w:id="91"/>
      </w:r>
      <w:r w:rsidR="000E6537">
        <w:t xml:space="preserve"> Although the law does not explicitly adopt </w:t>
      </w:r>
      <w:proofErr w:type="gramStart"/>
      <w:r w:rsidR="000E6537">
        <w:t>this ideal, notable examples</w:t>
      </w:r>
      <w:proofErr w:type="gramEnd"/>
      <w:r w:rsidR="000E6537">
        <w:t xml:space="preserve">, including those discussed above, </w:t>
      </w:r>
      <w:r w:rsidR="009B0FBA">
        <w:t>demonstrate</w:t>
      </w:r>
      <w:r w:rsidR="000E6537">
        <w:t xml:space="preserve"> idealised forms of relationships </w:t>
      </w:r>
      <w:r w:rsidR="00F25F16">
        <w:t>appear</w:t>
      </w:r>
      <w:r w:rsidR="009B0FBA">
        <w:t>ing</w:t>
      </w:r>
      <w:r w:rsidR="00F25F16">
        <w:t xml:space="preserve"> within</w:t>
      </w:r>
      <w:r w:rsidR="000E6537">
        <w:t xml:space="preserve"> legal judgments.</w:t>
      </w:r>
      <w:r w:rsidR="00AA759F">
        <w:t xml:space="preserve"> The positioning of some sexual activity </w:t>
      </w:r>
      <w:r w:rsidR="000E6537">
        <w:t>outside Rubin’s ‘charmed circle’</w:t>
      </w:r>
      <w:r w:rsidR="000E6537" w:rsidRPr="00444F1D">
        <w:rPr>
          <w:rStyle w:val="FootnoteReference"/>
        </w:rPr>
        <w:footnoteReference w:id="92"/>
      </w:r>
      <w:r w:rsidR="00AA759F">
        <w:t xml:space="preserve"> and the extent to which this</w:t>
      </w:r>
      <w:r w:rsidR="000E6537">
        <w:t xml:space="preserve"> </w:t>
      </w:r>
      <w:r w:rsidR="00AA759F">
        <w:t>activity is legally scrutinised and delegitimised has been used to discuss the regulation of public sexual activity,</w:t>
      </w:r>
      <w:r w:rsidR="00AA759F" w:rsidRPr="00444F1D">
        <w:rPr>
          <w:rStyle w:val="FootnoteReference"/>
        </w:rPr>
        <w:footnoteReference w:id="93"/>
      </w:r>
      <w:r w:rsidR="00AA759F">
        <w:t xml:space="preserve"> as well as the criminalisation of disease transmission.</w:t>
      </w:r>
      <w:r w:rsidR="00AA759F" w:rsidRPr="00444F1D">
        <w:rPr>
          <w:rStyle w:val="FootnoteReference"/>
        </w:rPr>
        <w:footnoteReference w:id="94"/>
      </w:r>
      <w:r w:rsidR="00AA759F">
        <w:t xml:space="preserve"> Murray, writing in the context of the US Supreme Court judgment in </w:t>
      </w:r>
      <w:r w:rsidR="00AA759F">
        <w:rPr>
          <w:i/>
          <w:iCs/>
        </w:rPr>
        <w:t xml:space="preserve">Lawrence v Texas, </w:t>
      </w:r>
      <w:r w:rsidR="00AA759F">
        <w:t>which deemed Texas anti-sodomy laws unconstitutional, argues that the Court went ‘to great lengths to paint the plaintiffs… with the brush of marital domesticity.’</w:t>
      </w:r>
      <w:r w:rsidR="00AA759F" w:rsidRPr="00444F1D">
        <w:rPr>
          <w:rStyle w:val="FootnoteReference"/>
        </w:rPr>
        <w:footnoteReference w:id="95"/>
      </w:r>
    </w:p>
    <w:p w14:paraId="114ADF74" w14:textId="4601CC5A" w:rsidR="00AA759F" w:rsidRDefault="00AA759F" w:rsidP="000E6537">
      <w:pPr>
        <w:jc w:val="both"/>
      </w:pPr>
      <w:r>
        <w:lastRenderedPageBreak/>
        <w:t xml:space="preserve">Decriminalisation of homosexual sex in England can potentially be distinguished from Murray’s analysis, in that English reforms employed the concept of privacy rather than domesticity. The relationship between privacy and criminal law, particularly the extent to which privacy may mask domestic violence, has been </w:t>
      </w:r>
      <w:r w:rsidR="00F30DA2">
        <w:t>widely discussed</w:t>
      </w:r>
      <w:r>
        <w:t>.</w:t>
      </w:r>
      <w:r w:rsidRPr="00444F1D">
        <w:rPr>
          <w:rStyle w:val="FootnoteReference"/>
        </w:rPr>
        <w:footnoteReference w:id="96"/>
      </w:r>
      <w:r>
        <w:t xml:space="preserve"> The reforms prompted by the 1957 Wolfenden Report,</w:t>
      </w:r>
      <w:r w:rsidRPr="00444F1D">
        <w:rPr>
          <w:rStyle w:val="FootnoteReference"/>
        </w:rPr>
        <w:footnoteReference w:id="97"/>
      </w:r>
      <w:r>
        <w:t xml:space="preserve"> incorporated into the Sexual Offences Act 1967, </w:t>
      </w:r>
      <w:r w:rsidR="009F2739">
        <w:t xml:space="preserve">only </w:t>
      </w:r>
      <w:r>
        <w:t>decriminalised</w:t>
      </w:r>
      <w:r w:rsidR="009F2739">
        <w:t xml:space="preserve"> consensual sexual activity taking place in private.</w:t>
      </w:r>
      <w:r w:rsidR="00B6372A" w:rsidRPr="00444F1D">
        <w:rPr>
          <w:rStyle w:val="FootnoteReference"/>
        </w:rPr>
        <w:footnoteReference w:id="98"/>
      </w:r>
      <w:r w:rsidR="009F2739">
        <w:t xml:space="preserve"> Gleeson suggests that the deployment of privacy in this context has often been framed ‘in terms of social utilitarianism, “getting the balance right” between individual rights and public offence and so on.’</w:t>
      </w:r>
      <w:r w:rsidR="009F2739" w:rsidRPr="00444F1D">
        <w:rPr>
          <w:rStyle w:val="FootnoteReference"/>
        </w:rPr>
        <w:footnoteReference w:id="99"/>
      </w:r>
    </w:p>
    <w:p w14:paraId="12A62796" w14:textId="2D1D4074" w:rsidR="009F2739" w:rsidRDefault="009F2739" w:rsidP="000E6537">
      <w:pPr>
        <w:jc w:val="both"/>
      </w:pPr>
      <w:r>
        <w:t>Arguably, embedded within this privacy are domestic and procreative ideals, which imprint onto the law. As Waites suggests, despite the Wolfenden Report’s emphasis on privacy, the privacy of subsequent reforms was distinct from that granted to heterosexuals, where it ‘was seen to contribute to the flourishing of the family, society and good citizenship.’</w:t>
      </w:r>
      <w:r w:rsidRPr="00444F1D">
        <w:rPr>
          <w:rStyle w:val="FootnoteReference"/>
        </w:rPr>
        <w:footnoteReference w:id="100"/>
      </w:r>
      <w:r>
        <w:t xml:space="preserve"> Privacy in the context of homosexual activity was ‘markedly spatialised’</w:t>
      </w:r>
      <w:r w:rsidR="00F30DA2">
        <w:t>,</w:t>
      </w:r>
      <w:r w:rsidRPr="00444F1D">
        <w:rPr>
          <w:rStyle w:val="FootnoteReference"/>
        </w:rPr>
        <w:footnoteReference w:id="101"/>
      </w:r>
      <w:r>
        <w:t xml:space="preserve"> in a similar manner to the US where, as Raj emphasises</w:t>
      </w:r>
      <w:r w:rsidR="00CC0BC5">
        <w:t>,</w:t>
      </w:r>
      <w:r>
        <w:t xml:space="preserve"> ‘a spatialisation of privacy that showcased romanticised intimacy rather than making space for disturbing acts of sodomy’ was employed.</w:t>
      </w:r>
      <w:r w:rsidRPr="00444F1D">
        <w:rPr>
          <w:rStyle w:val="FootnoteReference"/>
        </w:rPr>
        <w:footnoteReference w:id="102"/>
      </w:r>
    </w:p>
    <w:p w14:paraId="5375ABBB" w14:textId="563E6CFE" w:rsidR="00CC0BC5" w:rsidRDefault="00CC0BC5" w:rsidP="000E6537">
      <w:pPr>
        <w:jc w:val="both"/>
      </w:pPr>
      <w:r>
        <w:t xml:space="preserve">Raj goes on to highlight that the conceptualisation of privacy in the US in the case of </w:t>
      </w:r>
      <w:r>
        <w:rPr>
          <w:i/>
          <w:iCs/>
        </w:rPr>
        <w:t xml:space="preserve">Lawrence </w:t>
      </w:r>
      <w:r>
        <w:t xml:space="preserve">and in the UK in cases such as </w:t>
      </w:r>
      <w:r>
        <w:rPr>
          <w:i/>
          <w:iCs/>
        </w:rPr>
        <w:t>Brown</w:t>
      </w:r>
      <w:r>
        <w:t xml:space="preserve"> enable the management and containment of attitudes of disgust.</w:t>
      </w:r>
      <w:r w:rsidRPr="00444F1D">
        <w:rPr>
          <w:rStyle w:val="FootnoteReference"/>
        </w:rPr>
        <w:footnoteReference w:id="103"/>
      </w:r>
      <w:r>
        <w:t xml:space="preserve"> The judgments in </w:t>
      </w:r>
      <w:r>
        <w:rPr>
          <w:i/>
          <w:iCs/>
        </w:rPr>
        <w:t xml:space="preserve">Lawrance </w:t>
      </w:r>
      <w:r>
        <w:t xml:space="preserve">and </w:t>
      </w:r>
      <w:proofErr w:type="spellStart"/>
      <w:r>
        <w:rPr>
          <w:i/>
          <w:iCs/>
        </w:rPr>
        <w:t>Dica</w:t>
      </w:r>
      <w:proofErr w:type="spellEnd"/>
      <w:r>
        <w:rPr>
          <w:i/>
          <w:iCs/>
        </w:rPr>
        <w:t xml:space="preserve"> </w:t>
      </w:r>
      <w:r>
        <w:t>are further notable examples of the tailored deployment of privacy in legal reasoning</w:t>
      </w:r>
      <w:r w:rsidR="007D355F">
        <w:t xml:space="preserve">, which closely associates privacy with procreative sexual activity. The privacy afforded to the hypothetical </w:t>
      </w:r>
      <w:r w:rsidR="004B45FE">
        <w:t>different</w:t>
      </w:r>
      <w:r w:rsidR="007D355F">
        <w:t xml:space="preserve">-sex couples in </w:t>
      </w:r>
      <w:proofErr w:type="spellStart"/>
      <w:r w:rsidR="007D355F">
        <w:rPr>
          <w:i/>
          <w:iCs/>
        </w:rPr>
        <w:t>Dica</w:t>
      </w:r>
      <w:proofErr w:type="spellEnd"/>
      <w:r w:rsidR="007D355F">
        <w:rPr>
          <w:i/>
          <w:iCs/>
        </w:rPr>
        <w:t xml:space="preserve"> </w:t>
      </w:r>
      <w:r w:rsidR="007D355F">
        <w:t>rel</w:t>
      </w:r>
      <w:r w:rsidR="00FB2D07">
        <w:t>ies</w:t>
      </w:r>
      <w:r w:rsidR="007D355F">
        <w:t xml:space="preserve"> on the procreative idea to transform what would otherwise be a criminally culpable act into a romanticised commitment to the procreative ideal. This reasoning implicitly, if not explicitly, seeks to avoid engaging with surrounding motivations for sexual activity – including sexual gratification – </w:t>
      </w:r>
      <w:proofErr w:type="gramStart"/>
      <w:r w:rsidR="007D355F">
        <w:t>in order to</w:t>
      </w:r>
      <w:proofErr w:type="gramEnd"/>
      <w:r w:rsidR="007D355F">
        <w:t xml:space="preserve"> avoid undermining the reasoning of </w:t>
      </w:r>
      <w:r w:rsidR="007D355F">
        <w:rPr>
          <w:i/>
          <w:iCs/>
        </w:rPr>
        <w:t>Brown</w:t>
      </w:r>
      <w:r w:rsidR="007D355F">
        <w:t>.</w:t>
      </w:r>
      <w:r w:rsidR="007D355F" w:rsidRPr="00444F1D">
        <w:rPr>
          <w:rStyle w:val="FootnoteReference"/>
        </w:rPr>
        <w:footnoteReference w:id="104"/>
      </w:r>
    </w:p>
    <w:p w14:paraId="1CD08425" w14:textId="7AFA7AB6" w:rsidR="00F96ED2" w:rsidRDefault="007D355F" w:rsidP="000E6537">
      <w:pPr>
        <w:jc w:val="both"/>
      </w:pPr>
      <w:r>
        <w:t>In practice, it has been suggested that the nature of the parties</w:t>
      </w:r>
      <w:r w:rsidR="00F96ED2">
        <w:t>’</w:t>
      </w:r>
      <w:r>
        <w:t xml:space="preserve"> relationship has a direct impact on the limits of HIV transmission criminalisation. Even if one rejects arguments such as those by Spencer, that criminalisation may be more appropriate where the relationship has a degree of permanency (and therefore, </w:t>
      </w:r>
      <w:r w:rsidR="0031677A">
        <w:t xml:space="preserve">Spencer argues, </w:t>
      </w:r>
      <w:r>
        <w:t>trust),</w:t>
      </w:r>
      <w:r w:rsidRPr="00444F1D">
        <w:rPr>
          <w:rStyle w:val="FootnoteReference"/>
        </w:rPr>
        <w:footnoteReference w:id="105"/>
      </w:r>
      <w:r>
        <w:t xml:space="preserve"> Weait highlights that juries </w:t>
      </w:r>
      <w:r>
        <w:lastRenderedPageBreak/>
        <w:t>are likely to interpret non-disclosure through the lens of a relationship in which there is an ‘assumption of fidelity and honesty’.</w:t>
      </w:r>
      <w:r w:rsidRPr="00444F1D">
        <w:rPr>
          <w:rStyle w:val="FootnoteReference"/>
        </w:rPr>
        <w:footnoteReference w:id="106"/>
      </w:r>
      <w:r>
        <w:t xml:space="preserve"> </w:t>
      </w:r>
      <w:r w:rsidR="00F96ED2">
        <w:t xml:space="preserve">Consequently, this exposure of a private relationship to public scrutiny means that appeals to the concept of personal autonomy, like those seen in </w:t>
      </w:r>
      <w:proofErr w:type="spellStart"/>
      <w:r w:rsidR="00F96ED2">
        <w:rPr>
          <w:i/>
          <w:iCs/>
        </w:rPr>
        <w:t>Dica</w:t>
      </w:r>
      <w:proofErr w:type="spellEnd"/>
      <w:r w:rsidR="00F96ED2">
        <w:rPr>
          <w:i/>
          <w:iCs/>
        </w:rPr>
        <w:t xml:space="preserve"> </w:t>
      </w:r>
      <w:r w:rsidR="00F96ED2">
        <w:t xml:space="preserve">and, subsequently, </w:t>
      </w:r>
      <w:proofErr w:type="spellStart"/>
      <w:r w:rsidR="00F96ED2">
        <w:rPr>
          <w:i/>
          <w:iCs/>
        </w:rPr>
        <w:t>Konzani</w:t>
      </w:r>
      <w:proofErr w:type="spellEnd"/>
      <w:r w:rsidR="00F96ED2">
        <w:rPr>
          <w:i/>
          <w:iCs/>
        </w:rPr>
        <w:t xml:space="preserve">, </w:t>
      </w:r>
      <w:r w:rsidR="00F96ED2">
        <w:t>only provide a defence where the relationship confirms with normative standards:</w:t>
      </w:r>
    </w:p>
    <w:p w14:paraId="26F56A3E" w14:textId="69AB6EA2" w:rsidR="007D355F" w:rsidRDefault="00F96ED2" w:rsidP="00F96ED2">
      <w:pPr>
        <w:ind w:left="720"/>
        <w:jc w:val="both"/>
      </w:pPr>
      <w:r>
        <w:t xml:space="preserve">[the] </w:t>
      </w:r>
      <w:r w:rsidRPr="00F96ED2">
        <w:t xml:space="preserve">claim to the right to respect for private life, whether that be used to frame a defence to a criminal charge, or appeal against conviction, on facts </w:t>
      </w:r>
      <w:proofErr w:type="gramStart"/>
      <w:r w:rsidRPr="00F96ED2">
        <w:t>similar to</w:t>
      </w:r>
      <w:proofErr w:type="gramEnd"/>
      <w:r w:rsidRPr="00F96ED2">
        <w:t xml:space="preserve"> those set out </w:t>
      </w:r>
      <w:r>
        <w:t xml:space="preserve">[in cases such as </w:t>
      </w:r>
      <w:proofErr w:type="spellStart"/>
      <w:r>
        <w:rPr>
          <w:i/>
          <w:iCs/>
        </w:rPr>
        <w:t>Dica</w:t>
      </w:r>
      <w:proofErr w:type="spellEnd"/>
      <w:r>
        <w:t>]</w:t>
      </w:r>
      <w:r w:rsidRPr="00F96ED2">
        <w:t xml:space="preserve"> is likely to fail unless the court is satisfied that the conduct, and its context, is in some sense socially and sexually conformist.</w:t>
      </w:r>
      <w:r w:rsidRPr="00444F1D">
        <w:rPr>
          <w:rStyle w:val="FootnoteReference"/>
        </w:rPr>
        <w:footnoteReference w:id="107"/>
      </w:r>
    </w:p>
    <w:p w14:paraId="5F6DDCAB" w14:textId="76428A4E" w:rsidR="00A356CA" w:rsidRDefault="00A356CA" w:rsidP="00A356CA">
      <w:pPr>
        <w:jc w:val="both"/>
      </w:pPr>
      <w:r>
        <w:t xml:space="preserve">Equally, in </w:t>
      </w:r>
      <w:r>
        <w:rPr>
          <w:i/>
          <w:iCs/>
        </w:rPr>
        <w:t>Lawrance</w:t>
      </w:r>
      <w:r>
        <w:t xml:space="preserve">, </w:t>
      </w:r>
      <w:r w:rsidR="00FB2D07">
        <w:t>arguably</w:t>
      </w:r>
      <w:r>
        <w:t xml:space="preserve"> the normative nature of the relationship contributed to the decision not to categorise the deception by the defendant as capable of undermining consent. Although </w:t>
      </w:r>
      <w:r>
        <w:rPr>
          <w:i/>
          <w:iCs/>
        </w:rPr>
        <w:t xml:space="preserve">Lawrance </w:t>
      </w:r>
      <w:r>
        <w:t xml:space="preserve">and </w:t>
      </w:r>
      <w:proofErr w:type="spellStart"/>
      <w:r>
        <w:rPr>
          <w:i/>
          <w:iCs/>
        </w:rPr>
        <w:t>Dica</w:t>
      </w:r>
      <w:proofErr w:type="spellEnd"/>
      <w:r>
        <w:rPr>
          <w:i/>
          <w:iCs/>
        </w:rPr>
        <w:t xml:space="preserve"> </w:t>
      </w:r>
      <w:r>
        <w:t xml:space="preserve">address consent in slightly different contexts – the former concerning consent to sexual activity and the latter consent to harm – this is itself notable, in that the potential consequences of Lawrance’s deception, namely the complainant’s pregnancy, are not constructed as a harm with which the criminal law has an interest. </w:t>
      </w:r>
    </w:p>
    <w:p w14:paraId="6706B134" w14:textId="6B981DCC" w:rsidR="00A356CA" w:rsidRPr="000D286F" w:rsidRDefault="00A356CA" w:rsidP="00A356CA">
      <w:pPr>
        <w:jc w:val="both"/>
        <w:rPr>
          <w:i/>
          <w:iCs/>
        </w:rPr>
      </w:pPr>
      <w:r>
        <w:t>Weait and Gerry suggest that the decision not to interpret the risk of pregnancy</w:t>
      </w:r>
      <w:r w:rsidR="00195AA4">
        <w:t xml:space="preserve"> as a potential harm</w:t>
      </w:r>
      <w:r>
        <w:t xml:space="preserve"> in </w:t>
      </w:r>
      <w:r>
        <w:rPr>
          <w:i/>
          <w:iCs/>
        </w:rPr>
        <w:t xml:space="preserve">Lawrance </w:t>
      </w:r>
      <w:r>
        <w:t>likely rests on policy grounds.</w:t>
      </w:r>
      <w:r w:rsidRPr="00444F1D">
        <w:rPr>
          <w:rStyle w:val="FootnoteReference"/>
        </w:rPr>
        <w:footnoteReference w:id="108"/>
      </w:r>
      <w:r>
        <w:t xml:space="preserve"> This appears correct. But, I suggest, it is also indicative of a broader approach to procreation within criminal case law. On the one hand, the perceived need to facilitate procreation has contributed to the availability of a defence, in </w:t>
      </w:r>
      <w:proofErr w:type="spellStart"/>
      <w:r>
        <w:rPr>
          <w:i/>
          <w:iCs/>
        </w:rPr>
        <w:t>Dica</w:t>
      </w:r>
      <w:proofErr w:type="spellEnd"/>
      <w:r>
        <w:rPr>
          <w:i/>
          <w:iCs/>
        </w:rPr>
        <w:t>,</w:t>
      </w:r>
      <w:r>
        <w:t xml:space="preserve"> particularly if associated with (conscientiously religious) marriage. On the other hand, procreation is not given prioritisation over other motivations for sexual activity in </w:t>
      </w:r>
      <w:r>
        <w:rPr>
          <w:i/>
          <w:iCs/>
        </w:rPr>
        <w:t>Lawrance</w:t>
      </w:r>
      <w:r>
        <w:t xml:space="preserve">, to the extent that the procreative nature of certain acts </w:t>
      </w:r>
      <w:r w:rsidR="00195AA4">
        <w:t>is distinguished</w:t>
      </w:r>
      <w:r>
        <w:t xml:space="preserve"> from their nature or purpose</w:t>
      </w:r>
      <w:r w:rsidR="0097227C">
        <w:t xml:space="preserve"> and has limited impact</w:t>
      </w:r>
      <w:r>
        <w:t xml:space="preserve"> in the con</w:t>
      </w:r>
      <w:r w:rsidR="000D286F">
        <w:t>text</w:t>
      </w:r>
      <w:r>
        <w:t xml:space="preserve"> of sections 74 and 76 of the Sexual Offences Act 200</w:t>
      </w:r>
      <w:r w:rsidR="000D286F">
        <w:t>3</w:t>
      </w:r>
      <w:r w:rsidR="0097227C">
        <w:t>.</w:t>
      </w:r>
    </w:p>
    <w:p w14:paraId="2BB21914" w14:textId="46351C45" w:rsidR="00060D46" w:rsidRDefault="00060D46" w:rsidP="00A356CA">
      <w:pPr>
        <w:jc w:val="both"/>
      </w:pPr>
      <w:r>
        <w:t xml:space="preserve">One might welcome the acceptance that motivations for sexual activity are broader than the procreative acts prioritised in </w:t>
      </w:r>
      <w:proofErr w:type="spellStart"/>
      <w:r>
        <w:rPr>
          <w:i/>
          <w:iCs/>
        </w:rPr>
        <w:t>Dica</w:t>
      </w:r>
      <w:proofErr w:type="spellEnd"/>
      <w:r>
        <w:rPr>
          <w:i/>
          <w:iCs/>
        </w:rPr>
        <w:t xml:space="preserve"> </w:t>
      </w:r>
      <w:r>
        <w:t xml:space="preserve">and the general recognition that ‘deceit and deception are very slippery concepts’ in </w:t>
      </w:r>
      <w:r>
        <w:rPr>
          <w:i/>
          <w:iCs/>
        </w:rPr>
        <w:t>Lawrance</w:t>
      </w:r>
      <w:r>
        <w:t>.</w:t>
      </w:r>
      <w:r w:rsidRPr="00444F1D">
        <w:rPr>
          <w:rStyle w:val="FootnoteReference"/>
        </w:rPr>
        <w:footnoteReference w:id="109"/>
      </w:r>
      <w:r>
        <w:t xml:space="preserve"> Yet, </w:t>
      </w:r>
      <w:r>
        <w:rPr>
          <w:i/>
          <w:iCs/>
        </w:rPr>
        <w:t xml:space="preserve">Lawrance </w:t>
      </w:r>
      <w:r>
        <w:t xml:space="preserve">seemingly accepts the rationale put forward in </w:t>
      </w:r>
      <w:r>
        <w:rPr>
          <w:i/>
          <w:iCs/>
        </w:rPr>
        <w:t>McNally</w:t>
      </w:r>
      <w:r>
        <w:t xml:space="preserve"> that complainant’s sexual preferences are relevant to assessing consent; whilst also finding that complainant’s decisions regarding </w:t>
      </w:r>
      <w:r w:rsidR="00413025">
        <w:t>non-barrier-based contraception</w:t>
      </w:r>
      <w:r>
        <w:t xml:space="preserve"> are not. Travis argues that the judgment in </w:t>
      </w:r>
      <w:r>
        <w:rPr>
          <w:i/>
          <w:iCs/>
        </w:rPr>
        <w:t xml:space="preserve">McNally </w:t>
      </w:r>
      <w:r>
        <w:t xml:space="preserve">‘shows us that </w:t>
      </w:r>
      <w:r w:rsidRPr="00060D46">
        <w:t>non-heterosexual encounters taking place outside of the confines of marriage are still subject to a heightened level of institutional scrutiny</w:t>
      </w:r>
      <w:r>
        <w:t>’.</w:t>
      </w:r>
      <w:r w:rsidRPr="00444F1D">
        <w:rPr>
          <w:rStyle w:val="FootnoteReference"/>
        </w:rPr>
        <w:footnoteReference w:id="110"/>
      </w:r>
      <w:r>
        <w:t xml:space="preserve"> What the judgment in </w:t>
      </w:r>
      <w:r>
        <w:rPr>
          <w:i/>
          <w:iCs/>
        </w:rPr>
        <w:t xml:space="preserve">Lawrance </w:t>
      </w:r>
      <w:r>
        <w:t xml:space="preserve">highlights is that, even within heterosexual encounters, the naturalness or normalcy of behaviour </w:t>
      </w:r>
      <w:r w:rsidR="00D56975">
        <w:t>appears to determine the</w:t>
      </w:r>
      <w:r>
        <w:t xml:space="preserve"> </w:t>
      </w:r>
      <w:r w:rsidR="00F30DA2">
        <w:t>extent</w:t>
      </w:r>
      <w:r w:rsidR="0097227C">
        <w:t xml:space="preserve"> to which</w:t>
      </w:r>
      <w:r>
        <w:t xml:space="preserve"> it is scrutinised. </w:t>
      </w:r>
    </w:p>
    <w:p w14:paraId="1D5C8A64" w14:textId="252739EC" w:rsidR="00060D46" w:rsidRDefault="00060D46" w:rsidP="00060D46">
      <w:pPr>
        <w:pStyle w:val="Heading2"/>
      </w:pPr>
      <w:r>
        <w:t>Procreation, Privacy and Marital Law</w:t>
      </w:r>
    </w:p>
    <w:p w14:paraId="48FFB41D" w14:textId="2E82EC9D" w:rsidR="00060D46" w:rsidRDefault="00060D46" w:rsidP="00060D46">
      <w:pPr>
        <w:jc w:val="both"/>
      </w:pPr>
      <w:r>
        <w:lastRenderedPageBreak/>
        <w:t xml:space="preserve">So far in this section, I have highlighted how the criminal cases discussed in this chapter demonstrate implicit and explicit hierarchies surrounding procreative sexual activity. In this part, I will argue that critical appraisal of the procreative ideal in criminal law should be used as part of a broader critique of the association of procreation and marriage. </w:t>
      </w:r>
    </w:p>
    <w:p w14:paraId="336F41E3" w14:textId="491CD21D" w:rsidR="00060D46" w:rsidRDefault="00DD2458" w:rsidP="00060D46">
      <w:pPr>
        <w:jc w:val="both"/>
      </w:pPr>
      <w:r>
        <w:t>As</w:t>
      </w:r>
      <w:r w:rsidR="00060D46">
        <w:t xml:space="preserve"> highlighted above, </w:t>
      </w:r>
      <w:r>
        <w:t>contemporary legal and religious perspectives on marriage demonstrate a shift away from procreation as an explicit central aim. The introduction of civil partnerships and, later, same-sex marriages might be seen as one extension of this trend, even if critiques of same-sex marriage as inhibiting more ‘radical approaches to sex and relationships’</w:t>
      </w:r>
      <w:r w:rsidRPr="00444F1D">
        <w:rPr>
          <w:rStyle w:val="FootnoteReference"/>
        </w:rPr>
        <w:footnoteReference w:id="111"/>
      </w:r>
      <w:r>
        <w:t xml:space="preserve"> are accepted. However, as Thatcher observes:</w:t>
      </w:r>
    </w:p>
    <w:p w14:paraId="1C35EBB3" w14:textId="5294A1AF" w:rsidR="00DD2458" w:rsidRPr="00DD2458" w:rsidRDefault="00DD2458" w:rsidP="00DD2458">
      <w:pPr>
        <w:ind w:left="720"/>
        <w:jc w:val="both"/>
      </w:pPr>
      <w:r>
        <w:t xml:space="preserve">sexual moralities, at least for straight people, are not so easily separated from the </w:t>
      </w:r>
      <w:proofErr w:type="spellStart"/>
      <w:r>
        <w:t>having</w:t>
      </w:r>
      <w:proofErr w:type="spellEnd"/>
      <w:r>
        <w:t xml:space="preserve"> of children and connections are made between pure relationships and their unintended consequences (abortions and babies). Children </w:t>
      </w:r>
      <w:r>
        <w:rPr>
          <w:i/>
          <w:iCs/>
        </w:rPr>
        <w:t>happen</w:t>
      </w:r>
      <w:r>
        <w:t>.</w:t>
      </w:r>
      <w:r w:rsidRPr="00444F1D">
        <w:rPr>
          <w:rStyle w:val="FootnoteReference"/>
        </w:rPr>
        <w:footnoteReference w:id="112"/>
      </w:r>
    </w:p>
    <w:p w14:paraId="00D0CE65" w14:textId="1DD2F9AE" w:rsidR="00883AED" w:rsidRDefault="00DD2458" w:rsidP="00F369E7">
      <w:pPr>
        <w:jc w:val="both"/>
      </w:pPr>
      <w:r>
        <w:t xml:space="preserve">Moreover, that this does </w:t>
      </w:r>
      <w:r>
        <w:rPr>
          <w:i/>
          <w:iCs/>
        </w:rPr>
        <w:t>happen</w:t>
      </w:r>
      <w:r>
        <w:t xml:space="preserve">, or has the potential to happen, in </w:t>
      </w:r>
      <w:r w:rsidR="004B45FE">
        <w:t>different</w:t>
      </w:r>
      <w:r>
        <w:t xml:space="preserve">-sex relationships but not in same-sex relationships (in the absence of medical intervention) is not insignificant. As Harding observes, </w:t>
      </w:r>
      <w:r w:rsidR="009D0101">
        <w:t>during debates over what became the Marriage (Same-Se</w:t>
      </w:r>
      <w:r w:rsidR="00F30DA2">
        <w:t>x</w:t>
      </w:r>
      <w:r w:rsidR="009D0101">
        <w:t xml:space="preserve"> Couples) Act 2013 in the House of Lords, children and procreation were mentioned 152 and 29 times respectively.</w:t>
      </w:r>
      <w:r w:rsidR="009D0101" w:rsidRPr="00444F1D">
        <w:rPr>
          <w:rStyle w:val="FootnoteReference"/>
        </w:rPr>
        <w:footnoteReference w:id="113"/>
      </w:r>
      <w:r>
        <w:t xml:space="preserve"> </w:t>
      </w:r>
      <w:r w:rsidR="009D0101">
        <w:t xml:space="preserve">This is </w:t>
      </w:r>
      <w:proofErr w:type="gramStart"/>
      <w:r w:rsidR="009D0101">
        <w:t>all the more</w:t>
      </w:r>
      <w:proofErr w:type="gramEnd"/>
      <w:r w:rsidR="009D0101">
        <w:t xml:space="preserve"> notable given children were only mentioned 35 times, and procreation not mentioned at all, during similar debates on the Civil Partnership Act.</w:t>
      </w:r>
      <w:r w:rsidR="009D0101" w:rsidRPr="00444F1D">
        <w:rPr>
          <w:rStyle w:val="FootnoteReference"/>
        </w:rPr>
        <w:footnoteReference w:id="114"/>
      </w:r>
    </w:p>
    <w:p w14:paraId="182F66F2" w14:textId="4B42561B" w:rsidR="00140A78" w:rsidRDefault="00140A78" w:rsidP="00F369E7">
      <w:pPr>
        <w:jc w:val="both"/>
      </w:pPr>
      <w:r>
        <w:t>Similar points were raised</w:t>
      </w:r>
      <w:r w:rsidR="00DE0DA7">
        <w:t xml:space="preserve"> by Edward Leigh MP</w:t>
      </w:r>
      <w:r>
        <w:t xml:space="preserve"> </w:t>
      </w:r>
      <w:r w:rsidR="00DE0DA7">
        <w:t>dur</w:t>
      </w:r>
      <w:r>
        <w:t>in</w:t>
      </w:r>
      <w:r w:rsidR="00DE0DA7">
        <w:t>g</w:t>
      </w:r>
      <w:r>
        <w:t xml:space="preserve"> debate on the Marriage (Same Sex Couples) Act in the House of Commons: </w:t>
      </w:r>
    </w:p>
    <w:p w14:paraId="7239B007" w14:textId="3971870A" w:rsidR="00140A78" w:rsidRDefault="00140A78" w:rsidP="00140A78">
      <w:pPr>
        <w:ind w:left="720"/>
        <w:jc w:val="both"/>
      </w:pPr>
      <w:r>
        <w:t>I realise that not every married couple is able to have the gift of children, and that some married couples may not want it, yet that does not change the fact that the concept of marriage has always been bestowed with a vision of procreation.</w:t>
      </w:r>
    </w:p>
    <w:p w14:paraId="28674C01" w14:textId="39D47E27" w:rsidR="00140A78" w:rsidRDefault="00140A78" w:rsidP="00140A78">
      <w:pPr>
        <w:ind w:left="720"/>
        <w:jc w:val="both"/>
      </w:pPr>
      <w:r>
        <w:t>Every marriage has procreating potential in that marriage brings together biologically the two elements needed to generate a child. The very reason that marriage is underpinned with laws and customs is that children often result from it. They need protecting from the tendency of adults to want to break their ties and cast off their responsibilities.</w:t>
      </w:r>
      <w:r w:rsidRPr="00444F1D">
        <w:rPr>
          <w:rStyle w:val="FootnoteReference"/>
        </w:rPr>
        <w:footnoteReference w:id="115"/>
      </w:r>
    </w:p>
    <w:p w14:paraId="777A65DB" w14:textId="2A7EA738" w:rsidR="00140A78" w:rsidRDefault="005D59F7" w:rsidP="00140A78">
      <w:pPr>
        <w:jc w:val="both"/>
      </w:pPr>
      <w:r>
        <w:t xml:space="preserve">This argument </w:t>
      </w:r>
      <w:r w:rsidR="00B32816">
        <w:t>appears</w:t>
      </w:r>
      <w:r>
        <w:t xml:space="preserve"> </w:t>
      </w:r>
      <w:proofErr w:type="gramStart"/>
      <w:r>
        <w:t>similar to</w:t>
      </w:r>
      <w:proofErr w:type="gramEnd"/>
      <w:r>
        <w:t xml:space="preserve"> that used against same-sex marriage in the US,</w:t>
      </w:r>
      <w:r w:rsidR="0097088E">
        <w:rPr>
          <w:rStyle w:val="FootnoteReference"/>
        </w:rPr>
        <w:footnoteReference w:id="116"/>
      </w:r>
      <w:r>
        <w:t xml:space="preserve"> in that it positions marriage as a catalyst which takes the risk of accidental pregnancy and transforms </w:t>
      </w:r>
      <w:r>
        <w:lastRenderedPageBreak/>
        <w:t>it into ‘</w:t>
      </w:r>
      <w:r w:rsidR="00374C4F">
        <w:t>“</w:t>
      </w:r>
      <w:r>
        <w:t>responsible procreation”’</w:t>
      </w:r>
      <w:r w:rsidR="00D56F97">
        <w:t>.</w:t>
      </w:r>
      <w:r w:rsidR="00D56F97" w:rsidRPr="00444F1D">
        <w:rPr>
          <w:rStyle w:val="FootnoteReference"/>
        </w:rPr>
        <w:footnoteReference w:id="117"/>
      </w:r>
      <w:r>
        <w:t xml:space="preserve"> </w:t>
      </w:r>
      <w:r w:rsidR="00D56F97">
        <w:t xml:space="preserve">Whilst such arguments </w:t>
      </w:r>
      <w:r w:rsidR="00F30DA2">
        <w:t xml:space="preserve">did not prevent the 2013 Act, </w:t>
      </w:r>
      <w:r w:rsidR="00D56F97">
        <w:t>they are significant when evaluating the position of the Church of England. In the same debate, Stephen Timms MP stated:</w:t>
      </w:r>
    </w:p>
    <w:p w14:paraId="38BD0776" w14:textId="7EC3D055" w:rsidR="00D56F97" w:rsidRDefault="00D56F97" w:rsidP="00D56F97">
      <w:pPr>
        <w:ind w:left="720"/>
        <w:jc w:val="both"/>
      </w:pPr>
      <w:r>
        <w:t xml:space="preserve">The 1662 version of the Church of England service, which has been in use for the past 350 years, sets out three reasons for marriage. The first is that it </w:t>
      </w:r>
      <w:proofErr w:type="gramStart"/>
      <w:r>
        <w:t>was</w:t>
      </w:r>
      <w:proofErr w:type="gramEnd"/>
      <w:r w:rsidR="00374C4F">
        <w:t xml:space="preserve"> </w:t>
      </w:r>
    </w:p>
    <w:p w14:paraId="4D954000" w14:textId="5E1A866C" w:rsidR="00D56F97" w:rsidRDefault="00D56F97" w:rsidP="00374C4F">
      <w:pPr>
        <w:ind w:left="720"/>
        <w:jc w:val="both"/>
      </w:pPr>
      <w:r>
        <w:t>“</w:t>
      </w:r>
      <w:proofErr w:type="gramStart"/>
      <w:r>
        <w:t>ordained</w:t>
      </w:r>
      <w:proofErr w:type="gramEnd"/>
      <w:r>
        <w:t xml:space="preserve"> for the procreation of children, to be brought up in the fear and nurture of the Lord”</w:t>
      </w:r>
      <w:r w:rsidR="00374C4F">
        <w:t>.</w:t>
      </w:r>
    </w:p>
    <w:p w14:paraId="08ABCC89" w14:textId="0138AFD1" w:rsidR="00D56F97" w:rsidRDefault="00D56F97" w:rsidP="00374C4F">
      <w:pPr>
        <w:ind w:left="720"/>
        <w:jc w:val="both"/>
      </w:pPr>
      <w:r>
        <w:t>The central problem with the Bill is that it introduces a definition of marriage that includes the second and third reasons but drops that first one. The result is something that is a good deal weaker than the original.</w:t>
      </w:r>
      <w:r w:rsidRPr="00444F1D">
        <w:rPr>
          <w:rStyle w:val="FootnoteReference"/>
        </w:rPr>
        <w:footnoteReference w:id="118"/>
      </w:r>
    </w:p>
    <w:p w14:paraId="7114C7FB" w14:textId="63E21B78" w:rsidR="00D56F97" w:rsidRDefault="00D56F97" w:rsidP="00D56F97">
      <w:pPr>
        <w:jc w:val="both"/>
      </w:pPr>
      <w:r>
        <w:t>Whilst Timms is correct that the 1662 wording continues to be used in the Church of England, this choice of wording is not the only option in modern times.</w:t>
      </w:r>
      <w:r w:rsidRPr="00444F1D">
        <w:rPr>
          <w:rStyle w:val="FootnoteReference"/>
        </w:rPr>
        <w:footnoteReference w:id="119"/>
      </w:r>
      <w:r>
        <w:t xml:space="preserve"> Moreover, as noted above, </w:t>
      </w:r>
      <w:r>
        <w:rPr>
          <w:i/>
          <w:iCs/>
        </w:rPr>
        <w:t xml:space="preserve">Bellinger </w:t>
      </w:r>
      <w:r>
        <w:t>rejected the proposition that this remained a primary rationale for marriage.</w:t>
      </w:r>
      <w:r w:rsidRPr="00444F1D">
        <w:rPr>
          <w:rStyle w:val="FootnoteReference"/>
        </w:rPr>
        <w:footnoteReference w:id="120"/>
      </w:r>
      <w:r>
        <w:t xml:space="preserve"> Although the other options also incorporate references to children, these are notable for not placing children as the first point of emphasis in the couple’s vows.</w:t>
      </w:r>
      <w:r w:rsidRPr="00444F1D">
        <w:rPr>
          <w:rStyle w:val="FootnoteReference"/>
        </w:rPr>
        <w:footnoteReference w:id="121"/>
      </w:r>
      <w:r>
        <w:t xml:space="preserve"> The change in emphasis offers a potential vision of marriage no longer dominated by children and procreation.</w:t>
      </w:r>
      <w:r w:rsidRPr="00444F1D">
        <w:rPr>
          <w:rStyle w:val="FootnoteReference"/>
        </w:rPr>
        <w:footnoteReference w:id="122"/>
      </w:r>
    </w:p>
    <w:p w14:paraId="09DF6DBC" w14:textId="6F25DCE0" w:rsidR="005243AF" w:rsidRDefault="0079414E" w:rsidP="00D56F97">
      <w:pPr>
        <w:jc w:val="both"/>
      </w:pPr>
      <w:r>
        <w:t xml:space="preserve">Of course, children are an important factor in some decisions to have sex and to marry. </w:t>
      </w:r>
      <w:r w:rsidR="00334E33">
        <w:t xml:space="preserve">But </w:t>
      </w:r>
      <w:r w:rsidR="005243AF">
        <w:t xml:space="preserve">recognising </w:t>
      </w:r>
      <w:r w:rsidR="00334E33">
        <w:t>this is not the same as embracing the traditionalist view, described by Herring, that ‘there is something special about heterosexual intercourse that marks marriage as separate from all other relationships and provides a justification for its special status.’</w:t>
      </w:r>
      <w:r w:rsidR="00334E33" w:rsidRPr="00444F1D">
        <w:rPr>
          <w:rStyle w:val="FootnoteReference"/>
        </w:rPr>
        <w:footnoteReference w:id="123"/>
      </w:r>
      <w:r w:rsidR="005243AF">
        <w:t xml:space="preserve"> </w:t>
      </w:r>
      <w:r w:rsidR="00D07BA2">
        <w:t>Broadening our collective understanding of the sex-marriage connection challenges “coital hierarchies” seen in both criminal and family law.</w:t>
      </w:r>
      <w:r w:rsidR="00D07BA2" w:rsidRPr="00444F1D">
        <w:rPr>
          <w:rStyle w:val="FootnoteReference"/>
        </w:rPr>
        <w:footnoteReference w:id="124"/>
      </w:r>
      <w:r w:rsidR="00D07BA2">
        <w:t xml:space="preserve"> As Maine highlights, one example of this may be the introduction of no-fault divorce in England and Wales</w:t>
      </w:r>
      <w:r w:rsidR="00D847F3">
        <w:t>; where, in these reforms,</w:t>
      </w:r>
      <w:r w:rsidR="00D07BA2">
        <w:t xml:space="preserve"> the removal of any reference to adultery – which English </w:t>
      </w:r>
      <w:r w:rsidR="00036E81">
        <w:t>l</w:t>
      </w:r>
      <w:r w:rsidR="00D07BA2">
        <w:t>aw limited to heterosexual sexual activity –</w:t>
      </w:r>
      <w:r w:rsidR="00B32816">
        <w:t xml:space="preserve"> </w:t>
      </w:r>
      <w:r w:rsidR="00D07BA2">
        <w:t>could prompt legal acknowledgement of non-monogamous marital relationships.</w:t>
      </w:r>
      <w:r w:rsidR="00D07BA2" w:rsidRPr="00444F1D">
        <w:rPr>
          <w:rStyle w:val="FootnoteReference"/>
        </w:rPr>
        <w:footnoteReference w:id="125"/>
      </w:r>
      <w:r w:rsidR="00D07BA2">
        <w:t xml:space="preserve"> To move beyond the </w:t>
      </w:r>
      <w:r w:rsidR="00C755A3">
        <w:t>traditional hierarchies of sex and sexuality means embracing the idea that there are multiple contradictory rationales for sex and marriage.</w:t>
      </w:r>
    </w:p>
    <w:p w14:paraId="397EBBBB" w14:textId="3973BBF1" w:rsidR="00C755A3" w:rsidRDefault="00C755A3" w:rsidP="00C755A3">
      <w:pPr>
        <w:pStyle w:val="Heading1"/>
      </w:pPr>
      <w:r>
        <w:t xml:space="preserve">CONCLUSIONS </w:t>
      </w:r>
    </w:p>
    <w:p w14:paraId="53FAAACC" w14:textId="322BE498" w:rsidR="00C755A3" w:rsidRDefault="00C755A3" w:rsidP="00C755A3">
      <w:pPr>
        <w:jc w:val="both"/>
      </w:pPr>
      <w:r>
        <w:t xml:space="preserve">Marital and criminal law each have their own </w:t>
      </w:r>
      <w:proofErr w:type="gramStart"/>
      <w:r>
        <w:t>particular scope</w:t>
      </w:r>
      <w:proofErr w:type="gramEnd"/>
      <w:r>
        <w:t xml:space="preserve">, eccentricities and lineage. However, using one to interpret and analyse the other has its advantages and insights. Looking </w:t>
      </w:r>
      <w:r>
        <w:lastRenderedPageBreak/>
        <w:t xml:space="preserve">at the procreative-marital ideal in </w:t>
      </w:r>
      <w:proofErr w:type="spellStart"/>
      <w:r>
        <w:rPr>
          <w:i/>
          <w:iCs/>
        </w:rPr>
        <w:t>Dica</w:t>
      </w:r>
      <w:proofErr w:type="spellEnd"/>
      <w:r>
        <w:rPr>
          <w:i/>
          <w:iCs/>
        </w:rPr>
        <w:t xml:space="preserve"> </w:t>
      </w:r>
      <w:r>
        <w:t xml:space="preserve">and the developments since, including </w:t>
      </w:r>
      <w:r>
        <w:rPr>
          <w:i/>
          <w:iCs/>
        </w:rPr>
        <w:t xml:space="preserve">Lawrance, </w:t>
      </w:r>
      <w:r>
        <w:t xml:space="preserve">demonstrates how heteronormative sexual activities may still be framed as normal. This speaks to a residual sexual hierarchy where </w:t>
      </w:r>
      <w:r w:rsidR="00D847F3">
        <w:t xml:space="preserve">procreation within </w:t>
      </w:r>
      <w:r>
        <w:t xml:space="preserve">marriage may no longer hold a monopoly but is still given value by law. </w:t>
      </w:r>
    </w:p>
    <w:p w14:paraId="5F8946EB" w14:textId="08E1F99F" w:rsidR="00C755A3" w:rsidRDefault="00C755A3" w:rsidP="00C755A3">
      <w:pPr>
        <w:jc w:val="both"/>
      </w:pPr>
      <w:r>
        <w:t xml:space="preserve">This offers a new perspective with which to consider ongoing developments in the field of marital law. </w:t>
      </w:r>
      <w:r w:rsidR="000A1F4E">
        <w:t xml:space="preserve">Despite a shift in the role of procreation in denominations such as the Quakers - who acknowledge that the procreation of a new generation is no longer central to marriage - and the Church of England </w:t>
      </w:r>
      <w:r w:rsidR="00986342">
        <w:t>–</w:t>
      </w:r>
      <w:r w:rsidR="000A1F4E">
        <w:t xml:space="preserve"> whose wedding vows no longer necessarily place children pre-eminently – the hierarchies these criminal cases offer enable a more critical reflection on procreation and same-sex relationship recognition. </w:t>
      </w:r>
    </w:p>
    <w:p w14:paraId="46107562" w14:textId="687941F5" w:rsidR="000A1F4E" w:rsidRDefault="000A1F4E" w:rsidP="00C755A3">
      <w:pPr>
        <w:jc w:val="both"/>
      </w:pPr>
      <w:r>
        <w:t>As Alsgaard discusses in a US context, prior to same-sex marriage bans being deemed unconstitutional, ‘there are still i</w:t>
      </w:r>
      <w:r w:rsidRPr="000A1F4E">
        <w:t>mportant areas of law and society where marriage and procreation are fundamentally linked</w:t>
      </w:r>
      <w:r>
        <w:t>’.</w:t>
      </w:r>
      <w:r w:rsidRPr="00444F1D">
        <w:rPr>
          <w:rStyle w:val="FootnoteReference"/>
        </w:rPr>
        <w:footnoteReference w:id="126"/>
      </w:r>
      <w:r w:rsidR="00382927">
        <w:t xml:space="preserve"> </w:t>
      </w:r>
      <w:r w:rsidR="00E94D19">
        <w:t>The connection between marriage, procreation and sex seen in English criminal law frames procreative sex as natural and therefore subject to less scrutiny. This contributes to a hierarchy of both sexual acts and sexual relationships</w:t>
      </w:r>
      <w:r w:rsidR="001E1730">
        <w:t>.</w:t>
      </w:r>
      <w:r w:rsidR="00E94D19" w:rsidRPr="00444F1D">
        <w:rPr>
          <w:rStyle w:val="FootnoteReference"/>
        </w:rPr>
        <w:footnoteReference w:id="127"/>
      </w:r>
      <w:r w:rsidR="001E1730">
        <w:t xml:space="preserve"> </w:t>
      </w:r>
    </w:p>
    <w:p w14:paraId="5C881146" w14:textId="4447B5FF" w:rsidR="00710E91" w:rsidRDefault="001E1730" w:rsidP="00C755A3">
      <w:pPr>
        <w:jc w:val="both"/>
      </w:pPr>
      <w:r>
        <w:t>Although the issue of same-sex marriage within the Church of England is – in part – a matter of theological debate</w:t>
      </w:r>
      <w:r w:rsidR="00582923">
        <w:t xml:space="preserve">; </w:t>
      </w:r>
      <w:r>
        <w:t>the Church retains ‘certain privileges and responsibilities at a local level’.</w:t>
      </w:r>
      <w:r w:rsidRPr="00444F1D">
        <w:rPr>
          <w:rStyle w:val="FootnoteReference"/>
        </w:rPr>
        <w:footnoteReference w:id="128"/>
      </w:r>
      <w:r>
        <w:t xml:space="preserve"> This privileged position means that the availability of marriage within the Church is</w:t>
      </w:r>
      <w:r w:rsidR="00582923">
        <w:t xml:space="preserve"> also</w:t>
      </w:r>
      <w:r>
        <w:t xml:space="preserve"> a matter of public debate. Even were it not, </w:t>
      </w:r>
      <w:r w:rsidR="00582923">
        <w:t>such</w:t>
      </w:r>
      <w:r>
        <w:t xml:space="preserve"> debate is already ongoing within the Church</w:t>
      </w:r>
      <w:r w:rsidRPr="00444F1D">
        <w:rPr>
          <w:rStyle w:val="FootnoteReference"/>
        </w:rPr>
        <w:footnoteReference w:id="129"/>
      </w:r>
      <w:r>
        <w:t xml:space="preserve"> </w:t>
      </w:r>
      <w:r w:rsidR="00D847F3">
        <w:t>and</w:t>
      </w:r>
      <w:r>
        <w:t xml:space="preserve"> Parliament.</w:t>
      </w:r>
      <w:r w:rsidRPr="00444F1D">
        <w:rPr>
          <w:rStyle w:val="FootnoteReference"/>
        </w:rPr>
        <w:footnoteReference w:id="130"/>
      </w:r>
      <w:r w:rsidR="00546BE5">
        <w:t xml:space="preserve"> </w:t>
      </w:r>
      <w:r w:rsidR="004A365E">
        <w:t>The Church’s move away from the Lambeth I.10 position</w:t>
      </w:r>
      <w:r w:rsidR="00445533">
        <w:t xml:space="preserve"> on relationship recognition</w:t>
      </w:r>
      <w:r w:rsidR="004A365E">
        <w:t xml:space="preserve"> has </w:t>
      </w:r>
      <w:r w:rsidR="00445533">
        <w:t>seen significant internal debate,</w:t>
      </w:r>
      <w:r w:rsidR="004A365E" w:rsidRPr="00444F1D">
        <w:rPr>
          <w:rStyle w:val="FootnoteReference"/>
        </w:rPr>
        <w:footnoteReference w:id="131"/>
      </w:r>
      <w:r w:rsidR="00445533">
        <w:t xml:space="preserve"> which appears – in part – </w:t>
      </w:r>
      <w:r w:rsidR="00986342">
        <w:t xml:space="preserve">to be </w:t>
      </w:r>
      <w:r w:rsidR="00445533">
        <w:t xml:space="preserve">a result of a continued scrutiny of same-sex sexual activity. </w:t>
      </w:r>
      <w:r w:rsidR="00D847F3">
        <w:t>Similarly, procreative heterosexual sex continues to hold a normative position in criminal law, which appears to subject certain forms of sexual activity to greater or lesser legal scrutiny</w:t>
      </w:r>
      <w:r w:rsidR="004B6B41">
        <w:t xml:space="preserve">. </w:t>
      </w:r>
    </w:p>
    <w:p w14:paraId="14E0520B" w14:textId="5CF1708B" w:rsidR="004E3FEA" w:rsidRDefault="00784D61" w:rsidP="00D56F97">
      <w:pPr>
        <w:jc w:val="both"/>
      </w:pPr>
      <w:r>
        <w:t xml:space="preserve">The relationship between criminal law, sexual morality, and marital law is complicated by the ideal forms of relationship which continue to shape liability, personal decision making, and political debate on relationship recognition. Recognising </w:t>
      </w:r>
      <w:r w:rsidR="00546BE5">
        <w:t xml:space="preserve">and valuing </w:t>
      </w:r>
      <w:r>
        <w:t xml:space="preserve">a greater diversity of relationships, </w:t>
      </w:r>
      <w:proofErr w:type="gramStart"/>
      <w:r>
        <w:t>sex</w:t>
      </w:r>
      <w:proofErr w:type="gramEnd"/>
      <w:r>
        <w:t xml:space="preserve"> and sexuality in </w:t>
      </w:r>
      <w:r w:rsidR="00546BE5">
        <w:t>criminal, as well as family, law</w:t>
      </w:r>
      <w:r>
        <w:t xml:space="preserve"> might weaken the link between heteronormative </w:t>
      </w:r>
      <w:r w:rsidR="00243145">
        <w:t>relationship ideals</w:t>
      </w:r>
      <w:r>
        <w:t xml:space="preserve"> and the law more broadly.</w:t>
      </w:r>
      <w:r w:rsidRPr="00444F1D">
        <w:rPr>
          <w:rStyle w:val="FootnoteReference"/>
        </w:rPr>
        <w:footnoteReference w:id="132"/>
      </w:r>
      <w:r>
        <w:t xml:space="preserve"> </w:t>
      </w:r>
    </w:p>
    <w:p w14:paraId="127D5705" w14:textId="5C63B841" w:rsidR="00135DDB" w:rsidRPr="00135DDB" w:rsidRDefault="00AD2286" w:rsidP="00D56F97">
      <w:pPr>
        <w:jc w:val="both"/>
      </w:pPr>
      <w:r>
        <w:rPr>
          <w:b/>
          <w:bCs/>
        </w:rPr>
        <w:lastRenderedPageBreak/>
        <w:t xml:space="preserve">Acknowledgements: </w:t>
      </w:r>
      <w:r>
        <w:t>I am grateful to the Editors, colleagues at LSBU, Matthew Weait</w:t>
      </w:r>
      <w:r w:rsidR="00E76FD9">
        <w:t>,</w:t>
      </w:r>
      <w:r>
        <w:t xml:space="preserve"> and Alexander Maine for </w:t>
      </w:r>
      <w:r w:rsidR="006A3D6E">
        <w:t>discussion and comments on drafts of</w:t>
      </w:r>
      <w:r>
        <w:t xml:space="preserve"> this Chapter. A</w:t>
      </w:r>
      <w:r w:rsidR="006A3D6E">
        <w:t>ny</w:t>
      </w:r>
      <w:r>
        <w:t xml:space="preserve"> mistakes remain my own.</w:t>
      </w:r>
    </w:p>
    <w:sectPr w:rsidR="00135DDB" w:rsidRPr="00135D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2FBA" w14:textId="77777777" w:rsidR="00937707" w:rsidRDefault="00937707" w:rsidP="00554568">
      <w:pPr>
        <w:spacing w:after="0" w:line="240" w:lineRule="auto"/>
      </w:pPr>
      <w:r>
        <w:separator/>
      </w:r>
    </w:p>
  </w:endnote>
  <w:endnote w:type="continuationSeparator" w:id="0">
    <w:p w14:paraId="1C99CD1C" w14:textId="77777777" w:rsidR="00937707" w:rsidRDefault="00937707" w:rsidP="0055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5175" w14:textId="77777777" w:rsidR="00937707" w:rsidRDefault="00937707" w:rsidP="00554568">
      <w:pPr>
        <w:spacing w:after="0" w:line="240" w:lineRule="auto"/>
      </w:pPr>
      <w:r>
        <w:separator/>
      </w:r>
    </w:p>
  </w:footnote>
  <w:footnote w:type="continuationSeparator" w:id="0">
    <w:p w14:paraId="1686442A" w14:textId="77777777" w:rsidR="00937707" w:rsidRDefault="00937707" w:rsidP="00554568">
      <w:pPr>
        <w:spacing w:after="0" w:line="240" w:lineRule="auto"/>
      </w:pPr>
      <w:r>
        <w:continuationSeparator/>
      </w:r>
    </w:p>
  </w:footnote>
  <w:footnote w:id="1">
    <w:p w14:paraId="29E753F1" w14:textId="70B0217D" w:rsidR="00554568" w:rsidRDefault="00554568">
      <w:pPr>
        <w:pStyle w:val="FootnoteText"/>
      </w:pPr>
      <w:r w:rsidRPr="00444F1D">
        <w:rPr>
          <w:rStyle w:val="FootnoteReference"/>
        </w:rPr>
        <w:footnoteRef/>
      </w:r>
      <w:r>
        <w:t xml:space="preserve"> That is except in </w:t>
      </w:r>
      <w:r w:rsidR="000B3771">
        <w:t xml:space="preserve">the context of the complexities of offences related to marriage, for instance, </w:t>
      </w:r>
      <w:r>
        <w:t xml:space="preserve">forced marriages: on which, see, </w:t>
      </w:r>
      <w:r>
        <w:fldChar w:fldCharType="begin"/>
      </w:r>
      <w:r w:rsidR="008A2231">
        <w:instrText xml:space="preserve"> ADDIN ZOTERO_ITEM CSL_CITATION {"citationID":"4ucp2ry0","properties":{"formattedCitation":"Kaye Quek, \\uc0\\u8216{}A Civil Rather Than Criminal Offence? Forced Marriage, Harm and the Politics of Multiculturalism in the UK\\uc0\\u8217{} (2013) 15 The British Journal of Politics and International Relations 626.","plainCitation":"Kaye Quek, ‘A Civil Rather Than Criminal Offence? Forced Marriage, Harm and the Politics of Multiculturalism in the UK’ (2013) 15 The British Journal of Politics and International Relations 626.","dontUpdate":true,"noteIndex":1},"citationItems":[{"id":6075,"uris":["http://zotero.org/users/10005302/items/VH5MRXFP"],"itemData":{"id":6075,"type":"article-journal","abstract":"Research Highlights and Abstract\n            The British preference for civil remedies, rather than criminal measures, regarding forced marriage is examined and an explanation for this approach, put forward. The reluctance in the UK to criminalise forced marriage is traced, in part, to the influence that multicultural ideals have had on current British approaches to the practice. The state's tendency to conceptualise the harms of forced marriage principally in terms of a violation of choice (rather than as a matter of long-term violence against women), is also identified as significant to the British preference for civil remedies, over criminal legislation. A critical feminist analysis of UK government papers, policy documents, and Hansard debates, relating to the 2005 public enquiry on the criminalisation of forced marriage and to the Forced Marriage (Civil Protection) Act 2007, is undertaken. British discussions on the proposal to criminalise forced marriage are noted as lacking consideration of arguments that identify criminal legislation as a critical means of combating violence against women. The question is raised as to whether, by adopting such an approach, the state may be giving rise to a two-tier system of rights, in which minority group women are afforded a lesser protection of their human rights, as a result of their racial or cultural background.\n            This article examines the preference for civil, rather than criminal, measures that has emerged as the favoured policy approach for dealing with forced marriage in Britain. In particular, the article considers why, following much public and parliamentary debate, the option to criminalise forced marriage was rejected by UK lawmakers. It suggests that one explanation for this approach is the influence that multiculturalism, as a set of political ideals, has had on British policy on forced marriage in recent years. The article also identifies as significant the limited conception of the harms of forced marriage apparent in much UK government discourse, which fails to identify the practice principally as a form of violence against women, and therefore as a custom that should be subject to criminal legislation. It draws on a critical feminist analysis of UK government papers and policy initiatives dealing with forced marriage during the period of 1999–2007, in order to make this case. It concludes by raising the question of whether, in adopting a civil remedy approach, the state may be affording some women less protection of their human rights than others.","container-title":"The British Journal of Politics and International Relations","DOI":"10.1111/j.1467-856X.2012.00525.x","ISSN":"1369-1481, 1467-856X","issue":"4","journalAbbreviation":"The British Journal of Politics and International Relations","language":"en","page":"626-646","source":"DOI.org (Crossref)","title":"A Civil Rather Than Criminal Offence? Forced Marriage, Harm and the Politics of Multiculturalism in the UK","title-short":"A Civil Rather Than Criminal Offence?","volume":"15","author":[{"family":"Quek","given":"Kaye"}],"issued":{"date-parts":[["2013",11]]}}}],"schema":"https://github.com/citation-style-language/schema/raw/master/csl-citation.json"} </w:instrText>
      </w:r>
      <w:r>
        <w:fldChar w:fldCharType="separate"/>
      </w:r>
      <w:r w:rsidRPr="00554568">
        <w:rPr>
          <w:rFonts w:ascii="Calibri" w:cs="Calibri"/>
          <w:kern w:val="0"/>
        </w:rPr>
        <w:t xml:space="preserve">Kaye Quek, ‘A Civil Rather Than Criminal Offence? Forced Marriage, </w:t>
      </w:r>
      <w:proofErr w:type="gramStart"/>
      <w:r w:rsidRPr="00554568">
        <w:rPr>
          <w:rFonts w:ascii="Calibri" w:cs="Calibri"/>
          <w:kern w:val="0"/>
        </w:rPr>
        <w:t>Harm</w:t>
      </w:r>
      <w:proofErr w:type="gramEnd"/>
      <w:r w:rsidRPr="00554568">
        <w:rPr>
          <w:rFonts w:ascii="Calibri" w:cs="Calibri"/>
          <w:kern w:val="0"/>
        </w:rPr>
        <w:t xml:space="preserve"> and the Politics of Multiculturalism in the UK’ (2013) 15 British Journal of Politics and International Relations 626.</w:t>
      </w:r>
      <w:r>
        <w:fldChar w:fldCharType="end"/>
      </w:r>
    </w:p>
  </w:footnote>
  <w:footnote w:id="2">
    <w:p w14:paraId="4C29037D" w14:textId="3CA29BE5" w:rsidR="00292513" w:rsidRDefault="00292513">
      <w:pPr>
        <w:pStyle w:val="FootnoteText"/>
      </w:pPr>
      <w:r w:rsidRPr="00444F1D">
        <w:rPr>
          <w:rStyle w:val="FootnoteReference"/>
        </w:rPr>
        <w:footnoteRef/>
      </w:r>
      <w:r>
        <w:t xml:space="preserve"> </w:t>
      </w:r>
      <w:r>
        <w:fldChar w:fldCharType="begin"/>
      </w:r>
      <w:r w:rsidR="008A2231">
        <w:instrText xml:space="preserve"> ADDIN ZOTERO_ITEM CSL_CITATION {"citationID":"enIaKc9y","properties":{"formattedCitation":"John Witte, \\uc0\\u8216{}Church, State, and Sex Crimes: What Place for Traditional Sexual Morality in Modern Liberal Societies?\\uc0\\u8217{} (2019) 68 Emory Law Journal 837, 842.","plainCitation":"John Witte, ‘Church, State, and Sex Crimes: What Place for Traditional Sexual Morality in Modern Liberal Societies?’ (2019) 68 Emory Law Journal 837, 842.","dontUpdate":true,"noteIndex":2},"citationItems":[{"id":5524,"uris":["http://zotero.org/users/10005302/items/YWDRU2XE"],"itemData":{"id":5524,"type":"article-journal","abstract":"Historically, sexual morality and criminal law overlapped, and churches and states enforced sundry sex crimes. Today, new constitutional liberties and new reforms to family law and criminal law have dramatically reduced the roll of sex crimes and the roles of churches in maintaining sexuality morality. But sexual misconduct remains a perennial reality in modern societies, including notably within churches, and sex crimes inflict some of the deepest scars on their victims. Modern liberal states must thus maintain a basic standard of sexual morality in its criminal law as a restraint on harmful behavior and as a bulwark against a sexual state of nature where life is often “brutish, nasty, and short” for the most vulnerable. And liberal societies should encourage its citizens and churches to pursue a higher morality of aspiration that views sex and the sexual body as a special gift for oneself and others.","container-title":"Emory Law Journal","language":"en","page":"837","source":"Zotero","title":"Church, State, and Sex Crimes: What Place for Traditional Sexual Morality in Modern Liberal Societies?","volume":"68","author":[{"family":"Witte","given":"John"}],"issued":{"date-parts":[["2019"]]}},"locator":"842"}],"schema":"https://github.com/citation-style-language/schema/raw/master/csl-citation.json"} </w:instrText>
      </w:r>
      <w:r>
        <w:fldChar w:fldCharType="separate"/>
      </w:r>
      <w:r w:rsidRPr="00292513">
        <w:rPr>
          <w:rFonts w:ascii="Calibri" w:cs="Calibri"/>
          <w:kern w:val="0"/>
        </w:rPr>
        <w:t xml:space="preserve">John Witte, ‘Church, State, and Sex Crimes: What Place for Traditional Sexual Morality in Modern Liberal Societies?’ (2019) 68 Emory </w:t>
      </w:r>
      <w:r w:rsidR="00D847F3">
        <w:rPr>
          <w:rFonts w:ascii="Calibri" w:cs="Calibri"/>
          <w:kern w:val="0"/>
        </w:rPr>
        <w:t>LJ</w:t>
      </w:r>
      <w:r w:rsidRPr="00292513">
        <w:rPr>
          <w:rFonts w:ascii="Calibri" w:cs="Calibri"/>
          <w:kern w:val="0"/>
        </w:rPr>
        <w:t xml:space="preserve"> 837, 842.</w:t>
      </w:r>
      <w:r>
        <w:fldChar w:fldCharType="end"/>
      </w:r>
    </w:p>
  </w:footnote>
  <w:footnote w:id="3">
    <w:p w14:paraId="63564982" w14:textId="3517A15F" w:rsidR="00FB338A" w:rsidRDefault="00FB338A">
      <w:pPr>
        <w:pStyle w:val="FootnoteText"/>
      </w:pPr>
      <w:r w:rsidRPr="00444F1D">
        <w:rPr>
          <w:rStyle w:val="FootnoteReference"/>
        </w:rPr>
        <w:footnoteRef/>
      </w:r>
      <w:r>
        <w:t xml:space="preserve"> </w:t>
      </w:r>
      <w:r>
        <w:fldChar w:fldCharType="begin"/>
      </w:r>
      <w:r>
        <w:instrText xml:space="preserve"> ADDIN ZOTERO_ITEM CSL_CITATION {"citationID":"5EEir7Z3","properties":{"formattedCitation":"Nicola Lacey, {\\i{}Unspeakable Subjects\\uc0\\u8239{}: Feminist Essays in Legal and Social Theory} (Hart Publishing 1998) 102\\uc0\\u8211{}103.","plainCitation":"Nicola Lacey, Unspeakable Subjects : Feminist Essays in Legal and Social Theory (Hart Publishing 1998) 102–103.","noteIndex":3},"citationItems":[{"id":5732,"uris":["http://zotero.org/users/10005302/items/SXFRSD2Z"],"itemData":{"id":5732,"type":"book","ISBN":"978-1-901362-33-6","note":"DOI: 10.5040/9781472561916","publisher":"Hart Publishing","source":"DOI.org (Crossref)","title":"Unspeakable Subjects : Feminist Essays in Legal and Social Theory","title-short":"Unspeakable Subjects","author":[{"family":"Lacey","given":"Nicola"}],"accessed":{"date-parts":[["2022",11,1]]},"issued":{"date-parts":[["1998"]]}},"locator":"102-103"}],"schema":"https://github.com/citation-style-language/schema/raw/master/csl-citation.json"} </w:instrText>
      </w:r>
      <w:r>
        <w:fldChar w:fldCharType="separate"/>
      </w:r>
      <w:r w:rsidRPr="00FB338A">
        <w:rPr>
          <w:rFonts w:ascii="Calibri" w:cs="Calibri"/>
          <w:kern w:val="0"/>
        </w:rPr>
        <w:t xml:space="preserve">Nicola Lacey, </w:t>
      </w:r>
      <w:r w:rsidRPr="00FB338A">
        <w:rPr>
          <w:rFonts w:ascii="Calibri" w:cs="Calibri"/>
          <w:i/>
          <w:iCs/>
          <w:kern w:val="0"/>
        </w:rPr>
        <w:t xml:space="preserve">Unspeakable </w:t>
      </w:r>
      <w:proofErr w:type="gramStart"/>
      <w:r w:rsidRPr="00FB338A">
        <w:rPr>
          <w:rFonts w:ascii="Calibri" w:cs="Calibri"/>
          <w:i/>
          <w:iCs/>
          <w:kern w:val="0"/>
        </w:rPr>
        <w:t>Subjects :</w:t>
      </w:r>
      <w:proofErr w:type="gramEnd"/>
      <w:r w:rsidRPr="00FB338A">
        <w:rPr>
          <w:rFonts w:ascii="Calibri" w:cs="Calibri"/>
          <w:i/>
          <w:iCs/>
          <w:kern w:val="0"/>
        </w:rPr>
        <w:t xml:space="preserve"> Feminist Essays in Legal and Social Theory</w:t>
      </w:r>
      <w:r w:rsidRPr="00FB338A">
        <w:rPr>
          <w:rFonts w:ascii="Calibri" w:cs="Calibri"/>
          <w:kern w:val="0"/>
        </w:rPr>
        <w:t xml:space="preserve"> (Hart Publishing 1998) 102–103.</w:t>
      </w:r>
      <w:r>
        <w:fldChar w:fldCharType="end"/>
      </w:r>
    </w:p>
  </w:footnote>
  <w:footnote w:id="4">
    <w:p w14:paraId="225C1678" w14:textId="1BE12AFD" w:rsidR="00DB4050" w:rsidRDefault="00DB4050">
      <w:pPr>
        <w:pStyle w:val="FootnoteText"/>
      </w:pPr>
      <w:r w:rsidRPr="00444F1D">
        <w:rPr>
          <w:rStyle w:val="FootnoteReference"/>
        </w:rPr>
        <w:footnoteRef/>
      </w:r>
      <w:r>
        <w:t xml:space="preserve"> </w:t>
      </w:r>
      <w:r>
        <w:fldChar w:fldCharType="begin"/>
      </w:r>
      <w:r w:rsidR="008A2231">
        <w:instrText xml:space="preserve"> ADDIN ZOTERO_ITEM CSL_CITATION {"citationID":"JT5BZTq8","properties":{"formattedCitation":"Melissa Murray, \\uc0\\u8216{}Strange Bedfellows: Criminal Law, Family Law, and the Legal Construction of Intimate Life\\uc0\\u8217{} (2009) 94 Iowa Law Review 1253; Melissa Murray, \\uc0\\u8216{}The Space between: The Cooperative Regulation of Criminal Law and Family Law\\uc0\\u8217{} (2010) 44 Family Law Quarterly 227.","plainCitation":"Melissa Murray, ‘Strange Bedfellows: Criminal Law, Family Law, and the Legal Construction of Intimate Life’ (2009) 94 Iowa Law Review 1253; Melissa Murray, ‘The Space between: The Cooperative Regulation of Criminal Law and Family Law’ (2010) 44 Family Law Quarterly 227.","dontUpdate":true,"noteIndex":4},"citationItems":[{"id":5511,"uris":["http://zotero.org/users/10005302/items/XK9LNMIK"],"itemData":{"id":5511,"type":"article-journal","container-title":"Iowa Law Review","ISSN":"00210552","issue":"4","page":"1253-1313","title":"Strange bedfellows: Criminal law, family law, and the legal construction of intimate life","volume":"94","author":[{"family":"Murray","given":"Melissa"}],"issued":{"date-parts":[["2009"]]}}},{"id":5505,"uris":["http://zotero.org/users/10005302/items/HUG3XGP7"],"itemData":{"id":5505,"type":"article-journal","container-title":"Family Law Quarterly","ISSN":"0014729X","issue":"2","page":"227-254","title":"The space between: The cooperative regulation of criminal law and family law","volume":"44","author":[{"family":"Murray","given":"Melissa"}],"issued":{"date-parts":[["2010"]]}}}],"schema":"https://github.com/citation-style-language/schema/raw/master/csl-citation.json"} </w:instrText>
      </w:r>
      <w:r>
        <w:fldChar w:fldCharType="separate"/>
      </w:r>
      <w:r w:rsidRPr="00DB4050">
        <w:rPr>
          <w:rFonts w:ascii="Calibri" w:cs="Calibri"/>
          <w:kern w:val="0"/>
        </w:rPr>
        <w:t>Melissa Murray, ‘Strange Bedfellows: Criminal Law, Family Law, and the Legal Construction of Intimate Life’ (2009) 94 Iowa L Rev 1253; Melissa Murray, ‘The Space between: The Cooperative Regulation of Criminal Law and Family Law’ (2010) 44 F</w:t>
      </w:r>
      <w:r w:rsidR="00032F93">
        <w:rPr>
          <w:rFonts w:ascii="Calibri" w:cs="Calibri"/>
          <w:kern w:val="0"/>
        </w:rPr>
        <w:t xml:space="preserve">am </w:t>
      </w:r>
      <w:r w:rsidRPr="00DB4050">
        <w:rPr>
          <w:rFonts w:ascii="Calibri" w:cs="Calibri"/>
          <w:kern w:val="0"/>
        </w:rPr>
        <w:t>LQ 227.</w:t>
      </w:r>
      <w:r>
        <w:fldChar w:fldCharType="end"/>
      </w:r>
    </w:p>
  </w:footnote>
  <w:footnote w:id="5">
    <w:p w14:paraId="6D6A1A75" w14:textId="11A573DB" w:rsidR="00FB338A" w:rsidRDefault="00FB338A">
      <w:pPr>
        <w:pStyle w:val="FootnoteText"/>
      </w:pPr>
      <w:r w:rsidRPr="00444F1D">
        <w:rPr>
          <w:rStyle w:val="FootnoteReference"/>
        </w:rPr>
        <w:footnoteRef/>
      </w:r>
      <w:r>
        <w:t xml:space="preserve"> </w:t>
      </w:r>
      <w:r>
        <w:fldChar w:fldCharType="begin"/>
      </w:r>
      <w:r w:rsidR="008A2231">
        <w:instrText xml:space="preserve"> ADDIN ZOTERO_ITEM CSL_CITATION {"citationID":"mCbxzX3L","properties":{"formattedCitation":"Murray, \\uc0\\u8216{}Strange Bedfellows: Criminal Law, Family Law, and the Legal Construction of Intimate Life\\uc0\\u8217{} (n 4) 1270.","plainCitation":"Murray, ‘Strange Bedfellows: Criminal Law, Family Law, and the Legal Construction of Intimate Life’ (n 4) 1270.","dontUpdate":true,"noteIndex":5},"citationItems":[{"id":5511,"uris":["http://zotero.org/users/10005302/items/XK9LNMIK"],"itemData":{"id":5511,"type":"article-journal","container-title":"Iowa Law Review","ISSN":"00210552","issue":"4","page":"1253-1313","title":"Strange bedfellows: Criminal law, family law, and the legal construction of intimate life","volume":"94","author":[{"family":"Murray","given":"Melissa"}],"issued":{"date-parts":[["2009"]]}},"locator":"1270"}],"schema":"https://github.com/citation-style-language/schema/raw/master/csl-citation.json"} </w:instrText>
      </w:r>
      <w:r>
        <w:fldChar w:fldCharType="separate"/>
      </w:r>
      <w:r w:rsidR="000009B9" w:rsidRPr="000009B9">
        <w:rPr>
          <w:rFonts w:ascii="Calibri" w:cs="Calibri"/>
          <w:kern w:val="0"/>
        </w:rPr>
        <w:t>Murray, ‘Strange Bedfellows’ (n 4) 1270.</w:t>
      </w:r>
      <w:r>
        <w:fldChar w:fldCharType="end"/>
      </w:r>
    </w:p>
  </w:footnote>
  <w:footnote w:id="6">
    <w:p w14:paraId="34847187" w14:textId="11F24BAF" w:rsidR="00FB338A" w:rsidRDefault="00FB338A">
      <w:pPr>
        <w:pStyle w:val="FootnoteText"/>
      </w:pPr>
      <w:r w:rsidRPr="00444F1D">
        <w:rPr>
          <w:rStyle w:val="FootnoteReference"/>
        </w:rPr>
        <w:footnoteRef/>
      </w:r>
      <w:r>
        <w:t xml:space="preserve"> </w:t>
      </w:r>
      <w:r>
        <w:fldChar w:fldCharType="begin"/>
      </w:r>
      <w:r w:rsidR="008A2231">
        <w:instrText xml:space="preserve"> ADDIN ZOTERO_ITEM CSL_CITATION {"citationID":"cWWJNUmG","properties":{"formattedCitation":"ibid.","plainCitation":"ibid.","dontUpdate":true,"noteIndex":6},"citationItems":[{"id":5511,"uris":["http://zotero.org/users/10005302/items/XK9LNMIK"],"itemData":{"id":5511,"type":"article-journal","container-title":"Iowa Law Review","ISSN":"00210552","issue":"4","page":"1253-1313","title":"Strange bedfellows: Criminal law, family law, and the legal construction of intimate life","volume":"94","author":[{"family":"Murray","given":"Melissa"}],"issued":{"date-parts":[["2009"]]}},"locator":"1270"}],"schema":"https://github.com/citation-style-language/schema/raw/master/csl-citation.json"} </w:instrText>
      </w:r>
      <w:r>
        <w:fldChar w:fldCharType="separate"/>
      </w:r>
      <w:r>
        <w:rPr>
          <w:noProof/>
        </w:rPr>
        <w:t>ibid</w:t>
      </w:r>
      <w:r w:rsidR="00806C76">
        <w:rPr>
          <w:noProof/>
        </w:rPr>
        <w:t xml:space="preserve"> 1270</w:t>
      </w:r>
      <w:r>
        <w:rPr>
          <w:noProof/>
        </w:rPr>
        <w:t>.</w:t>
      </w:r>
      <w:r>
        <w:fldChar w:fldCharType="end"/>
      </w:r>
    </w:p>
  </w:footnote>
  <w:footnote w:id="7">
    <w:p w14:paraId="262FF695" w14:textId="53EAD733" w:rsidR="0019062B" w:rsidRDefault="0019062B">
      <w:pPr>
        <w:pStyle w:val="FootnoteText"/>
      </w:pPr>
      <w:r w:rsidRPr="00444F1D">
        <w:rPr>
          <w:rStyle w:val="FootnoteReference"/>
        </w:rPr>
        <w:footnoteRef/>
      </w:r>
      <w:r>
        <w:t xml:space="preserve"> </w:t>
      </w:r>
      <w:r>
        <w:fldChar w:fldCharType="begin"/>
      </w:r>
      <w:r>
        <w:instrText xml:space="preserve"> ADDIN ZOTERO_ITEM CSL_CITATION {"citationID":"1oKoZUs5","properties":{"formattedCitation":"{\\i{}R v Dica} [2004] EWCA Crim 1103.","plainCitation":"R v Dica [2004] EWCA Crim 1103.","noteIndex":7},"citationItems":[{"id":652,"uris":["http://zotero.org/users/10005302/items/JCKHDVYU"],"itemData":{"id":652,"type":"legal_case","note":"container-title: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schema":"https://github.com/citation-style-language/schema/raw/master/csl-citation.json"} </w:instrText>
      </w:r>
      <w:r>
        <w:fldChar w:fldCharType="separate"/>
      </w:r>
      <w:r w:rsidRPr="0019062B">
        <w:rPr>
          <w:rFonts w:ascii="Calibri" w:cs="Calibri"/>
          <w:i/>
          <w:iCs/>
          <w:kern w:val="0"/>
        </w:rPr>
        <w:t xml:space="preserve">R v </w:t>
      </w:r>
      <w:proofErr w:type="spellStart"/>
      <w:r w:rsidRPr="0019062B">
        <w:rPr>
          <w:rFonts w:ascii="Calibri" w:cs="Calibri"/>
          <w:i/>
          <w:iCs/>
          <w:kern w:val="0"/>
        </w:rPr>
        <w:t>Dica</w:t>
      </w:r>
      <w:proofErr w:type="spellEnd"/>
      <w:r w:rsidRPr="0019062B">
        <w:rPr>
          <w:rFonts w:ascii="Calibri" w:cs="Calibri"/>
          <w:kern w:val="0"/>
        </w:rPr>
        <w:t xml:space="preserve"> [2004] EWCA Crim 1103.</w:t>
      </w:r>
      <w:r>
        <w:fldChar w:fldCharType="end"/>
      </w:r>
    </w:p>
  </w:footnote>
  <w:footnote w:id="8">
    <w:p w14:paraId="56817080" w14:textId="3057A155" w:rsidR="0019062B" w:rsidRDefault="0019062B">
      <w:pPr>
        <w:pStyle w:val="FootnoteText"/>
      </w:pPr>
      <w:r w:rsidRPr="00444F1D">
        <w:rPr>
          <w:rStyle w:val="FootnoteReference"/>
        </w:rPr>
        <w:footnoteRef/>
      </w:r>
      <w:r>
        <w:t xml:space="preserve"> </w:t>
      </w:r>
      <w:r>
        <w:fldChar w:fldCharType="begin"/>
      </w:r>
      <w:r>
        <w:instrText xml:space="preserve"> ADDIN ZOTERO_ITEM CSL_CITATION {"citationID":"C66nl57n","properties":{"formattedCitation":"{\\i{}R v McNally} [2013] EWCA Crim 1051.","plainCitation":"R v McNally [2013] EWCA Crim 1051.","noteIndex":8},"citationItems":[{"id":1587,"uris":["http://zotero.org/users/10005302/items/PQPKERDZ"],"itemData":{"id":1587,"type":"legal_case","note":"container-title: EWCA Crim","page":"1051, [2014] QB 593","title":"R v McNally","issued":{"date-parts":[["2013"]]}}}],"schema":"https://github.com/citation-style-language/schema/raw/master/csl-citation.json"} </w:instrText>
      </w:r>
      <w:r>
        <w:fldChar w:fldCharType="separate"/>
      </w:r>
      <w:r w:rsidRPr="0019062B">
        <w:rPr>
          <w:rFonts w:ascii="Calibri" w:cs="Calibri"/>
          <w:i/>
          <w:iCs/>
          <w:kern w:val="0"/>
        </w:rPr>
        <w:t>R v McNally</w:t>
      </w:r>
      <w:r w:rsidRPr="0019062B">
        <w:rPr>
          <w:rFonts w:ascii="Calibri" w:cs="Calibri"/>
          <w:kern w:val="0"/>
        </w:rPr>
        <w:t xml:space="preserve"> [2013] EWCA Crim 1051.</w:t>
      </w:r>
      <w:r>
        <w:fldChar w:fldCharType="end"/>
      </w:r>
    </w:p>
  </w:footnote>
  <w:footnote w:id="9">
    <w:p w14:paraId="5F9DC40F" w14:textId="399121D2" w:rsidR="00005997" w:rsidRDefault="00005997">
      <w:pPr>
        <w:pStyle w:val="FootnoteText"/>
      </w:pPr>
      <w:r w:rsidRPr="00444F1D">
        <w:rPr>
          <w:rStyle w:val="FootnoteReference"/>
        </w:rPr>
        <w:footnoteRef/>
      </w:r>
      <w:r>
        <w:t xml:space="preserve"> </w:t>
      </w:r>
      <w:r>
        <w:fldChar w:fldCharType="begin"/>
      </w:r>
      <w:r>
        <w:instrText xml:space="preserve"> ADDIN ZOTERO_ITEM CSL_CITATION {"citationID":"G5aPLoRC","properties":{"formattedCitation":"{\\i{}R v Jason Lawrance} [2020] EWCA Crim 971.","plainCitation":"R v Jason Lawrance [2020] EWCA Crim 971.","noteIndex":9},"citationItems":[{"id":4684,"uris":["http://zotero.org/users/10005302/items/KQ8W7G65"],"itemData":{"id":4684,"type":"legal_case","note":"container-title: EWCA Crim","page":"971","title":"R v Jason Lawrance","issued":{"date-parts":[["2020"]]}}}],"schema":"https://github.com/citation-style-language/schema/raw/master/csl-citation.json"} </w:instrText>
      </w:r>
      <w:r>
        <w:fldChar w:fldCharType="separate"/>
      </w:r>
      <w:r w:rsidRPr="00005997">
        <w:rPr>
          <w:rFonts w:ascii="Calibri" w:cs="Calibri"/>
          <w:i/>
          <w:iCs/>
          <w:kern w:val="0"/>
        </w:rPr>
        <w:t>R v Jason Lawrance</w:t>
      </w:r>
      <w:r w:rsidRPr="00005997">
        <w:rPr>
          <w:rFonts w:ascii="Calibri" w:cs="Calibri"/>
          <w:kern w:val="0"/>
        </w:rPr>
        <w:t xml:space="preserve"> [2020] EWCA Crim 971.</w:t>
      </w:r>
      <w:r>
        <w:fldChar w:fldCharType="end"/>
      </w:r>
    </w:p>
  </w:footnote>
  <w:footnote w:id="10">
    <w:p w14:paraId="47975FA4" w14:textId="45055D27" w:rsidR="002F043D" w:rsidRDefault="002F043D">
      <w:pPr>
        <w:pStyle w:val="FootnoteText"/>
      </w:pPr>
      <w:r w:rsidRPr="00444F1D">
        <w:rPr>
          <w:rStyle w:val="FootnoteReference"/>
        </w:rPr>
        <w:footnoteRef/>
      </w:r>
      <w:r>
        <w:t xml:space="preserve"> </w:t>
      </w:r>
      <w:r>
        <w:fldChar w:fldCharType="begin"/>
      </w:r>
      <w:r>
        <w:instrText xml:space="preserve"> ADDIN ZOTERO_ITEM CSL_CITATION {"citationID":"yElfQ5sN","properties":{"formattedCitation":"Marriage (Same Sex Couples) Act 2013 ss1(3)-(5). It should be noted that similar provisions also apply to clergy in the disestablished Church in Wales.","plainCitation":"Marriage (Same Sex Couples) Act 2013 ss1(3)-(5). It should be noted that similar provisions also apply to clergy in the disestablished Church in Wales.","noteIndex":10},"citationItems":[{"id":5737,"uris":["http://zotero.org/users/10005302/items/A2LMVC9L"],"itemData":{"id":5737,"type":"legislation","language":"eng","note":"publisher: Queen's Printer of Acts of Parliament","title":"Marriage (Same Sex Couples) Act 2013","URL":"https://www.legislation.gov.uk/ukpga/2013/30/enacted","accessed":{"date-parts":[["2022",11,4]]}},"label":"page","suffix":"ss1(3)-(5). It should be noted that similar provisions also apply to clergy in the disestablished Church in Wales"}],"schema":"https://github.com/citation-style-language/schema/raw/master/csl-citation.json"} </w:instrText>
      </w:r>
      <w:r>
        <w:fldChar w:fldCharType="separate"/>
      </w:r>
      <w:r>
        <w:rPr>
          <w:noProof/>
        </w:rPr>
        <w:t xml:space="preserve">Marriage (Same Sex Couples) Act 2013 ss1(3)-(5). </w:t>
      </w:r>
      <w:r w:rsidR="00CF557E">
        <w:rPr>
          <w:noProof/>
        </w:rPr>
        <w:t>S</w:t>
      </w:r>
      <w:r>
        <w:rPr>
          <w:noProof/>
        </w:rPr>
        <w:t>imilar provisions apply to clergy in the disestablished Church in Wales.</w:t>
      </w:r>
      <w:r>
        <w:fldChar w:fldCharType="end"/>
      </w:r>
    </w:p>
  </w:footnote>
  <w:footnote w:id="11">
    <w:p w14:paraId="2EF11730" w14:textId="6C7E4305" w:rsidR="00B64BBB" w:rsidRDefault="00B64BBB">
      <w:pPr>
        <w:pStyle w:val="FootnoteText"/>
      </w:pPr>
      <w:r w:rsidRPr="00444F1D">
        <w:rPr>
          <w:rStyle w:val="FootnoteReference"/>
        </w:rPr>
        <w:footnoteRef/>
      </w:r>
      <w:r>
        <w:t xml:space="preserve"> On which, see, </w:t>
      </w:r>
      <w:r>
        <w:fldChar w:fldCharType="begin"/>
      </w:r>
      <w:r>
        <w:instrText xml:space="preserve"> ADDIN ZOTERO_ITEM CSL_CITATION {"citationID":"7Jm4LyEB","properties":{"formattedCitation":"\\uc0\\u8216{}About the Campaign \\uc0\\u8211{} The Campaign For Equal Marriage in the Church of England\\uc0\\u8217{} &lt;https://cofe-equal-marriage.org.uk/about/&gt; accessed 7 November 2022.","plainCitation":"‘About the Campaign – The Campaign For Equal Marriage in the Church of England’ &lt;https://cofe-equal-marriage.org.uk/about/&gt; accessed 7 November 2022.","noteIndex":11},"citationItems":[{"id":5748,"uris":["http://zotero.org/users/10005302/items/6HRIU6L2"],"itemData":{"id":5748,"type":"webpage","title":"About the Campaign – The Campaign For Equal Marriage in the Church of England","URL":"https://cofe-equal-marriage.org.uk/about/","accessed":{"date-parts":[["2022",11,7]]}}}],"schema":"https://github.com/citation-style-language/schema/raw/master/csl-citation.json"} </w:instrText>
      </w:r>
      <w:r>
        <w:fldChar w:fldCharType="separate"/>
      </w:r>
      <w:r w:rsidRPr="00B64BBB">
        <w:rPr>
          <w:rFonts w:ascii="Calibri" w:cs="Calibri"/>
          <w:kern w:val="0"/>
        </w:rPr>
        <w:t xml:space="preserve">‘About the Campaign – The Campaign For Equal Marriage in the Church of England’ &lt;https://cofe-equal-marriage.org.uk/about/&gt; accessed </w:t>
      </w:r>
      <w:r w:rsidR="00F62B49">
        <w:rPr>
          <w:rFonts w:ascii="Calibri" w:cs="Calibri"/>
          <w:kern w:val="0"/>
        </w:rPr>
        <w:t>14 August 2023</w:t>
      </w:r>
      <w:r w:rsidRPr="00B64BBB">
        <w:rPr>
          <w:rFonts w:ascii="Calibri" w:cs="Calibri"/>
          <w:kern w:val="0"/>
        </w:rPr>
        <w:t>.</w:t>
      </w:r>
      <w:r>
        <w:fldChar w:fldCharType="end"/>
      </w:r>
    </w:p>
  </w:footnote>
  <w:footnote w:id="12">
    <w:p w14:paraId="26650A9A" w14:textId="65615AF1" w:rsidR="00B64BBB" w:rsidRDefault="00B64BBB">
      <w:pPr>
        <w:pStyle w:val="FootnoteText"/>
      </w:pPr>
      <w:r w:rsidRPr="00444F1D">
        <w:rPr>
          <w:rStyle w:val="FootnoteReference"/>
        </w:rPr>
        <w:footnoteRef/>
      </w:r>
      <w:r>
        <w:t xml:space="preserve"> </w:t>
      </w:r>
      <w:r>
        <w:fldChar w:fldCharType="begin"/>
      </w:r>
      <w:r>
        <w:instrText xml:space="preserve"> ADDIN ZOTERO_ITEM CSL_CITATION {"citationID":"CdCzbR6G","properties":{"formattedCitation":"\\uc0\\u8216{}We Will Conduct Same-Sex Marriages Say More than 1000 Clergy\\uc0\\u8217{} ({\\i{}Church Times}, 24 October 2022) &lt;https://www.churchtimes.co.uk/articles/2022/28-october/news/uk/we-will-conduct-same-sex-marriages-say-more-than-1000-clergy&gt; accessed 16 November 2022.","plainCitation":"‘We Will Conduct Same-Sex Marriages Say More than 1000 Clergy’ (Church Times, 24 October 2022) &lt;https://www.churchtimes.co.uk/articles/2022/28-october/news/uk/we-will-conduct-same-sex-marriages-say-more-than-1000-clergy&gt; accessed 16 November 2022.","noteIndex":12},"citationItems":[{"id":5754,"uris":["http://zotero.org/users/10005302/items/77C6FSYV"],"itemData":{"id":5754,"type":"webpage","abstract":"MORE than 1100 licensed priests in the Church of England have indicated that they are willing to con...","container-title":"Church Times","title":"We will conduct same-sex marriages say more than 1000 clergy","URL":"https://www.churchtimes.co.uk/articles/2022/28-october/news/uk/we-will-conduct-same-sex-marriages-say-more-than-1000-clergy","accessed":{"date-parts":[["2022",11,16]]},"issued":{"date-parts":[["2022",10,24]]}}}],"schema":"https://github.com/citation-style-language/schema/raw/master/csl-citation.json"} </w:instrText>
      </w:r>
      <w:r>
        <w:fldChar w:fldCharType="separate"/>
      </w:r>
      <w:r w:rsidRPr="00B64BBB">
        <w:rPr>
          <w:rFonts w:ascii="Calibri" w:cs="Calibri"/>
          <w:kern w:val="0"/>
        </w:rPr>
        <w:t>‘We Will Conduct Same-Sex Marriages Say More than 1000 Clergy’ (</w:t>
      </w:r>
      <w:r w:rsidRPr="00B64BBB">
        <w:rPr>
          <w:rFonts w:ascii="Calibri" w:cs="Calibri"/>
          <w:i/>
          <w:iCs/>
          <w:kern w:val="0"/>
        </w:rPr>
        <w:t>Church Times</w:t>
      </w:r>
      <w:r w:rsidRPr="00B64BBB">
        <w:rPr>
          <w:rFonts w:ascii="Calibri" w:cs="Calibri"/>
          <w:kern w:val="0"/>
        </w:rPr>
        <w:t xml:space="preserve">, 24 October 2022) &lt;https://www.churchtimes.co.uk/articles/2022/28-october/news/uk/we-will-conduct-same-sex-marriages-say-more-than-1000-clergy&gt; accessed </w:t>
      </w:r>
      <w:r w:rsidR="00F62B49">
        <w:rPr>
          <w:rFonts w:ascii="Calibri" w:cs="Calibri"/>
          <w:kern w:val="0"/>
        </w:rPr>
        <w:t>14 August 2023</w:t>
      </w:r>
      <w:r w:rsidRPr="00B64BBB">
        <w:rPr>
          <w:rFonts w:ascii="Calibri" w:cs="Calibri"/>
          <w:kern w:val="0"/>
        </w:rPr>
        <w:t>.</w:t>
      </w:r>
      <w:r>
        <w:fldChar w:fldCharType="end"/>
      </w:r>
    </w:p>
  </w:footnote>
  <w:footnote w:id="13">
    <w:p w14:paraId="2BC68AE6" w14:textId="4A694FA1" w:rsidR="00AB4AA1" w:rsidRDefault="00AB4AA1">
      <w:pPr>
        <w:pStyle w:val="FootnoteText"/>
      </w:pPr>
      <w:r w:rsidRPr="00444F1D">
        <w:rPr>
          <w:rStyle w:val="FootnoteReference"/>
        </w:rPr>
        <w:footnoteRef/>
      </w:r>
      <w:r>
        <w:t xml:space="preserve"> </w:t>
      </w:r>
      <w:r>
        <w:fldChar w:fldCharType="begin"/>
      </w:r>
      <w:r w:rsidR="005F3319">
        <w:instrText xml:space="preserve"> ADDIN ZOTERO_ITEM CSL_CITATION {"citationID":"etwHbmAO","properties":{"formattedCitation":"\\uc0\\u8216{}The Lambeth Conference Resolution Archive from 1998\\uc0\\u8217{} ({\\i{}Anglican Communion Office}, 2005) &lt;https://www.anglicancommunion.org/media/76650/1998.pdf&gt; accessed 16 November 2022.","plainCitation":"‘The Lambeth Conference Resolution Archive from 1998’ (Anglican Communion Office, 2005) &lt;https://www.anglicancommunion.org/media/76650/1998.pdf&gt; accessed 16 November 2022.","dontUpdate":true,"noteIndex":13},"citationItems":[{"id":5760,"uris":["http://zotero.org/users/10005302/items/ZFHQD9GI"],"itemData":{"id":5760,"type":"webpage","container-title":"Anglican Communion Office","language":"en","title":"The Lambeth Conference Resolution Archive from 1998","URL":"https://www.anglicancommunion.org/media/76650/1998.pdf","accessed":{"date-parts":[["2022",11,16]]},"issued":{"date-parts":[["2005"]]}}}],"schema":"https://github.com/citation-style-language/schema/raw/master/csl-citation.json"} </w:instrText>
      </w:r>
      <w:r>
        <w:fldChar w:fldCharType="separate"/>
      </w:r>
      <w:r w:rsidRPr="00AB4AA1">
        <w:rPr>
          <w:rFonts w:ascii="Calibri" w:cs="Calibri"/>
          <w:kern w:val="0"/>
        </w:rPr>
        <w:t>‘The Lambeth Conference Resolution Archive from 1998’ (</w:t>
      </w:r>
      <w:r w:rsidRPr="000B3771">
        <w:rPr>
          <w:rFonts w:ascii="Calibri" w:cs="Calibri"/>
          <w:kern w:val="0"/>
        </w:rPr>
        <w:t>Anglican Communion Office</w:t>
      </w:r>
      <w:r w:rsidRPr="00AB4AA1">
        <w:rPr>
          <w:rFonts w:ascii="Calibri" w:cs="Calibri"/>
          <w:kern w:val="0"/>
        </w:rPr>
        <w:t xml:space="preserve">, 2005) </w:t>
      </w:r>
      <w:r w:rsidR="00A44D87">
        <w:rPr>
          <w:rFonts w:ascii="Calibri" w:cs="Calibri"/>
          <w:kern w:val="0"/>
        </w:rPr>
        <w:t>I</w:t>
      </w:r>
      <w:r>
        <w:rPr>
          <w:rFonts w:ascii="Calibri" w:cs="Calibri"/>
          <w:kern w:val="0"/>
        </w:rPr>
        <w:t xml:space="preserve">.10(d) and </w:t>
      </w:r>
      <w:r w:rsidR="00A44D87">
        <w:rPr>
          <w:rFonts w:ascii="Calibri" w:cs="Calibri"/>
          <w:kern w:val="0"/>
        </w:rPr>
        <w:t>I</w:t>
      </w:r>
      <w:r>
        <w:rPr>
          <w:rFonts w:ascii="Calibri" w:cs="Calibri"/>
          <w:kern w:val="0"/>
        </w:rPr>
        <w:t xml:space="preserve">.10(e) </w:t>
      </w:r>
      <w:r w:rsidRPr="00AB4AA1">
        <w:rPr>
          <w:rFonts w:ascii="Calibri" w:cs="Calibri"/>
          <w:kern w:val="0"/>
        </w:rPr>
        <w:t xml:space="preserve">&lt;https://www.anglicancommunion.org/media/76650/1998.pdf&gt; accessed </w:t>
      </w:r>
      <w:r w:rsidR="00F62B49">
        <w:rPr>
          <w:rFonts w:ascii="Calibri" w:cs="Calibri"/>
          <w:kern w:val="0"/>
        </w:rPr>
        <w:t>14 August 2023</w:t>
      </w:r>
      <w:r w:rsidRPr="00AB4AA1">
        <w:rPr>
          <w:rFonts w:ascii="Calibri" w:cs="Calibri"/>
          <w:kern w:val="0"/>
        </w:rPr>
        <w:t>.</w:t>
      </w:r>
      <w:r>
        <w:fldChar w:fldCharType="end"/>
      </w:r>
    </w:p>
  </w:footnote>
  <w:footnote w:id="14">
    <w:p w14:paraId="6DD785C4" w14:textId="5143D7F9" w:rsidR="00A44D87" w:rsidRDefault="00A44D87">
      <w:pPr>
        <w:pStyle w:val="FootnoteText"/>
      </w:pPr>
      <w:r w:rsidRPr="00444F1D">
        <w:rPr>
          <w:rStyle w:val="FootnoteReference"/>
        </w:rPr>
        <w:footnoteRef/>
      </w:r>
      <w:r>
        <w:t xml:space="preserve"> </w:t>
      </w:r>
      <w:r>
        <w:fldChar w:fldCharType="begin"/>
      </w:r>
      <w:r>
        <w:instrText xml:space="preserve"> ADDIN ZOTERO_ITEM CSL_CITATION {"citationID":"fXTG99YI","properties":{"formattedCitation":"\\uc0\\u8216{}Lambeth 2022: Resolution 1.10 Is Still Valid, Archbishop of Canterbury Tells Bishops\\uc0\\u8217{} ({\\i{}Church Times}, 2 August 2022) &lt;https://www.churchtimes.co.uk/articles/2022/5-august/news/world/lambeth-2022-resolution-110-is-still-valid-archbishop-of-canterbury-tells-bishops&gt; accessed 16 November 2022.","plainCitation":"‘Lambeth 2022: Resolution 1.10 Is Still Valid, Archbishop of Canterbury Tells Bishops’ (Church Times, 2 August 2022) &lt;https://www.churchtimes.co.uk/articles/2022/5-august/news/world/lambeth-2022-resolution-110-is-still-valid-archbishop-of-canterbury-tells-bishops&gt; accessed 16 November 2022.","noteIndex":14},"citationItems":[{"id":5758,"uris":["http://zotero.org/users/10005302/items/8WBXMSLM"],"itemData":{"id":5758,"type":"webpage","abstract":"THE “validity” of Resolution 1.10 from the 1998 Lambeth Conference — which affirmed that marriage wa...","container-title":"Church Times","title":"Lambeth 2022: Resolution 1.10 is still valid, Archbishop of Canterbury tells bishops","title-short":"Lambeth 2022","URL":"https://www.churchtimes.co.uk/articles/2022/5-august/news/world/lambeth-2022-resolution-110-is-still-valid-archbishop-of-canterbury-tells-bishops","accessed":{"date-parts":[["2022",11,16]]},"issued":{"date-parts":[["2022",8,2]]}}}],"schema":"https://github.com/citation-style-language/schema/raw/master/csl-citation.json"} </w:instrText>
      </w:r>
      <w:r>
        <w:fldChar w:fldCharType="separate"/>
      </w:r>
      <w:r w:rsidRPr="00A44D87">
        <w:rPr>
          <w:rFonts w:ascii="Calibri" w:cs="Calibri"/>
          <w:kern w:val="0"/>
        </w:rPr>
        <w:t>‘Lambeth 2022: Resolution 1.10 Is Still Valid, Archbishop of Canterbury Tells Bishops’ (</w:t>
      </w:r>
      <w:r w:rsidRPr="00A44D87">
        <w:rPr>
          <w:rFonts w:ascii="Calibri" w:cs="Calibri"/>
          <w:i/>
          <w:iCs/>
          <w:kern w:val="0"/>
        </w:rPr>
        <w:t>Church Times</w:t>
      </w:r>
      <w:r w:rsidRPr="00A44D87">
        <w:rPr>
          <w:rFonts w:ascii="Calibri" w:cs="Calibri"/>
          <w:kern w:val="0"/>
        </w:rPr>
        <w:t>, 2 August 2022) &lt;https://www.churchtimes.co.uk/articles/2022/5-august/news/world/lambeth-2022-resolution-110-is-still-valid-archbishop-of-canterbury-tells-bishops&gt; accessed 1</w:t>
      </w:r>
      <w:r w:rsidR="00F62B49">
        <w:rPr>
          <w:rFonts w:ascii="Calibri" w:cs="Calibri"/>
          <w:kern w:val="0"/>
        </w:rPr>
        <w:t>4 August 2023</w:t>
      </w:r>
      <w:r w:rsidRPr="00A44D87">
        <w:rPr>
          <w:rFonts w:ascii="Calibri" w:cs="Calibri"/>
          <w:kern w:val="0"/>
        </w:rPr>
        <w:t>.</w:t>
      </w:r>
      <w:r>
        <w:fldChar w:fldCharType="end"/>
      </w:r>
    </w:p>
  </w:footnote>
  <w:footnote w:id="15">
    <w:p w14:paraId="484C8F5D" w14:textId="6B207684" w:rsidR="00970CEE" w:rsidRDefault="00970CEE">
      <w:pPr>
        <w:pStyle w:val="FootnoteText"/>
      </w:pPr>
      <w:r w:rsidRPr="00444F1D">
        <w:rPr>
          <w:rStyle w:val="FootnoteReference"/>
        </w:rPr>
        <w:footnoteRef/>
      </w:r>
      <w:r>
        <w:t xml:space="preserve"> </w:t>
      </w:r>
      <w:r w:rsidR="00F62B49">
        <w:t>See,</w:t>
      </w:r>
      <w:r w:rsidR="00B1055D">
        <w:t xml:space="preserve"> generally,</w:t>
      </w:r>
      <w:r w:rsidR="00F62B49">
        <w:t xml:space="preserve"> </w:t>
      </w:r>
      <w:r>
        <w:fldChar w:fldCharType="begin"/>
      </w:r>
      <w:r>
        <w:instrText xml:space="preserve"> ADDIN ZOTERO_ITEM CSL_CITATION {"citationID":"dnrJIT7U","properties":{"formattedCitation":"General Synod, \\uc0\\u8216{}Report of Proceedings 2023\\uc0\\u8217{} ss 141\\uc0\\u8211{}154 &lt;https://www.churchofengland.org/sites/default/files/2023-05/Group%20of%20Sessions%20-%206-9%20February%202023.pdf&gt; accessed 16 June 2023.","plainCitation":"General Synod, ‘Report of Proceedings 2023’ ss 141–154 &lt;https://www.churchofengland.org/sites/default/files/2023-05/Group%20of%20Sessions%20-%206-9%20February%202023.pdf&gt; accessed 16 June 2023.","noteIndex":15},"citationItems":[{"id":6089,"uris":["http://zotero.org/users/10005302/items/ZRZZSBQA"],"itemData":{"id":6089,"type":"document","publisher":"Church of England","title":"Report of Proceedings 2023","URL":"https://www.churchofengland.org/sites/default/files/2023-05/Group%20of%20Sessions%20-%206-9%20February%202023.pdf","author":[{"literal":"General Synod"}],"accessed":{"date-parts":[["2023",6,16]]},"issued":{"date-parts":[["2023",2,9]]}},"locator":"141-154","label":"section"}],"schema":"https://github.com/citation-style-language/schema/raw/master/csl-citation.json"} </w:instrText>
      </w:r>
      <w:r>
        <w:fldChar w:fldCharType="separate"/>
      </w:r>
      <w:r w:rsidRPr="00970CEE">
        <w:rPr>
          <w:rFonts w:ascii="Calibri" w:cs="Calibri"/>
          <w:kern w:val="0"/>
        </w:rPr>
        <w:t xml:space="preserve">General Synod, ‘Report of Proceedings 2023’ </w:t>
      </w:r>
      <w:r w:rsidR="00F62B49">
        <w:rPr>
          <w:rFonts w:ascii="Calibri" w:cs="Calibri"/>
          <w:kern w:val="0"/>
        </w:rPr>
        <w:t>&lt;</w:t>
      </w:r>
      <w:r w:rsidR="00F62B49" w:rsidRPr="00F62B49">
        <w:rPr>
          <w:rFonts w:ascii="Calibri" w:cs="Calibri"/>
          <w:kern w:val="0"/>
        </w:rPr>
        <w:t>https://www.churchofengland.org/sites/default/files/2023-06/updated-report-of-proceedings-feb-2023.pdf</w:t>
      </w:r>
      <w:r w:rsidR="00F62B49">
        <w:rPr>
          <w:rFonts w:ascii="Calibri" w:cs="Calibri"/>
          <w:kern w:val="0"/>
        </w:rPr>
        <w:t>&gt; accessed 14 August 2023</w:t>
      </w:r>
      <w:r w:rsidRPr="00970CEE">
        <w:rPr>
          <w:rFonts w:ascii="Calibri" w:cs="Calibri"/>
          <w:kern w:val="0"/>
        </w:rPr>
        <w:t>.</w:t>
      </w:r>
      <w:r>
        <w:fldChar w:fldCharType="end"/>
      </w:r>
    </w:p>
  </w:footnote>
  <w:footnote w:id="16">
    <w:p w14:paraId="1446064E" w14:textId="2674F2C1" w:rsidR="009B7B71" w:rsidRDefault="009B7B71">
      <w:pPr>
        <w:pStyle w:val="FootnoteText"/>
      </w:pPr>
      <w:r w:rsidRPr="00444F1D">
        <w:rPr>
          <w:rStyle w:val="FootnoteReference"/>
        </w:rPr>
        <w:footnoteRef/>
      </w:r>
      <w:r>
        <w:t xml:space="preserve"> </w:t>
      </w:r>
      <w:r>
        <w:fldChar w:fldCharType="begin"/>
      </w:r>
      <w:r w:rsidR="00161087">
        <w:instrText xml:space="preserve"> ADDIN ZOTERO_ITEM CSL_CITATION {"citationID":"RMUoOU8t","properties":{"formattedCitation":"Sarah Beresford, \\uc0\\u8216{}We\\uc0\\u8217{}re All Same (Sex) Now?: Lesbian (Same) Sex; Consummation; Adultery and Marriage\\uc0\\u8217{} (2016) 12 Journal of GLBT Family Studies 468; Fergus Ryan, \\uc0\\u8216{}Repackaged Goods?: Interrogating the Heteronormative Underpinnings of Marriage\\uc0\\u8217{} in Frances Hamilton and Guido Noto La Diega (eds), {\\i{}Same-Sex Relationships, Law and Social Change} (Routledge 2020); Alexander Maine, \\uc0\\u8216{}Queering Marriage: The Homoradical and Anti-Normativity\\uc0\\u8217{} (2022) 11 Laws.","plainCitation":"Sarah Beresford, ‘We’re All Same (Sex) Now?: Lesbian (Same) Sex; Consummation; Adultery and Marriage’ (2016) 12 Journal of GLBT Family Studies 468; Fergus Ryan, ‘Repackaged Goods?: Interrogating the Heteronormative Underpinnings of Marriage’ in Frances Hamilton and Guido Noto La Diega (eds), Same-Sex Relationships, Law and Social Change (Routledge 2020); Alexander Maine, ‘Queering Marriage: The Homoradical and Anti-Normativity’ (2022) 11 Laws.","noteIndex":16},"citationItems":[{"id":5485,"uris":["http://zotero.org/users/10005302/items/HP4JWD9X"],"itemData":{"id":5485,"type":"article-journal","container-title":"Journal of GLBT Family Studies","DOI":"10.1080/1550428X.2015.1104273","issue":"5","page":"468-490","title":"We're All Same (Sex) Now?: Lesbian (Same) Sex; Consummation; Adultery and Marriage","volume":"12","author":[{"family":"Beresford","given":"Sarah"}],"issued":{"date-parts":[["2016"]]}}},{"id":5761,"uris":["http://zotero.org/users/10005302/items/UZD5QQ8I"],"itemData":{"id":5761,"type":"chapter","abstract":"This chapter examines the implications of the extension of marriage to same-sex couples, focussing particularly on sex and sexuality. The Thirty-fourth Amendment to the Constitution of Ireland and the Marriage Act 2015 removed the former barriers to the marriage of same-sex couples in the Republic of Ireland. Since November 2015, same-sex couples may marry on the same basis as opposite-sex couples. Nonetheless, the Marriage Act is silent on the topics of adultery and consummation, both of which involve engaging in heterosexual sexual intercourse. Likewise, precedent in Ireland suggests that an opposite-sex marriage involving a gay spouse may be voidable under a ground of annulment relating to incapacity to form and sustain a normal marital relationship. These laws and precedents reflect the fundamentally heteronormative underpinnings of marriage, and suggest that some further interrogation of the sexual dimensions of marriage law is required in order to address the new reality of equal marriage.","container-title":"Same-Sex Relationships, Law and Social Change","ISBN":"978-0-429-02158-9","note":"number-of-pages: 20","publisher":"Routledge","title":"Repackaged goods?: Interrogating the heteronormative underpinnings of marriage","title-short":"Repackaged goods?","author":[{"family":"Ryan","given":"Fergus"}],"editor":[{"family":"Hamilton","given":"Frances"},{"family":"Noto La Diega","given":"Guido"}],"issued":{"date-parts":[["2020"]]}}},{"id":5561,"uris":["http://zotero.org/users/10005302/items/TSCCKXG7"],"itemData":{"id":5561,"type":"article-journal","abstract":"This article explores ‘bad’ sex in an age of same-sex marriage, through an analysis of the ‘homoradical’ as a rejection of both hetero and homo-normativities. Drawing on qualitative data from 29 LGBTQ interviewees, the article considers resistance to the discursive privileging of same-sex marriage in the context of Gayle Rubin’s theories of respectability and sexual hierarchies. These hierarchies constitute a ‘charmed circle’ of accepted sexual practices which are traditionally justiﬁed by marriage, procreation and/or love. It examines non-normative sexuality through the example of the lived experiences of non-normative, anti-assimilationist identities, particularly non-monogamy, public sex, and kink sex, showing how the ‘homoradical’ deviates from the normative practices that same-sex marriage reinforces.","container-title":"Laws","issue":"1","language":"en","source":"Zotero","title":"Queering Marriage: The Homoradical and Anti-Normativity","volume":"11","author":[{"family":"Maine","given":"Alexander"}],"issued":{"date-parts":[["2022"]]}}}],"schema":"https://github.com/citation-style-language/schema/raw/master/csl-citation.json"} </w:instrText>
      </w:r>
      <w:r>
        <w:fldChar w:fldCharType="separate"/>
      </w:r>
      <w:r w:rsidRPr="009B7B71">
        <w:rPr>
          <w:rFonts w:ascii="Calibri" w:cs="Calibri"/>
          <w:kern w:val="0"/>
        </w:rPr>
        <w:t xml:space="preserve">Sarah Beresford, ‘We’re All Same (Sex) Now?: Lesbian (Same) Sex; Consummation; Adultery and Marriage’ (2016) 12 Journal of GLBT Family Studies 468; Fergus Ryan, ‘Repackaged Goods?: Interrogating the Heteronormative Underpinnings of Marriage’ in Frances Hamilton and Guido Noto La Diega (eds), </w:t>
      </w:r>
      <w:r w:rsidRPr="009B7B71">
        <w:rPr>
          <w:rFonts w:ascii="Calibri" w:cs="Calibri"/>
          <w:i/>
          <w:iCs/>
          <w:kern w:val="0"/>
        </w:rPr>
        <w:t>Same-Sex Relationships, Law and Social Change</w:t>
      </w:r>
      <w:r w:rsidRPr="009B7B71">
        <w:rPr>
          <w:rFonts w:ascii="Calibri" w:cs="Calibri"/>
          <w:kern w:val="0"/>
        </w:rPr>
        <w:t xml:space="preserve"> (Routledge 2020); Alexander Maine, ‘Queering Marriage: The </w:t>
      </w:r>
      <w:proofErr w:type="spellStart"/>
      <w:r w:rsidRPr="009B7B71">
        <w:rPr>
          <w:rFonts w:ascii="Calibri" w:cs="Calibri"/>
          <w:kern w:val="0"/>
        </w:rPr>
        <w:t>Homoradical</w:t>
      </w:r>
      <w:proofErr w:type="spellEnd"/>
      <w:r w:rsidRPr="009B7B71">
        <w:rPr>
          <w:rFonts w:ascii="Calibri" w:cs="Calibri"/>
          <w:kern w:val="0"/>
        </w:rPr>
        <w:t xml:space="preserve"> and Anti-Normativity’ (2022) 11 Laws.</w:t>
      </w:r>
      <w:r>
        <w:fldChar w:fldCharType="end"/>
      </w:r>
    </w:p>
  </w:footnote>
  <w:footnote w:id="17">
    <w:p w14:paraId="00F1BCDE" w14:textId="58749770" w:rsidR="002F043D" w:rsidRDefault="002F043D">
      <w:pPr>
        <w:pStyle w:val="FootnoteText"/>
      </w:pPr>
      <w:r w:rsidRPr="00444F1D">
        <w:rPr>
          <w:rStyle w:val="FootnoteReference"/>
        </w:rPr>
        <w:footnoteRef/>
      </w:r>
      <w:r>
        <w:t xml:space="preserve"> </w:t>
      </w:r>
      <w:r>
        <w:fldChar w:fldCharType="begin"/>
      </w:r>
      <w:r w:rsidR="008A2231">
        <w:instrText xml:space="preserve"> ADDIN ZOTERO_ITEM CSL_CITATION {"citationID":"D0RPPu3x","properties":{"formattedCitation":"For further discussion of the connections between criminal law and religion-driven sexual ethics, in the context of abortion regulation, see, Ngaire Naffine, {\\i{}Criminal Law and the Man Problem} (Bloomsbury Publishing 2019) 79\\uc0\\u8211{}80.","plainCitation":"For further discussion of the connections between criminal law and religion-driven sexual ethics, in the context of abortion regulation, see, Ngaire Naffine, Criminal Law and the Man Problem (Bloomsbury Publishing 2019) 79–80.","dontUpdate":true,"noteIndex":17},"citationItems":[{"id":5888,"uris":["http://zotero.org/users/10005302/items/PT6YMLFM"],"itemData":{"id":5888,"type":"book","call-number":"K349 .N34 2019","event-place":"Oxford","ISBN":"978-1-5099-1801-0","number-of-pages":"205","publisher":"Bloomsbury Publishing","publisher-place":"Oxford","source":"Library of Congress ISBN","title":"Criminal law and the man problem","author":[{"family":"Naffine","given":"Ngaire"}],"issued":{"date-parts":[["2019"]]}},"locator":"79-80","label":"page","prefix":"For further discussion of the connections between criminal law and religion-driven sexual ethics, in the context of abortion regulation, see, "}],"schema":"https://github.com/citation-style-language/schema/raw/master/csl-citation.json"} </w:instrText>
      </w:r>
      <w:r>
        <w:fldChar w:fldCharType="separate"/>
      </w:r>
      <w:r w:rsidRPr="002F043D">
        <w:rPr>
          <w:rFonts w:ascii="Calibri" w:cs="Calibri"/>
          <w:kern w:val="0"/>
        </w:rPr>
        <w:t xml:space="preserve">For further discussion </w:t>
      </w:r>
      <w:r w:rsidR="00AE30A4">
        <w:rPr>
          <w:rFonts w:ascii="Calibri" w:cs="Calibri"/>
          <w:kern w:val="0"/>
        </w:rPr>
        <w:t>on</w:t>
      </w:r>
      <w:r w:rsidRPr="002F043D">
        <w:rPr>
          <w:rFonts w:ascii="Calibri" w:cs="Calibri"/>
          <w:kern w:val="0"/>
        </w:rPr>
        <w:t xml:space="preserve"> criminal law and religion-driven sexual ethics, in the context of abortion regulation, see, Ngaire </w:t>
      </w:r>
      <w:proofErr w:type="spellStart"/>
      <w:r w:rsidRPr="002F043D">
        <w:rPr>
          <w:rFonts w:ascii="Calibri" w:cs="Calibri"/>
          <w:kern w:val="0"/>
        </w:rPr>
        <w:t>Naffine</w:t>
      </w:r>
      <w:proofErr w:type="spellEnd"/>
      <w:r w:rsidRPr="002F043D">
        <w:rPr>
          <w:rFonts w:ascii="Calibri" w:cs="Calibri"/>
          <w:kern w:val="0"/>
        </w:rPr>
        <w:t xml:space="preserve">, </w:t>
      </w:r>
      <w:r w:rsidRPr="002F043D">
        <w:rPr>
          <w:rFonts w:ascii="Calibri" w:cs="Calibri"/>
          <w:i/>
          <w:iCs/>
          <w:kern w:val="0"/>
        </w:rPr>
        <w:t>Criminal Law and the Man Problem</w:t>
      </w:r>
      <w:r w:rsidRPr="002F043D">
        <w:rPr>
          <w:rFonts w:ascii="Calibri" w:cs="Calibri"/>
          <w:kern w:val="0"/>
        </w:rPr>
        <w:t xml:space="preserve"> (Bloomsbury Publishing 2019) 79–80.</w:t>
      </w:r>
      <w:r>
        <w:fldChar w:fldCharType="end"/>
      </w:r>
    </w:p>
  </w:footnote>
  <w:footnote w:id="18">
    <w:p w14:paraId="3F445A38" w14:textId="5464A064" w:rsidR="002F043D" w:rsidRDefault="002F043D">
      <w:pPr>
        <w:pStyle w:val="FootnoteText"/>
      </w:pPr>
      <w:r w:rsidRPr="00444F1D">
        <w:rPr>
          <w:rStyle w:val="FootnoteReference"/>
        </w:rPr>
        <w:footnoteRef/>
      </w:r>
      <w:r>
        <w:t xml:space="preserve"> </w:t>
      </w:r>
      <w:r>
        <w:fldChar w:fldCharType="begin"/>
      </w:r>
      <w:r w:rsidR="008A2231">
        <w:instrText xml:space="preserve"> ADDIN ZOTERO_ITEM CSL_CITATION {"citationID":"oG3UBAWs","properties":{"formattedCitation":"As well as potenitally in other jurisdictions, such as the US. For an example of recent developments in this area, see, \\uc0\\u8216{}Senators Move Forward on Bipartisan Respect for Marriage Act With Protections For Religious Liberties\\uc0\\u8217{} ({\\i{}Senator Rob Portman}, 14 November 2022) &lt;https://www.portman.senate.gov/index.php/newsroom/press-releases/senators-move-forward-bipartisan-respect-marriage-act-protections-religious&gt; accessed 16 November 2022.","plainCitation":"As well as potenitally in other jurisdictions, such as the US. For an example of recent developments in this area, see, ‘Senators Move Forward on Bipartisan Respect for Marriage Act With Protections For Religious Liberties’ (Senator Rob Portman, 14 November 2022) &lt;https://www.portman.senate.gov/index.php/newsroom/press-releases/senators-move-forward-bipartisan-respect-marriage-act-protections-religious&gt; accessed 16 November 2022.","dontUpdate":true,"noteIndex":18},"citationItems":[{"id":5755,"uris":["http://zotero.org/users/10005302/items/PTGXJFDG"],"itemData":{"id":5755,"type":"webpage","abstract":"WASHINGTON, D.C. – Today, U.S. Senators Rob Portman (R-OH), Tammy Baldwin (D-WI), Susan Collins (R-ME), Kyrsten Sinema (D-AZ), and Thom Tillis (R-NC) released the following statement on moving forward with the Respect for Marriage Act:\n\n“The Respect for Marriage Act is a needed step to provide millions of loving couples in same-sex and interracial marriages the certainty that they will continue to enjoy the freedoms, rights, and responsibilities afforded to all other marriages. Through bipartisan collaboration, we’ve crafted commonsense language to confirm that this legislation fully respects and protects Americans’ religious liberties and diverse beliefs, while leaving intact the core mission of the legislation to protect marriage equality. We look forward to this legislation coming to the floor and are confident that this amendment has helped earn the broad, bipartisan support needed to pass our commonsense legislation into law.”\n\nThe Senators’ bipartisan amendment:\n\n\n\tProtects all religious liberty and conscience protections available under the Constitution or Federal law, including but not limited to the Religious Freedom Restoration Act, and prevents this bill from being used to diminish or repeal any such protection.\n\tConfirms that non-profit religious organizations will not be required to provide any services, facilities, or goods for the solemnization or celebration of a marriage.\n\tGuarantees that this bill may not be used to deny or alter any benefit, right, or status of an otherwise eligible person or entity – including tax-exempt status, tax treatment, grants, contracts, agreements, guarantees, educational funding, loans, scholarships, licenses, certifications, accreditations, claims, or defenses – provided that the benefit, right, or status does not arise from a marriage. For instance, a church, university, or other nonprofit’s eligibility for tax-exempt status is unrelated to marriage, so its status would not be affected by this legislation.\n\tMakes clear that the bill does not require or authorize the Federal government to recognize polygamous marriages.\n\tRecognizes the importance of marriage, acknowledges that diverse beliefs and the people who hold them are due respect, and affirms that couples, including same-sex and interracial couples, deserve the dignity, stability, and ongoing protection of marriage.\n\n\nThe Respect for Marriage Act is a narrow but important bill that would do two primary things:\n\n\n\tFirst, it would require the federal government to recognize a marriage between two individuals if the marriage was valid in the state where it was performed. \n\tSecond, the bill would guarantee that valid marriages between two individuals are given full faith and credit, regardless of the couple’s sex, race, ethnicity, or national origin, but the bill would not require a State to issue a marriage license contrary to state law.\n\n\nA one-pager on the amendment is available here and full text is available here.\n \n\n###","container-title":"Senator Rob Portman","language":"en","title":"Senators Move Forward on Bipartisan Respect for Marriage Act With Protections For Religious Liberties","URL":"https://www.portman.senate.gov/index.php/newsroom/press-releases/senators-move-forward-bipartisan-respect-marriage-act-protections-religious","accessed":{"date-parts":[["2022",11,16]]},"issued":{"date-parts":[["2022",11,14]]}},"label":"page","prefix":"As well as potenitally in other jurisdictions, such as the US. For an example of recent developments in this area, see,"}],"schema":"https://github.com/citation-style-language/schema/raw/master/csl-citation.json"} </w:instrText>
      </w:r>
      <w:r>
        <w:fldChar w:fldCharType="separate"/>
      </w:r>
      <w:r w:rsidR="00354783">
        <w:rPr>
          <w:rFonts w:ascii="Calibri" w:cs="Calibri"/>
          <w:kern w:val="0"/>
        </w:rPr>
        <w:t>As well as, potentially, other jurisdictions</w:t>
      </w:r>
      <w:r w:rsidR="0093215E">
        <w:rPr>
          <w:rFonts w:ascii="Calibri" w:cs="Calibri"/>
          <w:kern w:val="0"/>
        </w:rPr>
        <w:t>, such as the</w:t>
      </w:r>
      <w:r w:rsidR="00354783">
        <w:rPr>
          <w:rFonts w:ascii="Calibri" w:cs="Calibri"/>
          <w:kern w:val="0"/>
        </w:rPr>
        <w:t xml:space="preserve"> US, which has seen recent developments including the Respect for Marriage Act of 2022, Pub. L. </w:t>
      </w:r>
      <w:r w:rsidR="00F03E84">
        <w:rPr>
          <w:rFonts w:ascii="Calibri" w:cs="Calibri"/>
          <w:kern w:val="0"/>
        </w:rPr>
        <w:t>No 117-228</w:t>
      </w:r>
      <w:r w:rsidRPr="002F043D">
        <w:rPr>
          <w:rFonts w:ascii="Calibri" w:cs="Calibri"/>
          <w:kern w:val="0"/>
        </w:rPr>
        <w:t>.</w:t>
      </w:r>
      <w:r>
        <w:fldChar w:fldCharType="end"/>
      </w:r>
    </w:p>
  </w:footnote>
  <w:footnote w:id="19">
    <w:p w14:paraId="5FA4B302" w14:textId="1C1F8AE1" w:rsidR="009B7B71" w:rsidRDefault="009B7B71">
      <w:pPr>
        <w:pStyle w:val="FootnoteText"/>
      </w:pPr>
      <w:r w:rsidRPr="00444F1D">
        <w:rPr>
          <w:rStyle w:val="FootnoteReference"/>
        </w:rPr>
        <w:footnoteRef/>
      </w:r>
      <w:r>
        <w:t xml:space="preserve"> </w:t>
      </w:r>
      <w:r>
        <w:fldChar w:fldCharType="begin"/>
      </w:r>
      <w:r w:rsidR="008A2231">
        <w:instrText xml:space="preserve"> ADDIN ZOTERO_ITEM CSL_CITATION {"citationID":"S354eUpP","properties":{"formattedCitation":"{\\i{}R v Dica} (n 7); {\\i{}R v Jason Lawrance} (n 9).","plainCitation":"R v Dica (n 7); R v Jason Lawrance (n 9).","dontUpdate":true,"noteIndex":19},"citationItems":[{"id":652,"uris":["http://zotero.org/users/10005302/items/JCKHDVYU"],"itemData":{"id":652,"type":"legal_case","note":"container-title: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id":4684,"uris":["http://zotero.org/users/10005302/items/KQ8W7G65"],"itemData":{"id":4684,"type":"legal_case","note":"container-title: EWCA Crim","page":"971","title":"R v Jason Lawrance","issued":{"date-parts":[["2020"]]}}}],"schema":"https://github.com/citation-style-language/schema/raw/master/csl-citation.json"} </w:instrText>
      </w:r>
      <w:r>
        <w:fldChar w:fldCharType="separate"/>
      </w:r>
      <w:proofErr w:type="spellStart"/>
      <w:r w:rsidRPr="009B7B71">
        <w:rPr>
          <w:rFonts w:ascii="Calibri" w:cs="Calibri"/>
          <w:i/>
          <w:iCs/>
          <w:kern w:val="0"/>
        </w:rPr>
        <w:t>Dica</w:t>
      </w:r>
      <w:proofErr w:type="spellEnd"/>
      <w:r w:rsidRPr="009B7B71">
        <w:rPr>
          <w:rFonts w:ascii="Calibri" w:cs="Calibri"/>
          <w:kern w:val="0"/>
        </w:rPr>
        <w:t xml:space="preserve"> (n 7); </w:t>
      </w:r>
      <w:r w:rsidRPr="009B7B71">
        <w:rPr>
          <w:rFonts w:ascii="Calibri" w:cs="Calibri"/>
          <w:i/>
          <w:iCs/>
          <w:kern w:val="0"/>
        </w:rPr>
        <w:t>Lawrance</w:t>
      </w:r>
      <w:r w:rsidRPr="009B7B71">
        <w:rPr>
          <w:rFonts w:ascii="Calibri" w:cs="Calibri"/>
          <w:kern w:val="0"/>
        </w:rPr>
        <w:t xml:space="preserve"> (n 9).</w:t>
      </w:r>
      <w:r>
        <w:fldChar w:fldCharType="end"/>
      </w:r>
    </w:p>
  </w:footnote>
  <w:footnote w:id="20">
    <w:p w14:paraId="118108A3" w14:textId="52551CA6" w:rsidR="002F043D" w:rsidRDefault="002F043D">
      <w:pPr>
        <w:pStyle w:val="FootnoteText"/>
      </w:pPr>
      <w:r w:rsidRPr="00444F1D">
        <w:rPr>
          <w:rStyle w:val="FootnoteReference"/>
        </w:rPr>
        <w:footnoteRef/>
      </w:r>
      <w:r>
        <w:t xml:space="preserve"> </w:t>
      </w:r>
      <w:r>
        <w:fldChar w:fldCharType="begin"/>
      </w:r>
      <w:r w:rsidR="00970CEE">
        <w:instrText xml:space="preserve"> ADDIN ZOTERO_ITEM CSL_CITATION {"citationID":"8gBxSbC1","properties":{"formattedCitation":"Today, such a case would see a markedly different approach: see, generally, {\\i{}P  v P (Transgender Applicant for Declaration of Valid Marriage)} [2019] EWHC 05 (Fam).","plainCitation":"Today, such a case would see a markedly different approach: see, generally, P  v P (Transgender Applicant for Declaration of Valid Marriage) [2019] EWHC 05 (Fam).","noteIndex":20},"citationItems":[{"id":5647,"uris":["http://zotero.org/users/10005302/items/LYERDNTB"],"itemData":{"id":5647,"type":"legal_case","authority":"Fam","container-title":"EWHC","language":"en-GB","page":"05","title":"P  v P (Transgender Applicant for Declaration of Valid Marriage)","title-short":"P  v P (Transgender Applicant for Declaration of Valid Marriage)Also known as","URL":"http://uk.practicallaw.thomsonreuters.com/Document/I0D54E8900BA111EAAB5D90C18626E104/View/FullText.html?navigationPath=Search%2Fv1%2Fresults%2Fnavigation%2Fi0ad7403600000183798ecf9a2daf7fb9%3Fppcid%3D97eb0c7fb40349059ea27c4e6d9c91c9%26Nav%3DUK-CASES%26fragmentIdentifier%3DI0D54E8900BA111EAAB5D90C18626E104%26parentRank%3D0%26startIndex%3D1%26contextData%3D%2528sc.Search%2529%26transitionType%3DSearchItem&amp;listSource=Search&amp;listPageSource=54ae7ab2cc4c404134aa6778920ac36b&amp;list=UK-CASES&amp;rank=1&amp;sessionScopeId=56e24af98e4fce33bb56045c934fe14862bdc3319a89f4184a1f80bd2a99add3&amp;ppcid=97eb0c7fb40349059ea27c4e6d9c91c9&amp;originationContext=Search%20Result&amp;transitionType=SearchItem&amp;contextData=(sc.Search)&amp;comp=wluk","accessed":{"date-parts":[["2022",9,26]]},"issued":{"date-parts":[["2019"]]}},"label":"page","prefix":"Today, such a case would see a markedly different approach: see, generally, "}],"schema":"https://github.com/citation-style-language/schema/raw/master/csl-citation.json"} </w:instrText>
      </w:r>
      <w:r>
        <w:fldChar w:fldCharType="separate"/>
      </w:r>
      <w:r w:rsidR="00970CEE" w:rsidRPr="00970CEE">
        <w:rPr>
          <w:rFonts w:ascii="Calibri" w:cs="Calibri"/>
          <w:kern w:val="0"/>
        </w:rPr>
        <w:t xml:space="preserve">Today, such a case would see a markedly different approach: see, generally, </w:t>
      </w:r>
      <w:proofErr w:type="gramStart"/>
      <w:r w:rsidR="00970CEE" w:rsidRPr="00970CEE">
        <w:rPr>
          <w:rFonts w:ascii="Calibri" w:cs="Calibri"/>
          <w:i/>
          <w:iCs/>
          <w:kern w:val="0"/>
        </w:rPr>
        <w:t>P  v</w:t>
      </w:r>
      <w:proofErr w:type="gramEnd"/>
      <w:r w:rsidR="00970CEE" w:rsidRPr="00970CEE">
        <w:rPr>
          <w:rFonts w:ascii="Calibri" w:cs="Calibri"/>
          <w:i/>
          <w:iCs/>
          <w:kern w:val="0"/>
        </w:rPr>
        <w:t xml:space="preserve"> P (Transgender Applicant for Declaration of Valid Marriage)</w:t>
      </w:r>
      <w:r w:rsidR="00970CEE" w:rsidRPr="00970CEE">
        <w:rPr>
          <w:rFonts w:ascii="Calibri" w:cs="Calibri"/>
          <w:kern w:val="0"/>
        </w:rPr>
        <w:t xml:space="preserve"> [2019] EWHC 05 (Fam).</w:t>
      </w:r>
      <w:r>
        <w:fldChar w:fldCharType="end"/>
      </w:r>
    </w:p>
  </w:footnote>
  <w:footnote w:id="21">
    <w:p w14:paraId="27AD00DB" w14:textId="1BB85DA4" w:rsidR="002F043D" w:rsidRDefault="002F043D">
      <w:pPr>
        <w:pStyle w:val="FootnoteText"/>
      </w:pPr>
      <w:r w:rsidRPr="00444F1D">
        <w:rPr>
          <w:rStyle w:val="FootnoteReference"/>
        </w:rPr>
        <w:footnoteRef/>
      </w:r>
      <w:r>
        <w:t xml:space="preserve"> </w:t>
      </w:r>
      <w:r>
        <w:fldChar w:fldCharType="begin"/>
      </w:r>
      <w:r w:rsidR="00970CEE">
        <w:instrText xml:space="preserve"> ADDIN ZOTERO_ITEM CSL_CITATION {"citationID":"moS0ZsXv","properties":{"formattedCitation":"{\\i{}Bellinger v Bellinger} [2003] UKHL 21 (HL) [46] (emphasis added).","plainCitation":"Bellinger v Bellinger [2003] UKHL 21 (HL) [46] (emphasis added).","noteIndex":21},"citationItems":[{"id":5645,"uris":["http://zotero.org/users/10005302/items/SYDSNIPT"],"itemData":{"id":5645,"type":"legal_case","authority":"HL","container-title":"UKHL","language":"en-GB","page":"21","title":"Bellinger v Bellinger","URL":"http://uk.practicallaw.thomsonreuters.com/Document/I73670600E42711DA8FC2A0F0355337E9/View/FullText.html?navigationPath=Search%2Fv1%2Fresults%2Fnavigation%2Fi0ad7403600000183798cc6fd2daf7ec5%3Fppcid%3D1022935ea08948418241a5a007c0f7d2%26Nav%3DUK-CASES%26fragmentIdentifier%3DI73670600E42711DA8FC2A0F0355337E9%26parentRank%3D0%26startIndex%3D1%26contextData%3D%2528sc.Search%2529%26transitionType%3DSearchItem&amp;listSource=Search&amp;listPageSource=60c8aa1917353a679bfc7dbd7d2baff0&amp;list=UK-CASES&amp;rank=6&amp;sessionScopeId=56e24af98e4fce33bb56045c934fe14862bdc3319a89f4184a1f80bd2a99add3&amp;ppcid=1022935ea08948418241a5a007c0f7d2&amp;originationContext=Search%20Result&amp;transitionType=SearchItem&amp;contextData=(sc.Search)&amp;comp=wluk","accessed":{"date-parts":[["2022",9,26]]},"issued":{"date-parts":[["2003"]]}},"locator":"46","label":"paragraph","suffix":" (emphasis added)"}],"schema":"https://github.com/citation-style-language/schema/raw/master/csl-citation.json"} </w:instrText>
      </w:r>
      <w:r>
        <w:fldChar w:fldCharType="separate"/>
      </w:r>
      <w:r w:rsidR="00970CEE" w:rsidRPr="00970CEE">
        <w:rPr>
          <w:rFonts w:ascii="Calibri" w:cs="Calibri"/>
          <w:i/>
          <w:iCs/>
          <w:kern w:val="0"/>
        </w:rPr>
        <w:t>Bellinger v Bellinger</w:t>
      </w:r>
      <w:r w:rsidR="00970CEE" w:rsidRPr="00970CEE">
        <w:rPr>
          <w:rFonts w:ascii="Calibri" w:cs="Calibri"/>
          <w:kern w:val="0"/>
        </w:rPr>
        <w:t xml:space="preserve"> [2003] UKHL 21 (HL) [46] (emphasis added).</w:t>
      </w:r>
      <w:r>
        <w:fldChar w:fldCharType="end"/>
      </w:r>
    </w:p>
  </w:footnote>
  <w:footnote w:id="22">
    <w:p w14:paraId="7AD44E50" w14:textId="798B4BE5" w:rsidR="002F043D" w:rsidRDefault="002F043D">
      <w:pPr>
        <w:pStyle w:val="FootnoteText"/>
      </w:pPr>
      <w:r w:rsidRPr="00444F1D">
        <w:rPr>
          <w:rStyle w:val="FootnoteReference"/>
        </w:rPr>
        <w:footnoteRef/>
      </w:r>
      <w:r>
        <w:t xml:space="preserve"> </w:t>
      </w:r>
      <w:r>
        <w:fldChar w:fldCharType="begin"/>
      </w:r>
      <w:r w:rsidR="004A365E">
        <w:instrText xml:space="preserve"> ADDIN ZOTERO_ITEM CSL_CITATION {"citationID":"9PSTYzD8","properties":{"formattedCitation":"Andrew Bainham, \\uc0\\u8216{}Does Sex Matter?\\uc0\\u8217{} (2002) 61 The Cambridge Law Journal 1, 46 (emphasis added).","plainCitation":"Andrew Bainham, ‘Does Sex Matter?’ (2002) 61 The Cambridge Law Journal 1, 46 (emphasis added).","dontUpdate":true,"noteIndex":22},"citationItems":[{"id":5520,"uris":["http://zotero.org/users/10005302/items/VNPN9SIN"],"itemData":{"id":5520,"type":"article-journal","abstract":"A\n              RE\n              sex or gender crucial components of modern marriage? In\n              Bellinger\n              v.\n              Bellinger\n              [2001] EWCA Civ 1140, [2001] 2 F.L.R. 1048, the Court of Appeal returned to the question of the relevance of biological sex to the validity of marriage, first considered thirty years ago by Ormrod J. in\n              Corbett\n              v.\n              Corbett (otherwise Ashley)\n              [1971] P. 83. Both cases involved male-to-female transsexuals who had undergone gender reassignment surgery but in\n              Bellinger\n              , Mrs. Bellinger sought a declaration under section 55 of the Family Law Act 1986 that her marriage to Mr. Bellinger was valid at its inception and still subsisting (unlike\n              Corbett\n              , which involved a nullity petition). The Court, by a majority, upheld the decision of Johnson J. refusing the declaration.","container-title":"The Cambridge Law Journal","DOI":"10.1017/S0008197302361506","ISSN":"0008-1973, 1469-2139","issue":"1","journalAbbreviation":"C.L.J.","language":"en","page":"1-52","source":"DOI.org (Crossref)","title":"Does Sex Matter?","title-short":"&lt;span style=\"font-variant","volume":"61","author":[{"family":"Bainham","given":"Andrew"}],"issued":{"date-parts":[["2002",3,7]]}},"locator":"46","label":"page","suffix":" (emphasis added)"}],"schema":"https://github.com/citation-style-language/schema/raw/master/csl-citation.json"} </w:instrText>
      </w:r>
      <w:r>
        <w:fldChar w:fldCharType="separate"/>
      </w:r>
      <w:r w:rsidRPr="002F043D">
        <w:rPr>
          <w:rFonts w:ascii="Calibri" w:cs="Calibri"/>
          <w:kern w:val="0"/>
        </w:rPr>
        <w:t xml:space="preserve">Andrew Bainham, ‘Does Sex Matter?’ (2002) 61 </w:t>
      </w:r>
      <w:r w:rsidR="001E2D0A">
        <w:rPr>
          <w:rFonts w:ascii="Calibri" w:cs="Calibri"/>
          <w:kern w:val="0"/>
        </w:rPr>
        <w:t>CLJ</w:t>
      </w:r>
      <w:r w:rsidRPr="002F043D">
        <w:rPr>
          <w:rFonts w:ascii="Calibri" w:cs="Calibri"/>
          <w:kern w:val="0"/>
        </w:rPr>
        <w:t xml:space="preserve"> 1, 46 (emphasis added).</w:t>
      </w:r>
      <w:r>
        <w:fldChar w:fldCharType="end"/>
      </w:r>
    </w:p>
  </w:footnote>
  <w:footnote w:id="23">
    <w:p w14:paraId="38D1F5AD" w14:textId="4A614551" w:rsidR="000B3771" w:rsidRDefault="000B3771">
      <w:pPr>
        <w:pStyle w:val="FootnoteText"/>
      </w:pPr>
      <w:r w:rsidRPr="00444F1D">
        <w:rPr>
          <w:rStyle w:val="FootnoteReference"/>
        </w:rPr>
        <w:footnoteRef/>
      </w:r>
      <w:r>
        <w:t xml:space="preserve"> </w:t>
      </w:r>
      <w:r>
        <w:fldChar w:fldCharType="begin"/>
      </w:r>
      <w:r w:rsidR="004A365E">
        <w:instrText xml:space="preserve"> ADDIN ZOTERO_ITEM CSL_CITATION {"citationID":"i89Zbws7","properties":{"formattedCitation":"Bainham (n 22).","plainCitation":"Bainham (n 22).","dontUpdate":true,"noteIndex":23},"citationItems":[{"id":5520,"uris":["http://zotero.org/users/10005302/items/VNPN9SIN"],"itemData":{"id":5520,"type":"article-journal","abstract":"A\n              RE\n              sex or gender crucial components of modern marriage? In\n              Bellinger\n              v.\n              Bellinger\n              [2001] EWCA Civ 1140, [2001] 2 F.L.R. 1048, the Court of Appeal returned to the question of the relevance of biological sex to the validity of marriage, first considered thirty years ago by Ormrod J. in\n              Corbett\n              v.\n              Corbett (otherwise Ashley)\n              [1971] P. 83. Both cases involved male-to-female transsexuals who had undergone gender reassignment surgery but in\n              Bellinger\n              , Mrs. Bellinger sought a declaration under section 55 of the Family Law Act 1986 that her marriage to Mr. Bellinger was valid at its inception and still subsisting (unlike\n              Corbett\n              , which involved a nullity petition). The Court, by a majority, upheld the decision of Johnson J. refusing the declaration.","container-title":"The Cambridge Law Journal","DOI":"10.1017/S0008197302361506","ISSN":"0008-1973, 1469-2139","issue":"1","journalAbbreviation":"C.L.J.","language":"en","page":"1-52","source":"DOI.org (Crossref)","title":"Does Sex Matter?","title-short":"&lt;span style=\"font-variant","volume":"61","author":[{"family":"Bainham","given":"Andrew"}],"issued":{"date-parts":[["2002",3,7]]}}}],"schema":"https://github.com/citation-style-language/schema/raw/master/csl-citation.json"} </w:instrText>
      </w:r>
      <w:r>
        <w:fldChar w:fldCharType="separate"/>
      </w:r>
      <w:r>
        <w:rPr>
          <w:noProof/>
        </w:rPr>
        <w:t>Ibid.</w:t>
      </w:r>
      <w:r>
        <w:fldChar w:fldCharType="end"/>
      </w:r>
    </w:p>
  </w:footnote>
  <w:footnote w:id="24">
    <w:p w14:paraId="794B6C11" w14:textId="7555C4C6" w:rsidR="002F043D" w:rsidRDefault="002F043D">
      <w:pPr>
        <w:pStyle w:val="FootnoteText"/>
      </w:pPr>
      <w:r w:rsidRPr="00444F1D">
        <w:rPr>
          <w:rStyle w:val="FootnoteReference"/>
        </w:rPr>
        <w:footnoteRef/>
      </w:r>
      <w:r>
        <w:t xml:space="preserve"> </w:t>
      </w:r>
      <w:r w:rsidR="005D72B8">
        <w:t>Ibid</w:t>
      </w:r>
      <w:r w:rsidR="00982913">
        <w:t>,</w:t>
      </w:r>
      <w:r w:rsidR="005501BB">
        <w:t xml:space="preserve"> citing</w:t>
      </w:r>
      <w:r w:rsidR="005D72B8">
        <w:t xml:space="preserve"> </w:t>
      </w:r>
      <w:r>
        <w:fldChar w:fldCharType="begin"/>
      </w:r>
      <w:r w:rsidR="008A2231">
        <w:instrText xml:space="preserve"> ADDIN ZOTERO_ITEM CSL_CITATION {"citationID":"5yAlRl4H","properties":{"formattedCitation":"{\\i{}Baxter v Baxter} [1948] AC 4 (HL).","plainCitation":"Baxter v Baxter [1948] AC 4 (HL).","noteIndex":24},"citationItems":[{"id":5649,"uris":["http://zotero.org/users/10005302/items/E38DD5RP"],"itemData":{"id":5649,"type":"legal_case","authority":"HL","container-title":"A.C.","language":"en-GB","page":"4","title":"Baxter v Baxter","URL":"http://uk.practicallaw.thomsonreuters.com/Document/I707145A0E42711DA8FC2A0F0355337E9/View/FullText.html?navigationPath=Search%2Fv1%2Fresults%2Fnavigation%2Fi0ad7403600000183799984902daf825f%3Fppcid%3D8474712fd5aa4fab9fc280c0cc068e1f%26Nav%3DUK-CASES%26fragmentIdentifier%3DI707145A0E42711DA8FC2A0F0355337E9%26parentRank%3D0%26startIndex%3D1%26contextData%3D%2528sc.Search%2529%26transitionType%3DSearchItem&amp;listSource=Search&amp;listPageSource=8ad46d7a6b52f107dea4c86196f235f7&amp;list=UK-CASES&amp;rank=1&amp;sessionScopeId=56e24af98e4fce33bb56045c934fe14862bdc3319a89f4184a1f80bd2a99add3&amp;ppcid=8474712fd5aa4fab9fc280c0cc068e1f&amp;originationContext=Search%20Result&amp;transitionType=SearchItem&amp;contextData=(sc.Search)&amp;comp=wluk","accessed":{"date-parts":[["2022",9,26]]},"issued":{"date-parts":[["1948"]]}}}],"schema":"https://github.com/citation-style-language/schema/raw/master/csl-citation.json"} </w:instrText>
      </w:r>
      <w:r>
        <w:fldChar w:fldCharType="separate"/>
      </w:r>
      <w:r w:rsidRPr="002F043D">
        <w:rPr>
          <w:rFonts w:ascii="Calibri" w:cs="Calibri"/>
          <w:i/>
          <w:iCs/>
          <w:kern w:val="0"/>
        </w:rPr>
        <w:t>Baxter v Baxter</w:t>
      </w:r>
      <w:r w:rsidRPr="002F043D">
        <w:rPr>
          <w:rFonts w:ascii="Calibri" w:cs="Calibri"/>
          <w:kern w:val="0"/>
        </w:rPr>
        <w:t xml:space="preserve"> [1948] AC 4 (HL).</w:t>
      </w:r>
      <w:r>
        <w:fldChar w:fldCharType="end"/>
      </w:r>
    </w:p>
  </w:footnote>
  <w:footnote w:id="25">
    <w:p w14:paraId="0807E8A5" w14:textId="11C1A264" w:rsidR="002F043D" w:rsidRDefault="002F043D">
      <w:pPr>
        <w:pStyle w:val="FootnoteText"/>
      </w:pPr>
      <w:r w:rsidRPr="00444F1D">
        <w:rPr>
          <w:rStyle w:val="FootnoteReference"/>
        </w:rPr>
        <w:footnoteRef/>
      </w:r>
      <w:r>
        <w:t xml:space="preserve"> </w:t>
      </w:r>
      <w:r w:rsidR="005D72B8">
        <w:t>Ibid</w:t>
      </w:r>
      <w:r w:rsidR="00982913">
        <w:t>,</w:t>
      </w:r>
      <w:r w:rsidR="005501BB">
        <w:t xml:space="preserve"> citing</w:t>
      </w:r>
      <w:r w:rsidR="005D72B8">
        <w:t xml:space="preserve"> </w:t>
      </w:r>
      <w:r>
        <w:fldChar w:fldCharType="begin"/>
      </w:r>
      <w:r w:rsidR="008A2231">
        <w:instrText xml:space="preserve"> ADDIN ZOTERO_ITEM CSL_CITATION {"citationID":"R7od6IrR","properties":{"formattedCitation":"{\\i{}Morgan v Morgan (otherwise Ransom)} [1959] P 92 (PDA Div), although note the \\uc0\\u8216{}extraordinary circumstances\\uc0\\u8217{} in that case led the court to reject the husband\\uc0\\u8217{}s petition for nullity on the basis of his own impotence.","plainCitation":"Morgan v Morgan (otherwise Ransom) [1959] P 92 (PDA Div), although note the ‘extraordinary circumstances’ in that case led the court to reject the husband’s petition for nullity on the basis of his own impotence.","dontUpdate":true,"noteIndex":25},"citationItems":[{"id":5650,"uris":["http://zotero.org/users/10005302/items/78T8JI4A"],"itemData":{"id":5650,"type":"legal_case","authority":"PDA Div","container-title":"P.","language":"en-GB","page":"92","title":"Morgan v Morgan (otherwise Ransom)","URL":"http://uk.practicallaw.thomsonreuters.com/Document/I053B0630E42811DA8FC2A0F0355337E9/View/FullText.html?navigationPath=Search%2Fv1%2Fresults%2Fnavigation%2Fi0ad74036000001837999e9142daf8282%3Fppcid%3Dbff6c9a8331b482090d30f6b5f04e26c%26Nav%3DUK-CASES%26fragmentIdentifier%3DI053B0630E42811DA8FC2A0F0355337E9%26parentRank%3D0%26startIndex%3D1%26contextData%3D%2528sc.Search%2529%26transitionType%3DSearchItem&amp;listSource=Search&amp;listPageSource=2b6e5258daf2c41d2694190852b00f15&amp;list=UK-CASES&amp;rank=1&amp;sessionScopeId=56e24af98e4fce33bb56045c934fe14862bdc3319a89f4184a1f80bd2a99add3&amp;ppcid=bff6c9a8331b482090d30f6b5f04e26c&amp;originationContext=Search%20Result&amp;transitionType=SearchItem&amp;contextData=(sc.Search)&amp;comp=wluk","accessed":{"date-parts":[["2022",9,26]]},"issued":{"date-parts":[["1959"]]}},"label":"page","suffix":", although note the 'extraordinary circumstances' in that case led the court to reject the husband's petition for nullity on the basis of his own impotence"}],"schema":"https://github.com/citation-style-language/schema/raw/master/csl-citation.json"} </w:instrText>
      </w:r>
      <w:r>
        <w:fldChar w:fldCharType="separate"/>
      </w:r>
      <w:r w:rsidRPr="002F043D">
        <w:rPr>
          <w:rFonts w:ascii="Calibri" w:cs="Calibri"/>
          <w:i/>
          <w:iCs/>
          <w:kern w:val="0"/>
        </w:rPr>
        <w:t>Morgan v Morgan (otherwise Ransom)</w:t>
      </w:r>
      <w:r w:rsidRPr="002F043D">
        <w:rPr>
          <w:rFonts w:ascii="Calibri" w:cs="Calibri"/>
          <w:kern w:val="0"/>
        </w:rPr>
        <w:t xml:space="preserve"> [1959] P 92 (PDA Div)</w:t>
      </w:r>
      <w:r w:rsidR="00305160">
        <w:rPr>
          <w:rFonts w:ascii="Calibri" w:cs="Calibri"/>
          <w:kern w:val="0"/>
        </w:rPr>
        <w:t>.</w:t>
      </w:r>
      <w:r w:rsidR="006A7895">
        <w:rPr>
          <w:rFonts w:ascii="Calibri" w:cs="Calibri"/>
          <w:kern w:val="0"/>
        </w:rPr>
        <w:t xml:space="preserve"> </w:t>
      </w:r>
      <w:r w:rsidR="005D72B8">
        <w:rPr>
          <w:rFonts w:ascii="Calibri" w:cs="Calibri"/>
          <w:kern w:val="0"/>
        </w:rPr>
        <w:t>N</w:t>
      </w:r>
      <w:r w:rsidRPr="002F043D">
        <w:rPr>
          <w:rFonts w:ascii="Calibri" w:cs="Calibri"/>
          <w:kern w:val="0"/>
        </w:rPr>
        <w:t>ote</w:t>
      </w:r>
      <w:r w:rsidR="00AE30A4">
        <w:rPr>
          <w:rFonts w:ascii="Calibri" w:cs="Calibri"/>
          <w:kern w:val="0"/>
        </w:rPr>
        <w:t xml:space="preserve"> </w:t>
      </w:r>
      <w:r w:rsidRPr="002F043D">
        <w:rPr>
          <w:rFonts w:ascii="Calibri" w:cs="Calibri"/>
          <w:kern w:val="0"/>
        </w:rPr>
        <w:t>‘extraordinary circumstances</w:t>
      </w:r>
      <w:proofErr w:type="gramStart"/>
      <w:r w:rsidRPr="002F043D">
        <w:rPr>
          <w:rFonts w:ascii="Calibri" w:cs="Calibri"/>
          <w:kern w:val="0"/>
        </w:rPr>
        <w:t>’  led</w:t>
      </w:r>
      <w:proofErr w:type="gramEnd"/>
      <w:r w:rsidRPr="002F043D">
        <w:rPr>
          <w:rFonts w:ascii="Calibri" w:cs="Calibri"/>
          <w:kern w:val="0"/>
        </w:rPr>
        <w:t xml:space="preserve"> the court to reject </w:t>
      </w:r>
      <w:r w:rsidR="005D72B8">
        <w:rPr>
          <w:rFonts w:ascii="Calibri" w:cs="Calibri"/>
          <w:kern w:val="0"/>
        </w:rPr>
        <w:t>Mr Morgan</w:t>
      </w:r>
      <w:r w:rsidRPr="002F043D">
        <w:rPr>
          <w:rFonts w:ascii="Calibri" w:cs="Calibri"/>
          <w:kern w:val="0"/>
        </w:rPr>
        <w:t>’s petition for nullity on the basis of his own impotence.</w:t>
      </w:r>
      <w:r>
        <w:fldChar w:fldCharType="end"/>
      </w:r>
    </w:p>
  </w:footnote>
  <w:footnote w:id="26">
    <w:p w14:paraId="6289F38B" w14:textId="35B04318" w:rsidR="004E6747" w:rsidRDefault="004E6747" w:rsidP="004E6747">
      <w:pPr>
        <w:pStyle w:val="FootnoteText"/>
      </w:pPr>
      <w:r w:rsidRPr="00444F1D">
        <w:rPr>
          <w:rStyle w:val="FootnoteReference"/>
        </w:rPr>
        <w:footnoteRef/>
      </w:r>
      <w:r>
        <w:t xml:space="preserve"> </w:t>
      </w:r>
      <w:r>
        <w:fldChar w:fldCharType="begin"/>
      </w:r>
      <w:r w:rsidR="004A365E">
        <w:instrText xml:space="preserve"> ADDIN ZOTERO_ITEM CSL_CITATION {"citationID":"mSOYlHIx","properties":{"formattedCitation":"Jacqueline Humphreys, \\uc0\\u8216{}The Civil Partnership Act 2004, Same-Sex Marriage and the Church of England\\uc0\\u8217{} (2006) 8 Ecclesiastical Law Journal 289, 289; Cristina Richie, \\uc0\\u8216{}Disrupting the Meaning of Marriage?\\uc0\\u8217{} (2013) 19 Theology &amp; Sexuality 123, 139.","plainCitation":"Jacqueline Humphreys, ‘The Civil Partnership Act 2004, Same-Sex Marriage and the Church of England’ (2006) 8 Ecclesiastical Law Journal 289, 289; Cristina Richie, ‘Disrupting the Meaning of Marriage?’ (2013) 19 Theology &amp; Sexuality 123, 139.","dontUpdate":true,"noteIndex":26},"citationItems":[{"id":5516,"uris":["http://zotero.org/users/10005302/items/R2M62MKX"],"itemData":{"id":5516,"type":"article-journal","abstract":"The Civil Partnership Act 2004 enables same-sex couples to enter into a status that provides very many of the same rights and responsibilities that married couples have in respect to each other and the wider community. This paper first considers the extent of the legal similarities between civil partnerships and marriage; that is to what extent civil partnerships are 'same-sex marriage' in practical effect. Secondly it considers to what extent the conceptual understanding of civil partnerships within the Act reflects the current conception of marriage within English law; that is the extent to which civil partnerships are 'same-sex marriage' in theory. Thirdly, and finally, some of the specific dilemmas for the Church of England in the light of this are considered.","container-title":"Ecclesiastical Law Journal","DOI":"10.1017/S0956618X0000644X","ISSN":"0956-618X, 1751-8539","issue":"38","journalAbbreviation":"Ecclesiastical Law Journal","language":"en","page":"289-306","source":"DOI.org (Crossref)","title":"The Civil Partnership Act 2004, Same-Sex Marriage and the Church of England","volume":"8","author":[{"family":"Humphreys","given":"Jacqueline"}],"issued":{"date-parts":[["2006",1]]}},"locator":"289"},{"id":5644,"uris":["http://zotero.org/users/10005302/items/Q7TE5C4B"],"itemData":{"id":5644,"type":"article-journal","abstract":"This article explores the theology of procreation in marriage from traditional Catholic and traditional Evangelical viewpoints. Both groups believe that children are an integral aspect of Christian marriage, yet the barren couple is welcomed in the community despite Church insistence on children in marriage. Voluntary childfree unions and gay marriages, however, are both rejected by traditional Catholics and traditional Evangelicals. I contend that in this particular cultural climate of gay rights, one hurdle to accepting childfree straight marriages in traditional Christian branches is the perceived dissolution of conventional marriage. If traditionalists affirm that a married couple may choose to not procreate, then there is very little to distinguish straight childfree marriages from gay childfree marriages. Removing one pillar of conventional marriage – children – will bring Christian unions closer to theoretical support for gay marriage, a move that many traditionalists would be loath to make.","container-title":"Theology &amp; Sexuality","DOI":"10.1179/1355835814Z.00000000028","ISSN":"1355-8358","issue":"2","note":"publisher: Routledge\n_eprint: https://doi.org/10.1179/1355835814Z.00000000028","page":"123-142","source":"Taylor and Francis+NEJM","title":"Disrupting the Meaning of Marriage?","volume":"19","author":[{"family":"Richie","given":"Cristina"}],"issued":{"date-parts":[["2013",1,1]]}},"locator":"139"}],"schema":"https://github.com/citation-style-language/schema/raw/master/csl-citation.json"} </w:instrText>
      </w:r>
      <w:r>
        <w:fldChar w:fldCharType="separate"/>
      </w:r>
      <w:r w:rsidR="0051105C" w:rsidRPr="0051105C">
        <w:rPr>
          <w:rFonts w:ascii="Calibri" w:cs="Calibri"/>
          <w:kern w:val="0"/>
        </w:rPr>
        <w:t xml:space="preserve">Jacqueline Humphreys, ‘The Civil Partnership Act 2004, Same-Sex Marriage and the Church of England’ (2006) 8 </w:t>
      </w:r>
      <w:proofErr w:type="spellStart"/>
      <w:r w:rsidR="0051105C" w:rsidRPr="0051105C">
        <w:rPr>
          <w:rFonts w:ascii="Calibri" w:cs="Calibri"/>
          <w:kern w:val="0"/>
        </w:rPr>
        <w:t>Ecc</w:t>
      </w:r>
      <w:proofErr w:type="spellEnd"/>
      <w:r w:rsidR="0051105C" w:rsidRPr="0051105C">
        <w:rPr>
          <w:rFonts w:ascii="Calibri" w:cs="Calibri"/>
          <w:kern w:val="0"/>
        </w:rPr>
        <w:t xml:space="preserve"> L</w:t>
      </w:r>
      <w:r w:rsidR="00F841A3">
        <w:rPr>
          <w:rFonts w:ascii="Calibri" w:cs="Calibri"/>
          <w:kern w:val="0"/>
        </w:rPr>
        <w:t>J</w:t>
      </w:r>
      <w:r w:rsidR="0051105C" w:rsidRPr="0051105C">
        <w:rPr>
          <w:rFonts w:ascii="Calibri" w:cs="Calibri"/>
          <w:kern w:val="0"/>
        </w:rPr>
        <w:t xml:space="preserve"> 289, 289; Cristina Richie, ‘Disrupting the Meaning of Marriage?’ (2013) 19 Theology &amp; Sexuality 123, 139.</w:t>
      </w:r>
      <w:r>
        <w:fldChar w:fldCharType="end"/>
      </w:r>
    </w:p>
  </w:footnote>
  <w:footnote w:id="27">
    <w:p w14:paraId="0B65B6EF" w14:textId="1B57A6E7" w:rsidR="002F043D" w:rsidRDefault="002F043D">
      <w:pPr>
        <w:pStyle w:val="FootnoteText"/>
      </w:pPr>
      <w:r w:rsidRPr="00444F1D">
        <w:rPr>
          <w:rStyle w:val="FootnoteReference"/>
        </w:rPr>
        <w:footnoteRef/>
      </w:r>
      <w:r>
        <w:t xml:space="preserve"> </w:t>
      </w:r>
      <w:r>
        <w:fldChar w:fldCharType="begin"/>
      </w:r>
      <w:r w:rsidR="0051105C">
        <w:instrText xml:space="preserve"> ADDIN ZOTERO_ITEM CSL_CITATION {"citationID":"TaWIPc9R","properties":{"formattedCitation":"Richie (n 26) 139.","plainCitation":"Richie (n 26) 139.","noteIndex":27},"citationItems":[{"id":5644,"uris":["http://zotero.org/users/10005302/items/Q7TE5C4B"],"itemData":{"id":5644,"type":"article-journal","abstract":"This article explores the theology of procreation in marriage from traditional Catholic and traditional Evangelical viewpoints. Both groups believe that children are an integral aspect of Christian marriage, yet the barren couple is welcomed in the community despite Church insistence on children in marriage. Voluntary childfree unions and gay marriages, however, are both rejected by traditional Catholics and traditional Evangelicals. I contend that in this particular cultural climate of gay rights, one hurdle to accepting childfree straight marriages in traditional Christian branches is the perceived dissolution of conventional marriage. If traditionalists affirm that a married couple may choose to not procreate, then there is very little to distinguish straight childfree marriages from gay childfree marriages. Removing one pillar of conventional marriage – children – will bring Christian unions closer to theoretical support for gay marriage, a move that many traditionalists would be loath to make.","container-title":"Theology &amp; Sexuality","DOI":"10.1179/1355835814Z.00000000028","ISSN":"1355-8358","issue":"2","note":"publisher: Routledge\n_eprint: https://doi.org/10.1179/1355835814Z.00000000028","page":"123-142","source":"Taylor and Francis+NEJM","title":"Disrupting the Meaning of Marriage?","volume":"19","author":[{"family":"Richie","given":"Cristina"}],"issued":{"date-parts":[["2013",1,1]]}},"locator":"139","label":"page"}],"schema":"https://github.com/citation-style-language/schema/raw/master/csl-citation.json"} </w:instrText>
      </w:r>
      <w:r>
        <w:fldChar w:fldCharType="separate"/>
      </w:r>
      <w:r w:rsidR="0051105C">
        <w:rPr>
          <w:rFonts w:ascii="Calibri" w:cs="Calibri"/>
          <w:kern w:val="0"/>
        </w:rPr>
        <w:t>Richie (n 26) 139.</w:t>
      </w:r>
      <w:r>
        <w:fldChar w:fldCharType="end"/>
      </w:r>
    </w:p>
  </w:footnote>
  <w:footnote w:id="28">
    <w:p w14:paraId="42AC7068" w14:textId="2236D8C3" w:rsidR="00970CEE" w:rsidRDefault="00970CEE">
      <w:pPr>
        <w:pStyle w:val="FootnoteText"/>
      </w:pPr>
      <w:r w:rsidRPr="00444F1D">
        <w:rPr>
          <w:rStyle w:val="FootnoteReference"/>
        </w:rPr>
        <w:footnoteRef/>
      </w:r>
      <w:r>
        <w:t xml:space="preserve"> </w:t>
      </w:r>
      <w:r>
        <w:fldChar w:fldCharType="begin"/>
      </w:r>
      <w:r w:rsidR="008A2231">
        <w:instrText xml:space="preserve"> ADDIN ZOTERO_ITEM CSL_CITATION {"citationID":"V2WjPTCh","properties":{"formattedCitation":"\\uc0\\u8216{}Quaker Marriage Procedure | Quaker Faith &amp; Practice\\uc0\\u8217{} para 16.02 &lt;https://qfp.quaker.org.uk/chapter/16/&gt; accessed 26 September 2022.","plainCitation":"‘Quaker Marriage Procedure | Quaker Faith &amp; Practice’ para 16.02 &lt;https://qfp.quaker.org.uk/chapter/16/&gt; accessed 26 September 2022.","noteIndex":28},"citationItems":[{"id":5652,"uris":["http://zotero.org/users/10005302/items/UJNM2NPM"],"itemData":{"id":5652,"type":"webpage","title":"Quaker marriage procedure | Quaker faith &amp; practice","URL":"https://qfp.quaker.org.uk/chapter/16/","accessed":{"date-parts":[["2022",9,26]]}},"locator":"16.02","label":"paragraph"}],"schema":"https://github.com/citation-style-language/schema/raw/master/csl-citation.json"} </w:instrText>
      </w:r>
      <w:r>
        <w:fldChar w:fldCharType="separate"/>
      </w:r>
      <w:r w:rsidRPr="00970CEE">
        <w:rPr>
          <w:rFonts w:ascii="Calibri" w:cs="Calibri"/>
          <w:kern w:val="0"/>
        </w:rPr>
        <w:t xml:space="preserve">‘Quaker Marriage Procedure | Quaker Faith &amp; Practice’ para 16.02 &lt;https://qfp.quaker.org.uk/chapter/16/&gt; accessed </w:t>
      </w:r>
      <w:r w:rsidR="00F62B49">
        <w:rPr>
          <w:rFonts w:ascii="Calibri" w:cs="Calibri"/>
          <w:kern w:val="0"/>
        </w:rPr>
        <w:t>14 August 2023</w:t>
      </w:r>
      <w:r w:rsidRPr="00970CEE">
        <w:rPr>
          <w:rFonts w:ascii="Calibri" w:cs="Calibri"/>
          <w:kern w:val="0"/>
        </w:rPr>
        <w:t>.</w:t>
      </w:r>
      <w:r>
        <w:fldChar w:fldCharType="end"/>
      </w:r>
    </w:p>
  </w:footnote>
  <w:footnote w:id="29">
    <w:p w14:paraId="4A94F402" w14:textId="1EC726BA" w:rsidR="002F043D" w:rsidRDefault="002F043D">
      <w:pPr>
        <w:pStyle w:val="FootnoteText"/>
      </w:pPr>
      <w:r w:rsidRPr="00444F1D">
        <w:rPr>
          <w:rStyle w:val="FootnoteReference"/>
        </w:rPr>
        <w:footnoteRef/>
      </w:r>
      <w:r>
        <w:t xml:space="preserve"> </w:t>
      </w:r>
      <w:r>
        <w:fldChar w:fldCharType="begin"/>
      </w:r>
      <w:r w:rsidR="008A2231">
        <w:instrText xml:space="preserve"> ADDIN ZOTERO_ITEM CSL_CITATION {"citationID":"wzieoDTA","properties":{"formattedCitation":"David Blamires, {\\i{}Pushing at the Frontiers of Change: A Memoir of Quaker Involvement with Homosexuality} (Quaker Books 2012) ch 7.","plainCitation":"David Blamires, Pushing at the Frontiers of Change: A Memoir of Quaker Involvement with Homosexuality (Quaker Books 2012) ch 7.","noteIndex":29},"citationItems":[{"id":5654,"uris":["http://zotero.org/users/10005302/items/4N75TG63"],"itemData":{"id":5654,"type":"book","publisher":"Quaker Books","title":"Pushing at the frontiers of change: A memoir of Quaker involvement with homosexuality","author":[{"family":"Blamires","given":"David"}],"issued":{"date-parts":[["2012"]]}},"locator":"7","label":"chapter"}],"schema":"https://github.com/citation-style-language/schema/raw/master/csl-citation.json"} </w:instrText>
      </w:r>
      <w:r>
        <w:fldChar w:fldCharType="separate"/>
      </w:r>
      <w:r w:rsidR="00910B41" w:rsidRPr="00910B41">
        <w:rPr>
          <w:rFonts w:ascii="Calibri" w:cs="Calibri"/>
          <w:kern w:val="0"/>
        </w:rPr>
        <w:t xml:space="preserve">David Blamires, </w:t>
      </w:r>
      <w:r w:rsidR="00910B41" w:rsidRPr="00910B41">
        <w:rPr>
          <w:rFonts w:ascii="Calibri" w:cs="Calibri"/>
          <w:i/>
          <w:iCs/>
          <w:kern w:val="0"/>
        </w:rPr>
        <w:t>Pushing at the Frontiers of Change: A Memoir of Quaker Involvement with Homosexuality</w:t>
      </w:r>
      <w:r w:rsidR="00910B41" w:rsidRPr="00910B41">
        <w:rPr>
          <w:rFonts w:ascii="Calibri" w:cs="Calibri"/>
          <w:kern w:val="0"/>
        </w:rPr>
        <w:t xml:space="preserve"> (Quaker Books 2012) </w:t>
      </w:r>
      <w:proofErr w:type="spellStart"/>
      <w:r w:rsidR="00910B41" w:rsidRPr="00910B41">
        <w:rPr>
          <w:rFonts w:ascii="Calibri" w:cs="Calibri"/>
          <w:kern w:val="0"/>
        </w:rPr>
        <w:t>ch</w:t>
      </w:r>
      <w:proofErr w:type="spellEnd"/>
      <w:r w:rsidR="00910B41" w:rsidRPr="00910B41">
        <w:rPr>
          <w:rFonts w:ascii="Calibri" w:cs="Calibri"/>
          <w:kern w:val="0"/>
        </w:rPr>
        <w:t xml:space="preserve"> 7.</w:t>
      </w:r>
      <w:r>
        <w:fldChar w:fldCharType="end"/>
      </w:r>
    </w:p>
  </w:footnote>
  <w:footnote w:id="30">
    <w:p w14:paraId="2F87D072" w14:textId="7598A47A" w:rsidR="00910B41" w:rsidRDefault="00910B41">
      <w:pPr>
        <w:pStyle w:val="FootnoteText"/>
      </w:pPr>
      <w:r w:rsidRPr="00444F1D">
        <w:rPr>
          <w:rStyle w:val="FootnoteReference"/>
        </w:rPr>
        <w:footnoteRef/>
      </w:r>
      <w:r>
        <w:t xml:space="preserve"> </w:t>
      </w:r>
      <w:r>
        <w:fldChar w:fldCharType="begin"/>
      </w:r>
      <w:r w:rsidR="008A2231">
        <w:instrText xml:space="preserve"> ADDIN ZOTERO_ITEM CSL_CITATION {"citationID":"9sX68kR4","properties":{"formattedCitation":"Margaret A Farley, {\\i{}Just Love: A Framework for Christian Sexual Ethics} (Reprinted, Continuum 2008) 227.","plainCitation":"Margaret A Farley, Just Love: A Framework for Christian Sexual Ethics (Reprinted, Continuum 2008) 227.","dontUpdate":true,"noteIndex":30},"citationItems":[{"id":5900,"uris":["http://zotero.org/users/10005302/items/TXAX8YZV"],"itemData":{"id":5900,"type":"book","edition":"Reprinted","event-place":"London","ISBN":"978-0-8264-2924-7","language":"eng","number-of-pages":"322","publisher":"Continuum","publisher-place":"London","source":"K10plus ISBN","title":"Just love: a framework for Christian sexual ethics","title-short":"Just love","author":[{"family":"Farley","given":"Margaret A."}],"issued":{"date-parts":[["2008"]]}},"locator":"227"}],"schema":"https://github.com/citation-style-language/schema/raw/master/csl-citation.json"} </w:instrText>
      </w:r>
      <w:r>
        <w:fldChar w:fldCharType="separate"/>
      </w:r>
      <w:r w:rsidRPr="00910B41">
        <w:rPr>
          <w:rFonts w:ascii="Calibri" w:cs="Calibri"/>
          <w:kern w:val="0"/>
        </w:rPr>
        <w:t xml:space="preserve">Margaret A Farley, </w:t>
      </w:r>
      <w:r w:rsidRPr="00910B41">
        <w:rPr>
          <w:rFonts w:ascii="Calibri" w:cs="Calibri"/>
          <w:i/>
          <w:iCs/>
          <w:kern w:val="0"/>
        </w:rPr>
        <w:t>Just Love: A Framework for Christian Sexual Ethics</w:t>
      </w:r>
      <w:r w:rsidRPr="00910B41">
        <w:rPr>
          <w:rFonts w:ascii="Calibri" w:cs="Calibri"/>
          <w:kern w:val="0"/>
        </w:rPr>
        <w:t xml:space="preserve"> (Reprinted, Continuum 2008) 2</w:t>
      </w:r>
      <w:r w:rsidR="004D6F26">
        <w:rPr>
          <w:rFonts w:ascii="Calibri" w:cs="Calibri"/>
          <w:kern w:val="0"/>
        </w:rPr>
        <w:t>79</w:t>
      </w:r>
      <w:r w:rsidRPr="00910B41">
        <w:rPr>
          <w:rFonts w:ascii="Calibri" w:cs="Calibri"/>
          <w:kern w:val="0"/>
        </w:rPr>
        <w:t>.</w:t>
      </w:r>
      <w:r>
        <w:fldChar w:fldCharType="end"/>
      </w:r>
    </w:p>
  </w:footnote>
  <w:footnote w:id="31">
    <w:p w14:paraId="374E8E0B" w14:textId="61065181" w:rsidR="00910B41" w:rsidRDefault="00910B41">
      <w:pPr>
        <w:pStyle w:val="FootnoteText"/>
      </w:pPr>
      <w:r w:rsidRPr="00444F1D">
        <w:rPr>
          <w:rStyle w:val="FootnoteReference"/>
        </w:rPr>
        <w:footnoteRef/>
      </w:r>
      <w:r>
        <w:t xml:space="preserve"> </w:t>
      </w:r>
      <w:r>
        <w:fldChar w:fldCharType="begin"/>
      </w:r>
      <w:r w:rsidR="008A2231">
        <w:instrText xml:space="preserve"> ADDIN ZOTERO_ITEM CSL_CITATION {"citationID":"uX9eYyUK","properties":{"formattedCitation":"Matthew Simpkins and Oliver O\\uc0\\u8217{}Donovan, \\uc0\\u8216{}The Church of England\\uc0\\u8217{}s Exclusion of Same-Sex Couples from Marriage: Some Problems with Oliver O\\uc0\\u8217{}Donovan\\uc0\\u8217{}s Influence and Arguments\\uc0\\u8217{} (2016) 119 Theology 172, 173.","plainCitation":"Matthew Simpkins and Oliver O’Donovan, ‘The Church of England’s Exclusion of Same-Sex Couples from Marriage: Some Problems with Oliver O’Donovan’s Influence and Arguments’ (2016) 119 Theology 172, 173.","noteIndex":31},"citationItems":[{"id":5662,"uris":["http://zotero.org/users/10005302/items/FHCPSFFK"],"itemData":{"id":5662,"type":"article-journal","abstract":"Behind the Church of England?s public statements on marriage, such as Men and Women in Marriage, lies the thought of ethicist Oliver O?Donovan. This article highlights the influence of O?Donovan?s arguments concerning ?sexual dimorphism? (male/female physiological opposition) and ?openness to procreation? upon the Church?s case for the heterosexual exclusivity of marriage, by showing how they fill in the gaps in the reasoning of Men and Women in Marriage. These arguments, however, are ideologically conservative, fail to meet O?Donovan?s own standard for the admissibility of natural claims and do not convince that sexual opposition is an essential requirement for fidelity, permanent mutuality or openness to procreation ? the Church of England?s three goods of marriage.","container-title":"Theology","DOI":"10.1177/0040571X15623702","ISSN":"0040-571X","issue":"3","language":"en","note":"publisher: SAGE Publications Ltd","page":"172-184","source":"SAGE Journals","title":"The Church of England’s exclusion of same-sex couples from marriage: Some problems with Oliver O’Donovan’s influence and arguments","title-short":"The Church of England’s exclusion of same-sex couples from marriage","volume":"119","author":[{"family":"Simpkins","given":"Matthew"},{"family":"O’Donovan","given":"Oliver"}],"issued":{"date-parts":[["2016",5,1]]}},"locator":"173"}],"schema":"https://github.com/citation-style-language/schema/raw/master/csl-citation.json"} </w:instrText>
      </w:r>
      <w:r>
        <w:fldChar w:fldCharType="separate"/>
      </w:r>
      <w:r w:rsidRPr="00910B41">
        <w:rPr>
          <w:rFonts w:ascii="Calibri" w:cs="Calibri"/>
          <w:kern w:val="0"/>
        </w:rPr>
        <w:t>Matthew Simpkins and Oliver O’Donovan, ‘The Church of England’s Exclusion of Same-Sex Couples from Marriage: Some Problems with Oliver O’Donovan’s Influence and Arguments’ (2016) 119 Theology 172, 173.</w:t>
      </w:r>
      <w:r>
        <w:fldChar w:fldCharType="end"/>
      </w:r>
    </w:p>
  </w:footnote>
  <w:footnote w:id="32">
    <w:p w14:paraId="007629C5" w14:textId="4971A9C8" w:rsidR="00910B41" w:rsidRDefault="00910B41">
      <w:pPr>
        <w:pStyle w:val="FootnoteText"/>
      </w:pPr>
      <w:r w:rsidRPr="00444F1D">
        <w:rPr>
          <w:rStyle w:val="FootnoteReference"/>
        </w:rPr>
        <w:footnoteRef/>
      </w:r>
      <w:r>
        <w:t xml:space="preserve"> </w:t>
      </w:r>
      <w:r>
        <w:fldChar w:fldCharType="begin"/>
      </w:r>
      <w:r w:rsidR="008A2231">
        <w:instrText xml:space="preserve"> ADDIN ZOTERO_ITEM CSL_CITATION {"citationID":"78N8W8Ii","properties":{"formattedCitation":"{\\i{}NB v MI (Capacity to Contract Marriage)} [2021] EWHC 224 (Fam) [24].","plainCitation":"NB v MI (Capacity to Contract Marriage) [2021] EWHC 224 (Fam) [24].","noteIndex":32},"citationItems":[{"id":5665,"uris":["http://zotero.org/users/10005302/items/DPZVKRPR"],"itemData":{"id":5665,"type":"legal_case","authority":"Fam","container-title":"EWHC","language":"en-GB","page":"224","title":"NB v MI (Capacity to Contract Marriage)","URL":"http://uk.practicallaw.thomsonreuters.com/Document/IDE67E2906AE411EBA45ED950E337D52F/View/FullText.html?navigationPath=Search%2Fv1%2Fresults%2Fnavigation%2Fi0ad74036000001837a2fa1ee2dafd1be%3Fppcid%3D5fc4db582b974565a48065921ffcfdb1%26Nav%3DUK-CASES%26fragmentIdentifier%3DIDE67E2906AE411EBA45ED950E337D52F%26parentRank%3D0%26startIndex%3D1%26contextData%3D%2528sc.Search%2529%26transitionType%3DSearchItem&amp;listSource=Search&amp;listPageSource=51458d87eca588a45f2a74e3f278a832&amp;list=UK-CASES&amp;rank=1&amp;sessionScopeId=a0a87cabd2643a41c374d7b8cdedb92242597eaba54038387711054563799767&amp;ppcid=5fc4db582b974565a48065921ffcfdb1&amp;originationContext=Search%20Result&amp;transitionType=SearchItem&amp;contextData=(sc.Search)&amp;comp=wluk","accessed":{"date-parts":[["2022",9,26]]},"issued":{"date-parts":[["2021"]]}},"locator":"24","label":"paragraph"}],"schema":"https://github.com/citation-style-language/schema/raw/master/csl-citation.json"} </w:instrText>
      </w:r>
      <w:r>
        <w:fldChar w:fldCharType="separate"/>
      </w:r>
      <w:r w:rsidR="00E92EFE" w:rsidRPr="00E92EFE">
        <w:rPr>
          <w:rFonts w:ascii="Calibri" w:cs="Calibri"/>
          <w:i/>
          <w:iCs/>
          <w:kern w:val="0"/>
        </w:rPr>
        <w:t>NB v MI (Capacity to Contract Marriage)</w:t>
      </w:r>
      <w:r w:rsidR="00E92EFE" w:rsidRPr="00E92EFE">
        <w:rPr>
          <w:rFonts w:ascii="Calibri" w:cs="Calibri"/>
          <w:kern w:val="0"/>
        </w:rPr>
        <w:t xml:space="preserve"> [2021] EWHC 224 (Fam) [24].</w:t>
      </w:r>
      <w:r>
        <w:fldChar w:fldCharType="end"/>
      </w:r>
    </w:p>
  </w:footnote>
  <w:footnote w:id="33">
    <w:p w14:paraId="7022C578" w14:textId="3624C0EB" w:rsidR="00910B41" w:rsidRDefault="00910B41">
      <w:pPr>
        <w:pStyle w:val="FootnoteText"/>
      </w:pPr>
      <w:r w:rsidRPr="00444F1D">
        <w:rPr>
          <w:rStyle w:val="FootnoteReference"/>
        </w:rPr>
        <w:footnoteRef/>
      </w:r>
      <w:r>
        <w:t xml:space="preserve"> </w:t>
      </w:r>
      <w:r>
        <w:fldChar w:fldCharType="begin"/>
      </w:r>
      <w:r w:rsidR="008A2231">
        <w:instrText xml:space="preserve"> ADDIN ZOTERO_ITEM CSL_CITATION {"citationID":"zPyRJCLc","properties":{"formattedCitation":"Ruth Lamont, \\uc0\\u8216{}Family Life and the Law\\uc0\\u8217{} in Ruth Lamont (ed), {\\i{}Family Law} (1st edn, Oxford University Press 2018) 24.","plainCitation":"Ruth Lamont, ‘Family Life and the Law’ in Ruth Lamont (ed), Family Law (1st edn, Oxford University Press 2018) 24.","dontUpdate":true,"noteIndex":33},"citationItems":[{"id":5667,"uris":["http://zotero.org/users/10005302/items/8L4KBA5R"],"itemData":{"id":5667,"type":"chapter","abstract":"This chapter explores the nature of family life and the role of the law in family relationships to identify the particular challenges facing family lawyers. In particular, it considers how the law interacts with family life, how family relationships are identified in law, and what role the law plays in regulating family behaviour. The diversity and personalised experience of ‘family’ means that the role of the law in these processes is complex. There are two central issues facing family lawyers. First, the identification of a relationship as being one of ‘family’ for the purposes of the law is an important label, and may give rise to specific rights and obligations, even if the particular relationship bears no significance for the individual. Secondly, identifying the nature of the rights and obligations arising from a family relationship is central to determining the significance of the relationship.","container-title":"Family Law","edition":"1","ISBN":"978-0-19-181398-6","language":"en_US","note":"container-title: Family Law\nsection: Family Law","page":"1-19","publisher":"Oxford University Press","source":"www.oxfordlawtrove.com","title":"Family Life and the Law","author":[{"family":"Lamont","given":"Ruth"}],"editor":[{"family":"Lamont","given":"Ruth"}],"accessed":{"date-parts":[["2022",9,26]]},"issued":{"date-parts":[["2018"]]}},"locator":"24"}],"schema":"https://github.com/citation-style-language/schema/raw/master/csl-citation.json"} </w:instrText>
      </w:r>
      <w:r>
        <w:fldChar w:fldCharType="separate"/>
      </w:r>
      <w:r w:rsidRPr="00910B41">
        <w:rPr>
          <w:rFonts w:ascii="Calibri" w:cs="Calibri"/>
          <w:kern w:val="0"/>
        </w:rPr>
        <w:t xml:space="preserve">Ruth Lamont, ‘Family Life and the Law’ in Ruth Lamont (ed), </w:t>
      </w:r>
      <w:r w:rsidRPr="00910B41">
        <w:rPr>
          <w:rFonts w:ascii="Calibri" w:cs="Calibri"/>
          <w:i/>
          <w:iCs/>
          <w:kern w:val="0"/>
        </w:rPr>
        <w:t>Family Law</w:t>
      </w:r>
      <w:r w:rsidRPr="00910B41">
        <w:rPr>
          <w:rFonts w:ascii="Calibri" w:cs="Calibri"/>
          <w:kern w:val="0"/>
        </w:rPr>
        <w:t xml:space="preserve"> (1st </w:t>
      </w:r>
      <w:proofErr w:type="spellStart"/>
      <w:r w:rsidRPr="00910B41">
        <w:rPr>
          <w:rFonts w:ascii="Calibri" w:cs="Calibri"/>
          <w:kern w:val="0"/>
        </w:rPr>
        <w:t>edn</w:t>
      </w:r>
      <w:proofErr w:type="spellEnd"/>
      <w:r w:rsidRPr="00910B41">
        <w:rPr>
          <w:rFonts w:ascii="Calibri" w:cs="Calibri"/>
          <w:kern w:val="0"/>
        </w:rPr>
        <w:t xml:space="preserve">, </w:t>
      </w:r>
      <w:r w:rsidR="00C25782">
        <w:rPr>
          <w:rFonts w:ascii="Calibri" w:cs="Calibri"/>
          <w:kern w:val="0"/>
        </w:rPr>
        <w:t>OUP</w:t>
      </w:r>
      <w:r w:rsidRPr="00910B41">
        <w:rPr>
          <w:rFonts w:ascii="Calibri" w:cs="Calibri"/>
          <w:kern w:val="0"/>
        </w:rPr>
        <w:t xml:space="preserve"> 2018) 24.</w:t>
      </w:r>
      <w:r>
        <w:fldChar w:fldCharType="end"/>
      </w:r>
    </w:p>
  </w:footnote>
  <w:footnote w:id="34">
    <w:p w14:paraId="7A526D78" w14:textId="2DE93A38" w:rsidR="00910B41" w:rsidRDefault="00910B41">
      <w:pPr>
        <w:pStyle w:val="FootnoteText"/>
      </w:pPr>
      <w:r w:rsidRPr="00444F1D">
        <w:rPr>
          <w:rStyle w:val="FootnoteReference"/>
        </w:rPr>
        <w:footnoteRef/>
      </w:r>
      <w:r>
        <w:t xml:space="preserve"> </w:t>
      </w:r>
      <w:r>
        <w:fldChar w:fldCharType="begin"/>
      </w:r>
      <w:r w:rsidR="008A2231">
        <w:instrText xml:space="preserve"> ADDIN ZOTERO_ITEM CSL_CITATION {"citationID":"9Agp1H7A","properties":{"formattedCitation":"Andrew Hayward, \\uc0\\u8216{}Relations between Adults: Marriage, Civil Partnerships, and Cohabitation\\uc0\\u8217{} in Ruth Lamont (ed), {\\i{}Family Law} (1st edn, Oxford University Press 2018) 39.","plainCitation":"Andrew Hayward, ‘Relations between Adults: Marriage, Civil Partnerships, and Cohabitation’ in Ruth Lamont (ed), Family Law (1st edn, Oxford University Press 2018) 39.","dontUpdate":true,"noteIndex":34},"citationItems":[{"id":5663,"uris":["http://zotero.org/users/10005302/items/J8L48GXJ"],"itemData":{"id":5663,"type":"chapter","abstract":"This chapter explores the historical development and modern statutory framework applicable to adult formalised and non-formalised relationships. It attempts to instil a thorough understanding of the key principles applicable to the formation and subsequent regulation of these relationships. Owing to the rapid change in family forms and the growing legal recognition of same-sex relationships, the statutory framework has evolved. The chapter assess how far these frameworks have successfully accommodated modern family forms and whether further reform is required. Topics discussed include the evolution of marriage; the formal recognition of same-sex relationships; legal consequences and formalities for entry into marriage; the legal consequences of nullity; civil partnerships; and cohabitation.","container-title":"Family Law","edition":"1st","ISBN":"978-0-19-181398-6","language":"en_US","note":"container-title: Family Law\nsection: Family Law","page":"20-65","publisher":"Oxford University Press","source":"www.oxfordlawtrove.com","title":"Relations between Adults: Marriage, Civil Partnerships, and Cohabitation","author":[{"family":"Hayward","given":"Andrew"}],"editor":[{"family":"Lamont","given":"Ruth"}],"accessed":{"date-parts":[["2022",9,26]]},"issued":{"date-parts":[["2018"]]}},"locator":"39"}],"schema":"https://github.com/citation-style-language/schema/raw/master/csl-citation.json"} </w:instrText>
      </w:r>
      <w:r>
        <w:fldChar w:fldCharType="separate"/>
      </w:r>
      <w:r w:rsidRPr="00910B41">
        <w:rPr>
          <w:rFonts w:ascii="Calibri" w:cs="Calibri"/>
          <w:kern w:val="0"/>
        </w:rPr>
        <w:t>Andrew Hayward, ‘Relations between Adults: Marriage, Civil Partnerships, and Cohabitation’ in Lamont (</w:t>
      </w:r>
      <w:r w:rsidR="00D40476">
        <w:rPr>
          <w:rFonts w:ascii="Calibri" w:cs="Calibri"/>
          <w:kern w:val="0"/>
        </w:rPr>
        <w:t>n 33</w:t>
      </w:r>
      <w:r w:rsidRPr="00910B41">
        <w:rPr>
          <w:rFonts w:ascii="Calibri" w:cs="Calibri"/>
          <w:kern w:val="0"/>
        </w:rPr>
        <w:t>)</w:t>
      </w:r>
      <w:r w:rsidR="00D40476">
        <w:rPr>
          <w:rFonts w:ascii="Calibri" w:cs="Calibri"/>
          <w:kern w:val="0"/>
        </w:rPr>
        <w:t xml:space="preserve"> </w:t>
      </w:r>
      <w:r w:rsidRPr="00910B41">
        <w:rPr>
          <w:rFonts w:ascii="Calibri" w:cs="Calibri"/>
          <w:kern w:val="0"/>
        </w:rPr>
        <w:t>39.</w:t>
      </w:r>
      <w:r>
        <w:fldChar w:fldCharType="end"/>
      </w:r>
    </w:p>
  </w:footnote>
  <w:footnote w:id="35">
    <w:p w14:paraId="21037614" w14:textId="2941280A" w:rsidR="00910B41" w:rsidRDefault="00910B41">
      <w:pPr>
        <w:pStyle w:val="FootnoteText"/>
      </w:pPr>
      <w:r w:rsidRPr="00444F1D">
        <w:rPr>
          <w:rStyle w:val="FootnoteReference"/>
        </w:rPr>
        <w:footnoteRef/>
      </w:r>
      <w:r>
        <w:t xml:space="preserve"> </w:t>
      </w:r>
      <w:r>
        <w:fldChar w:fldCharType="begin"/>
      </w:r>
      <w:r w:rsidR="008A2231">
        <w:instrText xml:space="preserve"> ADDIN ZOTERO_ITEM CSL_CITATION {"citationID":"VsDhxR5l","properties":{"formattedCitation":"Katherine O\\uc0\\u8217{}Donovan, {\\i{}Family Law Matters} (Pluto Press 1993) 47.","plainCitation":"Katherine O’Donovan, Family Law Matters (Pluto Press 1993) 47.","noteIndex":35},"citationItems":[{"id":5890,"uris":["http://zotero.org/users/10005302/items/DLIEWURZ"],"itemData":{"id":5890,"type":"book","call-number":"KD750 .O38 1993","event-place":"London ; Boulder, Colo","ISBN":"978-0-7453-0506-6","number-of-pages":"138","publisher":"Pluto Press","publisher-place":"London ; Boulder, Colo","source":"Library of Congress ISBN","title":"Family law matters","author":[{"family":"O'Donovan","given":"Katherine"}],"issued":{"date-parts":[["1993"]]}},"locator":"47"}],"schema":"https://github.com/citation-style-language/schema/raw/master/csl-citation.json"} </w:instrText>
      </w:r>
      <w:r>
        <w:fldChar w:fldCharType="separate"/>
      </w:r>
      <w:r w:rsidRPr="00910B41">
        <w:rPr>
          <w:rFonts w:ascii="Calibri" w:cs="Calibri"/>
          <w:kern w:val="0"/>
        </w:rPr>
        <w:t xml:space="preserve">Katherine O’Donovan, </w:t>
      </w:r>
      <w:r w:rsidRPr="00910B41">
        <w:rPr>
          <w:rFonts w:ascii="Calibri" w:cs="Calibri"/>
          <w:i/>
          <w:iCs/>
          <w:kern w:val="0"/>
        </w:rPr>
        <w:t>Family Law Matters</w:t>
      </w:r>
      <w:r w:rsidRPr="00910B41">
        <w:rPr>
          <w:rFonts w:ascii="Calibri" w:cs="Calibri"/>
          <w:kern w:val="0"/>
        </w:rPr>
        <w:t xml:space="preserve"> (Pluto Press 1993) 47.</w:t>
      </w:r>
      <w:r>
        <w:fldChar w:fldCharType="end"/>
      </w:r>
    </w:p>
  </w:footnote>
  <w:footnote w:id="36">
    <w:p w14:paraId="06D9E57D" w14:textId="668B0FE4" w:rsidR="00910B41" w:rsidRDefault="00910B41">
      <w:pPr>
        <w:pStyle w:val="FootnoteText"/>
      </w:pPr>
      <w:r w:rsidRPr="00444F1D">
        <w:rPr>
          <w:rStyle w:val="FootnoteReference"/>
        </w:rPr>
        <w:footnoteRef/>
      </w:r>
      <w:r>
        <w:t xml:space="preserve"> </w:t>
      </w:r>
      <w:r>
        <w:fldChar w:fldCharType="begin"/>
      </w:r>
      <w:r w:rsidR="008A2231">
        <w:instrText xml:space="preserve"> ADDIN ZOTERO_ITEM CSL_CITATION {"citationID":"HbqZBqQZ","properties":{"formattedCitation":"Gillian Black, \\uc0\\u8216{}Adult Relationships and the Ongoing Significance of Sexual Intimacy\\uc0\\u8217{} in Jens M Scherpe and Stephen Gilmore (eds), {\\i{}Family Matters: Essays in Honor of John Eekelarr} (Intersentia 2022) 314.","plainCitation":"Gillian Black, ‘Adult Relationships and the Ongoing Significance of Sexual Intimacy’ in Jens M Scherpe and Stephen Gilmore (eds), Family Matters: Essays in Honor of John Eekelarr (Intersentia 2022) 314.","dontUpdate":true,"noteIndex":36},"citationItems":[{"id":6098,"uris":["http://zotero.org/users/10005302/items/JR5MTXBD"],"itemData":{"id":6098,"type":"chapter","container-title":"Family Matters: Essays in Honor of John Eekelarr","publisher":"Intersentia","title":"Adult Relationships and the Ongoing Significance of Sexual Intimacy","author":[{"family":"Black","given":"Gillian"}],"editor":[{"family":"Scherpe","given":"Jens M"},{"family":"Gilmore","given":"Stephen"}],"issued":{"date-parts":[["2022"]]}},"locator":"314"}],"schema":"https://github.com/citation-style-language/schema/raw/master/csl-citation.json"} </w:instrText>
      </w:r>
      <w:r>
        <w:fldChar w:fldCharType="separate"/>
      </w:r>
      <w:r w:rsidRPr="00910B41">
        <w:rPr>
          <w:rFonts w:ascii="Calibri" w:cs="Calibri"/>
          <w:kern w:val="0"/>
        </w:rPr>
        <w:t xml:space="preserve">Gillian Black, ‘Adult Relationships and the Ongoing Significance of Sexual Intimacy’ in Jens M </w:t>
      </w:r>
      <w:proofErr w:type="spellStart"/>
      <w:r w:rsidRPr="00910B41">
        <w:rPr>
          <w:rFonts w:ascii="Calibri" w:cs="Calibri"/>
          <w:kern w:val="0"/>
        </w:rPr>
        <w:t>Scherpe</w:t>
      </w:r>
      <w:proofErr w:type="spellEnd"/>
      <w:r w:rsidRPr="00910B41">
        <w:rPr>
          <w:rFonts w:ascii="Calibri" w:cs="Calibri"/>
          <w:kern w:val="0"/>
        </w:rPr>
        <w:t xml:space="preserve"> and Stephen Gilmore (eds), </w:t>
      </w:r>
      <w:r w:rsidRPr="00910B41">
        <w:rPr>
          <w:rFonts w:ascii="Calibri" w:cs="Calibri"/>
          <w:i/>
          <w:iCs/>
          <w:kern w:val="0"/>
        </w:rPr>
        <w:t xml:space="preserve">Family Matters: Essays in Honor of John </w:t>
      </w:r>
      <w:proofErr w:type="spellStart"/>
      <w:r w:rsidR="00D40476" w:rsidRPr="00910B41">
        <w:rPr>
          <w:rFonts w:ascii="Calibri" w:cs="Calibri"/>
          <w:i/>
          <w:iCs/>
          <w:kern w:val="0"/>
        </w:rPr>
        <w:t>Eekelaar</w:t>
      </w:r>
      <w:proofErr w:type="spellEnd"/>
      <w:r w:rsidRPr="00910B41">
        <w:rPr>
          <w:rFonts w:ascii="Calibri" w:cs="Calibri"/>
          <w:kern w:val="0"/>
        </w:rPr>
        <w:t xml:space="preserve"> (</w:t>
      </w:r>
      <w:proofErr w:type="spellStart"/>
      <w:r w:rsidRPr="00910B41">
        <w:rPr>
          <w:rFonts w:ascii="Calibri" w:cs="Calibri"/>
          <w:kern w:val="0"/>
        </w:rPr>
        <w:t>Intersentia</w:t>
      </w:r>
      <w:proofErr w:type="spellEnd"/>
      <w:r w:rsidRPr="00910B41">
        <w:rPr>
          <w:rFonts w:ascii="Calibri" w:cs="Calibri"/>
          <w:kern w:val="0"/>
        </w:rPr>
        <w:t xml:space="preserve"> 2022) 314.</w:t>
      </w:r>
      <w:r>
        <w:fldChar w:fldCharType="end"/>
      </w:r>
    </w:p>
  </w:footnote>
  <w:footnote w:id="37">
    <w:p w14:paraId="5EC6E6A5" w14:textId="03B962AA" w:rsidR="00BF16C3" w:rsidRDefault="00BF16C3">
      <w:pPr>
        <w:pStyle w:val="FootnoteText"/>
      </w:pPr>
      <w:r w:rsidRPr="00444F1D">
        <w:rPr>
          <w:rStyle w:val="FootnoteReference"/>
        </w:rPr>
        <w:footnoteRef/>
      </w:r>
      <w:r>
        <w:t xml:space="preserve"> See</w:t>
      </w:r>
      <w:r w:rsidR="00947026">
        <w:t xml:space="preserve"> discussion of </w:t>
      </w:r>
      <w:r w:rsidR="00947026">
        <w:rPr>
          <w:i/>
          <w:iCs/>
        </w:rPr>
        <w:t xml:space="preserve">Grimes </w:t>
      </w:r>
      <w:r w:rsidR="00947026">
        <w:t>by</w:t>
      </w:r>
      <w:r>
        <w:t xml:space="preserve"> Maine </w:t>
      </w:r>
      <w:r w:rsidR="00947026">
        <w:t xml:space="preserve">in </w:t>
      </w:r>
      <w:r>
        <w:t xml:space="preserve">Ch x </w:t>
      </w:r>
      <w:r w:rsidR="00947026">
        <w:t>of</w:t>
      </w:r>
      <w:r>
        <w:t xml:space="preserve"> this volume. </w:t>
      </w:r>
    </w:p>
  </w:footnote>
  <w:footnote w:id="38">
    <w:p w14:paraId="2D03FC27" w14:textId="4766866C" w:rsidR="00DB2FB1" w:rsidRDefault="00DB2FB1">
      <w:pPr>
        <w:pStyle w:val="FootnoteText"/>
      </w:pPr>
      <w:r w:rsidRPr="00444F1D">
        <w:rPr>
          <w:rStyle w:val="FootnoteReference"/>
        </w:rPr>
        <w:footnoteRef/>
      </w:r>
      <w:r>
        <w:t xml:space="preserve"> </w:t>
      </w:r>
      <w:r>
        <w:fldChar w:fldCharType="begin"/>
      </w:r>
      <w:r w:rsidR="004A365E">
        <w:instrText xml:space="preserve"> ADDIN ZOTERO_ITEM CSL_CITATION {"citationID":"nEVgIztm","properties":{"formattedCitation":"Jonathan Herring, \\uc0\\u8216{}Why Marriage Needs to Be Less Sexy\\uc0\\u8217{} in Joanna Miles, Perveez Mody and Rebecca Probert (eds), {\\i{}Marriage Rites and Rights} (Hart Publishing 2015) 276; Alexander Maine, \\uc0\\u8216{}Queer(y)Ing Consummation: An Empirical Reflection on the Marriage (Same Sex Couples) Act 2013 and the Role of Consummation\\uc0\\u8217{} (2021) 33 Child and Family Law Quarterly 143, 145.","plainCitation":"Jonathan Herring, ‘Why Marriage Needs to Be Less Sexy’ in Joanna Miles, Perveez Mody and Rebecca Probert (eds), Marriage Rites and Rights (Hart Publishing 2015) 276; Alexander Maine, ‘Queer(y)Ing Consummation: An Empirical Reflection on the Marriage (Same Sex Couples) Act 2013 and the Role of Consummation’ (2021) 33 Child and Family Law Quarterly 143, 145.","dontUpdate":true,"noteIndex":38},"citationItems":[{"id":5672,"uris":["http://zotero.org/users/10005302/items/S4WKIPNC"],"itemData":{"id":5672,"type":"chapter","container-title":"Marriage Rites and Rights","ISBN":"978-1-78225-966-4","note":"DOI: 10.5040/9781782259664","publisher":"Hart Publishing","source":"DOI.org (Crossref)","title":"Why Marriage Needs to be Less Sexy","author":[{"family":"Herring","given":"Jonathan"}],"editor":[{"family":"Miles","given":"Joanna"},{"family":"Mody","given":"Perveez"},{"family":"Probert","given":"Rebecca"}],"accessed":{"date-parts":[["2022",9,26]]},"issued":{"date-parts":[["2015"]]}},"locator":"276"},{"id":5559,"uris":["http://zotero.org/users/10005302/items/KFEIBM96"],"itemData":{"id":5559,"type":"article-journal","container-title":"Child and Family Law Quarterly","issue":"2","language":"en","page":"143","source":"Zotero","title":"Queer(y)ing consummation: an empirical reflection on the Marriage (Same Sex Couples) Act 2013 and the role of consummation","volume":"33","author":[{"family":"Maine","given":"Alexander"}],"issued":{"date-parts":[["2021"]]}},"locator":"145"}],"schema":"https://github.com/citation-style-language/schema/raw/master/csl-citation.json"} </w:instrText>
      </w:r>
      <w:r>
        <w:fldChar w:fldCharType="separate"/>
      </w:r>
      <w:r w:rsidRPr="00DB2FB1">
        <w:rPr>
          <w:rFonts w:ascii="Calibri" w:cs="Calibri"/>
          <w:kern w:val="0"/>
        </w:rPr>
        <w:t xml:space="preserve">Jonathan Herring, ‘Why Marriage Needs to Be Less Sexy’ in Joanna Miles, </w:t>
      </w:r>
      <w:proofErr w:type="spellStart"/>
      <w:r w:rsidRPr="00DB2FB1">
        <w:rPr>
          <w:rFonts w:ascii="Calibri" w:cs="Calibri"/>
          <w:kern w:val="0"/>
        </w:rPr>
        <w:t>Perveez</w:t>
      </w:r>
      <w:proofErr w:type="spellEnd"/>
      <w:r w:rsidRPr="00DB2FB1">
        <w:rPr>
          <w:rFonts w:ascii="Calibri" w:cs="Calibri"/>
          <w:kern w:val="0"/>
        </w:rPr>
        <w:t xml:space="preserve"> Mody and Rebecca Probert (eds), </w:t>
      </w:r>
      <w:r w:rsidRPr="00DB2FB1">
        <w:rPr>
          <w:rFonts w:ascii="Calibri" w:cs="Calibri"/>
          <w:i/>
          <w:iCs/>
          <w:kern w:val="0"/>
        </w:rPr>
        <w:t>Marriage Rites and Rights</w:t>
      </w:r>
      <w:r w:rsidRPr="00DB2FB1">
        <w:rPr>
          <w:rFonts w:ascii="Calibri" w:cs="Calibri"/>
          <w:kern w:val="0"/>
        </w:rPr>
        <w:t xml:space="preserve"> (Hart Publishing 2015) 276; Alexander Maine, ‘Queer(y)Ing Consummation: An Empirical Reflection on the Marriage (Same Sex Couples) Act 2013 and the Role of Consummation’ (2021) 33 C</w:t>
      </w:r>
      <w:r w:rsidR="00F841A3">
        <w:rPr>
          <w:rFonts w:ascii="Calibri" w:cs="Calibri"/>
          <w:kern w:val="0"/>
        </w:rPr>
        <w:t>FLQ</w:t>
      </w:r>
      <w:r w:rsidRPr="00DB2FB1">
        <w:rPr>
          <w:rFonts w:ascii="Calibri" w:cs="Calibri"/>
          <w:kern w:val="0"/>
        </w:rPr>
        <w:t xml:space="preserve"> 143, 145.</w:t>
      </w:r>
      <w:r>
        <w:fldChar w:fldCharType="end"/>
      </w:r>
    </w:p>
  </w:footnote>
  <w:footnote w:id="39">
    <w:p w14:paraId="5A521398" w14:textId="5340C758" w:rsidR="00910B41" w:rsidRDefault="00910B41">
      <w:pPr>
        <w:pStyle w:val="FootnoteText"/>
      </w:pPr>
      <w:r w:rsidRPr="00444F1D">
        <w:rPr>
          <w:rStyle w:val="FootnoteReference"/>
        </w:rPr>
        <w:footnoteRef/>
      </w:r>
      <w:r>
        <w:t xml:space="preserve"> </w:t>
      </w:r>
      <w:r>
        <w:fldChar w:fldCharType="begin"/>
      </w:r>
      <w:r w:rsidR="000B3771">
        <w:instrText xml:space="preserve"> ADDIN ZOTERO_ITEM CSL_CITATION {"citationID":"3XNyVdnQ","properties":{"formattedCitation":"Maine (n 38) 145.","plainCitation":"Maine (n 38) 145.","noteIndex":39},"citationItems":[{"id":5559,"uris":["http://zotero.org/users/10005302/items/KFEIBM96"],"itemData":{"id":5559,"type":"article-journal","container-title":"Child and Family Law Quarterly","issue":"2","language":"en","page":"143","source":"Zotero","title":"Queer(y)ing consummation: an empirical reflection on the Marriage (Same Sex Couples) Act 2013 and the role of consummation","volume":"33","author":[{"family":"Maine","given":"Alexander"}],"issued":{"date-parts":[["2021"]]}},"locator":"145"}],"schema":"https://github.com/citation-style-language/schema/raw/master/csl-citation.json"} </w:instrText>
      </w:r>
      <w:r>
        <w:fldChar w:fldCharType="separate"/>
      </w:r>
      <w:r w:rsidR="000B3771">
        <w:rPr>
          <w:rFonts w:ascii="Calibri" w:cs="Calibri"/>
          <w:kern w:val="0"/>
        </w:rPr>
        <w:t>Maine (n 38) 145.</w:t>
      </w:r>
      <w:r>
        <w:fldChar w:fldCharType="end"/>
      </w:r>
    </w:p>
  </w:footnote>
  <w:footnote w:id="40">
    <w:p w14:paraId="09A25539" w14:textId="2AB83CF2" w:rsidR="00BB793E" w:rsidRDefault="00BB793E">
      <w:pPr>
        <w:pStyle w:val="FootnoteText"/>
      </w:pPr>
      <w:r w:rsidRPr="00444F1D">
        <w:rPr>
          <w:rStyle w:val="FootnoteReference"/>
        </w:rPr>
        <w:footnoteRef/>
      </w:r>
      <w:r>
        <w:t xml:space="preserve"> In respect of Scotland, see </w:t>
      </w:r>
      <w:r>
        <w:fldChar w:fldCharType="begin"/>
      </w:r>
      <w:r w:rsidR="008A2231">
        <w:instrText xml:space="preserve"> ADDIN ZOTERO_ITEM CSL_CITATION {"citationID":"PNPXL0ho","properties":{"formattedCitation":"{\\i{}HMA v Kelly} [2001] Unreported.","plainCitation":"HMA v Kelly [2001] Unreported.","noteIndex":40},"citationItems":[{"id":3917,"uris":["http://zotero.org/users/10005302/items/FVXNZ87M"],"itemData":{"id":3917,"type":"legal_case","note":"container-title: Unreported","title":"HMA v Kelly","issued":{"date-parts":[["2001"]]}}}],"schema":"https://github.com/citation-style-language/schema/raw/master/csl-citation.json"} </w:instrText>
      </w:r>
      <w:r>
        <w:fldChar w:fldCharType="separate"/>
      </w:r>
      <w:r w:rsidRPr="00BB793E">
        <w:rPr>
          <w:rFonts w:ascii="Calibri" w:cs="Calibri"/>
          <w:i/>
          <w:iCs/>
          <w:kern w:val="0"/>
        </w:rPr>
        <w:t>HMA v Kelly</w:t>
      </w:r>
      <w:r w:rsidRPr="00BB793E">
        <w:rPr>
          <w:rFonts w:ascii="Calibri" w:cs="Calibri"/>
          <w:kern w:val="0"/>
        </w:rPr>
        <w:t xml:space="preserve"> [2001] Unreported.</w:t>
      </w:r>
      <w:r>
        <w:fldChar w:fldCharType="end"/>
      </w:r>
    </w:p>
  </w:footnote>
  <w:footnote w:id="41">
    <w:p w14:paraId="41371CF4" w14:textId="1B30449C" w:rsidR="00910B41" w:rsidRDefault="00910B41">
      <w:pPr>
        <w:pStyle w:val="FootnoteText"/>
      </w:pPr>
      <w:r w:rsidRPr="00444F1D">
        <w:rPr>
          <w:rStyle w:val="FootnoteReference"/>
        </w:rPr>
        <w:footnoteRef/>
      </w:r>
      <w:r>
        <w:t xml:space="preserve"> </w:t>
      </w:r>
      <w:r>
        <w:fldChar w:fldCharType="begin"/>
      </w:r>
      <w:r w:rsidR="004A365E">
        <w:instrText xml:space="preserve"> ADDIN ZOTERO_ITEM CSL_CITATION {"citationID":"VDgMIqUk","properties":{"formattedCitation":"{\\i{}R v Dica} (n 7); Matthew Weait, {\\i{}Intimacy and Responsibility: The Criminalisation of HIV Transmission} (Routledge-Cavendish 2007) 28.","plainCitation":"R v Dica (n 7); Matthew Weait, Intimacy and Responsibility: The Criminalisation of HIV Transmission (Routledge-Cavendish 2007) 28.","dontUpdate":true,"noteIndex":41},"citationItems":[{"id":652,"uris":["http://zotero.org/users/10005302/items/JCKHDVYU"],"itemData":{"id":652,"type":"legal_case","note":"container-title: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id":564,"uris":["http://zotero.org/users/10005302/items/2L7AJDG2"],"itemData":{"id":564,"type":"book","abstract":"\"A GlassHouse book.\" The terrain : the state, criminal justice and HIV -- The trial of Feston Konzani -- Harm, causation and HIV infection -- Risk, recklessness and HIV -- Consent, knowledge and disclosure -- Responsibility, HIV transmission and the criminal law.","ISBN":"0-203-93793-7","number-of-pages":"250","publisher":"Routledge-Cavendish","title":"Intimacy and Responsibility: The Criminalisation of HIV Transmission","author":[{"family":"Weait","given":"Matthew"}],"accessed":{"date-parts":[["2017",10,15]]},"issued":{"date-parts":[["2007"]]}},"locator":"28","label":"page"}],"schema":"https://github.com/citation-style-language/schema/raw/master/csl-citation.json"} </w:instrText>
      </w:r>
      <w:r>
        <w:fldChar w:fldCharType="separate"/>
      </w:r>
      <w:proofErr w:type="spellStart"/>
      <w:r w:rsidRPr="00910B41">
        <w:rPr>
          <w:rFonts w:ascii="Calibri" w:cs="Calibri"/>
          <w:i/>
          <w:iCs/>
          <w:kern w:val="0"/>
        </w:rPr>
        <w:t>Dica</w:t>
      </w:r>
      <w:proofErr w:type="spellEnd"/>
      <w:r w:rsidRPr="00910B41">
        <w:rPr>
          <w:rFonts w:ascii="Calibri" w:cs="Calibri"/>
          <w:kern w:val="0"/>
        </w:rPr>
        <w:t xml:space="preserve"> (n 7); Matthew Weait, </w:t>
      </w:r>
      <w:r w:rsidRPr="00910B41">
        <w:rPr>
          <w:rFonts w:ascii="Calibri" w:cs="Calibri"/>
          <w:i/>
          <w:iCs/>
          <w:kern w:val="0"/>
        </w:rPr>
        <w:t>Intimacy and Responsibility: The Criminalisation of HIV Transmission</w:t>
      </w:r>
      <w:r w:rsidRPr="00910B41">
        <w:rPr>
          <w:rFonts w:ascii="Calibri" w:cs="Calibri"/>
          <w:kern w:val="0"/>
        </w:rPr>
        <w:t xml:space="preserve"> (Routledge-Cavendish 2007) 28.</w:t>
      </w:r>
      <w:r>
        <w:fldChar w:fldCharType="end"/>
      </w:r>
    </w:p>
  </w:footnote>
  <w:footnote w:id="42">
    <w:p w14:paraId="2482BE41" w14:textId="564E197F" w:rsidR="00910B41" w:rsidRDefault="00910B41">
      <w:pPr>
        <w:pStyle w:val="FootnoteText"/>
      </w:pPr>
      <w:r w:rsidRPr="00444F1D">
        <w:rPr>
          <w:rStyle w:val="FootnoteReference"/>
        </w:rPr>
        <w:footnoteRef/>
      </w:r>
      <w:r>
        <w:t xml:space="preserve"> </w:t>
      </w:r>
      <w:r>
        <w:fldChar w:fldCharType="begin"/>
      </w:r>
      <w:r w:rsidR="004A365E">
        <w:instrText xml:space="preserve"> ADDIN ZOTERO_ITEM CSL_CITATION {"citationID":"Wcc13D1w","properties":{"formattedCitation":"Vanessa E Munro, \\uc0\\u8216{}On Responsible Relationships and Irresponsible Sex - Criminalising the Reckless Transmission of HIV R v Dica and R v Konzani\\uc0\\u8217{} (2007) 19 Child and Family Law Quarterly 112, 113.","plainCitation":"Vanessa E Munro, ‘On Responsible Relationships and Irresponsible Sex - Criminalising the Reckless Transmission of HIV R v Dica and R v Konzani’ (2007) 19 Child and Family Law Quarterly 112, 113.","dontUpdate":true,"noteIndex":42},"citationItems":[{"id":1505,"uris":["http://zotero.org/users/10005302/items/LW2BSJXR"],"itemData":{"id":1505,"type":"article-journal","abstract":"In R v Dica and again in R v Konzani, the Court of Appeal considered whether a defendant who, with advertent recklessness rather than purposive intent, had infected another with the HIV virus during consensual sexual intercourse could be liable for inflicting grievous bodily harm contrary to section 20 of the Offences Against the Person Act 1861. Having outlined the grounds upon which the Court of Appeal reached its conclusion in each of these cases, this commentary will examine the combined effect of the decisions, with particular reference to the concepts of relationship and responsibility that have long informed family law and policy. n being called upon to regulate personal relationships, the courts frequently find themselves navigating the difficult terrain between the maximal standards of behaviour that one ought to accord to one's partner and the minimal standards that one can legitimately and realistically demand of another. The recent Court of Appeal judgments in the cases of R v Dica and R v Konzani provide vivid illustrations of judicial efforts to strike this balance in the context of reckless sexual transmission of the HIV virus. In a world in which AIDS remains without a cure, we may well hope that those infected with HIV would voluntarily disclose their status to sexual partners. Yet research indicates that in a substantial number of cases, this does not occur. In one study, for example, 40% of HIV positive respondents had not disclosed their status to their partners, despite their existing in stable, monogamous relationships in half of those cases. Moreover, of those respondents who had not disclosed, more than half did not use condoms every time they had intercourse. 2","container-title":"Child and Family Law Quarterly","page":"112","title":"On Responsible Relationships and Irresponsible Sex - Criminalising the Reckless Transmission of HIV R v Dica and R v Konzani","volume":"19","author":[{"family":"Munro","given":"Vanessa E"}],"issued":{"date-parts":[["2007"]]}},"locator":"113","label":"page"}],"schema":"https://github.com/citation-style-language/schema/raw/master/csl-citation.json"} </w:instrText>
      </w:r>
      <w:r>
        <w:fldChar w:fldCharType="separate"/>
      </w:r>
      <w:r w:rsidRPr="00910B41">
        <w:rPr>
          <w:rFonts w:ascii="Calibri" w:cs="Calibri"/>
          <w:kern w:val="0"/>
        </w:rPr>
        <w:t xml:space="preserve">Vanessa E Munro, ‘On Responsible Relationships and Irresponsible Sex - Criminalising the Reckless Transmission of HIV R v </w:t>
      </w:r>
      <w:proofErr w:type="spellStart"/>
      <w:r w:rsidRPr="00910B41">
        <w:rPr>
          <w:rFonts w:ascii="Calibri" w:cs="Calibri"/>
          <w:kern w:val="0"/>
        </w:rPr>
        <w:t>Dica</w:t>
      </w:r>
      <w:proofErr w:type="spellEnd"/>
      <w:r w:rsidRPr="00910B41">
        <w:rPr>
          <w:rFonts w:ascii="Calibri" w:cs="Calibri"/>
          <w:kern w:val="0"/>
        </w:rPr>
        <w:t xml:space="preserve"> and R v </w:t>
      </w:r>
      <w:proofErr w:type="spellStart"/>
      <w:r w:rsidRPr="00910B41">
        <w:rPr>
          <w:rFonts w:ascii="Calibri" w:cs="Calibri"/>
          <w:kern w:val="0"/>
        </w:rPr>
        <w:t>Konzani</w:t>
      </w:r>
      <w:proofErr w:type="spellEnd"/>
      <w:r w:rsidRPr="00910B41">
        <w:rPr>
          <w:rFonts w:ascii="Calibri" w:cs="Calibri"/>
          <w:kern w:val="0"/>
        </w:rPr>
        <w:t xml:space="preserve">’ (2007) 19 </w:t>
      </w:r>
      <w:r w:rsidR="00F841A3">
        <w:rPr>
          <w:rFonts w:ascii="Calibri" w:cs="Calibri"/>
          <w:kern w:val="0"/>
        </w:rPr>
        <w:t>CFLQ</w:t>
      </w:r>
      <w:r w:rsidRPr="00910B41">
        <w:rPr>
          <w:rFonts w:ascii="Calibri" w:cs="Calibri"/>
          <w:kern w:val="0"/>
        </w:rPr>
        <w:t xml:space="preserve"> 112, 113.</w:t>
      </w:r>
      <w:r>
        <w:fldChar w:fldCharType="end"/>
      </w:r>
    </w:p>
  </w:footnote>
  <w:footnote w:id="43">
    <w:p w14:paraId="25C09033" w14:textId="40B9D332" w:rsidR="00910B41" w:rsidRDefault="00910B41">
      <w:pPr>
        <w:pStyle w:val="FootnoteText"/>
      </w:pPr>
      <w:r w:rsidRPr="00444F1D">
        <w:rPr>
          <w:rStyle w:val="FootnoteReference"/>
        </w:rPr>
        <w:footnoteRef/>
      </w:r>
      <w:r>
        <w:t xml:space="preserve"> </w:t>
      </w:r>
      <w:r>
        <w:fldChar w:fldCharType="begin"/>
      </w:r>
      <w:r w:rsidR="008A2231">
        <w:instrText xml:space="preserve"> ADDIN ZOTERO_ITEM CSL_CITATION {"citationID":"adrVVZyn","properties":{"formattedCitation":"{\\i{}R v Dica} (n 7) [7]-[9].","plainCitation":"R v Dica (n 7) [7]-[9].","dontUpdate":true,"noteIndex":43},"citationItems":[{"id":652,"uris":["http://zotero.org/users/10005302/items/JCKHDVYU"],"itemData":{"id":652,"type":"legal_case","note":"container-title: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Dica","URL":"https://login.westlaw.co.uk/maf/wluk/app/document?src=doc&amp;linktype=ref&amp;context=25&amp;crumb-action=replace&amp;docguid=I3F9C17B0E42811DA8FC2A0F0355337E9","accessed":{"date-parts":[["2017",10,10]]},"issued":{"date-parts":[["2004"]]}},"label":"page","suffix":" [7]-[9]"}],"schema":"https://github.com/citation-style-language/schema/raw/master/csl-citation.json"} </w:instrText>
      </w:r>
      <w:r>
        <w:fldChar w:fldCharType="separate"/>
      </w:r>
      <w:proofErr w:type="spellStart"/>
      <w:r w:rsidRPr="00910B41">
        <w:rPr>
          <w:rFonts w:ascii="Calibri" w:cs="Calibri"/>
          <w:i/>
          <w:iCs/>
          <w:kern w:val="0"/>
        </w:rPr>
        <w:t>Dica</w:t>
      </w:r>
      <w:proofErr w:type="spellEnd"/>
      <w:r w:rsidRPr="00910B41">
        <w:rPr>
          <w:rFonts w:ascii="Calibri" w:cs="Calibri"/>
          <w:kern w:val="0"/>
        </w:rPr>
        <w:t xml:space="preserve"> (n 7) [7]-[9].</w:t>
      </w:r>
      <w:r>
        <w:fldChar w:fldCharType="end"/>
      </w:r>
    </w:p>
  </w:footnote>
  <w:footnote w:id="44">
    <w:p w14:paraId="0296B91E" w14:textId="74DCE606" w:rsidR="00910B41" w:rsidRDefault="00910B41">
      <w:pPr>
        <w:pStyle w:val="FootnoteText"/>
      </w:pPr>
      <w:r w:rsidRPr="00444F1D">
        <w:rPr>
          <w:rStyle w:val="FootnoteReference"/>
        </w:rPr>
        <w:footnoteRef/>
      </w:r>
      <w:r>
        <w:t xml:space="preserve"> </w:t>
      </w:r>
      <w:r>
        <w:fldChar w:fldCharType="begin"/>
      </w:r>
      <w:r w:rsidR="008A2231">
        <w:instrText xml:space="preserve"> ADDIN ZOTERO_ITEM CSL_CITATION {"citationID":"TPuuWxOS","properties":{"formattedCitation":"ibid [39].","plainCitation":"ibid [39].","noteIndex":44},"citationItems":[{"id":652,"uris":["http://zotero.org/users/10005302/items/JCKHDVYU"],"itemData":{"id":652,"type":"legal_case","note":"container-title: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Dica","URL":"https://login.westlaw.co.uk/maf/wluk/app/document?src=doc&amp;linktype=ref&amp;context=25&amp;crumb-action=replace&amp;docguid=I3F9C17B0E42811DA8FC2A0F0355337E9","accessed":{"date-parts":[["2017",10,10]]},"issued":{"date-parts":[["2004"]]}},"label":"page","suffix":" [39]"}],"schema":"https://github.com/citation-style-language/schema/raw/master/csl-citation.json"} </w:instrText>
      </w:r>
      <w:r>
        <w:fldChar w:fldCharType="separate"/>
      </w:r>
      <w:r w:rsidR="00947167">
        <w:rPr>
          <w:noProof/>
        </w:rPr>
        <w:t>ibid [39].</w:t>
      </w:r>
      <w:r>
        <w:fldChar w:fldCharType="end"/>
      </w:r>
    </w:p>
  </w:footnote>
  <w:footnote w:id="45">
    <w:p w14:paraId="1CFAE290" w14:textId="629C3C0B" w:rsidR="008331A0" w:rsidRDefault="008331A0">
      <w:pPr>
        <w:pStyle w:val="FootnoteText"/>
      </w:pPr>
      <w:r w:rsidRPr="00444F1D">
        <w:rPr>
          <w:rStyle w:val="FootnoteReference"/>
        </w:rPr>
        <w:footnoteRef/>
      </w:r>
      <w:r>
        <w:t xml:space="preserve"> </w:t>
      </w:r>
      <w:r>
        <w:fldChar w:fldCharType="begin"/>
      </w:r>
      <w:r w:rsidR="008A2231">
        <w:instrText xml:space="preserve"> ADDIN ZOTERO_ITEM CSL_CITATION {"citationID":"gSMr1sm7","properties":{"formattedCitation":"{\\i{}R v Brown} (1994) 1 AC 212.","plainCitation":"R v Brown (1994) 1 AC 212.","noteIndex":45},"citationItems":[{"id":3857,"uris":["http://zotero.org/users/10005302/items/IEPFV3KY"],"itemData":{"id":3857,"type":"legal_case","note":"container-title: AC","page":"212","title":"R v Brown","volume":"1","issued":{"date-parts":[["1994"]]}}}],"schema":"https://github.com/citation-style-language/schema/raw/master/csl-citation.json"} </w:instrText>
      </w:r>
      <w:r>
        <w:fldChar w:fldCharType="separate"/>
      </w:r>
      <w:r w:rsidRPr="008331A0">
        <w:rPr>
          <w:rFonts w:ascii="Calibri" w:cs="Calibri"/>
          <w:i/>
          <w:iCs/>
          <w:kern w:val="0"/>
        </w:rPr>
        <w:t>R v Brown</w:t>
      </w:r>
      <w:r w:rsidRPr="008331A0">
        <w:rPr>
          <w:rFonts w:ascii="Calibri" w:cs="Calibri"/>
          <w:kern w:val="0"/>
        </w:rPr>
        <w:t xml:space="preserve"> (1994) 1 AC 212.</w:t>
      </w:r>
      <w:r>
        <w:fldChar w:fldCharType="end"/>
      </w:r>
    </w:p>
  </w:footnote>
  <w:footnote w:id="46">
    <w:p w14:paraId="33820C6F" w14:textId="78DB4658" w:rsidR="008331A0" w:rsidRDefault="008331A0">
      <w:pPr>
        <w:pStyle w:val="FootnoteText"/>
      </w:pPr>
      <w:r w:rsidRPr="00444F1D">
        <w:rPr>
          <w:rStyle w:val="FootnoteReference"/>
        </w:rPr>
        <w:footnoteRef/>
      </w:r>
      <w:r>
        <w:t xml:space="preserve"> </w:t>
      </w:r>
      <w:r>
        <w:fldChar w:fldCharType="begin"/>
      </w:r>
      <w:r w:rsidR="000B3771">
        <w:instrText xml:space="preserve"> ADDIN ZOTERO_ITEM CSL_CITATION {"citationID":"qwcAKCk1","properties":{"formattedCitation":"Munro (n 39).","plainCitation":"Munro (n 39).","dontUpdate":true,"noteIndex":46},"citationItems":[{"id":1505,"uris":["http://zotero.org/users/10005302/items/LW2BSJXR"],"itemData":{"id":1505,"type":"article-journal","abstract":"In R v Dica and again in R v Konzani, the Court of Appeal considered whether a defendant who, with advertent recklessness rather than purposive intent, had infected another with the HIV virus during consensual sexual intercourse could be liable for inflicting grievous bodily harm contrary to section 20 of the Offences Against the Person Act 1861. Having outlined the grounds upon which the Court of Appeal reached its conclusion in each of these cases, this commentary will examine the combined effect of the decisions, with particular reference to the concepts of relationship and responsibility that have long informed family law and policy. n being called upon to regulate personal relationships, the courts frequently find themselves navigating the difficult terrain between the maximal standards of behaviour that one ought to accord to one's partner and the minimal standards that one can legitimately and realistically demand of another. The recent Court of Appeal judgments in the cases of R v Dica and R v Konzani provide vivid illustrations of judicial efforts to strike this balance in the context of reckless sexual transmission of the HIV virus. In a world in which AIDS remains without a cure, we may well hope that those infected with HIV would voluntarily disclose their status to sexual partners. Yet research indicates that in a substantial number of cases, this does not occur. In one study, for example, 40% of HIV positive respondents had not disclosed their status to their partners, despite their existing in stable, monogamous relationships in half of those cases. Moreover, of those respondents who had not disclosed, more than half did not use condoms every time they had intercourse. 2","container-title":"Child and Family Law Quarterly","page":"112","title":"On Responsible Relationships and Irresponsible Sex - Criminalising the Reckless Transmission of HIV R v Dica and R v Konzani","volume":"19","author":[{"family":"Munro","given":"Vanessa E"}],"issued":{"date-parts":[["2007"]]}}}],"schema":"https://github.com/citation-style-language/schema/raw/master/csl-citation.json"} </w:instrText>
      </w:r>
      <w:r>
        <w:fldChar w:fldCharType="separate"/>
      </w:r>
      <w:r>
        <w:rPr>
          <w:noProof/>
        </w:rPr>
        <w:t xml:space="preserve">Munro (n </w:t>
      </w:r>
      <w:r w:rsidR="00C33E25">
        <w:rPr>
          <w:noProof/>
        </w:rPr>
        <w:t>42</w:t>
      </w:r>
      <w:r>
        <w:rPr>
          <w:noProof/>
        </w:rPr>
        <w:t>) 144.</w:t>
      </w:r>
      <w:r>
        <w:fldChar w:fldCharType="end"/>
      </w:r>
    </w:p>
  </w:footnote>
  <w:footnote w:id="47">
    <w:p w14:paraId="7A57E096" w14:textId="4EABF706" w:rsidR="00947167" w:rsidRDefault="00947167">
      <w:pPr>
        <w:pStyle w:val="FootnoteText"/>
      </w:pPr>
      <w:r w:rsidRPr="00444F1D">
        <w:rPr>
          <w:rStyle w:val="FootnoteReference"/>
        </w:rPr>
        <w:footnoteRef/>
      </w:r>
      <w:r>
        <w:t xml:space="preserve"> </w:t>
      </w:r>
      <w:r>
        <w:fldChar w:fldCharType="begin"/>
      </w:r>
      <w:r w:rsidR="004A365E">
        <w:instrText xml:space="preserve"> ADDIN ZOTERO_ITEM CSL_CITATION {"citationID":"4e0VQZBV","properties":{"formattedCitation":"{\\i{}R v Dica} (n 7) [47]; Munro (n 42) 144.","plainCitation":"R v Dica (n 7) [47]; Munro (n 42) 144.","dontUpdate":true,"noteIndex":47},"citationItems":[{"id":652,"uris":["http://zotero.org/users/10005302/items/JCKHDVYU"],"itemData":{"id":652,"type":"legal_case","note":"container-title: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Dica","URL":"https://login.westlaw.co.uk/maf/wluk/app/document?src=doc&amp;linktype=ref&amp;context=25&amp;crumb-action=replace&amp;docguid=I3F9C17B0E42811DA8FC2A0F0355337E9","accessed":{"date-parts":[["2017",10,10]]},"issued":{"date-parts":[["2004"]]}},"label":"page","suffix":" [47]"},{"id":1505,"uris":["http://zotero.org/users/10005302/items/LW2BSJXR"],"itemData":{"id":1505,"type":"article-journal","abstract":"In R v Dica and again in R v Konzani, the Court of Appeal considered whether a defendant who, with advertent recklessness rather than purposive intent, had infected another with the HIV virus during consensual sexual intercourse could be liable for inflicting grievous bodily harm contrary to section 20 of the Offences Against the Person Act 1861. Having outlined the grounds upon which the Court of Appeal reached its conclusion in each of these cases, this commentary will examine the combined effect of the decisions, with particular reference to the concepts of relationship and responsibility that have long informed family law and policy. n being called upon to regulate personal relationships, the courts frequently find themselves navigating the difficult terrain between the maximal standards of behaviour that one ought to accord to one's partner and the minimal standards that one can legitimately and realistically demand of another. The recent Court of Appeal judgments in the cases of R v Dica and R v Konzani provide vivid illustrations of judicial efforts to strike this balance in the context of reckless sexual transmission of the HIV virus. In a world in which AIDS remains without a cure, we may well hope that those infected with HIV would voluntarily disclose their status to sexual partners. Yet research indicates that in a substantial number of cases, this does not occur. In one study, for example, 40% of HIV positive respondents had not disclosed their status to their partners, despite their existing in stable, monogamous relationships in half of those cases. Moreover, of those respondents who had not disclosed, more than half did not use condoms every time they had intercourse. 2","container-title":"Child and Family Law Quarterly","page":"112","title":"On Responsible Relationships and Irresponsible Sex - Criminalising the Reckless Transmission of HIV R v Dica and R v Konzani","volume":"19","author":[{"family":"Munro","given":"Vanessa E"}],"issued":{"date-parts":[["2007"]]}},"locator":"144"}],"schema":"https://github.com/citation-style-language/schema/raw/master/csl-citation.json"} </w:instrText>
      </w:r>
      <w:r>
        <w:fldChar w:fldCharType="separate"/>
      </w:r>
      <w:r w:rsidR="000B3771" w:rsidRPr="000B3771">
        <w:rPr>
          <w:rFonts w:ascii="Calibri" w:cs="Calibri"/>
          <w:i/>
          <w:iCs/>
          <w:kern w:val="0"/>
        </w:rPr>
        <w:t xml:space="preserve"> </w:t>
      </w:r>
      <w:proofErr w:type="spellStart"/>
      <w:r w:rsidR="000B3771" w:rsidRPr="000B3771">
        <w:rPr>
          <w:rFonts w:ascii="Calibri" w:cs="Calibri"/>
          <w:i/>
          <w:iCs/>
          <w:kern w:val="0"/>
        </w:rPr>
        <w:t>Dica</w:t>
      </w:r>
      <w:proofErr w:type="spellEnd"/>
      <w:r w:rsidR="000B3771" w:rsidRPr="000B3771">
        <w:rPr>
          <w:rFonts w:ascii="Calibri" w:cs="Calibri"/>
          <w:kern w:val="0"/>
        </w:rPr>
        <w:t xml:space="preserve"> (n 7) [47]; </w:t>
      </w:r>
      <w:r w:rsidR="00C33E25">
        <w:rPr>
          <w:rFonts w:ascii="Calibri" w:cs="Calibri"/>
          <w:kern w:val="0"/>
        </w:rPr>
        <w:t xml:space="preserve">ibid </w:t>
      </w:r>
      <w:r w:rsidR="000B3771" w:rsidRPr="000B3771">
        <w:rPr>
          <w:rFonts w:ascii="Calibri" w:cs="Calibri"/>
          <w:kern w:val="0"/>
        </w:rPr>
        <w:t>144.</w:t>
      </w:r>
      <w:r>
        <w:fldChar w:fldCharType="end"/>
      </w:r>
    </w:p>
  </w:footnote>
  <w:footnote w:id="48">
    <w:p w14:paraId="69A87444" w14:textId="324ACE0B" w:rsidR="008331A0" w:rsidRDefault="008331A0">
      <w:pPr>
        <w:pStyle w:val="FootnoteText"/>
      </w:pPr>
      <w:r w:rsidRPr="00444F1D">
        <w:rPr>
          <w:rStyle w:val="FootnoteReference"/>
        </w:rPr>
        <w:footnoteRef/>
      </w:r>
      <w:r>
        <w:t xml:space="preserve"> </w:t>
      </w:r>
      <w:r>
        <w:fldChar w:fldCharType="begin"/>
      </w:r>
      <w:r w:rsidR="004A365E">
        <w:instrText xml:space="preserve"> ADDIN ZOTERO_ITEM CSL_CITATION {"citationID":"DSlxPDkJ","properties":{"formattedCitation":"Samantha Ryan, \\uc0\\u8216{}Risk-Taking, Recklessness and HIV Transmission: Accommodating the Reality of Sexual Transmission of HIV within a Justifiable Approach to Criminal Liability\\uc0\\u8217{} (2007) 28 Liverpool Law Review 215.","plainCitation":"Samantha Ryan, ‘Risk-Taking, Recklessness and HIV Transmission: Accommodating the Reality of Sexual Transmission of HIV within a Justifiable Approach to Criminal Liability’ (2007) 28 Liverpool Law Review 215.","dontUpdate":true,"noteIndex":48},"citationItems":[{"id":1167,"uris":["http://zotero.org/users/10005302/items/WLTZZ7X7"],"itemData":{"id":1167,"type":"article-journal","container-title":"Liverpool Law Review","DOI":"10.1007/s10991-007-9020-7","ISSN":"0144932X","issue":"2","note":"publisher: Springer Netherlands","page":"215-247","title":"Risk-taking, recklessness and HIV transmission: Accommodating the reality of sexual transmission of HIV within a justifiable approach to criminal liability","volume":"28","author":[{"family":"Ryan","given":"Samantha"}],"issued":{"date-parts":[["2007",9,8]]}}}],"schema":"https://github.com/citation-style-language/schema/raw/master/csl-citation.json"} </w:instrText>
      </w:r>
      <w:r>
        <w:fldChar w:fldCharType="separate"/>
      </w:r>
      <w:r w:rsidR="000F7152" w:rsidRPr="000F7152">
        <w:rPr>
          <w:rFonts w:ascii="Calibri" w:cs="Calibri"/>
          <w:kern w:val="0"/>
        </w:rPr>
        <w:t>Samantha Ryan, ‘Risk-Taking, Recklessness and HIV Transmission: Accommodating the Reality of Sexual Transmission of HIV within a Justifiable Approach to Criminal Liability’ (2007) 28 Liverpool L</w:t>
      </w:r>
      <w:r w:rsidR="00F841A3">
        <w:rPr>
          <w:rFonts w:ascii="Calibri" w:cs="Calibri"/>
          <w:kern w:val="0"/>
        </w:rPr>
        <w:t xml:space="preserve">R </w:t>
      </w:r>
      <w:r w:rsidR="000F7152" w:rsidRPr="000F7152">
        <w:rPr>
          <w:rFonts w:ascii="Calibri" w:cs="Calibri"/>
          <w:kern w:val="0"/>
        </w:rPr>
        <w:t>215.</w:t>
      </w:r>
      <w:r>
        <w:fldChar w:fldCharType="end"/>
      </w:r>
    </w:p>
  </w:footnote>
  <w:footnote w:id="49">
    <w:p w14:paraId="3EEAC4AF" w14:textId="3BB8FB21" w:rsidR="00947167" w:rsidRDefault="00947167">
      <w:pPr>
        <w:pStyle w:val="FootnoteText"/>
      </w:pPr>
      <w:r w:rsidRPr="00444F1D">
        <w:rPr>
          <w:rStyle w:val="FootnoteReference"/>
        </w:rPr>
        <w:footnoteRef/>
      </w:r>
      <w:r>
        <w:t xml:space="preserve"> </w:t>
      </w:r>
      <w:r>
        <w:fldChar w:fldCharType="begin"/>
      </w:r>
      <w:r w:rsidR="008A2231">
        <w:instrText xml:space="preserve"> ADDIN ZOTERO_ITEM CSL_CITATION {"citationID":"iHQFgUAI","properties":{"formattedCitation":"{\\i{}R v Dica} (n 7) [49].","plainCitation":"R v Dica (n 7) [49].","dontUpdate":true,"noteIndex":49},"citationItems":[{"id":652,"uris":["http://zotero.org/users/10005302/items/JCKHDVYU"],"itemData":{"id":652,"type":"legal_case","note":"container-title: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Dica","URL":"https://login.westlaw.co.uk/maf/wluk/app/document?src=doc&amp;linktype=ref&amp;context=25&amp;crumb-action=replace&amp;docguid=I3F9C17B0E42811DA8FC2A0F0355337E9","accessed":{"date-parts":[["2017",10,10]]},"issued":{"date-parts":[["2004"]]}},"label":"page","suffix":" [49]"}],"schema":"https://github.com/citation-style-language/schema/raw/master/csl-citation.json"} </w:instrText>
      </w:r>
      <w:r>
        <w:fldChar w:fldCharType="separate"/>
      </w:r>
      <w:proofErr w:type="spellStart"/>
      <w:r w:rsidRPr="00947167">
        <w:rPr>
          <w:rFonts w:ascii="Calibri" w:cs="Calibri"/>
          <w:i/>
          <w:iCs/>
          <w:kern w:val="0"/>
        </w:rPr>
        <w:t>Dica</w:t>
      </w:r>
      <w:proofErr w:type="spellEnd"/>
      <w:r w:rsidRPr="00947167">
        <w:rPr>
          <w:rFonts w:ascii="Calibri" w:cs="Calibri"/>
          <w:kern w:val="0"/>
        </w:rPr>
        <w:t xml:space="preserve"> (n 7) [49].</w:t>
      </w:r>
      <w:r>
        <w:fldChar w:fldCharType="end"/>
      </w:r>
    </w:p>
  </w:footnote>
  <w:footnote w:id="50">
    <w:p w14:paraId="31F630A5" w14:textId="376DEAC5" w:rsidR="00947167" w:rsidRDefault="00947167">
      <w:pPr>
        <w:pStyle w:val="FootnoteText"/>
      </w:pPr>
      <w:r w:rsidRPr="00444F1D">
        <w:rPr>
          <w:rStyle w:val="FootnoteReference"/>
        </w:rPr>
        <w:footnoteRef/>
      </w:r>
      <w:r>
        <w:t xml:space="preserve"> </w:t>
      </w:r>
      <w:r>
        <w:fldChar w:fldCharType="begin"/>
      </w:r>
      <w:r w:rsidR="008A2231">
        <w:instrText xml:space="preserve"> ADDIN ZOTERO_ITEM CSL_CITATION {"citationID":"X2Mo8PD4","properties":{"formattedCitation":"ibid [49].","plainCitation":"ibid [49].","noteIndex":50},"citationItems":[{"id":652,"uris":["http://zotero.org/users/10005302/items/JCKHDVYU"],"itemData":{"id":652,"type":"legal_case","note":"container-title: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Dica","URL":"https://login.westlaw.co.uk/maf/wluk/app/document?src=doc&amp;linktype=ref&amp;context=25&amp;crumb-action=replace&amp;docguid=I3F9C17B0E42811DA8FC2A0F0355337E9","accessed":{"date-parts":[["2017",10,10]]},"issued":{"date-parts":[["2004"]]}},"label":"page","suffix":" [49]"}],"schema":"https://github.com/citation-style-language/schema/raw/master/csl-citation.json"} </w:instrText>
      </w:r>
      <w:r>
        <w:fldChar w:fldCharType="separate"/>
      </w:r>
      <w:r>
        <w:rPr>
          <w:noProof/>
        </w:rPr>
        <w:t>ibid [49].</w:t>
      </w:r>
      <w:r>
        <w:fldChar w:fldCharType="end"/>
      </w:r>
    </w:p>
  </w:footnote>
  <w:footnote w:id="51">
    <w:p w14:paraId="36BE7EF8" w14:textId="68DFD796" w:rsidR="00947167" w:rsidRDefault="00947167">
      <w:pPr>
        <w:pStyle w:val="FootnoteText"/>
      </w:pPr>
      <w:r w:rsidRPr="00444F1D">
        <w:rPr>
          <w:rStyle w:val="FootnoteReference"/>
        </w:rPr>
        <w:footnoteRef/>
      </w:r>
      <w:r>
        <w:t xml:space="preserve"> </w:t>
      </w:r>
      <w:r>
        <w:fldChar w:fldCharType="begin"/>
      </w:r>
      <w:r w:rsidR="008A2231">
        <w:instrText xml:space="preserve"> ADDIN ZOTERO_ITEM CSL_CITATION {"citationID":"s6f1rwvm","properties":{"formattedCitation":"I noted this point, briefly, in Cameron Giles, \\uc0\\u8216{}Deception and Disclosure: A Socio-Legal Analysis of HIV Transmission Offences and Mobile Dating Applications\\uc0\\u8217{} (PhD Thesis, Northumbria University 2021) 56\\uc0\\u8211{}61.","plainCitation":"I noted this point, briefly, in Cameron Giles, ‘Deception and Disclosure: A Socio-Legal Analysis of HIV Transmission Offences and Mobile Dating Applications’ (PhD Thesis, Northumbria University 2021) 56–61.","dontUpdate":true,"noteIndex":51},"citationItems":[{"id":5392,"uris":["http://zotero.org/users/10005302/items/JS7TAL7M"],"itemData":{"id":5392,"type":"thesis","genre":"PhD Thesis","publisher":"Northumbria University","title":"Deception and Disclosure: A Socio-Legal Analysis of HIV Transmission Offences and Mobile Dating Applications","author":[{"family":"Giles","given":"Cameron"}],"issued":{"date-parts":[["2021"]]}},"locator":"56-61","label":"page","prefix":"I noted this point, briefly, in"}],"schema":"https://github.com/citation-style-language/schema/raw/master/csl-citation.json"} </w:instrText>
      </w:r>
      <w:r>
        <w:fldChar w:fldCharType="separate"/>
      </w:r>
      <w:r w:rsidRPr="00947167">
        <w:rPr>
          <w:rFonts w:ascii="Calibri" w:cs="Calibri"/>
          <w:kern w:val="0"/>
        </w:rPr>
        <w:t>I</w:t>
      </w:r>
      <w:r w:rsidR="00AA00D7">
        <w:rPr>
          <w:rFonts w:ascii="Calibri" w:cs="Calibri"/>
          <w:kern w:val="0"/>
        </w:rPr>
        <w:t xml:space="preserve"> note this, briefly,</w:t>
      </w:r>
      <w:r w:rsidRPr="00947167">
        <w:rPr>
          <w:rFonts w:ascii="Calibri" w:cs="Calibri"/>
          <w:kern w:val="0"/>
        </w:rPr>
        <w:t xml:space="preserve"> in Cameron Giles, ‘Deception and Disclosure: A Socio-Legal Analysis of HIV Transmission Offences and Mobile Dating Applications’ (PhD Thesis, Northumbria University 2021) 56–61.</w:t>
      </w:r>
      <w:r>
        <w:fldChar w:fldCharType="end"/>
      </w:r>
    </w:p>
  </w:footnote>
  <w:footnote w:id="52">
    <w:p w14:paraId="1C1D9B7B" w14:textId="27238AFB" w:rsidR="000279B3" w:rsidRDefault="000279B3">
      <w:pPr>
        <w:pStyle w:val="FootnoteText"/>
      </w:pPr>
      <w:r w:rsidRPr="00444F1D">
        <w:rPr>
          <w:rStyle w:val="FootnoteReference"/>
        </w:rPr>
        <w:footnoteRef/>
      </w:r>
      <w:r>
        <w:t xml:space="preserve"> </w:t>
      </w:r>
      <w:r>
        <w:fldChar w:fldCharType="begin"/>
      </w:r>
      <w:r w:rsidR="000B3771">
        <w:instrText xml:space="preserve"> ADDIN ZOTERO_ITEM CSL_CITATION {"citationID":"Rrcew1T6","properties":{"formattedCitation":"See, on HIV treatment as prevention and the law, generally, Bridget Haire and John Kaldor, \\uc0\\u8216{}HIV Transmission Law in the Age of Treatment-as-Prevention\\uc0\\u8217{} (2015) 41 Journal of Medical Ethics 982; Chris Ashford, Max Morris and Alex Powell, \\uc0\\u8216{}Bareback Sex in the Age of Preventative Medication: Rethinking the \\uc0\\u8220{}Harms\\uc0\\u8221{} of HIV Transmission\\uc0\\u8217{} (2020) 84 The Journal of Criminal Law 596; I address this point in Giles (n 49) 58\\uc0\\u8211{}61.","plainCitation":"See, on HIV treatment as prevention and the law, generally, Bridget Haire and John Kaldor, ‘HIV Transmission Law in the Age of Treatment-as-Prevention’ (2015) 41 Journal of Medical Ethics 982; Chris Ashford, Max Morris and Alex Powell, ‘Bareback Sex in the Age of Preventative Medication: Rethinking the “Harms” of HIV Transmission’ (2020) 84 The Journal of Criminal Law 596; I address this point in Giles (n 49) 58–61.","dontUpdate":true,"noteIndex":52},"citationItems":[{"id":4764,"uris":["http://zotero.org/users/10005302/items/VDBZXYHW"],"itemData":{"id":4764,"type":"article-journal","abstract":"Evidence that treating people with HIV early in infection prevents transmission to sexual partners has reframed HIV prevention paradigms. The resulting emphasis on HIV testing as part of prevention strategies has rekindled the debate as to whether laws that criminalise HIV transmission are counterproductive to the human rights-based public health response. It also raises normative questions about what constitutes 'safe(r) sex' if a person with HIV has undetectable viral load, which has significant implications for sexual practice and health promotion. This paper discusses a recent high-profile Australian case where HIV transmission or exposure has been prosecuted, and considers how the interpretation of law in these instances impacts on HIV prevention paradigms. In addition, we consider the implications of an evolving medical understanding of HIV transmission, and particularly the ability to determine infectiousness through viral load tests, for laws that relate to HIV exposure (as distinct from transmission) offences. We conclude that defensible laws must relate to appreciable risk. Given the evidence that the transmissibility of HIV is reduced to negligible level where viral load is suppressed, this needs to be recognised in the framing, implementation and enforcement of the law. In addition, normative concepts of 'safe(r) sex' need to be expanded to include sex that is 'protected' by means of the positive person being virally suppressed. In jurisdictions where use of a condom has previously mitigated the duty of the person with HIV to disclose to a partner, this might logically also apply to sex that is 'protected' by undetectable viral load.","container-title":"Journal of Medical Ethics","DOI":"10.1136/medethics-2014-102122","ISSN":"0306-6800","issue":"12","note":"PMID: 26420071\nISBN: 1473-4257","page":"982-986","title":"HIV transmission law in the age of treatment-as-prevention","volume":"41","author":[{"family":"Haire","given":"Bridget"},{"family":"Kaldor","given":"John"}],"issued":{"date-parts":[["2015"]]}},"label":"page","prefix":"See, on HIV treatment as prevention and the law, generally,"},{"id":4886,"uris":["http://zotero.org/users/10005302/items/M9Y2EC5G"],"itemData":{"id":4886,"type":"article-journal","container-title":"The Journal of Criminal Law","DOI":"10.1177/0022018320974904","ISSN":"0022-0183","issue":"6","page":"596-614","title":"Bareback sex in the age of preventative medication: Rethinking the ‘harms’ of HIV transmission","volume":"84","author":[{"family":"Ashford","given":"Chris"},{"family":"Morris","given":"Max"},{"family":"Powell","given":"Alex"}],"issued":{"date-parts":[["2020"]]}}},{"id":5392,"uris":["http://zotero.org/users/10005302/items/JS7TAL7M"],"itemData":{"id":5392,"type":"thesis","genre":"PhD Thesis","publisher":"Northumbria University","title":"Deception and Disclosure: A Socio-Legal Analysis of HIV Transmission Offences and Mobile Dating Applications","author":[{"family":"Giles","given":"Cameron"}],"issued":{"date-parts":[["2021"]]}},"locator":"58-61","label":"page","prefix":"I address this point in "}],"schema":"https://github.com/citation-style-language/schema/raw/master/csl-citation.json"} </w:instrText>
      </w:r>
      <w:r>
        <w:fldChar w:fldCharType="separate"/>
      </w:r>
      <w:r w:rsidR="00DB2FB1" w:rsidRPr="00DB2FB1">
        <w:rPr>
          <w:rFonts w:ascii="Calibri" w:cs="Calibri"/>
          <w:kern w:val="0"/>
        </w:rPr>
        <w:t xml:space="preserve">See, on HIV treatment as prevention and law, generally, Bridget Haire and John Kaldor, ‘HIV Transmission Law in the Age of Treatment-as-Prevention’ (2015) 41 J Med Ethics 982; Chris Ashford, Max </w:t>
      </w:r>
      <w:proofErr w:type="gramStart"/>
      <w:r w:rsidR="00DB2FB1" w:rsidRPr="00DB2FB1">
        <w:rPr>
          <w:rFonts w:ascii="Calibri" w:cs="Calibri"/>
          <w:kern w:val="0"/>
        </w:rPr>
        <w:t>Morris</w:t>
      </w:r>
      <w:proofErr w:type="gramEnd"/>
      <w:r w:rsidR="00DB2FB1" w:rsidRPr="00DB2FB1">
        <w:rPr>
          <w:rFonts w:ascii="Calibri" w:cs="Calibri"/>
          <w:kern w:val="0"/>
        </w:rPr>
        <w:t xml:space="preserve"> and Alex Powell, ‘Bareback Sex in the Age of Preventative Medication: Rethinking the “Harms” of HIV Transmission’ (2020) 84 </w:t>
      </w:r>
      <w:r w:rsidR="006852CC">
        <w:rPr>
          <w:rFonts w:ascii="Calibri" w:cs="Calibri"/>
          <w:kern w:val="0"/>
        </w:rPr>
        <w:t>Jo Crim Law</w:t>
      </w:r>
      <w:r w:rsidR="00DB2FB1" w:rsidRPr="00DB2FB1">
        <w:rPr>
          <w:rFonts w:ascii="Calibri" w:cs="Calibri"/>
          <w:kern w:val="0"/>
        </w:rPr>
        <w:t xml:space="preserve"> 596</w:t>
      </w:r>
      <w:r w:rsidR="00DB2FB1">
        <w:rPr>
          <w:rFonts w:ascii="Calibri" w:cs="Calibri"/>
          <w:kern w:val="0"/>
        </w:rPr>
        <w:t>.</w:t>
      </w:r>
      <w:r w:rsidR="00DB2FB1" w:rsidRPr="00DB2FB1">
        <w:rPr>
          <w:rFonts w:ascii="Calibri" w:cs="Calibri"/>
          <w:kern w:val="0"/>
        </w:rPr>
        <w:t xml:space="preserve"> I address this point in Giles (n 49) 58–61.</w:t>
      </w:r>
      <w:r>
        <w:fldChar w:fldCharType="end"/>
      </w:r>
    </w:p>
  </w:footnote>
  <w:footnote w:id="53">
    <w:p w14:paraId="0F4435C5" w14:textId="41EA3C40" w:rsidR="00947167" w:rsidRDefault="00947167">
      <w:pPr>
        <w:pStyle w:val="FootnoteText"/>
      </w:pPr>
      <w:r w:rsidRPr="00444F1D">
        <w:rPr>
          <w:rStyle w:val="FootnoteReference"/>
        </w:rPr>
        <w:footnoteRef/>
      </w:r>
      <w:r>
        <w:t xml:space="preserve"> </w:t>
      </w:r>
      <w:r>
        <w:fldChar w:fldCharType="begin"/>
      </w:r>
      <w:r w:rsidR="004A365E">
        <w:instrText xml:space="preserve"> ADDIN ZOTERO_ITEM CSL_CITATION {"citationID":"0fytkTSw","properties":{"formattedCitation":"Mitchell Davies, \\uc0\\u8216{}R v Dica: Lessons in Practising Unsafe Sex\\uc0\\u8217{} (2004) 68 The Journal of Criminal Law 498, 501; (although it may be argued that HIV transmission no longer constitutes the level of harm identified at the time of Dica, on which see Ashford, Morris and Powell [n 52]).","plainCitation":"Mitchell Davies, ‘R v Dica: Lessons in Practising Unsafe Sex’ (2004) 68 The Journal of Criminal Law 498, 501; (although it may be argued that HIV transmission no longer constitutes the level of harm identified at the time of Dica, on which see Ashford, Morris and Powell [n 52]).","dontUpdate":true,"noteIndex":53},"citationItems":[{"id":2362,"uris":["http://zotero.org/users/10005302/items/I76Q2ZWN"],"itemData":{"id":2362,"type":"article-journal","container-title":"The Journal of Criminal Law","DOI":"10.1350/jcla.68.6.498.54140","ISSN":"0022-0183","issue":"6","page":"498-506","title":"R v Dica: Lessons in Practising Unsafe Sex","volume":"68","author":[{"family":"Davies","given":"Mitchell"}],"issued":{"date-parts":[["2004",11,24]]}},"locator":"501","label":"page"},{"id":4886,"uris":["http://zotero.org/users/10005302/items/M9Y2EC5G"],"itemData":{"id":4886,"type":"article-journal","container-title":"The Journal of Criminal Law","DOI":"10.1177/0022018320974904","ISSN":"0022-0183","issue":"6","page":"596-614","title":"Bareback sex in the age of preventative medication: Rethinking the ‘harms’ of HIV transmission","volume":"84","author":[{"family":"Ashford","given":"Chris"},{"family":"Morris","given":"Max"},{"family":"Powell","given":"Alex"}],"issued":{"date-parts":[["2020"]]}},"label":"page","prefix":"(although it may be argued that HIV transmission no longer constitutes the level of harm identified at the time of Dica, on which see","suffix":")"}],"schema":"https://github.com/citation-style-language/schema/raw/master/csl-citation.json"} </w:instrText>
      </w:r>
      <w:r>
        <w:fldChar w:fldCharType="separate"/>
      </w:r>
      <w:r w:rsidR="000B3771" w:rsidRPr="000B3771">
        <w:rPr>
          <w:rFonts w:ascii="Calibri" w:cs="Calibri"/>
          <w:kern w:val="0"/>
        </w:rPr>
        <w:t xml:space="preserve">Mitchell Davies, ‘R v </w:t>
      </w:r>
      <w:proofErr w:type="spellStart"/>
      <w:r w:rsidR="000B3771" w:rsidRPr="000B3771">
        <w:rPr>
          <w:rFonts w:ascii="Calibri" w:cs="Calibri"/>
          <w:kern w:val="0"/>
        </w:rPr>
        <w:t>Dica</w:t>
      </w:r>
      <w:proofErr w:type="spellEnd"/>
      <w:r w:rsidR="000B3771" w:rsidRPr="000B3771">
        <w:rPr>
          <w:rFonts w:ascii="Calibri" w:cs="Calibri"/>
          <w:kern w:val="0"/>
        </w:rPr>
        <w:t xml:space="preserve">: Lessons in Practising Unsafe Sex’ (2004) 68 </w:t>
      </w:r>
      <w:r w:rsidR="006852CC">
        <w:rPr>
          <w:rFonts w:ascii="Calibri" w:cs="Calibri"/>
          <w:kern w:val="0"/>
        </w:rPr>
        <w:t>Jo Crim Law</w:t>
      </w:r>
      <w:r w:rsidR="000B3771" w:rsidRPr="000B3771">
        <w:rPr>
          <w:rFonts w:ascii="Calibri" w:cs="Calibri"/>
          <w:kern w:val="0"/>
        </w:rPr>
        <w:t xml:space="preserve"> 498, 501</w:t>
      </w:r>
      <w:r w:rsidR="00FD32EE">
        <w:rPr>
          <w:rFonts w:ascii="Calibri" w:cs="Calibri"/>
          <w:kern w:val="0"/>
        </w:rPr>
        <w:t>.</w:t>
      </w:r>
      <w:r w:rsidR="000B3771" w:rsidRPr="000B3771">
        <w:rPr>
          <w:rFonts w:ascii="Calibri" w:cs="Calibri"/>
          <w:kern w:val="0"/>
        </w:rPr>
        <w:t xml:space="preserve"> </w:t>
      </w:r>
      <w:r w:rsidR="00FD32EE">
        <w:rPr>
          <w:rFonts w:ascii="Calibri" w:cs="Calibri"/>
          <w:kern w:val="0"/>
        </w:rPr>
        <w:t>A</w:t>
      </w:r>
      <w:r w:rsidR="000B3771" w:rsidRPr="000B3771">
        <w:rPr>
          <w:rFonts w:ascii="Calibri" w:cs="Calibri"/>
          <w:kern w:val="0"/>
        </w:rPr>
        <w:t xml:space="preserve">lthough it may be argued that HIV transmission no longer constitutes the level of harm identified at the time of </w:t>
      </w:r>
      <w:proofErr w:type="spellStart"/>
      <w:r w:rsidR="000B3771" w:rsidRPr="000B3771">
        <w:rPr>
          <w:rFonts w:ascii="Calibri" w:cs="Calibri"/>
          <w:kern w:val="0"/>
        </w:rPr>
        <w:t>Dica</w:t>
      </w:r>
      <w:proofErr w:type="spellEnd"/>
      <w:r w:rsidR="000B3771" w:rsidRPr="000B3771">
        <w:rPr>
          <w:rFonts w:ascii="Calibri" w:cs="Calibri"/>
          <w:kern w:val="0"/>
        </w:rPr>
        <w:t xml:space="preserve">, on which see Ashford, </w:t>
      </w:r>
      <w:proofErr w:type="gramStart"/>
      <w:r w:rsidR="000B3771" w:rsidRPr="000B3771">
        <w:rPr>
          <w:rFonts w:ascii="Calibri" w:cs="Calibri"/>
          <w:kern w:val="0"/>
        </w:rPr>
        <w:t>Morris</w:t>
      </w:r>
      <w:proofErr w:type="gramEnd"/>
      <w:r w:rsidR="000B3771" w:rsidRPr="000B3771">
        <w:rPr>
          <w:rFonts w:ascii="Calibri" w:cs="Calibri"/>
          <w:kern w:val="0"/>
        </w:rPr>
        <w:t xml:space="preserve"> and Powell </w:t>
      </w:r>
      <w:r w:rsidR="00FD32EE">
        <w:rPr>
          <w:rFonts w:ascii="Calibri" w:cs="Calibri"/>
          <w:kern w:val="0"/>
        </w:rPr>
        <w:t>(</w:t>
      </w:r>
      <w:r w:rsidR="000B3771" w:rsidRPr="000B3771">
        <w:rPr>
          <w:rFonts w:ascii="Calibri" w:cs="Calibri"/>
          <w:kern w:val="0"/>
        </w:rPr>
        <w:t>n 52</w:t>
      </w:r>
      <w:r w:rsidR="00FD32EE">
        <w:rPr>
          <w:rFonts w:ascii="Calibri" w:cs="Calibri"/>
          <w:kern w:val="0"/>
        </w:rPr>
        <w:t>)</w:t>
      </w:r>
      <w:r w:rsidR="000B3771" w:rsidRPr="000B3771">
        <w:rPr>
          <w:rFonts w:ascii="Calibri" w:cs="Calibri"/>
          <w:kern w:val="0"/>
        </w:rPr>
        <w:t>.</w:t>
      </w:r>
      <w:r>
        <w:fldChar w:fldCharType="end"/>
      </w:r>
    </w:p>
  </w:footnote>
  <w:footnote w:id="54">
    <w:p w14:paraId="40362F68" w14:textId="487F2681" w:rsidR="00947167" w:rsidRDefault="00947167">
      <w:pPr>
        <w:pStyle w:val="FootnoteText"/>
      </w:pPr>
      <w:r w:rsidRPr="00444F1D">
        <w:rPr>
          <w:rStyle w:val="FootnoteReference"/>
        </w:rPr>
        <w:footnoteRef/>
      </w:r>
      <w:r>
        <w:t xml:space="preserve"> </w:t>
      </w:r>
      <w:r>
        <w:fldChar w:fldCharType="begin"/>
      </w:r>
      <w:r w:rsidR="008A2231">
        <w:instrText xml:space="preserve"> ADDIN ZOTERO_ITEM CSL_CITATION {"citationID":"KOvOsjn6","properties":{"formattedCitation":"Luc Bovens, \\uc0\\u8216{}Can the Catholic Church Agree to Condom Use by HIV-Discordant Couples?\\uc0\\u8217{} (2009) 35 Journal of Medical Ethics 743, 743; see, also, Luke Gormally, \\uc0\\u8216{}Marriage and the Prophylactic Use of Condoms\\uc0\\u8217{} (2005) 5 The National Catholic Bioethics Quarterly 735.","plainCitation":"Luc Bovens, ‘Can the Catholic Church Agree to Condom Use by HIV-Discordant Couples?’ (2009) 35 Journal of Medical Ethics 743, 743; see, also, Luke Gormally, ‘Marriage and the Prophylactic Use of Condoms’ (2005) 5 The National Catholic Bioethics Quarterly 735.","dontUpdate":true,"noteIndex":54},"citationItems":[{"id":5691,"uris":["http://zotero.org/users/10005302/items/43CWHLT7"],"itemData":{"id":5691,"type":"article-journal","abstract":"Does the position of the Roman Catholic Church on contraception also imply that the usage of condoms by HIV-discordant couples is illicit? A standard argument is to appeal to the doctrine of double effect to condone such usage, but this meets with the objection that there exists an alternative action that brings about the good effect—namely, abstinence. I argue against this objection, because an HIV-discordant couple does not bring about any bad outcome through condom usage—there is no disrespect displayed for the generative function of sex. One might retort that the badness of condom usage consists in thwarting the unitive function of sex. I argue that also this objection cannot be upheld. In conclusion, if there are no in-principle objections against condom usage for HIV-discordant couples, then policies that deny access to condoms to such couples are indefensible. HIV-discordant couples have a right to continue consummating their marriage in a manner that is minimally risky and this right cannot be trumped by utilitarian concerns that the distribution of condoms might increase promiscuity and along with it the HIV infection rate.","container-title":"Journal of Medical Ethics","DOI":"10.1136/jme.2009.030767","ISSN":"0306-6800, 1473-4257","issue":"12","language":"en","license":"BMJ Publishing Group Ltd &amp;amp; Institute of Medical Ethics. All rights reserved.","note":"publisher: Institute of Medical Ethics\nsection: Paper\nPMID: 19948930","page":"743-746","source":"jme.bmj.com","title":"Can the Catholic Church agree to condom use by HIV-discordant couples?","volume":"35","author":[{"family":"Bovens","given":"Luc"}],"issued":{"date-parts":[["2009",12,1]]}},"locator":"743"},{"id":5690,"uris":["http://zotero.org/users/10005302/items/KEWR9FKQ"],"itemData":{"id":5690,"type":"article-journal","container-title":"The National Catholic Bioethics Quarterly","DOI":"10.5840/ncbq2005548","issue":"4","language":"en","page":"735-749","source":"www.pdcnet.org","title":"Marriage and the Prophylactic Use of Condoms","volume":"5","author":[{"family":"Gormally","given":"Luke"}],"issued":{"date-parts":[["2005",11,1]]}},"label":"page","prefix":"see, also,"}],"schema":"https://github.com/citation-style-language/schema/raw/master/csl-citation.json"} </w:instrText>
      </w:r>
      <w:r>
        <w:fldChar w:fldCharType="separate"/>
      </w:r>
      <w:r w:rsidRPr="00947167">
        <w:rPr>
          <w:rFonts w:ascii="Calibri" w:cs="Calibri"/>
          <w:kern w:val="0"/>
        </w:rPr>
        <w:t>Luc Bovens, ‘Can the Catholic Church Agree to Condom Use by HIV-Discordant Couples?’ (2009) 35 J</w:t>
      </w:r>
      <w:r w:rsidR="006852CC">
        <w:rPr>
          <w:rFonts w:ascii="Calibri" w:cs="Calibri"/>
          <w:kern w:val="0"/>
        </w:rPr>
        <w:t xml:space="preserve"> Med Ethics</w:t>
      </w:r>
      <w:r w:rsidRPr="00947167">
        <w:rPr>
          <w:rFonts w:ascii="Calibri" w:cs="Calibri"/>
          <w:kern w:val="0"/>
        </w:rPr>
        <w:t xml:space="preserve"> 743, 743; see, also, Luke Gormally, ‘Marriage and the Prophylactic Use of Condoms’ (2005) 5 National Catholic Bioethics Quarterly 735.</w:t>
      </w:r>
      <w:r>
        <w:fldChar w:fldCharType="end"/>
      </w:r>
    </w:p>
  </w:footnote>
  <w:footnote w:id="55">
    <w:p w14:paraId="3F324525" w14:textId="4285F3B1" w:rsidR="00947167" w:rsidRDefault="00947167">
      <w:pPr>
        <w:pStyle w:val="FootnoteText"/>
      </w:pPr>
      <w:r w:rsidRPr="00444F1D">
        <w:rPr>
          <w:rStyle w:val="FootnoteReference"/>
        </w:rPr>
        <w:footnoteRef/>
      </w:r>
      <w:r>
        <w:t xml:space="preserve"> </w:t>
      </w:r>
      <w:r>
        <w:fldChar w:fldCharType="begin"/>
      </w:r>
      <w:r w:rsidR="000B3771">
        <w:instrText xml:space="preserve"> ADDIN ZOTERO_ITEM CSL_CITATION {"citationID":"F5doPS0w","properties":{"formattedCitation":"Giles (n 51) 49.","plainCitation":"Giles (n 51) 49.","noteIndex":55},"citationItems":[{"id":5392,"uris":["http://zotero.org/users/10005302/items/JS7TAL7M"],"itemData":{"id":5392,"type":"thesis","genre":"PhD Thesis","publisher":"Northumbria University","title":"Deception and Disclosure: A Socio-Legal Analysis of HIV Transmission Offences and Mobile Dating Applications","author":[{"family":"Giles","given":"Cameron"}],"issued":{"date-parts":[["2021"]]}},"locator":"49","label":"page"}],"schema":"https://github.com/citation-style-language/schema/raw/master/csl-citation.json"} </w:instrText>
      </w:r>
      <w:r>
        <w:fldChar w:fldCharType="separate"/>
      </w:r>
      <w:r w:rsidR="000B3771">
        <w:rPr>
          <w:noProof/>
        </w:rPr>
        <w:t>Giles (n 51) 49.</w:t>
      </w:r>
      <w:r>
        <w:fldChar w:fldCharType="end"/>
      </w:r>
    </w:p>
  </w:footnote>
  <w:footnote w:id="56">
    <w:p w14:paraId="14144434" w14:textId="64501086" w:rsidR="00947167" w:rsidRDefault="00947167">
      <w:pPr>
        <w:pStyle w:val="FootnoteText"/>
      </w:pPr>
      <w:r w:rsidRPr="00444F1D">
        <w:rPr>
          <w:rStyle w:val="FootnoteReference"/>
        </w:rPr>
        <w:footnoteRef/>
      </w:r>
      <w:r>
        <w:t xml:space="preserve"> </w:t>
      </w:r>
      <w:r>
        <w:fldChar w:fldCharType="begin"/>
      </w:r>
      <w:r w:rsidR="008A2231">
        <w:instrText xml:space="preserve"> ADDIN ZOTERO_ITEM CSL_CITATION {"citationID":"vewhSa53","properties":{"formattedCitation":"{\\i{}R v Dica} (n 7) [49].","plainCitation":"R v Dica (n 7) [49].","dontUpdate":true,"noteIndex":56},"citationItems":[{"id":652,"uris":["http://zotero.org/users/10005302/items/JCKHDVYU"],"itemData":{"id":652,"type":"legal_case","note":"container-title: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Dica","URL":"https://login.westlaw.co.uk/maf/wluk/app/document?src=doc&amp;linktype=ref&amp;context=25&amp;crumb-action=replace&amp;docguid=I3F9C17B0E42811DA8FC2A0F0355337E9","accessed":{"date-parts":[["2017",10,10]]},"issued":{"date-parts":[["2004"]]}},"label":"page","suffix":" [49]"}],"schema":"https://github.com/citation-style-language/schema/raw/master/csl-citation.json"} </w:instrText>
      </w:r>
      <w:r>
        <w:fldChar w:fldCharType="separate"/>
      </w:r>
      <w:proofErr w:type="spellStart"/>
      <w:r w:rsidRPr="00947167">
        <w:rPr>
          <w:rFonts w:ascii="Calibri" w:cs="Calibri"/>
          <w:i/>
          <w:iCs/>
          <w:kern w:val="0"/>
        </w:rPr>
        <w:t>Dica</w:t>
      </w:r>
      <w:proofErr w:type="spellEnd"/>
      <w:r w:rsidRPr="00947167">
        <w:rPr>
          <w:rFonts w:ascii="Calibri" w:cs="Calibri"/>
          <w:kern w:val="0"/>
        </w:rPr>
        <w:t xml:space="preserve"> (n 7) [49].</w:t>
      </w:r>
      <w:r>
        <w:fldChar w:fldCharType="end"/>
      </w:r>
    </w:p>
  </w:footnote>
  <w:footnote w:id="57">
    <w:p w14:paraId="1599B3D2" w14:textId="5CA42356" w:rsidR="00947167" w:rsidRDefault="00947167">
      <w:pPr>
        <w:pStyle w:val="FootnoteText"/>
      </w:pPr>
      <w:r w:rsidRPr="00444F1D">
        <w:rPr>
          <w:rStyle w:val="FootnoteReference"/>
        </w:rPr>
        <w:footnoteRef/>
      </w:r>
      <w:r>
        <w:t xml:space="preserve"> </w:t>
      </w:r>
      <w:r>
        <w:fldChar w:fldCharType="begin"/>
      </w:r>
      <w:r w:rsidR="008A2231">
        <w:instrText xml:space="preserve"> ADDIN ZOTERO_ITEM CSL_CITATION {"citationID":"pNuD5oX9","properties":{"formattedCitation":"Data from between 1975 and 1997 in Britain suggests that the proportion of children born outside of marriage more than tripled during this period: Kathleen Kiernan, \\uc0\\u8216{}The Rise of Cohabitation and Childbearing Outside Marriage in Western Europe\\uc0\\u8217{} (2001) 15 International Journal of Law, Policy and the Family 1, 14.","plainCitation":"Data from between 1975 and 1997 in Britain suggests that the proportion of children born outside of marriage more than tripled during this period: Kathleen Kiernan, ‘The Rise of Cohabitation and Childbearing Outside Marriage in Western Europe’ (2001) 15 International Journal of Law, Policy and the Family 1, 14.","dontUpdate":true,"noteIndex":57},"citationItems":[{"id":5695,"uris":["http://zotero.org/users/10005302/items/M7JMR8GQ"],"itemData":{"id":5695,"type":"article-journal","abstract":"In many western European nations there have been dramatic recent rises in unmarried cohabitation and having children outside marriage. Here we examine the extent and depth of these changes across nations. Our analysis includes an examination of type of ﬁrst partnership, duration of cohabiting unions, characteristics of cohabitants, and dissolution risks of different types of unions. We also examine the partnership context within which children are born, the extent to which children born to cohabiting parents see the marriage of their parents, as well as the variation in dissolution probabilities associated with different partnership histories. The analysis shows that there is not one but several European perspectives on the rise of cohabitation and non-marital childbearing.","container-title":"International Journal of Law, Policy and the Family","DOI":"10.1093/lawfam/15.1.1","ISSN":"1360-9939, 1464-3707","issue":"1","journalAbbreviation":"International Journal of Law, Policy and the Family","language":"en","page":"1-21","source":"DOI.org (Crossref)","title":"The rise of cohabitation and childbearing outside marriage in western Europe","volume":"15","author":[{"family":"Kiernan","given":"Kathleen"}],"issued":{"date-parts":[["2001",4,1]]}},"locator":"14","label":"page","prefix":"Data from between 1975 and 1997 in Britain suggests that the proportion of children born outside of marriage more than tripled during this period:"}],"schema":"https://github.com/citation-style-language/schema/raw/master/csl-citation.json"} </w:instrText>
      </w:r>
      <w:r>
        <w:fldChar w:fldCharType="separate"/>
      </w:r>
      <w:r w:rsidRPr="00947167">
        <w:rPr>
          <w:rFonts w:ascii="Calibri" w:cs="Calibri"/>
          <w:kern w:val="0"/>
        </w:rPr>
        <w:t>Data from b</w:t>
      </w:r>
      <w:r w:rsidR="00AA00D7">
        <w:rPr>
          <w:rFonts w:ascii="Calibri" w:cs="Calibri"/>
          <w:kern w:val="0"/>
        </w:rPr>
        <w:t>etween</w:t>
      </w:r>
      <w:r w:rsidRPr="00947167">
        <w:rPr>
          <w:rFonts w:ascii="Calibri" w:cs="Calibri"/>
          <w:kern w:val="0"/>
        </w:rPr>
        <w:t xml:space="preserve"> 1975 and 1997 in Britain suggests that the proportion of children born outside of marriage more than tripled during this period: Kathleen Kiernan, ‘The Rise of Cohabitation and Childbearing Outside Marriage in Western Europe’ (2001) 15 I</w:t>
      </w:r>
      <w:r w:rsidR="006852CC">
        <w:rPr>
          <w:rFonts w:ascii="Calibri" w:cs="Calibri"/>
          <w:kern w:val="0"/>
        </w:rPr>
        <w:t>JLPF</w:t>
      </w:r>
      <w:r w:rsidRPr="00947167">
        <w:rPr>
          <w:rFonts w:ascii="Calibri" w:cs="Calibri"/>
          <w:kern w:val="0"/>
        </w:rPr>
        <w:t xml:space="preserve"> 1, 14.</w:t>
      </w:r>
      <w:r>
        <w:fldChar w:fldCharType="end"/>
      </w:r>
    </w:p>
  </w:footnote>
  <w:footnote w:id="58">
    <w:p w14:paraId="1E714CFC" w14:textId="3730A365" w:rsidR="0051105C" w:rsidRDefault="0051105C">
      <w:pPr>
        <w:pStyle w:val="FootnoteText"/>
      </w:pPr>
      <w:r w:rsidRPr="00444F1D">
        <w:rPr>
          <w:rStyle w:val="FootnoteReference"/>
        </w:rPr>
        <w:footnoteRef/>
      </w:r>
      <w:r>
        <w:t xml:space="preserve"> </w:t>
      </w:r>
      <w:r>
        <w:fldChar w:fldCharType="begin"/>
      </w:r>
      <w:r w:rsidR="008A2231">
        <w:instrText xml:space="preserve"> ADDIN ZOTERO_ITEM CSL_CITATION {"citationID":"ZoUAdGuc","properties":{"formattedCitation":"On the \\uc0\\u8216{}naturalness\\uc0\\u8217{} of the nuclear family, see, Martha Albertson Fineman, \\uc0\\u8216{}The Sexual Family\\uc0\\u8217{} in Martha Albertson Fineman, Jack E Jackson and Adam P Romero (eds), {\\i{}Feminist and queer legal theory: intimate encounters, uncomfortable conversations} (Ashgate 2009) 50.","plainCitation":"On the ‘naturalness’ of the nuclear family, see, Martha Albertson Fineman, ‘The Sexual Family’ in Martha Albertson Fineman, Jack E Jackson and Adam P Romero (eds), Feminist and queer legal theory: intimate encounters, uncomfortable conversations (Ashgate 2009) 50.","dontUpdate":true,"noteIndex":58},"citationItems":[{"id":5990,"uris":["http://zotero.org/users/10005302/items/J9PEXW28"],"itemData":{"id":5990,"type":"chapter","call-number":"K349 .F455 2009","container-title":"Feminist and queer legal theory: intimate encounters, uncomfortable conversations","event-place":"Farnham, Surrey, England ; Burlington, VT","ISBN":"978-0-7546-7551-8","note":"OCLC: ocn313078729","publisher":"Ashgate","publisher-place":"Farnham, Surrey, England ; Burlington, VT","source":"Library of Congress ISBN","title":"The Sexual Family","editor":[{"family":"Fineman","given":"Martha Albertson"},{"family":"Jackson","given":"Jack E."},{"family":"Romero","given":"Adam P."}],"author":[{"family":"Fineman","given":"Martha Albertson"}],"issued":{"date-parts":[["2009"]]}},"locator":"50","label":"page","prefix":"On the 'naturalness' of the nuclear family, see, "}],"schema":"https://github.com/citation-style-language/schema/raw/master/csl-citation.json"} </w:instrText>
      </w:r>
      <w:r>
        <w:fldChar w:fldCharType="separate"/>
      </w:r>
      <w:r w:rsidRPr="0051105C">
        <w:rPr>
          <w:rFonts w:ascii="Calibri" w:cs="Calibri"/>
          <w:kern w:val="0"/>
        </w:rPr>
        <w:t>On the ‘naturalness’ of the nuclear family</w:t>
      </w:r>
      <w:r>
        <w:rPr>
          <w:rFonts w:ascii="Calibri" w:cs="Calibri"/>
          <w:kern w:val="0"/>
        </w:rPr>
        <w:t xml:space="preserve"> and heterosexual sex</w:t>
      </w:r>
      <w:r w:rsidRPr="0051105C">
        <w:rPr>
          <w:rFonts w:ascii="Calibri" w:cs="Calibri"/>
          <w:kern w:val="0"/>
        </w:rPr>
        <w:t xml:space="preserve">, see, Martha Albertson Fineman, ‘The Sexual Family’ in Martha Albertson Fineman, Jack E Jackson and Adam P Romero (eds), </w:t>
      </w:r>
      <w:r w:rsidRPr="0051105C">
        <w:rPr>
          <w:rFonts w:ascii="Calibri" w:cs="Calibri"/>
          <w:i/>
          <w:iCs/>
          <w:kern w:val="0"/>
        </w:rPr>
        <w:t>Feminist and queer legal theory: intimate encounters, uncomfortable conversations</w:t>
      </w:r>
      <w:r w:rsidRPr="0051105C">
        <w:rPr>
          <w:rFonts w:ascii="Calibri" w:cs="Calibri"/>
          <w:kern w:val="0"/>
        </w:rPr>
        <w:t xml:space="preserve"> (Ashgate 2009) </w:t>
      </w:r>
      <w:proofErr w:type="gramStart"/>
      <w:r>
        <w:rPr>
          <w:rFonts w:ascii="Calibri" w:cs="Calibri"/>
          <w:kern w:val="0"/>
        </w:rPr>
        <w:t>in particular at</w:t>
      </w:r>
      <w:proofErr w:type="gramEnd"/>
      <w:r>
        <w:rPr>
          <w:rFonts w:ascii="Calibri" w:cs="Calibri"/>
          <w:kern w:val="0"/>
        </w:rPr>
        <w:t xml:space="preserve"> </w:t>
      </w:r>
      <w:r w:rsidRPr="0051105C">
        <w:rPr>
          <w:rFonts w:ascii="Calibri" w:cs="Calibri"/>
          <w:kern w:val="0"/>
        </w:rPr>
        <w:t>50.</w:t>
      </w:r>
      <w:r>
        <w:fldChar w:fldCharType="end"/>
      </w:r>
    </w:p>
  </w:footnote>
  <w:footnote w:id="59">
    <w:p w14:paraId="66C4922D" w14:textId="433476FE" w:rsidR="00E6094E" w:rsidRDefault="00E6094E" w:rsidP="00E6094E">
      <w:pPr>
        <w:pStyle w:val="FootnoteText"/>
      </w:pPr>
      <w:r w:rsidRPr="00444F1D">
        <w:rPr>
          <w:rStyle w:val="FootnoteReference"/>
        </w:rPr>
        <w:footnoteRef/>
      </w:r>
      <w:r>
        <w:t xml:space="preserve"> </w:t>
      </w:r>
      <w:r>
        <w:fldChar w:fldCharType="begin"/>
      </w:r>
      <w:r w:rsidR="008A2231">
        <w:instrText xml:space="preserve"> ADDIN ZOTERO_ITEM CSL_CITATION {"citationID":"bnTbT1ja","properties":{"formattedCitation":"{\\i{}R v Dica} (n 7); {\\i{}R v Konzani (Feston)} [2005] EWCA Crim 706; {\\i{}R v EB} [2006] EWCA Crim 2945; {\\i{}Assange v Swedish Prosecution Authority} [2011] EWHC 2849.","plainCitation":"R v Dica (n 7); R v Konzani (Feston) [2005] EWCA Crim 706; R v EB [2006] EWCA Crim 2945; Assange v Swedish Prosecution Authority [2011] EWHC 2849.","dontUpdate":true,"noteIndex":59},"citationItems":[{"id":652,"uris":["http://zotero.org/users/10005302/items/JCKHDVYU"],"itemData":{"id":652,"type":"legal_case","note":"container-title: EWCA Crim","page":"1103","title":"R v Dica","URL":"https://login.westlaw.co.uk/maf/wluk/app/document?src=doc&amp;linktype=ref&amp;context=25&amp;crumb-action=replace&amp;docguid=I3F9C17B0E42811DA8FC2A0F0355337E9","accessed":{"date-parts":[["2017",10,10]]},"issued":{"date-parts":[["2004"]]}}},{"id":637,"uris":["http://zotero.org/users/10005302/items/7IDR95ER"],"itemData":{"id":637,"type":"legal_case","note":"container-title: EWCA Crim","page":"706","title":"R. v Konzani (Feston)","URL":"https://login.westlaw.co.uk/maf/wluk/app/document?docguid=I5177A030E42811DA8FC2A0F0355337E9&amp;context=13&amp;crumb-action=append","accessed":{"date-parts":[["2017",10,10]]},"issued":{"date-parts":[["2005"]]}}},{"id":656,"uris":["http://zotero.org/users/10005302/items/KVXLY4VW"],"itemData":{"id":656,"type":"legal_case","note":"container-title: EWCA Crim","page":"2945","title":"R v EB","accessed":{"date-parts":[["2017",10,10]]},"issued":{"date-parts":[["2006"]]}}},{"id":3700,"uris":["http://zotero.org/users/10005302/items/VNZXRUT6"],"itemData":{"id":3700,"type":"legal_case","note":"container-title: EWHC","page":"2849","title":"Assange v Swedish Prosecution Authority","issued":{"date-parts":[["2011"]]}}}],"schema":"https://github.com/citation-style-language/schema/raw/master/csl-citation.json"} </w:instrText>
      </w:r>
      <w:r>
        <w:fldChar w:fldCharType="separate"/>
      </w:r>
      <w:proofErr w:type="spellStart"/>
      <w:r w:rsidRPr="00970CEE">
        <w:rPr>
          <w:rFonts w:ascii="Calibri" w:cs="Calibri"/>
          <w:i/>
          <w:iCs/>
          <w:kern w:val="0"/>
        </w:rPr>
        <w:t>Dica</w:t>
      </w:r>
      <w:proofErr w:type="spellEnd"/>
      <w:r w:rsidRPr="00970CEE">
        <w:rPr>
          <w:rFonts w:ascii="Calibri" w:cs="Calibri"/>
          <w:kern w:val="0"/>
        </w:rPr>
        <w:t xml:space="preserve"> (n 7); </w:t>
      </w:r>
      <w:r w:rsidRPr="00970CEE">
        <w:rPr>
          <w:rFonts w:ascii="Calibri" w:cs="Calibri"/>
          <w:i/>
          <w:iCs/>
          <w:kern w:val="0"/>
        </w:rPr>
        <w:t xml:space="preserve">R v </w:t>
      </w:r>
      <w:proofErr w:type="spellStart"/>
      <w:r w:rsidRPr="00970CEE">
        <w:rPr>
          <w:rFonts w:ascii="Calibri" w:cs="Calibri"/>
          <w:i/>
          <w:iCs/>
          <w:kern w:val="0"/>
        </w:rPr>
        <w:t>Konzani</w:t>
      </w:r>
      <w:proofErr w:type="spellEnd"/>
      <w:r w:rsidRPr="00970CEE">
        <w:rPr>
          <w:rFonts w:ascii="Calibri" w:cs="Calibri"/>
          <w:i/>
          <w:iCs/>
          <w:kern w:val="0"/>
        </w:rPr>
        <w:t xml:space="preserve"> (</w:t>
      </w:r>
      <w:proofErr w:type="spellStart"/>
      <w:r w:rsidRPr="00970CEE">
        <w:rPr>
          <w:rFonts w:ascii="Calibri" w:cs="Calibri"/>
          <w:i/>
          <w:iCs/>
          <w:kern w:val="0"/>
        </w:rPr>
        <w:t>Feston</w:t>
      </w:r>
      <w:proofErr w:type="spellEnd"/>
      <w:r w:rsidRPr="00970CEE">
        <w:rPr>
          <w:rFonts w:ascii="Calibri" w:cs="Calibri"/>
          <w:i/>
          <w:iCs/>
          <w:kern w:val="0"/>
        </w:rPr>
        <w:t>)</w:t>
      </w:r>
      <w:r w:rsidRPr="00970CEE">
        <w:rPr>
          <w:rFonts w:ascii="Calibri" w:cs="Calibri"/>
          <w:kern w:val="0"/>
        </w:rPr>
        <w:t xml:space="preserve"> [2005] EWCA Crim 706; </w:t>
      </w:r>
      <w:r w:rsidRPr="00970CEE">
        <w:rPr>
          <w:rFonts w:ascii="Calibri" w:cs="Calibri"/>
          <w:i/>
          <w:iCs/>
          <w:kern w:val="0"/>
        </w:rPr>
        <w:t xml:space="preserve">R v </w:t>
      </w:r>
      <w:r>
        <w:rPr>
          <w:rFonts w:ascii="Calibri" w:cs="Calibri"/>
          <w:i/>
          <w:iCs/>
          <w:kern w:val="0"/>
        </w:rPr>
        <w:t>E</w:t>
      </w:r>
      <w:r w:rsidRPr="00970CEE">
        <w:rPr>
          <w:rFonts w:ascii="Calibri" w:cs="Calibri"/>
          <w:i/>
          <w:iCs/>
          <w:kern w:val="0"/>
        </w:rPr>
        <w:t>B</w:t>
      </w:r>
      <w:r w:rsidRPr="00970CEE">
        <w:rPr>
          <w:rFonts w:ascii="Calibri" w:cs="Calibri"/>
          <w:kern w:val="0"/>
        </w:rPr>
        <w:t xml:space="preserve"> [2006] EWCA Crim 2945; </w:t>
      </w:r>
      <w:r w:rsidRPr="00970CEE">
        <w:rPr>
          <w:rFonts w:ascii="Calibri" w:cs="Calibri"/>
          <w:i/>
          <w:iCs/>
          <w:kern w:val="0"/>
        </w:rPr>
        <w:t>Assange v Swedish Prosecution Authority</w:t>
      </w:r>
      <w:r w:rsidRPr="00970CEE">
        <w:rPr>
          <w:rFonts w:ascii="Calibri" w:cs="Calibri"/>
          <w:kern w:val="0"/>
        </w:rPr>
        <w:t xml:space="preserve"> [2011] EWHC 2849.</w:t>
      </w:r>
      <w:r>
        <w:fldChar w:fldCharType="end"/>
      </w:r>
    </w:p>
  </w:footnote>
  <w:footnote w:id="60">
    <w:p w14:paraId="1706494A" w14:textId="02743949" w:rsidR="00CC5173" w:rsidRPr="00ED7764" w:rsidRDefault="00CC5173">
      <w:pPr>
        <w:pStyle w:val="FootnoteText"/>
      </w:pPr>
      <w:r>
        <w:rPr>
          <w:rStyle w:val="FootnoteReference"/>
        </w:rPr>
        <w:footnoteRef/>
      </w:r>
      <w:r>
        <w:t xml:space="preserve"> </w:t>
      </w:r>
      <w:r>
        <w:rPr>
          <w:i/>
          <w:iCs/>
        </w:rPr>
        <w:t>R (on the Application of F) v DPP</w:t>
      </w:r>
      <w:r w:rsidR="00ED7764">
        <w:rPr>
          <w:i/>
          <w:iCs/>
        </w:rPr>
        <w:t xml:space="preserve"> </w:t>
      </w:r>
      <w:r w:rsidR="00ED7764">
        <w:t xml:space="preserve">[2013] EWHC 945 (Admin) </w:t>
      </w:r>
      <w:r w:rsidR="00386206">
        <w:t>(</w:t>
      </w:r>
      <w:r w:rsidR="00386206" w:rsidRPr="00386206">
        <w:rPr>
          <w:i/>
          <w:iCs/>
        </w:rPr>
        <w:t>F v DPP</w:t>
      </w:r>
      <w:r w:rsidR="00386206">
        <w:t xml:space="preserve">) </w:t>
      </w:r>
      <w:r w:rsidR="00ED7764">
        <w:t>[21].</w:t>
      </w:r>
    </w:p>
  </w:footnote>
  <w:footnote w:id="61">
    <w:p w14:paraId="1F11ACC4" w14:textId="15B0A26A" w:rsidR="00ED7764" w:rsidRDefault="00ED7764">
      <w:pPr>
        <w:pStyle w:val="FootnoteText"/>
      </w:pPr>
      <w:r>
        <w:rPr>
          <w:rStyle w:val="FootnoteReference"/>
        </w:rPr>
        <w:footnoteRef/>
      </w:r>
      <w:r>
        <w:t xml:space="preserve"> Ibid [26].</w:t>
      </w:r>
    </w:p>
  </w:footnote>
  <w:footnote w:id="62">
    <w:p w14:paraId="2C4A3C13" w14:textId="00122998" w:rsidR="00BA2121" w:rsidRDefault="00BA2121">
      <w:pPr>
        <w:pStyle w:val="FootnoteText"/>
      </w:pPr>
      <w:r w:rsidRPr="00444F1D">
        <w:rPr>
          <w:rStyle w:val="FootnoteReference"/>
        </w:rPr>
        <w:footnoteRef/>
      </w:r>
      <w:r>
        <w:t xml:space="preserve"> </w:t>
      </w:r>
      <w:r>
        <w:fldChar w:fldCharType="begin"/>
      </w:r>
      <w:r w:rsidR="008A2231">
        <w:instrText xml:space="preserve"> ADDIN ZOTERO_ITEM CSL_CITATION {"citationID":"SlDkJuv3","properties":{"formattedCitation":"Karl Laird, \\uc0\\u8216{}Sexual Consent\\uc0\\u8239{}: R . v Lawrance (Jason) Court of Appeal (Criminal Division): Lord Burnett CJ , Cutts and Tipples JJ\\uc0\\u8239{}: 23 July 2020\\uc0\\u8239{}; [2020] EWCA Crim 971\\uc0\\u8217{} [2021] Criminal Law Review 610.","plainCitation":"Karl Laird, ‘Sexual Consent : R . v Lawrance (Jason) Court of Appeal (Criminal Division): Lord Burnett CJ , Cutts and Tipples JJ : 23 July 2020 ; [2020] EWCA Crim 971’ [2021] Criminal Law Review 610.","dontUpdate":true,"noteIndex":62},"citationItems":[{"id":5257,"uris":["http://zotero.org/users/10005302/items/NHZ4UK4I"],"itemData":{"id":5257,"type":"article-journal","container-title":"Criminal Law Review","issue":"7","page":"610-613","title":"Sexual consent : R . v Lawrance (Jason) Court of Appeal (Criminal Division): Lord Burnett CJ , Cutts and Tipples JJ : 23 July 2020 ; [2020] EWCA Crim 971","author":[{"family":"Laird","given":"Karl"}],"issued":{"date-parts":[["2021"]]}}}],"schema":"https://github.com/citation-style-language/schema/raw/master/csl-citation.json"} </w:instrText>
      </w:r>
      <w:r>
        <w:fldChar w:fldCharType="separate"/>
      </w:r>
      <w:r w:rsidRPr="00BA2121">
        <w:rPr>
          <w:rFonts w:ascii="Calibri" w:cs="Calibri"/>
          <w:kern w:val="0"/>
        </w:rPr>
        <w:t xml:space="preserve">Karl Laird, ‘Sexual Consent: R. v Lawrance (Jason) Court of Appeal (Criminal Division): Lord Burnett </w:t>
      </w:r>
      <w:proofErr w:type="gramStart"/>
      <w:r w:rsidRPr="00BA2121">
        <w:rPr>
          <w:rFonts w:ascii="Calibri" w:cs="Calibri"/>
          <w:kern w:val="0"/>
        </w:rPr>
        <w:t>CJ ,</w:t>
      </w:r>
      <w:proofErr w:type="gramEnd"/>
      <w:r w:rsidRPr="00BA2121">
        <w:rPr>
          <w:rFonts w:ascii="Calibri" w:cs="Calibri"/>
          <w:kern w:val="0"/>
        </w:rPr>
        <w:t xml:space="preserve"> Cutts and Tipples JJ : 23 July 2020 ; [2020] EWCA Crim 971’ [2021] Cri</w:t>
      </w:r>
      <w:r w:rsidR="006852CC">
        <w:rPr>
          <w:rFonts w:ascii="Calibri" w:cs="Calibri"/>
          <w:kern w:val="0"/>
        </w:rPr>
        <w:t>m LR</w:t>
      </w:r>
      <w:r w:rsidRPr="00BA2121">
        <w:rPr>
          <w:rFonts w:ascii="Calibri" w:cs="Calibri"/>
          <w:kern w:val="0"/>
        </w:rPr>
        <w:t xml:space="preserve"> 610.</w:t>
      </w:r>
      <w:r>
        <w:fldChar w:fldCharType="end"/>
      </w:r>
    </w:p>
  </w:footnote>
  <w:footnote w:id="63">
    <w:p w14:paraId="09536AF8" w14:textId="5B8C6B8F" w:rsidR="00BA2121" w:rsidRDefault="00BA2121">
      <w:pPr>
        <w:pStyle w:val="FootnoteText"/>
      </w:pPr>
      <w:r w:rsidRPr="00444F1D">
        <w:rPr>
          <w:rStyle w:val="FootnoteReference"/>
        </w:rPr>
        <w:footnoteRef/>
      </w:r>
      <w:r>
        <w:t xml:space="preserve"> </w:t>
      </w:r>
      <w:r>
        <w:fldChar w:fldCharType="begin"/>
      </w:r>
      <w:r w:rsidR="008A2231">
        <w:instrText xml:space="preserve"> ADDIN ZOTERO_ITEM CSL_CITATION {"citationID":"p40Gq1VH","properties":{"formattedCitation":"{\\i{}R v Jason Lawrance} (n 9) [34].","plainCitation":"R v Jason Lawrance (n 9) [34].","dontUpdate":true,"noteIndex":63},"citationItems":[{"id":4684,"uris":["http://zotero.org/users/10005302/items/KQ8W7G65"],"itemData":{"id":4684,"type":"legal_case","note":"container-title: EWCA Crim","page":"971","title":"R v Jason Lawrance","issued":{"date-parts":[["2020"]]}},"label":"page","suffix":" [34]"}],"schema":"https://github.com/citation-style-language/schema/raw/master/csl-citation.json"} </w:instrText>
      </w:r>
      <w:r>
        <w:fldChar w:fldCharType="separate"/>
      </w:r>
      <w:r w:rsidRPr="00BA2121">
        <w:rPr>
          <w:rFonts w:ascii="Calibri" w:cs="Calibri"/>
          <w:i/>
          <w:iCs/>
          <w:kern w:val="0"/>
        </w:rPr>
        <w:t>Lawrance</w:t>
      </w:r>
      <w:r w:rsidRPr="00BA2121">
        <w:rPr>
          <w:rFonts w:ascii="Calibri" w:cs="Calibri"/>
          <w:kern w:val="0"/>
        </w:rPr>
        <w:t xml:space="preserve"> (n 9) [34].</w:t>
      </w:r>
      <w:r>
        <w:fldChar w:fldCharType="end"/>
      </w:r>
    </w:p>
  </w:footnote>
  <w:footnote w:id="64">
    <w:p w14:paraId="17528D47" w14:textId="10FF3C15" w:rsidR="0080547D" w:rsidRPr="0080547D" w:rsidRDefault="0080547D" w:rsidP="0080547D">
      <w:pPr>
        <w:pStyle w:val="FootnoteText"/>
      </w:pPr>
      <w:r>
        <w:rPr>
          <w:rStyle w:val="FootnoteReference"/>
        </w:rPr>
        <w:footnoteRef/>
      </w:r>
      <w:r>
        <w:t xml:space="preserve"> Ibid [37].</w:t>
      </w:r>
    </w:p>
  </w:footnote>
  <w:footnote w:id="65">
    <w:p w14:paraId="7D298980" w14:textId="50666527" w:rsidR="00D12140" w:rsidRDefault="00D12140">
      <w:pPr>
        <w:pStyle w:val="FootnoteText"/>
      </w:pPr>
      <w:r w:rsidRPr="00444F1D">
        <w:rPr>
          <w:rStyle w:val="FootnoteReference"/>
        </w:rPr>
        <w:footnoteRef/>
      </w:r>
      <w:r>
        <w:t xml:space="preserve"> </w:t>
      </w:r>
      <w:r>
        <w:fldChar w:fldCharType="begin"/>
      </w:r>
      <w:r w:rsidR="008A2231">
        <w:instrText xml:space="preserve"> ADDIN ZOTERO_ITEM CSL_CITATION {"citationID":"dcNpvgiD","properties":{"formattedCitation":"ibid [3]-[5].","plainCitation":"ibid [3]-[5].","dontUpdate":true,"noteIndex":65},"citationItems":[{"id":4684,"uris":["http://zotero.org/users/10005302/items/KQ8W7G65"],"itemData":{"id":4684,"type":"legal_case","note":"container-title: EWCA Crim","page":"971","title":"R v Jason Lawrance","issued":{"date-parts":[["2020"]]}},"label":"page","suffix":" [3]-[5]"}],"schema":"https://github.com/citation-style-language/schema/raw/master/csl-citation.json"} </w:instrText>
      </w:r>
      <w:r>
        <w:fldChar w:fldCharType="separate"/>
      </w:r>
      <w:r w:rsidR="0080547D">
        <w:rPr>
          <w:noProof/>
        </w:rPr>
        <w:t>Ibid</w:t>
      </w:r>
      <w:r>
        <w:rPr>
          <w:noProof/>
        </w:rPr>
        <w:t xml:space="preserve"> [3]-[5].</w:t>
      </w:r>
      <w:r>
        <w:fldChar w:fldCharType="end"/>
      </w:r>
    </w:p>
  </w:footnote>
  <w:footnote w:id="66">
    <w:p w14:paraId="50AF7044" w14:textId="693AFF9F" w:rsidR="00D12140" w:rsidRDefault="00D12140">
      <w:pPr>
        <w:pStyle w:val="FootnoteText"/>
      </w:pPr>
      <w:r w:rsidRPr="00444F1D">
        <w:rPr>
          <w:rStyle w:val="FootnoteReference"/>
        </w:rPr>
        <w:footnoteRef/>
      </w:r>
      <w:r>
        <w:t xml:space="preserve"> </w:t>
      </w:r>
      <w:r>
        <w:fldChar w:fldCharType="begin"/>
      </w:r>
      <w:r w:rsidR="008A2231">
        <w:instrText xml:space="preserve"> ADDIN ZOTERO_ITEM CSL_CITATION {"citationID":"7b5UTNAz","properties":{"formattedCitation":"Joanne Lloyd, Alison Attrill-Smith and Chris Fullwood, \\uc0\\u8216{}Online Romantic Relationships\\uc0\\u8217{} in Alison Attrill-Smith and others (eds), {\\i{}The Oxford Handbook of Cyberpsychology} (Oxford University Press 2019).","plainCitation":"Joanne Lloyd, Alison Attrill-Smith and Chris Fullwood, ‘Online Romantic Relationships’ in Alison Attrill-Smith and others (eds), The Oxford Handbook of Cyberpsychology (Oxford University Press 2019).","dontUpdate":true,"noteIndex":66},"citationItems":[{"id":5036,"uris":["http://zotero.org/users/10005302/items/MUBVPK7D"],"itemData":{"id":5036,"type":"chapter","abstract":"The purpose of this study was to investigate factors relating to perceptions of online roman-tic relationships. One hundred seventy-seven people who had never been involved in an on-line romantic relationship completed a survey to assess relationships among perceptions of online romantic relationships and (a) amount of Internet use, (b) Internet affinity, (c) per-ceived realism of the Internet, and (d) romantic beliefs. Results reveal that amount of time spent online and affinity for the Internet are positively related to more favorable percep-tions of online romantic relationships, whereas perceived realism and romantic beliefs were not related to perceptions of online romantic relationships. Romantic beliefs, therefore, may lend themselves to more conventional notions of relationships. Implications for and devel-opment and maintenance of online relationships, as impacted by social support networks, are discussed.","container-title":"The Oxford Handbook of Cyberpsychology","event-place":"Oxford","ISBN":"978-0-19-881274-6","note":"DOI: 10.1093/oxfordhb/9780198812746.013.13","page":"194-215","publisher":"Oxford University Press","publisher-place":"Oxford","title":"Online Romantic Relationships","author":[{"family":"Lloyd","given":"Joanne"},{"family":"Attrill-Smith","given":"Alison"},{"family":"Fullwood","given":"Chris"}],"editor":[{"family":"Attrill-Smith","given":"Alison"},{"family":"Fullwood","given":"Chris"},{"family":"Keep","given":"Melanie"},{"family":"Kuss","given":"Daria J."}],"issued":{"date-parts":[["2019"]]}}}],"schema":"https://github.com/citation-style-language/schema/raw/master/csl-citation.json"} </w:instrText>
      </w:r>
      <w:r>
        <w:fldChar w:fldCharType="separate"/>
      </w:r>
      <w:r w:rsidRPr="00D12140">
        <w:rPr>
          <w:rFonts w:ascii="Calibri" w:cs="Calibri"/>
          <w:kern w:val="0"/>
        </w:rPr>
        <w:t>Joanne Lloyd, Alison Attrill-</w:t>
      </w:r>
      <w:proofErr w:type="gramStart"/>
      <w:r w:rsidRPr="00D12140">
        <w:rPr>
          <w:rFonts w:ascii="Calibri" w:cs="Calibri"/>
          <w:kern w:val="0"/>
        </w:rPr>
        <w:t>Smith</w:t>
      </w:r>
      <w:proofErr w:type="gramEnd"/>
      <w:r w:rsidRPr="00D12140">
        <w:rPr>
          <w:rFonts w:ascii="Calibri" w:cs="Calibri"/>
          <w:kern w:val="0"/>
        </w:rPr>
        <w:t xml:space="preserve"> and Chris Fullwood, ‘Online Romantic Relationships’ in Alison Attrill-Smith and others (eds), </w:t>
      </w:r>
      <w:r w:rsidRPr="00D12140">
        <w:rPr>
          <w:rFonts w:ascii="Calibri" w:cs="Calibri"/>
          <w:i/>
          <w:iCs/>
          <w:kern w:val="0"/>
        </w:rPr>
        <w:t>The Oxford Handbook of Cyberpsychology</w:t>
      </w:r>
      <w:r w:rsidRPr="00D12140">
        <w:rPr>
          <w:rFonts w:ascii="Calibri" w:cs="Calibri"/>
          <w:kern w:val="0"/>
        </w:rPr>
        <w:t xml:space="preserve"> (</w:t>
      </w:r>
      <w:r w:rsidR="006852CC">
        <w:rPr>
          <w:rFonts w:ascii="Calibri" w:cs="Calibri"/>
          <w:kern w:val="0"/>
        </w:rPr>
        <w:t>OUP</w:t>
      </w:r>
      <w:r w:rsidRPr="00D12140">
        <w:rPr>
          <w:rFonts w:ascii="Calibri" w:cs="Calibri"/>
          <w:kern w:val="0"/>
        </w:rPr>
        <w:t xml:space="preserve"> 2019).</w:t>
      </w:r>
      <w:r>
        <w:fldChar w:fldCharType="end"/>
      </w:r>
    </w:p>
  </w:footnote>
  <w:footnote w:id="67">
    <w:p w14:paraId="0465146B" w14:textId="3F1F1FD6" w:rsidR="00795C70" w:rsidRDefault="00795C70">
      <w:pPr>
        <w:pStyle w:val="FootnoteText"/>
      </w:pPr>
      <w:r w:rsidRPr="00444F1D">
        <w:rPr>
          <w:rStyle w:val="FootnoteReference"/>
        </w:rPr>
        <w:footnoteRef/>
      </w:r>
      <w:r>
        <w:t xml:space="preserve"> </w:t>
      </w:r>
      <w:r>
        <w:fldChar w:fldCharType="begin"/>
      </w:r>
      <w:r w:rsidR="008A2231">
        <w:instrText xml:space="preserve"> ADDIN ZOTERO_ITEM CSL_CITATION {"citationID":"GU4vZqBl","properties":{"formattedCitation":"{\\i{}R v Jason Lawrance} (n 9) particularly at [33]; {\\i{}R (on the application of Monica) v DPP} [2018] EWHC 3509 (Divisional Court); {\\i{}R v McNally} (n 8).","plainCitation":"R v Jason Lawrance (n 9) particularly at [33]; R (on the application of Monica) v DPP [2018] EWHC 3509 (Divisional Court); R v McNally (n 8).","dontUpdate":true,"noteIndex":67},"citationItems":[{"id":4684,"uris":["http://zotero.org/users/10005302/items/KQ8W7G65"],"itemData":{"id":4684,"type":"legal_case","note":"container-title: EWCA Crim","page":"971","title":"R v Jason Lawrance","issued":{"date-parts":[["2020"]]}},"label":"page","suffix":" particularly at [33]"},{"id":5707,"uris":["http://zotero.org/users/10005302/items/PXE8VUI4"],"itemData":{"id":5707,"type":"legal_case","authority":"Divisional Court","container-title":"EWHC","language":"en-GB","page":"3509","title":"R. (on the application of Monica) v DPP","URL":"http://uk.practicallaw.thomsonreuters.com/Document/I261CA240FFBE11E88EE9CCB16671E658/View/FullText.html?navigationPath=Search%2Fv1%2Fresults%2Fnavigation%2Fi0ad73aa600000183e5ebd0ece93a50c5%3Fppcid%3Df40751ab52334fce891a3980b685b3d4%26Nav%3DRESEARCH_COMBINED_WLUK%26fragmentIdentifier%3DI261CA240FFBE11E88EE9CCB16671E658%26parentRank%3D0%26startIndex%3D1%26contextData%3D%2528sc.Search%2529%26transitionType%3DSearchItem&amp;listSource=Search&amp;listPageSource=73aa0bd810b78bec788a371db7f64d33&amp;list=RESEARCH_COMBINED_WLUK&amp;rank=1&amp;sessionScopeId=8897a0e65314d10349f9d043c7a3bfd2edb057bbe6356b53d32899a8dcbb036f&amp;ppcid=f40751ab52334fce891a3980b685b3d4&amp;originationContext=Search%20Result&amp;transitionType=SearchItem&amp;contextData=(sc.Search)&amp;comp=wluk","accessed":{"date-parts":[["2022",10,17]]},"issued":{"date-parts":[["2018"]]}}},{"id":1587,"uris":["http://zotero.org/users/10005302/items/PQPKERDZ"],"itemData":{"id":1587,"type":"legal_case","note":"container-title: EWCA Crim","page":"1051, [2014] QB 593","title":"R v McNally","issued":{"date-parts":[["2013"]]}}}],"schema":"https://github.com/citation-style-language/schema/raw/master/csl-citation.json"} </w:instrText>
      </w:r>
      <w:r>
        <w:fldChar w:fldCharType="separate"/>
      </w:r>
      <w:r w:rsidRPr="00795C70">
        <w:rPr>
          <w:rFonts w:ascii="Calibri" w:cs="Calibri"/>
          <w:i/>
          <w:iCs/>
          <w:kern w:val="0"/>
        </w:rPr>
        <w:t>Lawrance</w:t>
      </w:r>
      <w:r w:rsidRPr="00795C70">
        <w:rPr>
          <w:rFonts w:ascii="Calibri" w:cs="Calibri"/>
          <w:kern w:val="0"/>
        </w:rPr>
        <w:t xml:space="preserve"> (n 9) particularly at [33]</w:t>
      </w:r>
      <w:r w:rsidR="0080547D">
        <w:rPr>
          <w:rFonts w:ascii="Calibri" w:cs="Calibri"/>
          <w:kern w:val="0"/>
        </w:rPr>
        <w:t>: discussing</w:t>
      </w:r>
      <w:r w:rsidRPr="00795C70">
        <w:rPr>
          <w:rFonts w:ascii="Calibri" w:cs="Calibri"/>
          <w:kern w:val="0"/>
        </w:rPr>
        <w:t xml:space="preserve"> </w:t>
      </w:r>
      <w:r w:rsidRPr="00795C70">
        <w:rPr>
          <w:rFonts w:ascii="Calibri" w:cs="Calibri"/>
          <w:i/>
          <w:iCs/>
          <w:kern w:val="0"/>
        </w:rPr>
        <w:t>R (on the application of Monica) v DPP</w:t>
      </w:r>
      <w:r w:rsidRPr="00795C70">
        <w:rPr>
          <w:rFonts w:ascii="Calibri" w:cs="Calibri"/>
          <w:kern w:val="0"/>
        </w:rPr>
        <w:t xml:space="preserve"> [2018] EWHC 3509 (Divisional Court)</w:t>
      </w:r>
      <w:r w:rsidR="007B01C0">
        <w:rPr>
          <w:rFonts w:ascii="Calibri" w:cs="Calibri"/>
          <w:kern w:val="0"/>
        </w:rPr>
        <w:t xml:space="preserve"> (</w:t>
      </w:r>
      <w:r w:rsidR="007B01C0">
        <w:rPr>
          <w:rFonts w:ascii="Calibri" w:cs="Calibri"/>
          <w:i/>
          <w:iCs/>
          <w:kern w:val="0"/>
        </w:rPr>
        <w:t>Monica)</w:t>
      </w:r>
      <w:r w:rsidR="0080547D">
        <w:rPr>
          <w:rFonts w:ascii="Calibri" w:cs="Calibri"/>
          <w:kern w:val="0"/>
        </w:rPr>
        <w:t xml:space="preserve"> and </w:t>
      </w:r>
      <w:r w:rsidRPr="00795C70">
        <w:rPr>
          <w:rFonts w:ascii="Calibri" w:cs="Calibri"/>
          <w:i/>
          <w:iCs/>
          <w:kern w:val="0"/>
        </w:rPr>
        <w:t>McNally</w:t>
      </w:r>
      <w:r w:rsidRPr="00795C70">
        <w:rPr>
          <w:rFonts w:ascii="Calibri" w:cs="Calibri"/>
          <w:kern w:val="0"/>
        </w:rPr>
        <w:t xml:space="preserve"> (n 8).</w:t>
      </w:r>
      <w:r>
        <w:fldChar w:fldCharType="end"/>
      </w:r>
    </w:p>
  </w:footnote>
  <w:footnote w:id="68">
    <w:p w14:paraId="601B6111" w14:textId="007EE270" w:rsidR="002233B5" w:rsidRDefault="002233B5">
      <w:pPr>
        <w:pStyle w:val="FootnoteText"/>
      </w:pPr>
      <w:r w:rsidRPr="00444F1D">
        <w:rPr>
          <w:rStyle w:val="FootnoteReference"/>
        </w:rPr>
        <w:footnoteRef/>
      </w:r>
      <w:r>
        <w:t xml:space="preserve"> </w:t>
      </w:r>
      <w:r>
        <w:fldChar w:fldCharType="begin"/>
      </w:r>
      <w:r w:rsidR="008A2231">
        <w:instrText xml:space="preserve"> ADDIN ZOTERO_ITEM CSL_CITATION {"citationID":"TF3xFc0w","properties":{"formattedCitation":"{\\i{}R. (on the application of Monica) v DPP} (n 65) [2].","plainCitation":"R. (on the application of Monica) v DPP (n 65) [2].","dontUpdate":true,"noteIndex":68},"citationItems":[{"id":5707,"uris":["http://zotero.org/users/10005302/items/PXE8VUI4"],"itemData":{"id":5707,"type":"legal_case","authority":"Divisional Court","container-title":"EWHC","language":"en-GB","page":"3509","title":"R. (on the application of Monica) v DPP","URL":"http://uk.practicallaw.thomsonreuters.com/Document/I261CA240FFBE11E88EE9CCB16671E658/View/FullText.html?navigationPath=Search%2Fv1%2Fresults%2Fnavigation%2Fi0ad73aa600000183e5ebd0ece93a50c5%3Fppcid%3Df40751ab52334fce891a3980b685b3d4%26Nav%3DRESEARCH_COMBINED_WLUK%26fragmentIdentifier%3DI261CA240FFBE11E88EE9CCB16671E658%26parentRank%3D0%26startIndex%3D1%26contextData%3D%2528sc.Search%2529%26transitionType%3DSearchItem&amp;listSource=Search&amp;listPageSource=73aa0bd810b78bec788a371db7f64d33&amp;list=RESEARCH_COMBINED_WLUK&amp;rank=1&amp;sessionScopeId=8897a0e65314d10349f9d043c7a3bfd2edb057bbe6356b53d32899a8dcbb036f&amp;ppcid=f40751ab52334fce891a3980b685b3d4&amp;originationContext=Search%20Result&amp;transitionType=SearchItem&amp;contextData=(sc.Search)&amp;comp=wluk","accessed":{"date-parts":[["2022",10,17]]},"issued":{"date-parts":[["2018"]]}},"label":"page","suffix":" [2]"}],"schema":"https://github.com/citation-style-language/schema/raw/master/csl-citation.json"} </w:instrText>
      </w:r>
      <w:r>
        <w:fldChar w:fldCharType="separate"/>
      </w:r>
      <w:r w:rsidR="007B01C0">
        <w:rPr>
          <w:rFonts w:ascii="Calibri" w:cs="Calibri"/>
          <w:i/>
          <w:iCs/>
          <w:kern w:val="0"/>
        </w:rPr>
        <w:t xml:space="preserve">Monica </w:t>
      </w:r>
      <w:r w:rsidR="0051105C" w:rsidRPr="0051105C">
        <w:rPr>
          <w:rFonts w:ascii="Calibri" w:cs="Calibri"/>
          <w:kern w:val="0"/>
        </w:rPr>
        <w:t>(n 6</w:t>
      </w:r>
      <w:r w:rsidR="00C33E25">
        <w:rPr>
          <w:rFonts w:ascii="Calibri" w:cs="Calibri"/>
          <w:kern w:val="0"/>
        </w:rPr>
        <w:t>7</w:t>
      </w:r>
      <w:r w:rsidR="0051105C" w:rsidRPr="0051105C">
        <w:rPr>
          <w:rFonts w:ascii="Calibri" w:cs="Calibri"/>
          <w:kern w:val="0"/>
        </w:rPr>
        <w:t>) [2].</w:t>
      </w:r>
      <w:r>
        <w:fldChar w:fldCharType="end"/>
      </w:r>
    </w:p>
  </w:footnote>
  <w:footnote w:id="69">
    <w:p w14:paraId="0C8BB3AB" w14:textId="303060DC" w:rsidR="00B632C8" w:rsidRDefault="00B632C8">
      <w:pPr>
        <w:pStyle w:val="FootnoteText"/>
      </w:pPr>
      <w:r w:rsidRPr="00444F1D">
        <w:rPr>
          <w:rStyle w:val="FootnoteReference"/>
        </w:rPr>
        <w:footnoteRef/>
      </w:r>
      <w:r>
        <w:t xml:space="preserve"> </w:t>
      </w:r>
      <w:r w:rsidR="00AD6BA8">
        <w:t>An additional charge relating to penetration with a dildo was not perused</w:t>
      </w:r>
      <w:r w:rsidR="00840097">
        <w:t>.</w:t>
      </w:r>
    </w:p>
  </w:footnote>
  <w:footnote w:id="70">
    <w:p w14:paraId="43D175CC" w14:textId="2D587DCC" w:rsidR="00B632C8" w:rsidRDefault="00B632C8">
      <w:pPr>
        <w:pStyle w:val="FootnoteText"/>
      </w:pPr>
      <w:r w:rsidRPr="00444F1D">
        <w:rPr>
          <w:rStyle w:val="FootnoteReference"/>
        </w:rPr>
        <w:footnoteRef/>
      </w:r>
      <w:r>
        <w:t xml:space="preserve"> </w:t>
      </w:r>
      <w:r>
        <w:fldChar w:fldCharType="begin"/>
      </w:r>
      <w:r w:rsidR="008A2231">
        <w:instrText xml:space="preserve"> ADDIN ZOTERO_ITEM CSL_CITATION {"citationID":"2HLKvkyr","properties":{"formattedCitation":"{\\i{}R v McNally} (n 8); Alex Sharpe, \\uc0\\u8216{}Criminalising Sexual Intimacy: Transgender Defendants and the Legal Construction of Non-Consent\\uc0\\u8217{} [2014] Criminal Law Review 207.","plainCitation":"R v McNally (n 8); Alex Sharpe, ‘Criminalising Sexual Intimacy: Transgender Defendants and the Legal Construction of Non-Consent’ [2014] Criminal Law Review 207.","dontUpdate":true,"noteIndex":70},"citationItems":[{"id":1587,"uris":["http://zotero.org/users/10005302/items/PQPKERDZ"],"itemData":{"id":1587,"type":"legal_case","note":"container-title: EWCA Crim","page":"1051, [2014] QB 593","title":"R v McNally","issued":{"date-parts":[["2013"]]}}},{"id":1530,"uris":["http://zotero.org/users/10005302/items/MM6CK6ZP"],"itemData":{"id":1530,"type":"article-journal","abstract":"McNally received a custodial sentence of three years after pleading guilty at Wood Green Crown Court, London, to six counts of sexual assault by penetration. 1 She was also placed on the Sex Offenders' Register for life. The background story to her convictions can be described as follows: McNally met a cisgender 2 girl through an online video game and communicated with her through a chat room and skype. At the time, she was 13 and the girl 12 years old. After more than three years of online communication the two met in person on several occasions. On two of those occasions McNally digitally and orally penetrated the girl. At the time of these sexual acts she was 17 and the girl 16. While McNally was born with female genitalia, she identified and presented as male prior to and at the time of the incidents. Case 2: Christopher Wilson On March 6, 2013, Christopher Wilson, after entering a plea of guilty, was convicted by the Edinburgh High Court on two counts of obtaining sexual intimacy by fraud. 3 While a custodial sentence was anticipated, he received three years probation and 240 hours of community service. He was also placed on the Sex Offenders' Register for life. The background story to his convictions can be described as follows: Wilson met two cisgender girls on separate occasions. In relation to the first girl, who was either 15 or 16 at the time (there is uncertainty on this point), sexual contact was limited to kissing. Wilson was aged 20 at the *Crim. L.R. 208 time of kissing girl 1. Two years later he commenced a relationship with the second girl. She was aged 15 at the time, but told Wilson that she was 16. This relationship culminated in penetrative sexual intercourse by means of a prosthetic device. 4 While Wilson was born with female genitalia, he identified and presented as male prior to, at the time of, and subsequent to the incidents.","container-title":"Criminal Law Review","ISSN":"0011135X","note":"publisher: Justine McNally On","page":"207-223","title":"Criminalising sexual intimacy: Transgender defendants and the legal construction of non-consent","author":[{"family":"Sharpe","given":"Alex"}],"issued":{"date-parts":[["2014"]]}}}],"schema":"https://github.com/citation-style-language/schema/raw/master/csl-citation.json"} </w:instrText>
      </w:r>
      <w:r>
        <w:fldChar w:fldCharType="separate"/>
      </w:r>
      <w:r w:rsidRPr="00B632C8">
        <w:rPr>
          <w:rFonts w:ascii="Calibri" w:cs="Calibri"/>
          <w:i/>
          <w:iCs/>
          <w:kern w:val="0"/>
        </w:rPr>
        <w:t>McNally</w:t>
      </w:r>
      <w:r w:rsidRPr="00B632C8">
        <w:rPr>
          <w:rFonts w:ascii="Calibri" w:cs="Calibri"/>
          <w:kern w:val="0"/>
        </w:rPr>
        <w:t xml:space="preserve"> (n 8); Alex Sharpe, ‘Criminalising Sexual Intimacy: Transgender Defendants and the Legal Construction of Non-Consent’ [2014] C</w:t>
      </w:r>
      <w:r w:rsidR="002501EC">
        <w:rPr>
          <w:rFonts w:ascii="Calibri" w:cs="Calibri"/>
          <w:kern w:val="0"/>
        </w:rPr>
        <w:t>rim LR</w:t>
      </w:r>
      <w:r w:rsidRPr="00B632C8">
        <w:rPr>
          <w:rFonts w:ascii="Calibri" w:cs="Calibri"/>
          <w:kern w:val="0"/>
        </w:rPr>
        <w:t xml:space="preserve"> 207.</w:t>
      </w:r>
      <w:r>
        <w:fldChar w:fldCharType="end"/>
      </w:r>
    </w:p>
  </w:footnote>
  <w:footnote w:id="71">
    <w:p w14:paraId="7A663658" w14:textId="180E6552" w:rsidR="00BF5CEB" w:rsidRDefault="00BF5CEB">
      <w:pPr>
        <w:pStyle w:val="FootnoteText"/>
      </w:pPr>
      <w:r w:rsidRPr="00444F1D">
        <w:rPr>
          <w:rStyle w:val="FootnoteReference"/>
        </w:rPr>
        <w:footnoteRef/>
      </w:r>
      <w:r>
        <w:t xml:space="preserve"> </w:t>
      </w:r>
      <w:r>
        <w:fldChar w:fldCharType="begin"/>
      </w:r>
      <w:r w:rsidR="008A2231">
        <w:instrText xml:space="preserve"> ADDIN ZOTERO_ITEM CSL_CITATION {"citationID":"i8G11ya0","properties":{"formattedCitation":"{\\i{}R v McNally} (n 8) [26] (emphasis added).","plainCitation":"R v McNally (n 8) [26] (emphasis added).","dontUpdate":true,"noteIndex":71},"citationItems":[{"id":1587,"uris":["http://zotero.org/users/10005302/items/PQPKERDZ"],"itemData":{"id":1587,"type":"legal_case","note":"container-title: EWCA Crim","page":"1051, [2014] QB 593","title":"R v McNally","issued":{"date-parts":[["2013"]]}},"label":"page","suffix":" [26] (emphasis added)"}],"schema":"https://github.com/citation-style-language/schema/raw/master/csl-citation.json"} </w:instrText>
      </w:r>
      <w:r>
        <w:fldChar w:fldCharType="separate"/>
      </w:r>
      <w:r w:rsidRPr="00BF5CEB">
        <w:rPr>
          <w:rFonts w:ascii="Calibri" w:cs="Calibri"/>
          <w:i/>
          <w:iCs/>
          <w:kern w:val="0"/>
        </w:rPr>
        <w:t>McNally</w:t>
      </w:r>
      <w:r w:rsidRPr="00BF5CEB">
        <w:rPr>
          <w:rFonts w:ascii="Calibri" w:cs="Calibri"/>
          <w:kern w:val="0"/>
        </w:rPr>
        <w:t xml:space="preserve"> (n 8) [26] (emphasis added).</w:t>
      </w:r>
      <w:r>
        <w:fldChar w:fldCharType="end"/>
      </w:r>
    </w:p>
  </w:footnote>
  <w:footnote w:id="72">
    <w:p w14:paraId="21673314" w14:textId="6619E04C" w:rsidR="00BF5CEB" w:rsidRDefault="00BF5CEB">
      <w:pPr>
        <w:pStyle w:val="FootnoteText"/>
      </w:pPr>
      <w:r w:rsidRPr="00444F1D">
        <w:rPr>
          <w:rStyle w:val="FootnoteReference"/>
        </w:rPr>
        <w:footnoteRef/>
      </w:r>
      <w:r>
        <w:t xml:space="preserve"> </w:t>
      </w:r>
      <w:r>
        <w:fldChar w:fldCharType="begin"/>
      </w:r>
      <w:r w:rsidR="008A2231">
        <w:instrText xml:space="preserve"> ADDIN ZOTERO_ITEM CSL_CITATION {"citationID":"t0oPesLk","properties":{"formattedCitation":"{\\i{}R. (on the application of Monica) v DPP} (n 65) [80].","plainCitation":"R. (on the application of Monica) v DPP (n 65) [80].","dontUpdate":true,"noteIndex":72},"citationItems":[{"id":5707,"uris":["http://zotero.org/users/10005302/items/PXE8VUI4"],"itemData":{"id":5707,"type":"legal_case","authority":"Divisional Court","container-title":"EWHC","language":"en-GB","page":"3509","title":"R. (on the application of Monica) v DPP","URL":"http://uk.practicallaw.thomsonreuters.com/Document/I261CA240FFBE11E88EE9CCB16671E658/View/FullText.html?navigationPath=Search%2Fv1%2Fresults%2Fnavigation%2Fi0ad73aa600000183e5ebd0ece93a50c5%3Fppcid%3Df40751ab52334fce891a3980b685b3d4%26Nav%3DRESEARCH_COMBINED_WLUK%26fragmentIdentifier%3DI261CA240FFBE11E88EE9CCB16671E658%26parentRank%3D0%26startIndex%3D1%26contextData%3D%2528sc.Search%2529%26transitionType%3DSearchItem&amp;listSource=Search&amp;listPageSource=73aa0bd810b78bec788a371db7f64d33&amp;list=RESEARCH_COMBINED_WLUK&amp;rank=1&amp;sessionScopeId=8897a0e65314d10349f9d043c7a3bfd2edb057bbe6356b53d32899a8dcbb036f&amp;ppcid=f40751ab52334fce891a3980b685b3d4&amp;originationContext=Search%20Result&amp;transitionType=SearchItem&amp;contextData=(sc.Search)&amp;comp=wluk","accessed":{"date-parts":[["2022",10,17]]},"issued":{"date-parts":[["2018"]]}},"label":"page","suffix":" [80]"}],"schema":"https://github.com/citation-style-language/schema/raw/master/csl-citation.json"} </w:instrText>
      </w:r>
      <w:r>
        <w:fldChar w:fldCharType="separate"/>
      </w:r>
      <w:r w:rsidR="007B01C0">
        <w:rPr>
          <w:rFonts w:ascii="Calibri" w:cs="Calibri"/>
          <w:i/>
          <w:iCs/>
          <w:kern w:val="0"/>
        </w:rPr>
        <w:t xml:space="preserve">Monica </w:t>
      </w:r>
      <w:r w:rsidR="0051105C" w:rsidRPr="0051105C">
        <w:rPr>
          <w:rFonts w:ascii="Calibri" w:cs="Calibri"/>
          <w:kern w:val="0"/>
        </w:rPr>
        <w:t>(n 6</w:t>
      </w:r>
      <w:r w:rsidR="00C33E25">
        <w:rPr>
          <w:rFonts w:ascii="Calibri" w:cs="Calibri"/>
          <w:kern w:val="0"/>
        </w:rPr>
        <w:t>7</w:t>
      </w:r>
      <w:r w:rsidR="0051105C" w:rsidRPr="0051105C">
        <w:rPr>
          <w:rFonts w:ascii="Calibri" w:cs="Calibri"/>
          <w:kern w:val="0"/>
        </w:rPr>
        <w:t>) [80].</w:t>
      </w:r>
      <w:r>
        <w:fldChar w:fldCharType="end"/>
      </w:r>
    </w:p>
  </w:footnote>
  <w:footnote w:id="73">
    <w:p w14:paraId="172276DC" w14:textId="364C9852" w:rsidR="004560E5" w:rsidRDefault="004560E5">
      <w:pPr>
        <w:pStyle w:val="FootnoteText"/>
      </w:pPr>
      <w:r w:rsidRPr="00444F1D">
        <w:rPr>
          <w:rStyle w:val="FootnoteReference"/>
        </w:rPr>
        <w:footnoteRef/>
      </w:r>
      <w:r>
        <w:t xml:space="preserve"> </w:t>
      </w:r>
      <w:r>
        <w:fldChar w:fldCharType="begin"/>
      </w:r>
      <w:r w:rsidR="008A2231">
        <w:instrText xml:space="preserve"> ADDIN ZOTERO_ITEM CSL_CITATION {"citationID":"zwfcqZ1D","properties":{"formattedCitation":"See, for example, Clare McGlynn, \\uc0\\u8216{}Rape Trials and Sexual History Evidence\\uc0\\u8217{} (2017) 81 The Journal of Criminal Law 367.","plainCitation":"See, for example, Clare McGlynn, ‘Rape Trials and Sexual History Evidence’ (2017) 81 The Journal of Criminal Law 367.","dontUpdate":true,"noteIndex":73},"citationItems":[{"id":2303,"uris":["http://zotero.org/users/10005302/items/Z8QIT7UR"],"itemData":{"id":2303,"type":"article-journal","abstract":"Despite repeated legislative attempts to restrict the use of sexual history evidence in rape trials, it continues to be admitted in many cases, causing considerable debate and leading to further attempts to reform the law. In this light, this article examines afresh the admissibility of sexual history evidence in rape trials. It focuses particularly on evidence relating to persons other than the accused (third-party evidence), following the recent controversial judgment of the Court of Appeal in R v Ched Evans where such evidence was introduced. The justifications for restricting sexual history evidence are considered, as well as research data on how often it is being used. Following an analysis of the current law, the article concludes that urgent reform is needed and a number of law reform options are examined. Lord Coleridge, giving judgment in 1887, would be forgiven for thinking that in R v Riley he had settled the law on whether sexual history evidence with parties other than the accused is relevant in rape trials. He said that in seeking to prove whether or not a criminal attempt to rape, as was the issue in that case, has been made 'upon her by A, evidence that she has previously had connection with B and C is obviously not in point'. 1 He continued that any such evidence should be excluded: Pollock concurred stating that it is 'clear that evidence of the woman having had connection with other men would not be relevant' and Mathew J said that this approach is 'in accordance with justice and common sense'.","container-title":"The Journal of Criminal Law","DOI":"10.1177/0022018317728824","ISSN":"0022-0183","issue":"5","page":"367-392","title":"Rape Trials and Sexual History Evidence","volume":"81","author":[{"family":"McGlynn","given":"Clare"}],"issued":{"date-parts":[["2017"]]}},"label":"page","prefix":"See, for example, "}],"schema":"https://github.com/citation-style-language/schema/raw/master/csl-citation.json"} </w:instrText>
      </w:r>
      <w:r>
        <w:fldChar w:fldCharType="separate"/>
      </w:r>
      <w:r w:rsidR="00235039">
        <w:rPr>
          <w:rFonts w:ascii="Calibri" w:cs="Calibri"/>
          <w:kern w:val="0"/>
        </w:rPr>
        <w:t>On which, s</w:t>
      </w:r>
      <w:r w:rsidRPr="004560E5">
        <w:rPr>
          <w:rFonts w:ascii="Calibri" w:cs="Calibri"/>
          <w:kern w:val="0"/>
        </w:rPr>
        <w:t>ee,</w:t>
      </w:r>
      <w:r w:rsidR="007A39F8">
        <w:rPr>
          <w:rFonts w:ascii="Calibri" w:cs="Calibri"/>
          <w:kern w:val="0"/>
        </w:rPr>
        <w:t xml:space="preserve"> for example,</w:t>
      </w:r>
      <w:r w:rsidRPr="004560E5">
        <w:rPr>
          <w:rFonts w:ascii="Calibri" w:cs="Calibri"/>
          <w:kern w:val="0"/>
        </w:rPr>
        <w:t xml:space="preserve"> Clare McGlynn, ‘Rape Trials and Sexual History Evidence’ (2017) 81 </w:t>
      </w:r>
      <w:r w:rsidR="002501EC">
        <w:rPr>
          <w:rFonts w:ascii="Calibri" w:cs="Calibri"/>
          <w:kern w:val="0"/>
        </w:rPr>
        <w:t>Jo Crim Law</w:t>
      </w:r>
      <w:r w:rsidRPr="004560E5">
        <w:rPr>
          <w:rFonts w:ascii="Calibri" w:cs="Calibri"/>
          <w:kern w:val="0"/>
        </w:rPr>
        <w:t xml:space="preserve"> 367.</w:t>
      </w:r>
      <w:r>
        <w:fldChar w:fldCharType="end"/>
      </w:r>
    </w:p>
  </w:footnote>
  <w:footnote w:id="74">
    <w:p w14:paraId="52EBF742" w14:textId="1C8EC3DD" w:rsidR="00F14562" w:rsidRDefault="00F14562">
      <w:pPr>
        <w:pStyle w:val="FootnoteText"/>
      </w:pPr>
      <w:r w:rsidRPr="00444F1D">
        <w:rPr>
          <w:rStyle w:val="FootnoteReference"/>
        </w:rPr>
        <w:footnoteRef/>
      </w:r>
      <w:r>
        <w:t xml:space="preserve"> </w:t>
      </w:r>
      <w:r>
        <w:fldChar w:fldCharType="begin"/>
      </w:r>
      <w:r w:rsidR="008A2231">
        <w:instrText xml:space="preserve"> ADDIN ZOTERO_ITEM CSL_CITATION {"citationID":"jq5qJXJP","properties":{"formattedCitation":"For discussion of penile-vaginal intercourse and a \\uc0\\u8216{}coital heirarchy\\uc0\\u8217{}, see, Joseph A Diorio, \\uc0\\u8216{}Changing Discourse, Learning Sex, and Non-Coital Heterosexuality\\uc0\\u8217{} (2016) 20 Sexuality &amp; Culture 841, in particular at 853.","plainCitation":"For discussion of penile-vaginal intercourse and a ‘coital heirarchy’, see, Joseph A Diorio, ‘Changing Discourse, Learning Sex, and Non-Coital Heterosexuality’ (2016) 20 Sexuality &amp; Culture 841, in particular at 853.","dontUpdate":true,"noteIndex":74},"citationItems":[{"id":6114,"uris":["http://zotero.org/users/10005302/items/JBJMBUBI"],"itemData":{"id":6114,"type":"article-journal","abstract":"Young people learn what sex is, how to perform it, and what status it has largely through discourse. Sexual discourse has changed since the mid-twentieth century, but coitus still dominates heterosexual sex talk, and both change and continuity are reﬂected in adolescent sexual attitudes and behavior. Acceptance of non-coital sexuality among LGBTQ people and heterosexuals has increased, but these behaviors often have a different status when performed by members of each of these groups. Non-coital acts may be legitimately sexual when performed by nonheterosexuals, but coitus remains the paradigmatic heterosexual activity even though young heterosexuals often engage in non-coital behaviors. Young heterosexuals often differentiate real coital sex from quasi-sexual non-coital behaviors, and sexuality researchers, clinicians, and educators frequently reinforce this distinction and threaten the sexual status and self-esteem of young heterosexuals who do not like or cannot perform coitus. Many sexuality professionals urge young heterosexuals to recognize non-coital acts as sexual because of their risks of sexually transmitted infections, but sometimes also undermine this message by describing these acts as preliminaries to or substitutes for coitus. These professionals use an objective language of sexuality which presumably should supplant the mistaken usages of young people, but they overlook their own dependence on culturally constructed sexual discourse, and can impose needless problems on young people.","container-title":"Sexuality &amp; Culture","DOI":"10.1007/s12119-016-9359-9","ISSN":"1095-5143, 1936-4822","issue":"4","journalAbbreviation":"Sexuality &amp; Culture","language":"en","page":"841-861","source":"DOI.org (Crossref)","title":"Changing Discourse, Learning Sex, and Non-coital Heterosexuality","volume":"20","author":[{"family":"Diorio","given":"Joseph A."}],"issued":{"date-parts":[["2016",12]]}},"locator":" ","label":"page","prefix":"For discussion of penile-vaginal intercourse and a 'coital heirarchy', see,","suffix":", in particular at 853"}],"schema":"https://github.com/citation-style-language/schema/raw/master/csl-citation.json"} </w:instrText>
      </w:r>
      <w:r>
        <w:fldChar w:fldCharType="separate"/>
      </w:r>
      <w:r w:rsidR="00873C97" w:rsidRPr="00873C97">
        <w:rPr>
          <w:rFonts w:ascii="Calibri" w:cs="Calibri"/>
          <w:kern w:val="0"/>
        </w:rPr>
        <w:t xml:space="preserve">For discussion of penile-vaginal intercourse and a ‘coital hierarchy’, see, Joseph A </w:t>
      </w:r>
      <w:proofErr w:type="spellStart"/>
      <w:r w:rsidR="00873C97" w:rsidRPr="00873C97">
        <w:rPr>
          <w:rFonts w:ascii="Calibri" w:cs="Calibri"/>
          <w:kern w:val="0"/>
        </w:rPr>
        <w:t>Diorio</w:t>
      </w:r>
      <w:proofErr w:type="spellEnd"/>
      <w:r w:rsidR="00873C97" w:rsidRPr="00873C97">
        <w:rPr>
          <w:rFonts w:ascii="Calibri" w:cs="Calibri"/>
          <w:kern w:val="0"/>
        </w:rPr>
        <w:t xml:space="preserve">, ‘Changing Discourse, Learning Sex, and Non-Coital Heterosexuality’ (2016) 20 Sexuality &amp; Culture 841, </w:t>
      </w:r>
      <w:proofErr w:type="gramStart"/>
      <w:r w:rsidR="00873C97" w:rsidRPr="00873C97">
        <w:rPr>
          <w:rFonts w:ascii="Calibri" w:cs="Calibri"/>
          <w:kern w:val="0"/>
        </w:rPr>
        <w:t>in particular at</w:t>
      </w:r>
      <w:proofErr w:type="gramEnd"/>
      <w:r w:rsidR="00873C97" w:rsidRPr="00873C97">
        <w:rPr>
          <w:rFonts w:ascii="Calibri" w:cs="Calibri"/>
          <w:kern w:val="0"/>
        </w:rPr>
        <w:t xml:space="preserve"> 853.</w:t>
      </w:r>
      <w:r>
        <w:fldChar w:fldCharType="end"/>
      </w:r>
    </w:p>
  </w:footnote>
  <w:footnote w:id="75">
    <w:p w14:paraId="52B193A3" w14:textId="3F64C8A9" w:rsidR="00873C97" w:rsidRDefault="00873C97">
      <w:pPr>
        <w:pStyle w:val="FootnoteText"/>
      </w:pPr>
      <w:r w:rsidRPr="00444F1D">
        <w:rPr>
          <w:rStyle w:val="FootnoteReference"/>
        </w:rPr>
        <w:footnoteRef/>
      </w:r>
      <w:r>
        <w:t xml:space="preserve"> </w:t>
      </w:r>
      <w:r>
        <w:fldChar w:fldCharType="begin"/>
      </w:r>
      <w:r w:rsidR="008A2231">
        <w:instrText xml:space="preserve"> ADDIN ZOTERO_ITEM CSL_CITATION {"citationID":"RkLnO4X2","properties":{"formattedCitation":"Cameron Giles, \\uc0\\u8216{}From Clarence to Lawrance: A Criminal Law Perspective on Marriage and Relationship Status and the Law on \\uc0\\u8220{}Deceptive Sex\\uc0\\u8221{}\\uc0\\u8217{} (A Sacred Covenant? Historical, Legal and Cultural Perspectives on the Development of Marital Law Conference, Newcastle-Upon-Tyne, May 2021) &lt;https://www.youtube.com/watch?v=H4oC-32SNt4&gt; accessed 20 October 2022.","plainCitation":"Cameron Giles, ‘From Clarence to Lawrance: A Criminal Law Perspective on Marriage and Relationship Status and the Law on “Deceptive Sex”’ (A Sacred Covenant? Historical, Legal and Cultural Perspectives on the Development of Marital Law Conference, Newcastle-Upon-Tyne, May 2021) &lt;https://www.youtube.com/watch?v=H4oC-32SNt4&gt; accessed 20 October 2022.","dontUpdate":true,"noteIndex":75},"citationItems":[{"id":5710,"uris":["http://zotero.org/users/10005302/items/LKDTAKJW"],"itemData":{"id":5710,"type":"paper-conference","event-place":"Newcastle-Upon-Tyne","event-title":"A Sacred Covenant? Historical, Legal and Cultural Perspectives on the Development of Marital Law","publisher":"A Sacred Covenant? Historical, Legal and Cultural Perspectives on the Development of Marital Law Conference, Newcastle-Upon-Tyne, May","publisher-place":"Newcastle-Upon-Tyne","title":"From Clarence to Lawrance: A Criminal Law Perspective on Marriage and Relationship Status and the Law on \"Deceptive Sex\"","URL":"https://www.youtube.com/watch?v=H4oC-32SNt4","author":[{"family":"Giles","given":"Cameron"}],"accessed":{"date-parts":[["2022",10,20]]},"issued":{"date-parts":[["2021",5]]}}}],"schema":"https://github.com/citation-style-language/schema/raw/master/csl-citation.json"} </w:instrText>
      </w:r>
      <w:r>
        <w:fldChar w:fldCharType="separate"/>
      </w:r>
      <w:r w:rsidRPr="00873C97">
        <w:rPr>
          <w:rFonts w:ascii="Calibri" w:cs="Calibri"/>
          <w:kern w:val="0"/>
        </w:rPr>
        <w:t xml:space="preserve">Cameron Giles, ‘From Clarence to Lawrance: A Criminal Law Perspective on Marriage and Relationship Status and the Law on “Deceptive Sex”’ (A Sacred Covenant? Historical, Legal and Cultural Perspectives on the Development of Marital Law Conference, </w:t>
      </w:r>
      <w:r w:rsidR="00A379A4">
        <w:rPr>
          <w:rFonts w:ascii="Calibri" w:cs="Calibri"/>
          <w:kern w:val="0"/>
        </w:rPr>
        <w:t>Online</w:t>
      </w:r>
      <w:r w:rsidRPr="00873C97">
        <w:rPr>
          <w:rFonts w:ascii="Calibri" w:cs="Calibri"/>
          <w:kern w:val="0"/>
        </w:rPr>
        <w:t xml:space="preserve">, May 2021) &lt;https://www.youtube.com/watch?v=H4oC-32SNt4&gt; accessed </w:t>
      </w:r>
      <w:r w:rsidR="002A7CA3">
        <w:rPr>
          <w:rFonts w:ascii="Calibri" w:cs="Calibri"/>
          <w:kern w:val="0"/>
        </w:rPr>
        <w:t>14 August 2023</w:t>
      </w:r>
      <w:r w:rsidRPr="00873C97">
        <w:rPr>
          <w:rFonts w:ascii="Calibri" w:cs="Calibri"/>
          <w:kern w:val="0"/>
        </w:rPr>
        <w:t>.</w:t>
      </w:r>
      <w:r>
        <w:fldChar w:fldCharType="end"/>
      </w:r>
    </w:p>
  </w:footnote>
  <w:footnote w:id="76">
    <w:p w14:paraId="51B0949C" w14:textId="1E69D7A9" w:rsidR="00873C97" w:rsidRDefault="00873C97">
      <w:pPr>
        <w:pStyle w:val="FootnoteText"/>
      </w:pPr>
      <w:r w:rsidRPr="00444F1D">
        <w:rPr>
          <w:rStyle w:val="FootnoteReference"/>
        </w:rPr>
        <w:footnoteRef/>
      </w:r>
      <w:r>
        <w:t xml:space="preserve"> </w:t>
      </w:r>
      <w:r>
        <w:fldChar w:fldCharType="begin"/>
      </w:r>
      <w:r w:rsidR="008A2231">
        <w:instrText xml:space="preserve"> ADDIN ZOTERO_ITEM CSL_CITATION {"citationID":"G55jWv7V","properties":{"formattedCitation":"Kyle L Murray and Tata Beattie, \\uc0\\u8216{}Conditional Consent and Sexual Offences\\uc0\\u8239{}: Revisiting the Sexual Offences Act 2003 after Lawrance\\uc0\\u8217{} [2021] Criminal Law Review 556, 567\\uc0\\u8211{}568.","plainCitation":"Kyle L Murray and Tata Beattie, ‘Conditional Consent and Sexual Offences : Revisiting the Sexual Offences Act 2003 after Lawrance’ [2021] Criminal Law Review 556, 567–568.","dontUpdate":true,"noteIndex":76},"citationItems":[{"id":5255,"uris":["http://zotero.org/users/10005302/items/4UTRLRT4"],"itemData":{"id":5255,"type":"article-journal","container-title":"Criminal Law Review","issue":"7","page":"556-574","title":"Conditional consent and sexual offences : revisiting the Sexual Offences Act 2003 after Lawrance","author":[{"family":"Murray","given":"Kyle L"},{"family":"Beattie","given":"Tata"}],"issued":{"date-parts":[["2021"]]}},"locator":"567-568","label":"page"}],"schema":"https://github.com/citation-style-language/schema/raw/master/csl-citation.json"} </w:instrText>
      </w:r>
      <w:r>
        <w:fldChar w:fldCharType="separate"/>
      </w:r>
      <w:r w:rsidRPr="00873C97">
        <w:rPr>
          <w:rFonts w:ascii="Calibri" w:cs="Calibri"/>
          <w:kern w:val="0"/>
        </w:rPr>
        <w:t>Kyle L Murray and Tata Beattie, ‘Conditional Consent and Sexual Offences: Revisiting the Sexual Offences Act 2003 after Lawrance’ [2021] Crim</w:t>
      </w:r>
      <w:r w:rsidR="002501EC">
        <w:rPr>
          <w:rFonts w:ascii="Calibri" w:cs="Calibri"/>
          <w:kern w:val="0"/>
        </w:rPr>
        <w:t xml:space="preserve"> LR</w:t>
      </w:r>
      <w:r w:rsidRPr="00873C97">
        <w:rPr>
          <w:rFonts w:ascii="Calibri" w:cs="Calibri"/>
          <w:kern w:val="0"/>
        </w:rPr>
        <w:t xml:space="preserve"> 556, 567–568.</w:t>
      </w:r>
      <w:r>
        <w:fldChar w:fldCharType="end"/>
      </w:r>
    </w:p>
  </w:footnote>
  <w:footnote w:id="77">
    <w:p w14:paraId="660EC51F" w14:textId="1872D742" w:rsidR="001B2A39" w:rsidRDefault="001B2A39">
      <w:pPr>
        <w:pStyle w:val="FootnoteText"/>
      </w:pPr>
      <w:r w:rsidRPr="00444F1D">
        <w:rPr>
          <w:rStyle w:val="FootnoteReference"/>
        </w:rPr>
        <w:footnoteRef/>
      </w:r>
      <w:r>
        <w:t xml:space="preserve"> </w:t>
      </w:r>
      <w:r>
        <w:fldChar w:fldCharType="begin"/>
      </w:r>
      <w:r w:rsidR="008A2231">
        <w:instrText xml:space="preserve"> ADDIN ZOTERO_ITEM CSL_CITATION {"citationID":"VtgKeZFj","properties":{"formattedCitation":"Matthew Weait and Felicity Gerry, \\uc0\\u8216{}Virus Transmission, Deception and the Criminal Law\\uc0\\u8217{} &lt;https://www.libertaschambers.com/media-hub/virus-transmission-deception-and-the-criminal-law/&gt;.","plainCitation":"Matthew Weait and Felicity Gerry, ‘Virus Transmission, Deception and the Criminal Law’ &lt;https://www.libertaschambers.com/media-hub/virus-transmission-deception-and-the-criminal-law/&gt;.","dontUpdate":true,"noteIndex":77},"citationItems":[{"id":5261,"uris":["http://zotero.org/users/10005302/items/8HV2EIQT"],"itemData":{"id":5261,"type":"document","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approach.","note":"container-title: Libertas Chambers","title":"Virus Transmission, Deception and the Criminal Law","URL":"https://www.libertaschambers.com/media-hub/virus-transmission-deception-and-the-criminal-law/","author":[{"family":"Weait","given":"Matthew"},{"family":"Gerry","given":"Felicity"}],"issued":{"date-parts":[["2021"]]}}}],"schema":"https://github.com/citation-style-language/schema/raw/master/csl-citation.json"} </w:instrText>
      </w:r>
      <w:r>
        <w:fldChar w:fldCharType="separate"/>
      </w:r>
      <w:r w:rsidRPr="001B2A39">
        <w:rPr>
          <w:rFonts w:ascii="Calibri" w:cs="Calibri"/>
          <w:kern w:val="0"/>
        </w:rPr>
        <w:t xml:space="preserve">Matthew Weait and Felicity Gerry, ‘Virus Transmission, Deception and the Criminal Law’ </w:t>
      </w:r>
      <w:r w:rsidR="002030FC">
        <w:rPr>
          <w:rFonts w:ascii="Calibri" w:cs="Calibri"/>
          <w:kern w:val="0"/>
        </w:rPr>
        <w:t xml:space="preserve">(Libertas Chambers, 21 June 2021) </w:t>
      </w:r>
      <w:r w:rsidRPr="001B2A39">
        <w:rPr>
          <w:rFonts w:ascii="Calibri" w:cs="Calibri"/>
          <w:kern w:val="0"/>
        </w:rPr>
        <w:t>&lt;</w:t>
      </w:r>
      <w:bookmarkStart w:id="0" w:name="OLE_LINK1"/>
      <w:r w:rsidRPr="001B2A39">
        <w:rPr>
          <w:rFonts w:ascii="Calibri" w:cs="Calibri"/>
          <w:kern w:val="0"/>
        </w:rPr>
        <w:t>https://www.libertaschambers.com/media-hub/virus-transmission-deception-and-the-criminal-law/</w:t>
      </w:r>
      <w:bookmarkEnd w:id="0"/>
      <w:r w:rsidRPr="001B2A39">
        <w:rPr>
          <w:rFonts w:ascii="Calibri" w:cs="Calibri"/>
          <w:kern w:val="0"/>
        </w:rPr>
        <w:t>&gt;</w:t>
      </w:r>
      <w:r w:rsidR="002030FC">
        <w:rPr>
          <w:rFonts w:ascii="Calibri" w:cs="Calibri"/>
          <w:kern w:val="0"/>
        </w:rPr>
        <w:t xml:space="preserve"> accessed </w:t>
      </w:r>
      <w:r w:rsidR="002A7CA3">
        <w:rPr>
          <w:rFonts w:ascii="Calibri" w:cs="Calibri"/>
          <w:kern w:val="0"/>
        </w:rPr>
        <w:t>14 August 2023</w:t>
      </w:r>
      <w:r w:rsidRPr="001B2A39">
        <w:rPr>
          <w:rFonts w:ascii="Calibri" w:cs="Calibri"/>
          <w:kern w:val="0"/>
        </w:rPr>
        <w:t>.</w:t>
      </w:r>
      <w:r>
        <w:fldChar w:fldCharType="end"/>
      </w:r>
    </w:p>
  </w:footnote>
  <w:footnote w:id="78">
    <w:p w14:paraId="290A9110" w14:textId="2E859875" w:rsidR="001B2A39" w:rsidRDefault="001B2A39">
      <w:pPr>
        <w:pStyle w:val="FootnoteText"/>
      </w:pPr>
      <w:r w:rsidRPr="00444F1D">
        <w:rPr>
          <w:rStyle w:val="FootnoteReference"/>
        </w:rPr>
        <w:footnoteRef/>
      </w:r>
      <w:r>
        <w:t xml:space="preserve"> </w:t>
      </w:r>
      <w:r>
        <w:fldChar w:fldCharType="begin"/>
      </w:r>
      <w:r w:rsidR="008A2231">
        <w:instrText xml:space="preserve"> ADDIN ZOTERO_ITEM CSL_CITATION {"citationID":"mLPS1pCg","properties":{"formattedCitation":"See, generally, Matthew Gibson, \\uc0\\u8216{}Deceptive Sexual Relations: A Theory of Criminal Liability\\uc0\\u8217{} (2020) 40 Oxford Journal of Legal Studies 82.","plainCitation":"See, generally, Matthew Gibson, ‘Deceptive Sexual Relations: A Theory of Criminal Liability’ (2020) 40 Oxford Journal of Legal Studies 82.","dontUpdate":true,"noteIndex":78},"citationItems":[{"id":4503,"uris":["http://zotero.org/users/10005302/items/KMZ5SWZF"],"itemData":{"id":4503,"type":"article-journal","abstract":"Many common law jurisdictions criminalise penetrative and non-penetrative deceptive sexual relations. Often, they prohibit that conduct under their principal sexual offences, namely rape, sexual/indecent assault etc. This article challenges that practice via two linked processes: Criminalisation and fair labelling, respectively. First, it argues that, whilst deceptive sexual relations (with one exception) are equally harmful to a victim's right to sexual autonomy as the relations proscribed by the principal sexual offences, they represent a different wrong. Secondly, it contends that this view entails the creation of separate sexual offences targeting penetrative and non-penetrative deceptive sexual relations. This would better signal to the criminal law's audiences the distinct wrongdoing inherent in these relations. Such labelling becomes critical at the point of conviction given its effects on defendants and other parties.","container-title":"Oxford Journal of Legal Studies","DOI":"10.1093/ojls/gqz031","ISSN":"14643820","issue":"1","page":"82-109","title":"Deceptive Sexual Relations: A Theory of Criminal Liability","volume":"40","author":[{"family":"Gibson","given":"Matthew"}],"issued":{"date-parts":[["2020"]]}},"label":"page","prefix":"See, generally, "}],"schema":"https://github.com/citation-style-language/schema/raw/master/csl-citation.json"} </w:instrText>
      </w:r>
      <w:r>
        <w:fldChar w:fldCharType="separate"/>
      </w:r>
      <w:r w:rsidR="009E64F2" w:rsidRPr="009E64F2">
        <w:rPr>
          <w:rFonts w:ascii="Calibri" w:cs="Calibri"/>
          <w:kern w:val="0"/>
        </w:rPr>
        <w:t xml:space="preserve">See, generally, Matthew Gibson, ‘Deceptive Sexual Relations: A Theory of Criminal Liability’ (2020) 40 </w:t>
      </w:r>
      <w:r w:rsidR="002501EC">
        <w:rPr>
          <w:rFonts w:ascii="Calibri" w:cs="Calibri"/>
          <w:kern w:val="0"/>
        </w:rPr>
        <w:t>OJLS</w:t>
      </w:r>
      <w:r w:rsidR="009E64F2" w:rsidRPr="009E64F2">
        <w:rPr>
          <w:rFonts w:ascii="Calibri" w:cs="Calibri"/>
          <w:kern w:val="0"/>
        </w:rPr>
        <w:t xml:space="preserve"> 82.</w:t>
      </w:r>
      <w:r>
        <w:fldChar w:fldCharType="end"/>
      </w:r>
    </w:p>
  </w:footnote>
  <w:footnote w:id="79">
    <w:p w14:paraId="7B39E158" w14:textId="5EFD4811" w:rsidR="009E64F2" w:rsidRDefault="009E64F2">
      <w:pPr>
        <w:pStyle w:val="FootnoteText"/>
      </w:pPr>
      <w:r w:rsidRPr="00444F1D">
        <w:rPr>
          <w:rStyle w:val="FootnoteReference"/>
        </w:rPr>
        <w:footnoteRef/>
      </w:r>
      <w:r>
        <w:t xml:space="preserve"> </w:t>
      </w:r>
      <w:r>
        <w:fldChar w:fldCharType="begin"/>
      </w:r>
      <w:r w:rsidR="008A2231">
        <w:instrText xml:space="preserve"> ADDIN ZOTERO_ITEM CSL_CITATION {"citationID":"i6CVq5gA","properties":{"formattedCitation":"On the issue of \\uc0\\u8216{}common sense\\uc0\\u8217{} in the development of the law, see, Mariana Valverde, {\\i{}Law\\uc0\\u8217{}s Dream of a Common Knowledge} (Princeton University Press 2003) ch 7.","plainCitation":"On the issue of ‘common sense’ in the development of the law, see, Mariana Valverde, Law’s Dream of a Common Knowledge (Princeton University Press 2003) ch 7.","dontUpdate":true,"noteIndex":79},"citationItems":[{"id":3466,"uris":["http://zotero.org/users/10005302/items/MGUV4XXZ"],"itemData":{"id":3466,"type":"book","abstract":"If knowledge is power, then the power of law can be studied through the lens of knowledge. This book opens up a substantive new area of legal research--knowledge production--and presents a series of case studies showing that the hybridity and eclecticism of legal knowledge processes make it unfruitful to ask questions such as, \"Is law becoming more dominated by science?\" Mariana Valverde argues that legal decision making cannot be understood if one counterposes science and technology, on the one hand, to common knowledge and common sense on the other. The case studies of law's flexible collage. Introduction -- The art of drawing the line : judicial knowledges of community morality and community harms -- The forensic gaze : law's search for moral clues -- Beyond sexuality? -- \"The lifestyle that fits the doctrine of sexual orientation\" -- Police science, British style : pub licensing and knowledges of urban disorder -- \"Common knowledge must enter the equation somewhere\" : knowledge as responsibility -- Racial masquerades : white inquiries into \"the Indian style of life.\"","ISBN":"0-691-08698-2","number-of-pages":"247","publisher":"Princeton University Press","title":"Law's dream of a common knowledge","author":[{"family":"Valverde","given":"Mariana"}],"accessed":{"date-parts":[["2019",11,6]]},"issued":{"date-parts":[["2003"]]}},"locator":"7","label":"chapter","prefix":"On the issue of \"common sense\" in the development of the law, see, "}],"schema":"https://github.com/citation-style-language/schema/raw/master/csl-citation.json"} </w:instrText>
      </w:r>
      <w:r>
        <w:fldChar w:fldCharType="separate"/>
      </w:r>
      <w:r w:rsidRPr="009E64F2">
        <w:rPr>
          <w:rFonts w:ascii="Calibri" w:cs="Calibri"/>
          <w:kern w:val="0"/>
        </w:rPr>
        <w:t xml:space="preserve">On </w:t>
      </w:r>
      <w:r w:rsidR="002030FC">
        <w:rPr>
          <w:rFonts w:ascii="Calibri" w:cs="Calibri"/>
          <w:kern w:val="0"/>
        </w:rPr>
        <w:t>common sense and the</w:t>
      </w:r>
      <w:r w:rsidRPr="009E64F2">
        <w:rPr>
          <w:rFonts w:ascii="Calibri" w:cs="Calibri"/>
          <w:kern w:val="0"/>
        </w:rPr>
        <w:t xml:space="preserve"> development of the law, see, Mariana Valverde, </w:t>
      </w:r>
      <w:r w:rsidRPr="009E64F2">
        <w:rPr>
          <w:rFonts w:ascii="Calibri" w:cs="Calibri"/>
          <w:i/>
          <w:iCs/>
          <w:kern w:val="0"/>
        </w:rPr>
        <w:t>Law’s Dream of a Common Knowledge</w:t>
      </w:r>
      <w:r w:rsidRPr="009E64F2">
        <w:rPr>
          <w:rFonts w:ascii="Calibri" w:cs="Calibri"/>
          <w:kern w:val="0"/>
        </w:rPr>
        <w:t xml:space="preserve"> (Princeton University Press 2003) </w:t>
      </w:r>
      <w:proofErr w:type="spellStart"/>
      <w:r w:rsidRPr="009E64F2">
        <w:rPr>
          <w:rFonts w:ascii="Calibri" w:cs="Calibri"/>
          <w:kern w:val="0"/>
        </w:rPr>
        <w:t>ch</w:t>
      </w:r>
      <w:proofErr w:type="spellEnd"/>
      <w:r w:rsidRPr="009E64F2">
        <w:rPr>
          <w:rFonts w:ascii="Calibri" w:cs="Calibri"/>
          <w:kern w:val="0"/>
        </w:rPr>
        <w:t xml:space="preserve"> 7.</w:t>
      </w:r>
      <w:r>
        <w:fldChar w:fldCharType="end"/>
      </w:r>
    </w:p>
  </w:footnote>
  <w:footnote w:id="80">
    <w:p w14:paraId="6E7FAA87" w14:textId="53B69C9B" w:rsidR="009E64F2" w:rsidRDefault="009E64F2">
      <w:pPr>
        <w:pStyle w:val="FootnoteText"/>
      </w:pPr>
      <w:r w:rsidRPr="00444F1D">
        <w:rPr>
          <w:rStyle w:val="FootnoteReference"/>
        </w:rPr>
        <w:footnoteRef/>
      </w:r>
      <w:r>
        <w:t xml:space="preserve"> </w:t>
      </w:r>
      <w:r>
        <w:fldChar w:fldCharType="begin"/>
      </w:r>
      <w:r w:rsidR="008A2231">
        <w:instrText xml:space="preserve"> ADDIN ZOTERO_ITEM CSL_CITATION {"citationID":"sJkmsGD5","properties":{"formattedCitation":"Laird (n 61) 612\\uc0\\u8211{}613.","plainCitation":"Laird (n 61) 612–613.","dontUpdate":true,"noteIndex":80},"citationItems":[{"id":5257,"uris":["http://zotero.org/users/10005302/items/NHZ4UK4I"],"itemData":{"id":5257,"type":"article-journal","container-title":"Criminal Law Review","issue":"7","page":"610-613","title":"Sexual consent : R . v Lawrance (Jason) Court of Appeal (Criminal Division): Lord Burnett CJ , Cutts and Tipples JJ : 23 July 2020 ; [2020] EWCA Crim 971","author":[{"family":"Laird","given":"Karl"}],"issued":{"date-parts":[["2021"]]}},"locator":"612-613","label":"page"}],"schema":"https://github.com/citation-style-language/schema/raw/master/csl-citation.json"} </w:instrText>
      </w:r>
      <w:r>
        <w:fldChar w:fldCharType="separate"/>
      </w:r>
      <w:r w:rsidR="0051105C" w:rsidRPr="0051105C">
        <w:rPr>
          <w:rFonts w:ascii="Calibri" w:cs="Calibri"/>
          <w:kern w:val="0"/>
        </w:rPr>
        <w:t>Laird (n 6</w:t>
      </w:r>
      <w:r w:rsidR="00386206">
        <w:rPr>
          <w:rFonts w:ascii="Calibri" w:cs="Calibri"/>
          <w:kern w:val="0"/>
        </w:rPr>
        <w:t>2</w:t>
      </w:r>
      <w:r w:rsidR="0051105C" w:rsidRPr="0051105C">
        <w:rPr>
          <w:rFonts w:ascii="Calibri" w:cs="Calibri"/>
          <w:kern w:val="0"/>
        </w:rPr>
        <w:t>) 612–613.</w:t>
      </w:r>
      <w:r>
        <w:fldChar w:fldCharType="end"/>
      </w:r>
    </w:p>
  </w:footnote>
  <w:footnote w:id="81">
    <w:p w14:paraId="36CBFE59" w14:textId="011B0EFA" w:rsidR="00F369E7" w:rsidRDefault="00F369E7">
      <w:pPr>
        <w:pStyle w:val="FootnoteText"/>
      </w:pPr>
      <w:r w:rsidRPr="00444F1D">
        <w:rPr>
          <w:rStyle w:val="FootnoteReference"/>
        </w:rPr>
        <w:footnoteRef/>
      </w:r>
      <w:r>
        <w:t xml:space="preserve"> </w:t>
      </w:r>
      <w:r>
        <w:fldChar w:fldCharType="begin"/>
      </w:r>
      <w:r w:rsidR="008A2231">
        <w:instrText xml:space="preserve"> ADDIN ZOTERO_ITEM CSL_CITATION {"citationID":"pfbSLIHF","properties":{"formattedCitation":"Ryan (n 48) 222\\uc0\\u8211{}223 (emphasis added).","plainCitation":"Ryan (n 48) 222–223 (emphasis added).","noteIndex":81},"citationItems":[{"id":1167,"uris":["http://zotero.org/users/10005302/items/WLTZZ7X7"],"itemData":{"id":1167,"type":"article-journal","container-title":"Liverpool Law Review","DOI":"10.1007/s10991-007-9020-7","ISSN":"0144932X","issue":"2","note":"publisher: Springer Netherlands","page":"215-247","title":"Risk-taking, recklessness and HIV transmission: Accommodating the reality of sexual transmission of HIV within a justifiable approach to criminal liability","volume":"28","author":[{"family":"Ryan","given":"Samantha"}],"issued":{"date-parts":[["2007",9,8]]}},"locator":"222-223","label":"page","suffix":" (emphasis added)"}],"schema":"https://github.com/citation-style-language/schema/raw/master/csl-citation.json"} </w:instrText>
      </w:r>
      <w:r>
        <w:fldChar w:fldCharType="separate"/>
      </w:r>
      <w:r w:rsidR="000B3771" w:rsidRPr="000B3771">
        <w:rPr>
          <w:rFonts w:ascii="Calibri" w:cs="Calibri"/>
          <w:kern w:val="0"/>
        </w:rPr>
        <w:t>Ryan (n 48) 222–223 (emphasis added).</w:t>
      </w:r>
      <w:r>
        <w:fldChar w:fldCharType="end"/>
      </w:r>
    </w:p>
  </w:footnote>
  <w:footnote w:id="82">
    <w:p w14:paraId="77062CF9" w14:textId="4B833227" w:rsidR="00F369E7" w:rsidRDefault="00F369E7">
      <w:pPr>
        <w:pStyle w:val="FootnoteText"/>
      </w:pPr>
      <w:r w:rsidRPr="00444F1D">
        <w:rPr>
          <w:rStyle w:val="FootnoteReference"/>
        </w:rPr>
        <w:footnoteRef/>
      </w:r>
      <w:r>
        <w:t xml:space="preserve"> </w:t>
      </w:r>
      <w:r>
        <w:fldChar w:fldCharType="begin"/>
      </w:r>
      <w:r w:rsidR="008A2231">
        <w:instrText xml:space="preserve"> ADDIN ZOTERO_ITEM CSL_CITATION {"citationID":"UUmKvwBH","properties":{"formattedCitation":"Mitchell Travis, \\uc0\\u8216{}The Vulnerability of Heterosexuality: Consent, Gender Deception and Embodiment\\uc0\\u8217{} (2019) 28 Social and Legal Studies 303, 320.","plainCitation":"Mitchell Travis, ‘The Vulnerability of Heterosexuality: Consent, Gender Deception and Embodiment’ (2019) 28 Social and Legal Studies 303, 320.","dontUpdate":true,"noteIndex":82},"citationItems":[{"id":5142,"uris":["http://zotero.org/users/10005302/items/CXRDGNCH"],"itemData":{"id":5142,"type":"article-journal","abstract":"This article considers the institutional frameworks that privilege heterosexuality, police notions of sex and gender and individualize discussions and responsibilities around consent. In doing so, Vulnerability theory is drawn upon and added to through the introduction of a richer conception of embodiment. By understanding embodiment as a product of corporeality, discourse and institutions, vulnerability theory is better equipped to engage with the complexities of LGBTIAQ identities. The article traces these developments by engaging with a series of recent criminal law cases concerning deception as to gender. It then reflects upon the ways in which institutions such as law, the family and educational systems focus on individualizing responsibilities around consent rather than focusing on their own role in creating the conditions under which non-heterosexual sex is disincentivized, constructed as predatory and ultimately criminalized. It concludes by demanding a new approach from the state that moves away from carceral approaches towards educative programmes grounded in substantive equality.","container-title":"Social and Legal Studies","DOI":"10.1177/0964663918773151","ISSN":"14617390","issue":"3","page":"303-326","title":"The Vulnerability of Heterosexuality: Consent, Gender Deception and Embodiment","volume":"28","author":[{"family":"Travis","given":"Mitchell"}],"issued":{"date-parts":[["2019"]]}},"locator":"320","label":"page"}],"schema":"https://github.com/citation-style-language/schema/raw/master/csl-citation.json"} </w:instrText>
      </w:r>
      <w:r>
        <w:fldChar w:fldCharType="separate"/>
      </w:r>
      <w:r w:rsidRPr="00F369E7">
        <w:rPr>
          <w:rFonts w:ascii="Calibri" w:cs="Calibri"/>
          <w:kern w:val="0"/>
        </w:rPr>
        <w:t>Mitchell Travis, ‘The Vulnerability of Heterosexuality: Consent, Gender Deception and Embodiment’ (2019) 28 S</w:t>
      </w:r>
      <w:r w:rsidR="002501EC">
        <w:rPr>
          <w:rFonts w:ascii="Calibri" w:cs="Calibri"/>
          <w:kern w:val="0"/>
        </w:rPr>
        <w:t>&amp;LS</w:t>
      </w:r>
      <w:r w:rsidRPr="00F369E7">
        <w:rPr>
          <w:rFonts w:ascii="Calibri" w:cs="Calibri"/>
          <w:kern w:val="0"/>
        </w:rPr>
        <w:t xml:space="preserve"> 303, 320.</w:t>
      </w:r>
      <w:r>
        <w:fldChar w:fldCharType="end"/>
      </w:r>
    </w:p>
  </w:footnote>
  <w:footnote w:id="83">
    <w:p w14:paraId="0D20C54B" w14:textId="73AECC0D" w:rsidR="00F30FC4" w:rsidRDefault="00F30FC4" w:rsidP="00F30FC4">
      <w:pPr>
        <w:pStyle w:val="FootnoteText"/>
      </w:pPr>
      <w:r w:rsidRPr="00444F1D">
        <w:rPr>
          <w:rStyle w:val="FootnoteReference"/>
        </w:rPr>
        <w:footnoteRef/>
      </w:r>
      <w:r>
        <w:t xml:space="preserve"> </w:t>
      </w:r>
      <w:r>
        <w:fldChar w:fldCharType="begin"/>
      </w:r>
      <w:r w:rsidR="008A2231">
        <w:instrText xml:space="preserve"> ADDIN ZOTERO_ITEM CSL_CITATION {"citationID":"Fk9pyBaf","properties":{"formattedCitation":"{\\i{}R v Jason Lawrance} (n 9) [33]-[36]; For further discussion of the implications of the approach to the nature of sexual acts taken in Lawrance, see, Isabella Glendinning, \\uc0\\u8216{}Should Mistaken Consent Still Be Consent? In Defence of an Incremental Understanding of Consent in the Sexual Offences Act 2003\\uc0\\u8217{} (2021) 85 The Journal of Criminal Law 223 in particular at 227-228.","plainCitation":"R v Jason Lawrance (n 9) [33]-[36]; For further discussion of the implications of the approach to the nature of sexual acts taken in Lawrance, see, Isabella Glendinning, ‘Should Mistaken Consent Still Be Consent? In Defence of an Incremental Understanding of Consent in the Sexual Offences Act 2003’ (2021) 85 The Journal of Criminal Law 223 in particular at 227-228.","dontUpdate":true,"noteIndex":83},"citationItems":[{"id":4684,"uris":["http://zotero.org/users/10005302/items/KQ8W7G65"],"itemData":{"id":4684,"type":"legal_case","note":"container-title: EWCA Crim","page":"971","title":"R v Jason Lawrance","issued":{"date-parts":[["2020"]]}},"label":"page","suffix":" [33]-[36]"},{"id":5403,"uris":["http://zotero.org/users/10005302/items/8C83LTUT"],"itemData":{"id":5403,"type":"article-journal","container-title":"The Journal of Criminal Law","DOI":"10.1177/0022018321998239","issue":"3","page":"223-231","title":"Should Mistaken Consent Still Be Consent? In Defence of an Incremental Understanding of Consent in the Sexual Offences Act 2003","volume":"85","author":[{"family":"Glendinning","given":"Isabella"}],"issued":{"date-parts":[["2021"]]}},"label":"page","prefix":"For further discussion of the implications of the approach to the nature of sexual acts taken in Lawrance, see,","suffix":" in particular at 227-228"}],"schema":"https://github.com/citation-style-language/schema/raw/master/csl-citation.json"} </w:instrText>
      </w:r>
      <w:r>
        <w:fldChar w:fldCharType="separate"/>
      </w:r>
      <w:r>
        <w:fldChar w:fldCharType="begin"/>
      </w:r>
      <w:r w:rsidR="008A2231">
        <w:instrText xml:space="preserve"> ADDIN ZOTERO_ITEM CSL_CITATION {"citationID":"Zi3SJeOQ","properties":{"formattedCitation":"{\\i{}R v Jason Lawrance} (n 9) [17].","plainCitation":"R v Jason Lawrance (n 9) [17].","dontUpdate":true,"noteIndex":83},"citationItems":[{"id":4684,"uris":["http://zotero.org/users/10005302/items/KQ8W7G65"],"itemData":{"id":4684,"type":"legal_case","note":"container-title: EWCA Crim","page":"971","title":"R v Jason Lawrance","issued":{"date-parts":[["2020"]]}},"label":"page","suffix":" [17]"}],"schema":"https://github.com/citation-style-language/schema/raw/master/csl-citation.json"} </w:instrText>
      </w:r>
      <w:r>
        <w:fldChar w:fldCharType="separate"/>
      </w:r>
      <w:r w:rsidRPr="00E92EFE">
        <w:rPr>
          <w:rFonts w:ascii="Calibri" w:cs="Calibri"/>
          <w:i/>
          <w:iCs/>
          <w:kern w:val="0"/>
        </w:rPr>
        <w:t>Lawrance</w:t>
      </w:r>
      <w:r w:rsidRPr="00E92EFE">
        <w:rPr>
          <w:rFonts w:ascii="Calibri" w:cs="Calibri"/>
          <w:kern w:val="0"/>
        </w:rPr>
        <w:t xml:space="preserve"> (n 9) [17].</w:t>
      </w:r>
      <w:r>
        <w:fldChar w:fldCharType="end"/>
      </w:r>
      <w:r>
        <w:t xml:space="preserve"> </w:t>
      </w:r>
      <w:r>
        <w:fldChar w:fldCharType="end"/>
      </w:r>
    </w:p>
  </w:footnote>
  <w:footnote w:id="84">
    <w:p w14:paraId="4F9B33EA" w14:textId="484DC987" w:rsidR="00C02687" w:rsidRDefault="00C02687">
      <w:pPr>
        <w:pStyle w:val="FootnoteText"/>
      </w:pPr>
      <w:r w:rsidRPr="00444F1D">
        <w:rPr>
          <w:rStyle w:val="FootnoteReference"/>
        </w:rPr>
        <w:footnoteRef/>
      </w:r>
      <w:r>
        <w:t xml:space="preserve"> </w:t>
      </w:r>
      <w:r w:rsidR="00F30FC4">
        <w:fldChar w:fldCharType="begin"/>
      </w:r>
      <w:r w:rsidR="008A2231">
        <w:instrText xml:space="preserve"> ADDIN ZOTERO_ITEM CSL_CITATION {"citationID":"gA9lwGtz","properties":{"formattedCitation":"{\\i{}R v Jason Lawrance} (n 9) [33]-[36]; For further discussion of the implications of the approach to the nature of sexual acts taken in Lawrance, see, Isabella Glendinning, \\uc0\\u8216{}Should Mistaken Consent Still Be Consent? In Defence of an Incremental Understanding of Consent in the Sexual Offences Act 2003\\uc0\\u8217{} (2021) 85 The Journal of Criminal Law 223 in particular at 227-228.","plainCitation":"R v Jason Lawrance (n 9) [33]-[36]; For further discussion of the implications of the approach to the nature of sexual acts taken in Lawrance, see, Isabella Glendinning, ‘Should Mistaken Consent Still Be Consent? In Defence of an Incremental Understanding of Consent in the Sexual Offences Act 2003’ (2021) 85 The Journal of Criminal Law 223 in particular at 227-228.","dontUpdate":true,"noteIndex":84},"citationItems":[{"id":4684,"uris":["http://zotero.org/users/10005302/items/KQ8W7G65"],"itemData":{"id":4684,"type":"legal_case","note":"container-title: EWCA Crim","page":"971","title":"R v Jason Lawrance","issued":{"date-parts":[["2020"]]}},"label":"page","suffix":" [33]-[36]"},{"id":5403,"uris":["http://zotero.org/users/10005302/items/8C83LTUT"],"itemData":{"id":5403,"type":"article-journal","container-title":"The Journal of Criminal Law","DOI":"10.1177/0022018321998239","issue":"3","page":"223-231","title":"Should Mistaken Consent Still Be Consent? In Defence of an Incremental Understanding of Consent in the Sexual Offences Act 2003","volume":"85","author":[{"family":"Glendinning","given":"Isabella"}],"issued":{"date-parts":[["2021"]]}},"label":"page","prefix":"For further discussion of the implications of the approach to the nature of sexual acts taken in Lawrance, see,","suffix":" in particular at 227-228"}],"schema":"https://github.com/citation-style-language/schema/raw/master/csl-citation.json"} </w:instrText>
      </w:r>
      <w:r w:rsidR="00F30FC4">
        <w:fldChar w:fldCharType="separate"/>
      </w:r>
      <w:r w:rsidR="00386206">
        <w:rPr>
          <w:rFonts w:ascii="Calibri" w:cs="Calibri"/>
          <w:kern w:val="0"/>
        </w:rPr>
        <w:t xml:space="preserve">Ibid </w:t>
      </w:r>
      <w:r w:rsidR="00F30FC4" w:rsidRPr="00E92EFE">
        <w:rPr>
          <w:rFonts w:ascii="Calibri" w:cs="Calibri"/>
          <w:kern w:val="0"/>
        </w:rPr>
        <w:t xml:space="preserve">[33]-[36]; For further discussion of the implications of the approach to the nature of sexual acts taken in Lawrance, see, Isabella Glendinning, ‘Should </w:t>
      </w:r>
      <w:proofErr w:type="spellStart"/>
      <w:r w:rsidR="00F30FC4" w:rsidRPr="00E92EFE">
        <w:rPr>
          <w:rFonts w:ascii="Calibri" w:cs="Calibri"/>
          <w:kern w:val="0"/>
        </w:rPr>
        <w:t>Mistaken</w:t>
      </w:r>
      <w:proofErr w:type="spellEnd"/>
      <w:r w:rsidR="00F30FC4" w:rsidRPr="00E92EFE">
        <w:rPr>
          <w:rFonts w:ascii="Calibri" w:cs="Calibri"/>
          <w:kern w:val="0"/>
        </w:rPr>
        <w:t xml:space="preserve"> Consent Still Be Consent? In Defence of an Incremental Understanding of Consent in the Sexual Offences Act 2003’ (2021) 85 </w:t>
      </w:r>
      <w:r w:rsidR="00F30FC4">
        <w:rPr>
          <w:rFonts w:ascii="Calibri" w:cs="Calibri"/>
          <w:kern w:val="0"/>
        </w:rPr>
        <w:t xml:space="preserve">Jo Crim Law </w:t>
      </w:r>
      <w:r w:rsidR="00F30FC4" w:rsidRPr="00E92EFE">
        <w:rPr>
          <w:rFonts w:ascii="Calibri" w:cs="Calibri"/>
          <w:kern w:val="0"/>
        </w:rPr>
        <w:t xml:space="preserve">223 </w:t>
      </w:r>
      <w:proofErr w:type="gramStart"/>
      <w:r w:rsidR="00F30FC4" w:rsidRPr="00E92EFE">
        <w:rPr>
          <w:rFonts w:ascii="Calibri" w:cs="Calibri"/>
          <w:kern w:val="0"/>
        </w:rPr>
        <w:t>in particular at</w:t>
      </w:r>
      <w:proofErr w:type="gramEnd"/>
      <w:r w:rsidR="00F30FC4" w:rsidRPr="00E92EFE">
        <w:rPr>
          <w:rFonts w:ascii="Calibri" w:cs="Calibri"/>
          <w:kern w:val="0"/>
        </w:rPr>
        <w:t xml:space="preserve"> 227-228.</w:t>
      </w:r>
      <w:r w:rsidR="00F30FC4">
        <w:fldChar w:fldCharType="end"/>
      </w:r>
    </w:p>
  </w:footnote>
  <w:footnote w:id="85">
    <w:p w14:paraId="073C7ED2" w14:textId="46B143F5" w:rsidR="00194D01" w:rsidRDefault="00194D01">
      <w:pPr>
        <w:pStyle w:val="FootnoteText"/>
      </w:pPr>
      <w:r w:rsidRPr="00444F1D">
        <w:rPr>
          <w:rStyle w:val="FootnoteReference"/>
        </w:rPr>
        <w:footnoteRef/>
      </w:r>
      <w:r>
        <w:t xml:space="preserve"> </w:t>
      </w:r>
      <w:r>
        <w:fldChar w:fldCharType="begin"/>
      </w:r>
      <w:r w:rsidR="008A2231">
        <w:instrText xml:space="preserve"> ADDIN ZOTERO_ITEM CSL_CITATION {"citationID":"22sDoRem","properties":{"formattedCitation":"ibid [37].","plainCitation":"ibid [37].","dontUpdate":true,"noteIndex":85},"citationItems":[{"id":4684,"uris":["http://zotero.org/users/10005302/items/KQ8W7G65"],"itemData":{"id":4684,"type":"legal_case","note":"container-title: EWCA Crim","page":"971","title":"R v Jason Lawrance","issued":{"date-parts":[["2020"]]}},"label":"page","suffix":" [37]"}],"schema":"https://github.com/citation-style-language/schema/raw/master/csl-citation.json"} </w:instrText>
      </w:r>
      <w:r>
        <w:fldChar w:fldCharType="separate"/>
      </w:r>
      <w:r w:rsidR="00386206">
        <w:rPr>
          <w:i/>
          <w:iCs/>
          <w:noProof/>
        </w:rPr>
        <w:t xml:space="preserve">Lawrance </w:t>
      </w:r>
      <w:r w:rsidR="00386206">
        <w:rPr>
          <w:noProof/>
        </w:rPr>
        <w:t>(n 9)</w:t>
      </w:r>
      <w:r>
        <w:rPr>
          <w:noProof/>
        </w:rPr>
        <w:t xml:space="preserve"> [37].</w:t>
      </w:r>
      <w:r>
        <w:fldChar w:fldCharType="end"/>
      </w:r>
    </w:p>
  </w:footnote>
  <w:footnote w:id="86">
    <w:p w14:paraId="64F79744" w14:textId="7DBBFF9A" w:rsidR="00C84E2D" w:rsidRDefault="00C84E2D">
      <w:pPr>
        <w:pStyle w:val="FootnoteText"/>
      </w:pPr>
      <w:r w:rsidRPr="00444F1D">
        <w:rPr>
          <w:rStyle w:val="FootnoteReference"/>
        </w:rPr>
        <w:footnoteRef/>
      </w:r>
      <w:r>
        <w:t xml:space="preserve"> </w:t>
      </w:r>
      <w:r>
        <w:fldChar w:fldCharType="begin"/>
      </w:r>
      <w:r w:rsidR="008A2231">
        <w:instrText xml:space="preserve"> ADDIN ZOTERO_ITEM CSL_CITATION {"citationID":"Fom00b7F","properties":{"formattedCitation":"For further discussion of safer sex, see, Haire and Kaldor (n 52); Ashford, Morris and Powell (n 52).","plainCitation":"For further discussion of safer sex, see, Haire and Kaldor (n 52); Ashford, Morris and Powell (n 52).","noteIndex":86},"citationItems":[{"id":4764,"uris":["http://zotero.org/users/10005302/items/VDBZXYHW"],"itemData":{"id":4764,"type":"article-journal","abstract":"Evidence that treating people with HIV early in infection prevents transmission to sexual partners has reframed HIV prevention paradigms. The resulting emphasis on HIV testing as part of prevention strategies has rekindled the debate as to whether laws that criminalise HIV transmission are counterproductive to the human rights-based public health response. It also raises normative questions about what constitutes 'safe(r) sex' if a person with HIV has undetectable viral load, which has significant implications for sexual practice and health promotion. This paper discusses a recent high-profile Australian case where HIV transmission or exposure has been prosecuted, and considers how the interpretation of law in these instances impacts on HIV prevention paradigms. In addition, we consider the implications of an evolving medical understanding of HIV transmission, and particularly the ability to determine infectiousness through viral load tests, for laws that relate to HIV exposure (as distinct from transmission) offences. We conclude that defensible laws must relate to appreciable risk. Given the evidence that the transmissibility of HIV is reduced to negligible level where viral load is suppressed, this needs to be recognised in the framing, implementation and enforcement of the law. In addition, normative concepts of 'safe(r) sex' need to be expanded to include sex that is 'protected' by means of the positive person being virally suppressed. In jurisdictions where use of a condom has previously mitigated the duty of the person with HIV to disclose to a partner, this might logically also apply to sex that is 'protected' by undetectable viral load.","container-title":"Journal of Medical Ethics","DOI":"10.1136/medethics-2014-102122","ISSN":"0306-6800","issue":"12","note":"PMID: 26420071\nISBN: 1473-4257","page":"982-986","title":"HIV transmission law in the age of treatment-as-prevention","volume":"41","author":[{"family":"Haire","given":"Bridget"},{"family":"Kaldor","given":"John"}],"issued":{"date-parts":[["2015"]]}},"label":"page","prefix":"For further discussion of safer sex, see,"},{"id":4886,"uris":["http://zotero.org/users/10005302/items/M9Y2EC5G"],"itemData":{"id":4886,"type":"article-journal","container-title":"The Journal of Criminal Law","DOI":"10.1177/0022018320974904","ISSN":"0022-0183","issue":"6","page":"596-614","title":"Bareback sex in the age of preventative medication: Rethinking the ‘harms’ of HIV transmission","volume":"84","author":[{"family":"Ashford","given":"Chris"},{"family":"Morris","given":"Max"},{"family":"Powell","given":"Alex"}],"issued":{"date-parts":[["2020"]]}}}],"schema":"https://github.com/citation-style-language/schema/raw/master/csl-citation.json"} </w:instrText>
      </w:r>
      <w:r>
        <w:fldChar w:fldCharType="separate"/>
      </w:r>
      <w:r w:rsidR="000B3771">
        <w:rPr>
          <w:noProof/>
        </w:rPr>
        <w:t>For further discussion of safer sex, see, Haire and Kaldor (n 52); Ashford, Morris and Powell (n 52).</w:t>
      </w:r>
      <w:r>
        <w:fldChar w:fldCharType="end"/>
      </w:r>
    </w:p>
  </w:footnote>
  <w:footnote w:id="87">
    <w:p w14:paraId="27828566" w14:textId="4E6A19B5" w:rsidR="000009B9" w:rsidRDefault="000009B9">
      <w:pPr>
        <w:pStyle w:val="FootnoteText"/>
      </w:pPr>
      <w:r w:rsidRPr="00444F1D">
        <w:rPr>
          <w:rStyle w:val="FootnoteReference"/>
        </w:rPr>
        <w:footnoteRef/>
      </w:r>
      <w:r>
        <w:t xml:space="preserve"> </w:t>
      </w:r>
      <w:r>
        <w:fldChar w:fldCharType="begin"/>
      </w:r>
      <w:r w:rsidR="008A2231">
        <w:instrText xml:space="preserve"> ADDIN ZOTERO_ITEM CSL_CITATION {"citationID":"xY7oR8xN","properties":{"formattedCitation":"Travis (n 80) 320.","plainCitation":"Travis (n 80) 320.","dontUpdate":true,"noteIndex":87},"citationItems":[{"id":5142,"uris":["http://zotero.org/users/10005302/items/CXRDGNCH"],"itemData":{"id":5142,"type":"article-journal","abstract":"This article considers the institutional frameworks that privilege heterosexuality, police notions of sex and gender and individualize discussions and responsibilities around consent. In doing so, Vulnerability theory is drawn upon and added to through the introduction of a richer conception of embodiment. By understanding embodiment as a product of corporeality, discourse and institutions, vulnerability theory is better equipped to engage with the complexities of LGBTIAQ identities. The article traces these developments by engaging with a series of recent criminal law cases concerning deception as to gender. It then reflects upon the ways in which institutions such as law, the family and educational systems focus on individualizing responsibilities around consent rather than focusing on their own role in creating the conditions under which non-heterosexual sex is disincentivized, constructed as predatory and ultimately criminalized. It concludes by demanding a new approach from the state that moves away from carceral approaches towards educative programmes grounded in substantive equality.","container-title":"Social and Legal Studies","DOI":"10.1177/0964663918773151","ISSN":"14617390","issue":"3","page":"303-326","title":"The Vulnerability of Heterosexuality: Consent, Gender Deception and Embodiment","volume":"28","author":[{"family":"Travis","given":"Mitchell"}],"issued":{"date-parts":[["2019"]]}},"locator":"320","label":"page"}],"schema":"https://github.com/citation-style-language/schema/raw/master/csl-citation.json"} </w:instrText>
      </w:r>
      <w:r>
        <w:fldChar w:fldCharType="separate"/>
      </w:r>
      <w:r w:rsidR="0051105C">
        <w:rPr>
          <w:noProof/>
        </w:rPr>
        <w:t>Travis (n 8</w:t>
      </w:r>
      <w:r w:rsidR="00386206">
        <w:rPr>
          <w:noProof/>
        </w:rPr>
        <w:t>2</w:t>
      </w:r>
      <w:r w:rsidR="0051105C">
        <w:rPr>
          <w:noProof/>
        </w:rPr>
        <w:t>) 320.</w:t>
      </w:r>
      <w:r>
        <w:fldChar w:fldCharType="end"/>
      </w:r>
    </w:p>
  </w:footnote>
  <w:footnote w:id="88">
    <w:p w14:paraId="14E78851" w14:textId="27ACF1C6" w:rsidR="006A5896" w:rsidRDefault="006A5896">
      <w:pPr>
        <w:pStyle w:val="FootnoteText"/>
      </w:pPr>
      <w:r w:rsidRPr="00444F1D">
        <w:rPr>
          <w:rStyle w:val="FootnoteReference"/>
        </w:rPr>
        <w:footnoteRef/>
      </w:r>
      <w:r>
        <w:t xml:space="preserve"> I’m grateful to Matthew Weait, who</w:t>
      </w:r>
      <w:r w:rsidR="006A3D6E">
        <w:t>se</w:t>
      </w:r>
      <w:r>
        <w:t xml:space="preserve"> comments on a draft helped me develop this point. </w:t>
      </w:r>
    </w:p>
  </w:footnote>
  <w:footnote w:id="89">
    <w:p w14:paraId="079A8B97" w14:textId="6DC65FBA" w:rsidR="00D86C77" w:rsidRDefault="00D86C77">
      <w:pPr>
        <w:pStyle w:val="FootnoteText"/>
      </w:pPr>
      <w:r w:rsidRPr="00444F1D">
        <w:rPr>
          <w:rStyle w:val="FootnoteReference"/>
        </w:rPr>
        <w:footnoteRef/>
      </w:r>
      <w:r>
        <w:t xml:space="preserve"> </w:t>
      </w:r>
      <w:r>
        <w:fldChar w:fldCharType="begin"/>
      </w:r>
      <w:r w:rsidR="008A2231">
        <w:instrText xml:space="preserve"> ADDIN ZOTERO_ITEM CSL_CITATION {"citationID":"EUMhaXQG","properties":{"formattedCitation":"For discussion of a \\uc0\\u8216{}coital hierarchy\\uc0\\u8217{} and its relationship with debate on same-sex marriage, generally, see, Diorio (n 72) in particular at 853.","plainCitation":"For discussion of a ‘coital hierarchy’ and its relationship with debate on same-sex marriage, generally, see, Diorio (n 72) in particular at 853.","dontUpdate":true,"noteIndex":89},"citationItems":[{"id":6114,"uris":["http://zotero.org/users/10005302/items/JBJMBUBI"],"itemData":{"id":6114,"type":"article-journal","abstract":"Young people learn what sex is, how to perform it, and what status it has largely through discourse. Sexual discourse has changed since the mid-twentieth century, but coitus still dominates heterosexual sex talk, and both change and continuity are reﬂected in adolescent sexual attitudes and behavior. Acceptance of non-coital sexuality among LGBTQ people and heterosexuals has increased, but these behaviors often have a different status when performed by members of each of these groups. Non-coital acts may be legitimately sexual when performed by nonheterosexuals, but coitus remains the paradigmatic heterosexual activity even though young heterosexuals often engage in non-coital behaviors. Young heterosexuals often differentiate real coital sex from quasi-sexual non-coital behaviors, and sexuality researchers, clinicians, and educators frequently reinforce this distinction and threaten the sexual status and self-esteem of young heterosexuals who do not like or cannot perform coitus. Many sexuality professionals urge young heterosexuals to recognize non-coital acts as sexual because of their risks of sexually transmitted infections, but sometimes also undermine this message by describing these acts as preliminaries to or substitutes for coitus. These professionals use an objective language of sexuality which presumably should supplant the mistaken usages of young people, but they overlook their own dependence on culturally constructed sexual discourse, and can impose needless problems on young people.","container-title":"Sexuality &amp; Culture","DOI":"10.1007/s12119-016-9359-9","ISSN":"1095-5143, 1936-4822","issue":"4","journalAbbreviation":"Sexuality &amp; Culture","language":"en","page":"841-861","source":"DOI.org (Crossref)","title":"Changing Discourse, Learning Sex, and Non-coital Heterosexuality","volume":"20","author":[{"family":"Diorio","given":"Joseph A."}],"issued":{"date-parts":[["2016",12]]}},"label":"page","prefix":"For discussion of a 'coital hierarchy' and its relationship with debate on same-sex marriage, generally, see,","suffix":" in particular at 853"}],"schema":"https://github.com/citation-style-language/schema/raw/master/csl-citation.json"} </w:instrText>
      </w:r>
      <w:r>
        <w:fldChar w:fldCharType="separate"/>
      </w:r>
      <w:r w:rsidR="0051105C" w:rsidRPr="0051105C">
        <w:rPr>
          <w:rFonts w:ascii="Calibri" w:cs="Calibri"/>
          <w:kern w:val="0"/>
        </w:rPr>
        <w:t>For discussion of</w:t>
      </w:r>
      <w:r w:rsidR="00AA00D7">
        <w:rPr>
          <w:rFonts w:ascii="Calibri" w:cs="Calibri"/>
          <w:kern w:val="0"/>
        </w:rPr>
        <w:t xml:space="preserve"> a</w:t>
      </w:r>
      <w:r w:rsidR="0051105C" w:rsidRPr="0051105C">
        <w:rPr>
          <w:rFonts w:ascii="Calibri" w:cs="Calibri"/>
          <w:kern w:val="0"/>
        </w:rPr>
        <w:t xml:space="preserve"> ‘coital hierarchy’ and debate on same-sex marriage, see</w:t>
      </w:r>
      <w:r w:rsidR="003B6A83">
        <w:rPr>
          <w:rFonts w:ascii="Calibri" w:cs="Calibri"/>
          <w:kern w:val="0"/>
        </w:rPr>
        <w:t xml:space="preserve"> </w:t>
      </w:r>
      <w:proofErr w:type="spellStart"/>
      <w:r w:rsidR="0051105C" w:rsidRPr="0051105C">
        <w:rPr>
          <w:rFonts w:ascii="Calibri" w:cs="Calibri"/>
          <w:kern w:val="0"/>
        </w:rPr>
        <w:t>Diorio</w:t>
      </w:r>
      <w:proofErr w:type="spellEnd"/>
      <w:r w:rsidR="0051105C" w:rsidRPr="0051105C">
        <w:rPr>
          <w:rFonts w:ascii="Calibri" w:cs="Calibri"/>
          <w:kern w:val="0"/>
        </w:rPr>
        <w:t xml:space="preserve"> (n 7</w:t>
      </w:r>
      <w:r w:rsidR="00386206">
        <w:rPr>
          <w:rFonts w:ascii="Calibri" w:cs="Calibri"/>
          <w:kern w:val="0"/>
        </w:rPr>
        <w:t>4</w:t>
      </w:r>
      <w:r w:rsidR="0051105C" w:rsidRPr="0051105C">
        <w:rPr>
          <w:rFonts w:ascii="Calibri" w:cs="Calibri"/>
          <w:kern w:val="0"/>
        </w:rPr>
        <w:t xml:space="preserve">) </w:t>
      </w:r>
      <w:proofErr w:type="gramStart"/>
      <w:r w:rsidR="0051105C" w:rsidRPr="0051105C">
        <w:rPr>
          <w:rFonts w:ascii="Calibri" w:cs="Calibri"/>
          <w:kern w:val="0"/>
        </w:rPr>
        <w:t>in particular at</w:t>
      </w:r>
      <w:proofErr w:type="gramEnd"/>
      <w:r w:rsidR="0051105C" w:rsidRPr="0051105C">
        <w:rPr>
          <w:rFonts w:ascii="Calibri" w:cs="Calibri"/>
          <w:kern w:val="0"/>
        </w:rPr>
        <w:t xml:space="preserve"> 853.</w:t>
      </w:r>
      <w:r>
        <w:fldChar w:fldCharType="end"/>
      </w:r>
    </w:p>
  </w:footnote>
  <w:footnote w:id="90">
    <w:p w14:paraId="37790E6E" w14:textId="3A128D79" w:rsidR="00220AF3" w:rsidRDefault="00220AF3">
      <w:pPr>
        <w:pStyle w:val="FootnoteText"/>
      </w:pPr>
      <w:r w:rsidRPr="00444F1D">
        <w:rPr>
          <w:rStyle w:val="FootnoteReference"/>
        </w:rPr>
        <w:footnoteRef/>
      </w:r>
      <w:r>
        <w:t xml:space="preserve"> </w:t>
      </w:r>
      <w:r w:rsidR="00FF5F6C">
        <w:fldChar w:fldCharType="begin"/>
      </w:r>
      <w:r w:rsidR="008A2231">
        <w:instrText xml:space="preserve"> ADDIN ZOTERO_ITEM CSL_CITATION {"citationID":"SnqRYfGD","properties":{"formattedCitation":"Black (n 36) 314\\uc0\\u8211{}319; Maine (n 38) 145.","plainCitation":"Black (n 36) 314–319; Maine (n 38) 145.","noteIndex":90},"citationItems":[{"id":6098,"uris":["http://zotero.org/users/10005302/items/JR5MTXBD"],"itemData":{"id":6098,"type":"chapter","container-title":"Family Matters: Essays in Honor of John Eekelarr","publisher":"Intersentia","title":"Adult Relationships and the Ongoing Significance of Sexual Intimacy","author":[{"family":"Black","given":"Gillian"}],"editor":[{"family":"Scherpe","given":"Jens M"},{"family":"Gilmore","given":"Stephen"}],"issued":{"date-parts":[["2022"]]}},"locator":"314-319"},{"id":5559,"uris":["http://zotero.org/users/10005302/items/KFEIBM96"],"itemData":{"id":5559,"type":"article-journal","container-title":"Child and Family Law Quarterly","issue":"2","language":"en","page":"143","source":"Zotero","title":"Queer(y)ing consummation: an empirical reflection on the Marriage (Same Sex Couples) Act 2013 and the role of consummation","volume":"33","author":[{"family":"Maine","given":"Alexander"}],"issued":{"date-parts":[["2021"]]}},"locator":"145"}],"schema":"https://github.com/citation-style-language/schema/raw/master/csl-citation.json"} </w:instrText>
      </w:r>
      <w:r w:rsidR="00FF5F6C">
        <w:fldChar w:fldCharType="separate"/>
      </w:r>
      <w:r w:rsidR="000B3771" w:rsidRPr="000B3771">
        <w:rPr>
          <w:rFonts w:ascii="Calibri" w:cs="Calibri"/>
          <w:kern w:val="0"/>
        </w:rPr>
        <w:t>Black (n 36) 314–319; Maine (n 38) 145.</w:t>
      </w:r>
      <w:r w:rsidR="00FF5F6C">
        <w:fldChar w:fldCharType="end"/>
      </w:r>
    </w:p>
  </w:footnote>
  <w:footnote w:id="91">
    <w:p w14:paraId="6F4FC65F" w14:textId="000E92AF" w:rsidR="000E6537" w:rsidRDefault="000E6537">
      <w:pPr>
        <w:pStyle w:val="FootnoteText"/>
      </w:pPr>
      <w:r w:rsidRPr="00444F1D">
        <w:rPr>
          <w:rStyle w:val="FootnoteReference"/>
        </w:rPr>
        <w:footnoteRef/>
      </w:r>
      <w:r>
        <w:t xml:space="preserve"> </w:t>
      </w:r>
      <w:r>
        <w:fldChar w:fldCharType="begin"/>
      </w:r>
      <w:r w:rsidR="008A2231">
        <w:instrText xml:space="preserve"> ADDIN ZOTERO_ITEM CSL_CITATION {"citationID":"wGMJZBIU","properties":{"formattedCitation":"Gayle S Rubin, \\uc0\\u8216{}Thinking Sex: Notes for a Radical Theory of the Politics of Sexuality\\uc0\\u8217{} in Richard Parker and Peter Aggleton (eds), {\\i{}Culture, Society and Sexuality: A Reader} (2nd edn, Routledge 2007) 162.","plainCitation":"Gayle S Rubin, ‘Thinking Sex: Notes for a Radical Theory of the Politics of Sexuality’ in Richard Parker and Peter Aggleton (eds), Culture, Society and Sexuality: A Reader (2nd edn, Routledge 2007) 162.","noteIndex":91},"citationItems":[{"id":1078,"uris":["http://zotero.org/users/10005302/items/EKYZ4FLR"],"itemData":{"id":1078,"type":"chapter","container-title":"Culture, Society and Sexuality: A Reader","edition":"2nd","publisher":"Routledge","title":"Thinking Sex: Notes for a Radical Theory of the Politics of Sexuality","author":[{"family":"Rubin","given":"Gayle S"}],"editor":[{"family":"Parker","given":"Richard"},{"family":"Aggleton","given":"Peter"}],"issued":{"date-parts":[["2007"]]}},"locator":"162"}],"schema":"https://github.com/citation-style-language/schema/raw/master/csl-citation.json"} </w:instrText>
      </w:r>
      <w:r>
        <w:fldChar w:fldCharType="separate"/>
      </w:r>
      <w:r w:rsidRPr="000E6537">
        <w:rPr>
          <w:rFonts w:ascii="Calibri" w:cs="Calibri"/>
          <w:kern w:val="0"/>
        </w:rPr>
        <w:t xml:space="preserve">Gayle S Rubin, ‘Thinking Sex: Notes for a Radical Theory of the Politics of Sexuality’ in Richard Parker and Peter </w:t>
      </w:r>
      <w:proofErr w:type="spellStart"/>
      <w:r w:rsidRPr="000E6537">
        <w:rPr>
          <w:rFonts w:ascii="Calibri" w:cs="Calibri"/>
          <w:kern w:val="0"/>
        </w:rPr>
        <w:t>Aggleton</w:t>
      </w:r>
      <w:proofErr w:type="spellEnd"/>
      <w:r w:rsidRPr="000E6537">
        <w:rPr>
          <w:rFonts w:ascii="Calibri" w:cs="Calibri"/>
          <w:kern w:val="0"/>
        </w:rPr>
        <w:t xml:space="preserve"> (eds), </w:t>
      </w:r>
      <w:r w:rsidRPr="000E6537">
        <w:rPr>
          <w:rFonts w:ascii="Calibri" w:cs="Calibri"/>
          <w:i/>
          <w:iCs/>
          <w:kern w:val="0"/>
        </w:rPr>
        <w:t>Culture, Society and Sexuality: A Reader</w:t>
      </w:r>
      <w:r w:rsidRPr="000E6537">
        <w:rPr>
          <w:rFonts w:ascii="Calibri" w:cs="Calibri"/>
          <w:kern w:val="0"/>
        </w:rPr>
        <w:t xml:space="preserve"> (2nd </w:t>
      </w:r>
      <w:proofErr w:type="spellStart"/>
      <w:r w:rsidRPr="000E6537">
        <w:rPr>
          <w:rFonts w:ascii="Calibri" w:cs="Calibri"/>
          <w:kern w:val="0"/>
        </w:rPr>
        <w:t>edn</w:t>
      </w:r>
      <w:proofErr w:type="spellEnd"/>
      <w:r w:rsidRPr="000E6537">
        <w:rPr>
          <w:rFonts w:ascii="Calibri" w:cs="Calibri"/>
          <w:kern w:val="0"/>
        </w:rPr>
        <w:t>, Routledge 2007) 162.</w:t>
      </w:r>
      <w:r>
        <w:fldChar w:fldCharType="end"/>
      </w:r>
    </w:p>
  </w:footnote>
  <w:footnote w:id="92">
    <w:p w14:paraId="0680226C" w14:textId="4CA3C84D" w:rsidR="000E6537" w:rsidRDefault="000E6537">
      <w:pPr>
        <w:pStyle w:val="FootnoteText"/>
      </w:pPr>
      <w:r w:rsidRPr="00444F1D">
        <w:rPr>
          <w:rStyle w:val="FootnoteReference"/>
        </w:rPr>
        <w:footnoteRef/>
      </w:r>
      <w:r>
        <w:t xml:space="preserve"> </w:t>
      </w:r>
      <w:r>
        <w:fldChar w:fldCharType="begin"/>
      </w:r>
      <w:r w:rsidR="008A2231">
        <w:instrText xml:space="preserve"> ADDIN ZOTERO_ITEM CSL_CITATION {"citationID":"IJ3HZn2L","properties":{"formattedCitation":"ibid 160.","plainCitation":"ibid 160.","noteIndex":92},"citationItems":[{"id":1078,"uris":["http://zotero.org/users/10005302/items/EKYZ4FLR"],"itemData":{"id":1078,"type":"chapter","container-title":"Culture, Society and Sexuality: A Reader","edition":"2nd","publisher":"Routledge","title":"Thinking Sex: Notes for a Radical Theory of the Politics of Sexuality","author":[{"family":"Rubin","given":"Gayle S"}],"editor":[{"family":"Parker","given":"Richard"},{"family":"Aggleton","given":"Peter"}],"issued":{"date-parts":[["2007"]]}},"locator":"160"}],"schema":"https://github.com/citation-style-language/schema/raw/master/csl-citation.json"} </w:instrText>
      </w:r>
      <w:r>
        <w:fldChar w:fldCharType="separate"/>
      </w:r>
      <w:r>
        <w:rPr>
          <w:noProof/>
        </w:rPr>
        <w:t>ibid 160.</w:t>
      </w:r>
      <w:r>
        <w:fldChar w:fldCharType="end"/>
      </w:r>
    </w:p>
  </w:footnote>
  <w:footnote w:id="93">
    <w:p w14:paraId="76B4964F" w14:textId="4E15F20C" w:rsidR="00AA759F" w:rsidRDefault="00AA759F">
      <w:pPr>
        <w:pStyle w:val="FootnoteText"/>
      </w:pPr>
      <w:r w:rsidRPr="00444F1D">
        <w:rPr>
          <w:rStyle w:val="FootnoteReference"/>
        </w:rPr>
        <w:footnoteRef/>
      </w:r>
      <w:r>
        <w:t xml:space="preserve"> </w:t>
      </w:r>
      <w:r>
        <w:fldChar w:fldCharType="begin"/>
      </w:r>
      <w:r w:rsidR="008A2231">
        <w:instrText xml:space="preserve"> ADDIN ZOTERO_ITEM CSL_CITATION {"citationID":"2Y0t3jZQ","properties":{"formattedCitation":"Chris Ashford, \\uc0\\u8216{}(Homo)Normative Legal Discourse\\uc0\\u8217{} [2011] Durham Law Review 77.","plainCitation":"Chris Ashford, ‘(Homo)Normative Legal Discourse’ [2011] Durham Law Review 77.","dontUpdate":true,"noteIndex":93},"citationItems":[{"id":483,"uris":["http://zotero.org/users/10005302/items/FVTG2ISA"],"itemData":{"id":483,"type":"article-journal","container-title":"Durham Law Review","page":"77-98","title":"(homo)normative legal discourse","author":[{"family":"Ashford","given":"Chris"}],"issued":{"date-parts":[["2011"]]}}}],"schema":"https://github.com/citation-style-language/schema/raw/master/csl-citation.json"} </w:instrText>
      </w:r>
      <w:r>
        <w:fldChar w:fldCharType="separate"/>
      </w:r>
      <w:r w:rsidRPr="00AA759F">
        <w:rPr>
          <w:rFonts w:ascii="Calibri" w:cs="Calibri"/>
          <w:kern w:val="0"/>
        </w:rPr>
        <w:t>Chris Ashford, ‘(Homo)Normative Legal Discourse’ [2011] Durham</w:t>
      </w:r>
      <w:r w:rsidR="002501EC">
        <w:rPr>
          <w:rFonts w:ascii="Calibri" w:cs="Calibri"/>
          <w:kern w:val="0"/>
        </w:rPr>
        <w:t xml:space="preserve"> Law Rev</w:t>
      </w:r>
      <w:r w:rsidRPr="00AA759F">
        <w:rPr>
          <w:rFonts w:ascii="Calibri" w:cs="Calibri"/>
          <w:kern w:val="0"/>
        </w:rPr>
        <w:t xml:space="preserve"> 77.</w:t>
      </w:r>
      <w:r>
        <w:fldChar w:fldCharType="end"/>
      </w:r>
    </w:p>
  </w:footnote>
  <w:footnote w:id="94">
    <w:p w14:paraId="1DE98A82" w14:textId="46A946CF" w:rsidR="00AA759F" w:rsidRDefault="00AA759F">
      <w:pPr>
        <w:pStyle w:val="FootnoteText"/>
      </w:pPr>
      <w:r w:rsidRPr="00444F1D">
        <w:rPr>
          <w:rStyle w:val="FootnoteReference"/>
        </w:rPr>
        <w:footnoteRef/>
      </w:r>
      <w:r>
        <w:t xml:space="preserve"> </w:t>
      </w:r>
      <w:r>
        <w:fldChar w:fldCharType="begin"/>
      </w:r>
      <w:r w:rsidR="008A2231">
        <w:instrText xml:space="preserve"> ADDIN ZOTERO_ITEM CSL_CITATION {"citationID":"pY974flP","properties":{"formattedCitation":"Senthorun Sunil Raj, {\\i{}Feeling Queer Jurisprudence: Injury, Intimacy, Identity} (1st edn, Routledge 2020) ch 2.","plainCitation":"Senthorun Sunil Raj, Feeling Queer Jurisprudence: Injury, Intimacy, Identity (1st edn, Routledge 2020) ch 2.","noteIndex":94},"citationItems":[{"id":5722,"uris":["http://zotero.org/users/10005302/items/PK4UYI25"],"itemData":{"id":5722,"type":"book","edition":"1","ISBN":"978-1-351-12806-3","language":"en","note":"DOI: 10.4324/9781351128063","publisher":"Routledge","source":"DOI.org (Crossref)","title":"Feeling Queer Jurisprudence: Injury, Intimacy, Identity","title-short":"Feeling Queer Jurisprudence","author":[{"family":"Raj","given":"Senthorun Sunil"}],"accessed":{"date-parts":[["2022",10,31]]},"issued":{"date-parts":[["2020",1,9]]}},"locator":"2","label":"chapter"}],"schema":"https://github.com/citation-style-language/schema/raw/master/csl-citation.json"} </w:instrText>
      </w:r>
      <w:r>
        <w:fldChar w:fldCharType="separate"/>
      </w:r>
      <w:proofErr w:type="spellStart"/>
      <w:r w:rsidRPr="00AA759F">
        <w:rPr>
          <w:rFonts w:ascii="Calibri" w:cs="Calibri"/>
          <w:kern w:val="0"/>
        </w:rPr>
        <w:t>Senthorun</w:t>
      </w:r>
      <w:proofErr w:type="spellEnd"/>
      <w:r w:rsidRPr="00AA759F">
        <w:rPr>
          <w:rFonts w:ascii="Calibri" w:cs="Calibri"/>
          <w:kern w:val="0"/>
        </w:rPr>
        <w:t xml:space="preserve"> Sunil Raj, </w:t>
      </w:r>
      <w:r w:rsidRPr="00AA759F">
        <w:rPr>
          <w:rFonts w:ascii="Calibri" w:cs="Calibri"/>
          <w:i/>
          <w:iCs/>
          <w:kern w:val="0"/>
        </w:rPr>
        <w:t>Feeling Queer Jurisprudence: Injury, Intimacy, Identity</w:t>
      </w:r>
      <w:r w:rsidRPr="00AA759F">
        <w:rPr>
          <w:rFonts w:ascii="Calibri" w:cs="Calibri"/>
          <w:kern w:val="0"/>
        </w:rPr>
        <w:t xml:space="preserve"> (1st </w:t>
      </w:r>
      <w:proofErr w:type="spellStart"/>
      <w:r w:rsidRPr="00AA759F">
        <w:rPr>
          <w:rFonts w:ascii="Calibri" w:cs="Calibri"/>
          <w:kern w:val="0"/>
        </w:rPr>
        <w:t>edn</w:t>
      </w:r>
      <w:proofErr w:type="spellEnd"/>
      <w:r w:rsidRPr="00AA759F">
        <w:rPr>
          <w:rFonts w:ascii="Calibri" w:cs="Calibri"/>
          <w:kern w:val="0"/>
        </w:rPr>
        <w:t xml:space="preserve">, Routledge 2020) </w:t>
      </w:r>
      <w:proofErr w:type="spellStart"/>
      <w:r w:rsidRPr="00AA759F">
        <w:rPr>
          <w:rFonts w:ascii="Calibri" w:cs="Calibri"/>
          <w:kern w:val="0"/>
        </w:rPr>
        <w:t>ch</w:t>
      </w:r>
      <w:proofErr w:type="spellEnd"/>
      <w:r w:rsidRPr="00AA759F">
        <w:rPr>
          <w:rFonts w:ascii="Calibri" w:cs="Calibri"/>
          <w:kern w:val="0"/>
        </w:rPr>
        <w:t xml:space="preserve"> 2.</w:t>
      </w:r>
      <w:r>
        <w:fldChar w:fldCharType="end"/>
      </w:r>
    </w:p>
  </w:footnote>
  <w:footnote w:id="95">
    <w:p w14:paraId="3762B8D0" w14:textId="5C39C584" w:rsidR="00AA759F" w:rsidRDefault="00AA759F">
      <w:pPr>
        <w:pStyle w:val="FootnoteText"/>
      </w:pPr>
      <w:r w:rsidRPr="00444F1D">
        <w:rPr>
          <w:rStyle w:val="FootnoteReference"/>
        </w:rPr>
        <w:footnoteRef/>
      </w:r>
      <w:r>
        <w:t xml:space="preserve"> </w:t>
      </w:r>
      <w:r>
        <w:fldChar w:fldCharType="begin"/>
      </w:r>
      <w:r w:rsidR="008A2231">
        <w:instrText xml:space="preserve"> ADDIN ZOTERO_ITEM CSL_CITATION {"citationID":"PkyPiEjs","properties":{"formattedCitation":"Murray, \\uc0\\u8216{}The Space between: The Cooperative Regulation of Criminal Law and Family Law\\uc0\\u8217{} (n 4) 246.","plainCitation":"Murray, ‘The Space between: The Cooperative Regulation of Criminal Law and Family Law’ (n 4) 246.","dontUpdate":true,"noteIndex":95},"citationItems":[{"id":5505,"uris":["http://zotero.org/users/10005302/items/HUG3XGP7"],"itemData":{"id":5505,"type":"article-journal","container-title":"Family Law Quarterly","ISSN":"0014729X","issue":"2","page":"227-254","title":"The space between: The cooperative regulation of criminal law and family law","volume":"44","author":[{"family":"Murray","given":"Melissa"}],"issued":{"date-parts":[["2010"]]}},"locator":"246"}],"schema":"https://github.com/citation-style-language/schema/raw/master/csl-citation.json"} </w:instrText>
      </w:r>
      <w:r>
        <w:fldChar w:fldCharType="separate"/>
      </w:r>
      <w:r w:rsidRPr="00AA759F">
        <w:rPr>
          <w:rFonts w:ascii="Calibri" w:cs="Calibri"/>
          <w:kern w:val="0"/>
        </w:rPr>
        <w:t>Murray, ‘The Space between’ (n 4) 246.</w:t>
      </w:r>
      <w:r>
        <w:fldChar w:fldCharType="end"/>
      </w:r>
    </w:p>
  </w:footnote>
  <w:footnote w:id="96">
    <w:p w14:paraId="2A6A411E" w14:textId="4370118D" w:rsidR="00AA759F" w:rsidRDefault="00AA759F">
      <w:pPr>
        <w:pStyle w:val="FootnoteText"/>
      </w:pPr>
      <w:r w:rsidRPr="00444F1D">
        <w:rPr>
          <w:rStyle w:val="FootnoteReference"/>
        </w:rPr>
        <w:footnoteRef/>
      </w:r>
      <w:r>
        <w:t xml:space="preserve"> </w:t>
      </w:r>
      <w:r>
        <w:fldChar w:fldCharType="begin"/>
      </w:r>
      <w:r w:rsidR="008A2231">
        <w:instrText xml:space="preserve"> ADDIN ZOTERO_ITEM CSL_CITATION {"citationID":"4050wfm1","properties":{"formattedCitation":"Sharron Cowan and Jacqueline Hodgson, \\uc0\\u8216{}Violence in a Family Context: The Criminal Law\\uc0\\u8217{}s Response to Domestic Violence\\uc0\\u8217{} in Rebecca Probert (ed), {\\i{}Family Life and the Law: Under One Room} (Ashgate 2007) 47\\uc0\\u8211{}48.","plainCitation":"Sharron Cowan and Jacqueline Hodgson, ‘Violence in a Family Context: The Criminal Law’s Response to Domestic Violence’ in Rebecca Probert (ed), Family Life and the Law: Under One Room (Ashgate 2007) 47–48.","dontUpdate":true,"noteIndex":96},"citationItems":[{"id":5763,"uris":["http://zotero.org/users/10005302/items/I646FBB3"],"itemData":{"id":5763,"type":"chapter","container-title":"Family Life and the Law: Under One Room","publisher":"Ashgate","title":"Violence in a Family Context: The Criminal Law's Response to Domestic Violence","author":[{"family":"Cowan","given":"Sharron"},{"family":"Hodgson","given":"Jacqueline"}],"editor":[{"family":"Probert","given":"Rebecca"}],"issued":{"date-parts":[["2007"]]}},"locator":"47-48"}],"schema":"https://github.com/citation-style-language/schema/raw/master/csl-citation.json"} </w:instrText>
      </w:r>
      <w:r>
        <w:fldChar w:fldCharType="separate"/>
      </w:r>
      <w:r w:rsidRPr="00AA759F">
        <w:rPr>
          <w:rFonts w:ascii="Calibri" w:cs="Calibri"/>
          <w:kern w:val="0"/>
        </w:rPr>
        <w:t xml:space="preserve">Sharon Cowan and Jacqueline Hodgson, ‘Violence in a Family Context: The Criminal Law’s Response to Domestic Violence’ in Rebecca Probert (ed), </w:t>
      </w:r>
      <w:r w:rsidRPr="00AA759F">
        <w:rPr>
          <w:rFonts w:ascii="Calibri" w:cs="Calibri"/>
          <w:i/>
          <w:iCs/>
          <w:kern w:val="0"/>
        </w:rPr>
        <w:t>Family Life and the Law: Under One Room</w:t>
      </w:r>
      <w:r w:rsidRPr="00AA759F">
        <w:rPr>
          <w:rFonts w:ascii="Calibri" w:cs="Calibri"/>
          <w:kern w:val="0"/>
        </w:rPr>
        <w:t xml:space="preserve"> (Ashgate 2007) 47–48.</w:t>
      </w:r>
      <w:r>
        <w:fldChar w:fldCharType="end"/>
      </w:r>
    </w:p>
  </w:footnote>
  <w:footnote w:id="97">
    <w:p w14:paraId="4C3F8F2C" w14:textId="6749F0DF" w:rsidR="00AA759F" w:rsidRDefault="00AA759F">
      <w:pPr>
        <w:pStyle w:val="FootnoteText"/>
      </w:pPr>
      <w:r w:rsidRPr="00444F1D">
        <w:rPr>
          <w:rStyle w:val="FootnoteReference"/>
        </w:rPr>
        <w:footnoteRef/>
      </w:r>
      <w:r>
        <w:t xml:space="preserve"> </w:t>
      </w:r>
      <w:r>
        <w:fldChar w:fldCharType="begin"/>
      </w:r>
      <w:r w:rsidR="008A2231">
        <w:instrText xml:space="preserve"> ADDIN ZOTERO_ITEM CSL_CITATION {"citationID":"pGam6fn1","properties":{"formattedCitation":"Home Department; Scottish Home Department, {\\i{}Report of the Committee on Homosexual Offences and Prostitution} (Cmnd 354 1957).","plainCitation":"Home Department; Scottish Home Department, Report of the Committee on Homosexual Offences and Prostitution (Cmnd 354 1957).","noteIndex":97},"citationItems":[{"id":5730,"uris":["http://zotero.org/users/10005302/items/JTJ2QYSR"],"itemData":{"id":5730,"type":"book","publisher":"Cmnd 354","title":"Report of the Committee on Homosexual Offences and Prostitution","author":[{"family":"Home Department; Scottish Home Department","given":""}],"issued":{"date-parts":[["1957"]]}}}],"schema":"https://github.com/citation-style-language/schema/raw/master/csl-citation.json"} </w:instrText>
      </w:r>
      <w:r>
        <w:fldChar w:fldCharType="separate"/>
      </w:r>
      <w:r w:rsidRPr="00AA759F">
        <w:rPr>
          <w:rFonts w:ascii="Calibri" w:cs="Calibri"/>
          <w:kern w:val="0"/>
        </w:rPr>
        <w:t xml:space="preserve">Home Department; Scottish Home Department, </w:t>
      </w:r>
      <w:r w:rsidRPr="00AA759F">
        <w:rPr>
          <w:rFonts w:ascii="Calibri" w:cs="Calibri"/>
          <w:i/>
          <w:iCs/>
          <w:kern w:val="0"/>
        </w:rPr>
        <w:t>Report of the Committee on Homosexual Offences and Prostitution</w:t>
      </w:r>
      <w:r w:rsidRPr="00AA759F">
        <w:rPr>
          <w:rFonts w:ascii="Calibri" w:cs="Calibri"/>
          <w:kern w:val="0"/>
        </w:rPr>
        <w:t xml:space="preserve"> (</w:t>
      </w:r>
      <w:proofErr w:type="spellStart"/>
      <w:r w:rsidRPr="00AA759F">
        <w:rPr>
          <w:rFonts w:ascii="Calibri" w:cs="Calibri"/>
          <w:kern w:val="0"/>
        </w:rPr>
        <w:t>Cmnd</w:t>
      </w:r>
      <w:proofErr w:type="spellEnd"/>
      <w:r w:rsidRPr="00AA759F">
        <w:rPr>
          <w:rFonts w:ascii="Calibri" w:cs="Calibri"/>
          <w:kern w:val="0"/>
        </w:rPr>
        <w:t xml:space="preserve"> 354 1957).</w:t>
      </w:r>
      <w:r>
        <w:fldChar w:fldCharType="end"/>
      </w:r>
    </w:p>
  </w:footnote>
  <w:footnote w:id="98">
    <w:p w14:paraId="20BA4439" w14:textId="170AE5C9" w:rsidR="00B6372A" w:rsidRDefault="00B6372A">
      <w:pPr>
        <w:pStyle w:val="FootnoteText"/>
      </w:pPr>
      <w:r w:rsidRPr="00444F1D">
        <w:rPr>
          <w:rStyle w:val="FootnoteReference"/>
        </w:rPr>
        <w:footnoteRef/>
      </w:r>
      <w:r>
        <w:t xml:space="preserve"> </w:t>
      </w:r>
      <w:r>
        <w:fldChar w:fldCharType="begin"/>
      </w:r>
      <w:r w:rsidR="008A2231">
        <w:instrText xml:space="preserve"> ADDIN ZOTERO_ITEM CSL_CITATION {"citationID":"DzbBFhHC","properties":{"formattedCitation":"Ashford (n 92); Jeffrey Weeks, {\\i{}Making Sexual History} (Polity Press 2000) ch 8; Kate Gleeson, \\uc0\\u8216{}Freudian Slips and Coteries of Vice: The Sexual Offences Act of 1967*\\uc0\\u8217{} (2008) 27 Parliamentary History 393.","plainCitation":"Ashford (n 92); Jeffrey Weeks, Making Sexual History (Polity Press 2000) ch 8; Kate Gleeson, ‘Freudian Slips and Coteries of Vice: The Sexual Offences Act of 1967*’ (2008) 27 Parliamentary History 393.","dontUpdate":true,"noteIndex":98},"citationItems":[{"id":483,"uris":["http://zotero.org/users/10005302/items/FVTG2ISA"],"itemData":{"id":483,"type":"article-journal","container-title":"Durham Law Review","page":"77-98","title":"(homo)normative legal discourse","author":[{"family":"Ashford","given":"Chris"}],"issued":{"date-parts":[["2011"]]}}},{"id":5723,"uris":["http://zotero.org/users/10005302/items/F275S2NK"],"itemData":{"id":5723,"type":"book","event-place":"Cambridge","publisher":"Polity Press","publisher-place":"Cambridge","title":"Making Sexual History","author":[{"family":"Weeks","given":"Jeffrey"}],"issued":{"date-parts":[["2000"]]}},"locator":"8","label":"chapter"},{"id":5727,"uris":["http://zotero.org/users/10005302/items/3I6BT9Q9"],"itemData":{"id":5727,"type":"article-journal","abstract":"The Sexual Offences Act 1967 made the first inroads to decriminalising men's homosexual sex since buggery was made a capital offence under Henry VIII. The act was drafted at the direction of the 1957 Wolfenden report, but bore the distinct hallmark of individuals of the 1967 parliament. More complex than the dictated product of Wolfenden, and more idiosyncratic than a simple reflection of the social climate of the 1960s, the private member's bill was a Labour initiative with bipartisan support, driven in the Commons by the bizarre motivations of its sponsor, Labour member for Pontypool, Leo Abse. Contrary to popular myths about the aims of decriminalisation, Abse's crusading Freudian motivation was concerned with discouraging, more than allowing, homosexual behaviour. Similarly, ‘privacy’– the gift of the house of lords to sexual regulation – was aimed largely at curtailing men's sexual practices, along with secreting them away. Thus, while the act is typically associated with a general ideal of freedom, much parliamentary motivation concerned control and the prevention of sexual activities.","container-title":"Parliamentary History","DOI":"10.1111/j.1750-0206.2008.00046.x","ISSN":"1750-0206","issue":"3","language":"en","note":"_eprint: https://onlinelibrary.wiley.com/doi/pdf/10.1111/j.1750-0206.2008.00046.x","page":"393-409","source":"Wiley Online Library","title":"Freudian Slips and Coteries of Vice: The Sexual Offences Act of 1967*","title-short":"Freudian Slips and Coteries of Vice","volume":"27","author":[{"family":"Gleeson","given":"Kate"}],"issued":{"date-parts":[["2008"]]}}}],"schema":"https://github.com/citation-style-language/schema/raw/master/csl-citation.json"} </w:instrText>
      </w:r>
      <w:r>
        <w:fldChar w:fldCharType="separate"/>
      </w:r>
      <w:r w:rsidRPr="00B6372A">
        <w:rPr>
          <w:rFonts w:ascii="Calibri" w:cs="Calibri"/>
          <w:kern w:val="0"/>
        </w:rPr>
        <w:t>Ashford (n 9</w:t>
      </w:r>
      <w:r w:rsidR="00386206">
        <w:rPr>
          <w:rFonts w:ascii="Calibri" w:cs="Calibri"/>
          <w:kern w:val="0"/>
        </w:rPr>
        <w:t>3</w:t>
      </w:r>
      <w:r w:rsidRPr="00B6372A">
        <w:rPr>
          <w:rFonts w:ascii="Calibri" w:cs="Calibri"/>
          <w:kern w:val="0"/>
        </w:rPr>
        <w:t xml:space="preserve">); Jeffrey Weeks, </w:t>
      </w:r>
      <w:r w:rsidRPr="00B6372A">
        <w:rPr>
          <w:rFonts w:ascii="Calibri" w:cs="Calibri"/>
          <w:i/>
          <w:iCs/>
          <w:kern w:val="0"/>
        </w:rPr>
        <w:t>Making Sexual History</w:t>
      </w:r>
      <w:r w:rsidRPr="00B6372A">
        <w:rPr>
          <w:rFonts w:ascii="Calibri" w:cs="Calibri"/>
          <w:kern w:val="0"/>
        </w:rPr>
        <w:t xml:space="preserve"> (Polity Press 2000) </w:t>
      </w:r>
      <w:proofErr w:type="spellStart"/>
      <w:r w:rsidRPr="00B6372A">
        <w:rPr>
          <w:rFonts w:ascii="Calibri" w:cs="Calibri"/>
          <w:kern w:val="0"/>
        </w:rPr>
        <w:t>ch</w:t>
      </w:r>
      <w:proofErr w:type="spellEnd"/>
      <w:r w:rsidRPr="00B6372A">
        <w:rPr>
          <w:rFonts w:ascii="Calibri" w:cs="Calibri"/>
          <w:kern w:val="0"/>
        </w:rPr>
        <w:t xml:space="preserve"> 8</w:t>
      </w:r>
      <w:r w:rsidR="00276920">
        <w:rPr>
          <w:rFonts w:ascii="Calibri" w:cs="Calibri"/>
          <w:kern w:val="0"/>
        </w:rPr>
        <w:t xml:space="preserve">, </w:t>
      </w:r>
      <w:proofErr w:type="gramStart"/>
      <w:r w:rsidR="00276920">
        <w:rPr>
          <w:rFonts w:ascii="Calibri" w:cs="Calibri"/>
          <w:kern w:val="0"/>
        </w:rPr>
        <w:t>in particular at</w:t>
      </w:r>
      <w:proofErr w:type="gramEnd"/>
      <w:r w:rsidR="00276920">
        <w:rPr>
          <w:rFonts w:ascii="Calibri" w:cs="Calibri"/>
          <w:kern w:val="0"/>
        </w:rPr>
        <w:t xml:space="preserve"> 172</w:t>
      </w:r>
      <w:r w:rsidRPr="00B6372A">
        <w:rPr>
          <w:rFonts w:ascii="Calibri" w:cs="Calibri"/>
          <w:kern w:val="0"/>
        </w:rPr>
        <w:t>; Kate Gleeson, ‘Freudian Slips and Coteries of Vice: The Sexual Offences Act of 1967’ (2008) 27 Parliamentary History 393.</w:t>
      </w:r>
      <w:r>
        <w:fldChar w:fldCharType="end"/>
      </w:r>
    </w:p>
  </w:footnote>
  <w:footnote w:id="99">
    <w:p w14:paraId="5BDA804E" w14:textId="69FC3D50" w:rsidR="009F2739" w:rsidRDefault="009F2739">
      <w:pPr>
        <w:pStyle w:val="FootnoteText"/>
      </w:pPr>
      <w:r w:rsidRPr="00444F1D">
        <w:rPr>
          <w:rStyle w:val="FootnoteReference"/>
        </w:rPr>
        <w:footnoteRef/>
      </w:r>
      <w:r>
        <w:t xml:space="preserve"> </w:t>
      </w:r>
      <w:r>
        <w:fldChar w:fldCharType="begin"/>
      </w:r>
      <w:r w:rsidR="008A2231">
        <w:instrText xml:space="preserve"> ADDIN ZOTERO_ITEM CSL_CITATION {"citationID":"05mwyybJ","properties":{"formattedCitation":"Gleeson (n 97) 405.","plainCitation":"Gleeson (n 97) 405.","dontUpdate":true,"noteIndex":99},"citationItems":[{"id":5727,"uris":["http://zotero.org/users/10005302/items/3I6BT9Q9"],"itemData":{"id":5727,"type":"article-journal","abstract":"The Sexual Offences Act 1967 made the first inroads to decriminalising men's homosexual sex since buggery was made a capital offence under Henry VIII. The act was drafted at the direction of the 1957 Wolfenden report, but bore the distinct hallmark of individuals of the 1967 parliament. More complex than the dictated product of Wolfenden, and more idiosyncratic than a simple reflection of the social climate of the 1960s, the private member's bill was a Labour initiative with bipartisan support, driven in the Commons by the bizarre motivations of its sponsor, Labour member for Pontypool, Leo Abse. Contrary to popular myths about the aims of decriminalisation, Abse's crusading Freudian motivation was concerned with discouraging, more than allowing, homosexual behaviour. Similarly, ‘privacy’– the gift of the house of lords to sexual regulation – was aimed largely at curtailing men's sexual practices, along with secreting them away. Thus, while the act is typically associated with a general ideal of freedom, much parliamentary motivation concerned control and the prevention of sexual activities.","container-title":"Parliamentary History","DOI":"10.1111/j.1750-0206.2008.00046.x","ISSN":"1750-0206","issue":"3","language":"en","note":"_eprint: https://onlinelibrary.wiley.com/doi/pdf/10.1111/j.1750-0206.2008.00046.x","page":"393-409","source":"Wiley Online Library","title":"Freudian Slips and Coteries of Vice: The Sexual Offences Act of 1967*","title-short":"Freudian Slips and Coteries of Vice","volume":"27","author":[{"family":"Gleeson","given":"Kate"}],"issued":{"date-parts":[["2008"]]}},"locator":"405"}],"schema":"https://github.com/citation-style-language/schema/raw/master/csl-citation.json"} </w:instrText>
      </w:r>
      <w:r>
        <w:fldChar w:fldCharType="separate"/>
      </w:r>
      <w:r w:rsidR="0051105C">
        <w:rPr>
          <w:noProof/>
        </w:rPr>
        <w:t>Gleeson (n 9</w:t>
      </w:r>
      <w:r w:rsidR="00386206">
        <w:rPr>
          <w:noProof/>
        </w:rPr>
        <w:t>8</w:t>
      </w:r>
      <w:r w:rsidR="0051105C">
        <w:rPr>
          <w:noProof/>
        </w:rPr>
        <w:t>) 405.</w:t>
      </w:r>
      <w:r>
        <w:fldChar w:fldCharType="end"/>
      </w:r>
    </w:p>
  </w:footnote>
  <w:footnote w:id="100">
    <w:p w14:paraId="7F74DF41" w14:textId="16F3C5FB" w:rsidR="009F2739" w:rsidRDefault="009F2739">
      <w:pPr>
        <w:pStyle w:val="FootnoteText"/>
      </w:pPr>
      <w:r w:rsidRPr="00444F1D">
        <w:rPr>
          <w:rStyle w:val="FootnoteReference"/>
        </w:rPr>
        <w:footnoteRef/>
      </w:r>
      <w:r>
        <w:t xml:space="preserve"> </w:t>
      </w:r>
      <w:r>
        <w:fldChar w:fldCharType="begin"/>
      </w:r>
      <w:r w:rsidR="008A2231">
        <w:instrText xml:space="preserve"> ADDIN ZOTERO_ITEM CSL_CITATION {"citationID":"piLSnGBJ","properties":{"formattedCitation":"Matthew Waites, {\\i{}The Age of Consent: Young People, Sexuality, and Citizenship} (Palgrave Macmillan 2005) 111\\uc0\\u8211{}112.","plainCitation":"Matthew Waites, The Age of Consent: Young People, Sexuality, and Citizenship (Palgrave Macmillan 2005) 111–112.","noteIndex":100},"citationItems":[{"id":5731,"uris":["http://zotero.org/users/10005302/items/L6LLRX3K"],"itemData":{"id":5731,"type":"book","call-number":"KD7975 .W35 2005","event-place":"Houndmills, Basingstoke, Hampshire ; New York","ISBN":"978-1-4039-2173-4","number-of-pages":"285","publisher":"Palgrave Macmillan","publisher-place":"Houndmills, Basingstoke, Hampshire ; New York","source":"Library of Congress ISBN","title":"The age of consent: young people, sexuality, and citizenship","title-short":"The age of consent","author":[{"family":"Waites","given":"Matthew"}],"issued":{"date-parts":[["2005"]]}},"locator":"111-112"}],"schema":"https://github.com/citation-style-language/schema/raw/master/csl-citation.json"} </w:instrText>
      </w:r>
      <w:r>
        <w:fldChar w:fldCharType="separate"/>
      </w:r>
      <w:r w:rsidRPr="009F2739">
        <w:rPr>
          <w:rFonts w:ascii="Calibri" w:cs="Calibri"/>
          <w:kern w:val="0"/>
        </w:rPr>
        <w:t xml:space="preserve">Matthew Waites, </w:t>
      </w:r>
      <w:r w:rsidRPr="009F2739">
        <w:rPr>
          <w:rFonts w:ascii="Calibri" w:cs="Calibri"/>
          <w:i/>
          <w:iCs/>
          <w:kern w:val="0"/>
        </w:rPr>
        <w:t>The Age of Consent: Young People, Sexuality, and Citizenship</w:t>
      </w:r>
      <w:r w:rsidRPr="009F2739">
        <w:rPr>
          <w:rFonts w:ascii="Calibri" w:cs="Calibri"/>
          <w:kern w:val="0"/>
        </w:rPr>
        <w:t xml:space="preserve"> (Palgrave Macmillan 2005) 111–112.</w:t>
      </w:r>
      <w:r>
        <w:fldChar w:fldCharType="end"/>
      </w:r>
    </w:p>
  </w:footnote>
  <w:footnote w:id="101">
    <w:p w14:paraId="50159797" w14:textId="280E9520" w:rsidR="009F2739" w:rsidRDefault="009F2739">
      <w:pPr>
        <w:pStyle w:val="FootnoteText"/>
      </w:pPr>
      <w:r w:rsidRPr="00444F1D">
        <w:rPr>
          <w:rStyle w:val="FootnoteReference"/>
        </w:rPr>
        <w:footnoteRef/>
      </w:r>
      <w:r>
        <w:t xml:space="preserve"> </w:t>
      </w:r>
      <w:r>
        <w:fldChar w:fldCharType="begin"/>
      </w:r>
      <w:r w:rsidR="008A2231">
        <w:instrText xml:space="preserve"> ADDIN ZOTERO_ITEM CSL_CITATION {"citationID":"ex8slBmY","properties":{"formattedCitation":"Lacey (n 3) 104.","plainCitation":"Lacey (n 3) 104.","noteIndex":101},"citationItems":[{"id":5732,"uris":["http://zotero.org/users/10005302/items/SXFRSD2Z"],"itemData":{"id":5732,"type":"book","ISBN":"978-1-901362-33-6","note":"DOI: 10.5040/9781472561916","publisher":"Hart Publishing","source":"DOI.org (Crossref)","title":"Unspeakable Subjects : Feminist Essays in Legal and Social Theory","title-short":"Unspeakable Subjects","author":[{"family":"Lacey","given":"Nicola"}],"accessed":{"date-parts":[["2022",11,1]]},"issued":{"date-parts":[["1998"]]}},"locator":"104"}],"schema":"https://github.com/citation-style-language/schema/raw/master/csl-citation.json"} </w:instrText>
      </w:r>
      <w:r>
        <w:fldChar w:fldCharType="separate"/>
      </w:r>
      <w:r>
        <w:rPr>
          <w:noProof/>
        </w:rPr>
        <w:t>Lacey (n 3) 104.</w:t>
      </w:r>
      <w:r>
        <w:fldChar w:fldCharType="end"/>
      </w:r>
    </w:p>
  </w:footnote>
  <w:footnote w:id="102">
    <w:p w14:paraId="1B7D1C72" w14:textId="5489048D" w:rsidR="009F2739" w:rsidRDefault="009F2739">
      <w:pPr>
        <w:pStyle w:val="FootnoteText"/>
      </w:pPr>
      <w:r w:rsidRPr="00444F1D">
        <w:rPr>
          <w:rStyle w:val="FootnoteReference"/>
        </w:rPr>
        <w:footnoteRef/>
      </w:r>
      <w:r>
        <w:t xml:space="preserve"> </w:t>
      </w:r>
      <w:r>
        <w:fldChar w:fldCharType="begin"/>
      </w:r>
      <w:r w:rsidR="008A2231">
        <w:instrText xml:space="preserve"> ADDIN ZOTERO_ITEM CSL_CITATION {"citationID":"xup5GNgj","properties":{"formattedCitation":"Raj (n 93) 28.","plainCitation":"Raj (n 93) 28.","dontUpdate":true,"noteIndex":102},"citationItems":[{"id":5722,"uris":["http://zotero.org/users/10005302/items/PK4UYI25"],"itemData":{"id":5722,"type":"book","edition":"1","ISBN":"978-1-351-12806-3","language":"en","note":"DOI: 10.4324/9781351128063","publisher":"Routledge","source":"DOI.org (Crossref)","title":"Feeling Queer Jurisprudence: Injury, Intimacy, Identity","title-short":"Feeling Queer Jurisprudence","author":[{"family":"Raj","given":"Senthorun Sunil"}],"accessed":{"date-parts":[["2022",10,31]]},"issued":{"date-parts":[["2020",1,9]]}},"locator":"28"}],"schema":"https://github.com/citation-style-language/schema/raw/master/csl-citation.json"} </w:instrText>
      </w:r>
      <w:r>
        <w:fldChar w:fldCharType="separate"/>
      </w:r>
      <w:r w:rsidR="0051105C">
        <w:rPr>
          <w:noProof/>
        </w:rPr>
        <w:t>Raj (n 9</w:t>
      </w:r>
      <w:r w:rsidR="00386206">
        <w:rPr>
          <w:noProof/>
        </w:rPr>
        <w:t>4</w:t>
      </w:r>
      <w:r w:rsidR="0051105C">
        <w:rPr>
          <w:noProof/>
        </w:rPr>
        <w:t>) 28.</w:t>
      </w:r>
      <w:r>
        <w:fldChar w:fldCharType="end"/>
      </w:r>
    </w:p>
  </w:footnote>
  <w:footnote w:id="103">
    <w:p w14:paraId="1CD9CA4C" w14:textId="68E5115C" w:rsidR="00CC0BC5" w:rsidRDefault="00CC0BC5">
      <w:pPr>
        <w:pStyle w:val="FootnoteText"/>
      </w:pPr>
      <w:r w:rsidRPr="00444F1D">
        <w:rPr>
          <w:rStyle w:val="FootnoteReference"/>
        </w:rPr>
        <w:footnoteRef/>
      </w:r>
      <w:r>
        <w:t xml:space="preserve"> </w:t>
      </w:r>
      <w:r>
        <w:fldChar w:fldCharType="begin"/>
      </w:r>
      <w:r w:rsidR="008A2231">
        <w:instrText xml:space="preserve"> ADDIN ZOTERO_ITEM CSL_CITATION {"citationID":"qBybjk2X","properties":{"formattedCitation":"ibid 45.","plainCitation":"ibid 45.","noteIndex":103},"citationItems":[{"id":5722,"uris":["http://zotero.org/users/10005302/items/PK4UYI25"],"itemData":{"id":5722,"type":"book","edition":"1","ISBN":"978-1-351-12806-3","language":"en","note":"DOI: 10.4324/9781351128063","publisher":"Routledge","source":"DOI.org (Crossref)","title":"Feeling Queer Jurisprudence: Injury, Intimacy, Identity","title-short":"Feeling Queer Jurisprudence","author":[{"family":"Raj","given":"Senthorun Sunil"}],"accessed":{"date-parts":[["2022",10,31]]},"issued":{"date-parts":[["2020",1,9]]}},"locator":"45"}],"schema":"https://github.com/citation-style-language/schema/raw/master/csl-citation.json"} </w:instrText>
      </w:r>
      <w:r>
        <w:fldChar w:fldCharType="separate"/>
      </w:r>
      <w:r>
        <w:rPr>
          <w:noProof/>
        </w:rPr>
        <w:t>ibid 45.</w:t>
      </w:r>
      <w:r>
        <w:fldChar w:fldCharType="end"/>
      </w:r>
    </w:p>
  </w:footnote>
  <w:footnote w:id="104">
    <w:p w14:paraId="351C7BF3" w14:textId="3E85EB0C" w:rsidR="007D355F" w:rsidRDefault="007D355F">
      <w:pPr>
        <w:pStyle w:val="FootnoteText"/>
      </w:pPr>
      <w:r w:rsidRPr="00444F1D">
        <w:rPr>
          <w:rStyle w:val="FootnoteReference"/>
        </w:rPr>
        <w:footnoteRef/>
      </w:r>
      <w:r>
        <w:t xml:space="preserve"> </w:t>
      </w:r>
      <w:r>
        <w:fldChar w:fldCharType="begin"/>
      </w:r>
      <w:r w:rsidR="008A2231">
        <w:instrText xml:space="preserve"> ADDIN ZOTERO_ITEM CSL_CITATION {"citationID":"4WfppYHW","properties":{"formattedCitation":"Munro (n 42) 114; Weait (n 41) 172\\uc0\\u8211{}174.","plainCitation":"Munro (n 42) 114; Weait (n 41) 172–174.","noteIndex":105},"citationItems":[{"id":1505,"uris":["http://zotero.org/users/10005302/items/LW2BSJXR"],"itemData":{"id":1505,"type":"article-journal","abstract":"In R v Dica and again in R v Konzani, the Court of Appeal considered whether a defendant who, with advertent recklessness rather than purposive intent, had infected another with the HIV virus during consensual sexual intercourse could be liable for inflicting grievous bodily harm contrary to section 20 of the Offences Against the Person Act 1861. Having outlined the grounds upon which the Court of Appeal reached its conclusion in each of these cases, this commentary will examine the combined effect of the decisions, with particular reference to the concepts of relationship and responsibility that have long informed family law and policy. n being called upon to regulate personal relationships, the courts frequently find themselves navigating the difficult terrain between the maximal standards of behaviour that one ought to accord to one's partner and the minimal standards that one can legitimately and realistically demand of another. The recent Court of Appeal judgments in the cases of R v Dica and R v Konzani provide vivid illustrations of judicial efforts to strike this balance in the context of reckless sexual transmission of the HIV virus. In a world in which AIDS remains without a cure, we may well hope that those infected with HIV would voluntarily disclose their status to sexual partners. Yet research indicates that in a substantial number of cases, this does not occur. In one study, for example, 40% of HIV positive respondents had not disclosed their status to their partners, despite their existing in stable, monogamous relationships in half of those cases. Moreover, of those respondents who had not disclosed, more than half did not use condoms every time they had intercourse. 2","container-title":"Child and Family Law Quarterly","page":"112","title":"On Responsible Relationships and Irresponsible Sex - Criminalising the Reckless Transmission of HIV R v Dica and R v Konzani","volume":"19","author":[{"family":"Munro","given":"Vanessa E"}],"issued":{"date-parts":[["2007"]]}},"locator":"114"},{"id":564,"uris":["http://zotero.org/users/10005302/items/2L7AJDG2"],"itemData":{"id":564,"type":"book","abstract":"\"A GlassHouse book.\" The terrain : the state, criminal justice and HIV -- The trial of Feston Konzani -- Harm, causation and HIV infection -- Risk, recklessness and HIV -- Consent, knowledge and disclosure -- Responsibility, HIV transmission and the criminal law.","ISBN":"0-203-93793-7","number-of-pages":"250","publisher":"Routledge-Cavendish","title":"Intimacy and Responsibility: The Criminalisation of HIV Transmission","author":[{"family":"Weait","given":"Matthew"}],"accessed":{"date-parts":[["2017",10,15]]},"issued":{"date-parts":[["2007"]]}},"locator":"172-174"}],"schema":"https://github.com/citation-style-language/schema/raw/master/csl-citation.json"} </w:instrText>
      </w:r>
      <w:r>
        <w:fldChar w:fldCharType="separate"/>
      </w:r>
      <w:r w:rsidR="000B3771" w:rsidRPr="000B3771">
        <w:rPr>
          <w:rFonts w:ascii="Calibri" w:cs="Calibri"/>
          <w:kern w:val="0"/>
        </w:rPr>
        <w:t>Munro (n 42) 114; Weait (n 41) 172–174.</w:t>
      </w:r>
      <w:r>
        <w:fldChar w:fldCharType="end"/>
      </w:r>
    </w:p>
  </w:footnote>
  <w:footnote w:id="105">
    <w:p w14:paraId="3E612292" w14:textId="7E2A66D4" w:rsidR="007D355F" w:rsidRDefault="007D355F">
      <w:pPr>
        <w:pStyle w:val="FootnoteText"/>
      </w:pPr>
      <w:r w:rsidRPr="00444F1D">
        <w:rPr>
          <w:rStyle w:val="FootnoteReference"/>
        </w:rPr>
        <w:footnoteRef/>
      </w:r>
      <w:r>
        <w:t xml:space="preserve"> </w:t>
      </w:r>
      <w:r>
        <w:fldChar w:fldCharType="begin"/>
      </w:r>
      <w:r w:rsidR="008A2231">
        <w:instrText xml:space="preserve"> ADDIN ZOTERO_ITEM CSL_CITATION {"citationID":"ChQh4xxY","properties":{"formattedCitation":"JR Spencer, \\uc0\\u8216{}Liability for Reckless Infection - Part 1\\uc0\\u8217{} (2004) 154 New Law J 384; JR Spencer, \\uc0\\u8216{}Liability for Reckless Infection - Part 2\\uc0\\u8217{} (2004) 154 New Law J 448.","plainCitation":"JR Spencer, ‘Liability for Reckless Infection - Part 1’ (2004) 154 New Law J 384; JR Spencer, ‘Liability for Reckless Infection - Part 2’ (2004) 154 New Law J 448.","dontUpdate":true,"noteIndex":106},"citationItems":[{"id":1525,"uris":["http://zotero.org/users/10005302/items/7DCZBXLX"],"itemData":{"id":1525,"type":"article-journal","abstract":"In the first of a two-part series, J R Spencer QC discusses criminal liability for reckless infection· legal and policy issues arising from Clarence and Dica· current arguments against criminal liability for reckless infection The issue is not a new one, discussed as far back as 1670 in Hale's History of the Pleas of the Crown, but public attention has been drawn to it again by the recent case of Mohammed Dica (see \"Biological GBH: overruling Clarence?\", Carol Withey, NLJ, 14 November 2003, p 1698). Dica, it will be recalled, was aware that he was HIV positive, and in succession infected two women with whom he formed relationships, neither of whom knew he was infected, and with both of whom he regularly had unprotected sex. For this he was prosecuted under s 20 of the Offences Against the Person Act 1861 for maliciously inflicting grievous bodily harm--an offence for which the mental element is either intention or recklessness--and on conviction was sentenced to eight years' imprisonment.","container-title":"New Law J","page":"384","title":"Liability for reckless infection - Part 1","volume":"154","author":[{"family":"Spencer","given":"J R"}],"issued":{"date-parts":[["2004"]]}}},{"id":1515,"uris":["http://zotero.org/users/10005302/items/ZN2EM9IP"],"itemData":{"id":1515,"type":"article-journal","abstract":"In the second of his two-part series, J R Spencer QC looks at those arguments specifically relevant to sexually transmissible diseases· keeping criminal law out of the bedroom· victim culpability and public health concerns The first part of this article (NLJ, 12 March 2004, pp 384-385) looked at the legal and policy issues arising from Clarence and Dica, responding to two specific arguments against criminal liability for the reckless infection of other people with disease; namely that it might be seen as discriminatory, and that such a liability would be unduly burdensome. The third, fourth and fifth arguments are all specifically relevant to sexually transmissible diseases (STDs).","container-title":"New Law J","page":"448","title":"Liability for reckless infection - Part 2","volume":"154","author":[{"family":"Spencer","given":"J R"}],"issued":{"date-parts":[["2004"]]}}}],"schema":"https://github.com/citation-style-language/schema/raw/master/csl-citation.json"} </w:instrText>
      </w:r>
      <w:r>
        <w:fldChar w:fldCharType="separate"/>
      </w:r>
      <w:r w:rsidRPr="007D355F">
        <w:rPr>
          <w:rFonts w:ascii="Calibri" w:cs="Calibri"/>
          <w:kern w:val="0"/>
        </w:rPr>
        <w:t>JR Spencer, ‘Liability for Reckless Infection - Part 1’ (2004) 154 NLJ 384; JR Spencer, ‘Liability for Reckless Infection - Part 2’ (2004) 154 NLJ 448.</w:t>
      </w:r>
      <w:r>
        <w:fldChar w:fldCharType="end"/>
      </w:r>
    </w:p>
  </w:footnote>
  <w:footnote w:id="106">
    <w:p w14:paraId="5377B2A1" w14:textId="133F9673" w:rsidR="007D355F" w:rsidRDefault="007D355F">
      <w:pPr>
        <w:pStyle w:val="FootnoteText"/>
      </w:pPr>
      <w:r w:rsidRPr="00444F1D">
        <w:rPr>
          <w:rStyle w:val="FootnoteReference"/>
        </w:rPr>
        <w:footnoteRef/>
      </w:r>
      <w:r>
        <w:t xml:space="preserve"> </w:t>
      </w:r>
      <w:r>
        <w:fldChar w:fldCharType="begin"/>
      </w:r>
      <w:r w:rsidR="008A2231">
        <w:instrText xml:space="preserve"> ADDIN ZOTERO_ITEM CSL_CITATION {"citationID":"bSikyKOS","properties":{"formattedCitation":"Matthew Weait, \\uc0\\u8216{}Harm, Consent and the Limits of Privacy\\uc0\\u8217{} (2005) 13 Feminist Legal Studies 97, 116.","plainCitation":"Matthew Weait, ‘Harm, Consent and the Limits of Privacy’ (2005) 13 Feminist Legal Studies 97, 116.","dontUpdate":true,"noteIndex":107},"citationItems":[{"id":4552,"uris":["http://zotero.org/users/10005302/items/63R2EIWC"],"itemData":{"id":4552,"type":"article-journal","abstract":"Within the context of U.K. law, the right to respect for private life, articulated in Article 8 of the European Convention on Human Rights, and acknowledged more opaquely in domestic legislation and case law, is one whose scope is unclear. Nowhere is this brought into sharper relief than in cases where conduct which manifests a person's sexual identity, or concerns her intimate relations with others, is prima facie criminal. In this essay I attempt, through a discussion of cases in which injury is caused in the context of relationships experienced inter-subjectively as private, to explore the contexts in which the law is prepared to legitimate that inter-subjective experience, and where it is not. Using cases in which injury has been caused purposively (in S/M sex), and incidentally (through the reckless transmission of HIV during sexual intercourse), the essay argues that the law is prepared to respect the right to respect for private life only in so far as the private life concerned is one which reinforces traditional gender roles and relationship types; in short, a life that one would be prepared to live publicly. © Springer 2005.","container-title":"Feminist Legal Studies","DOI":"10.1007/s10691-005-1458-1","ISSN":"09663622","issue":"1","page":"97-122","title":"Harm, consent and the limits of privacy","volume":"13","author":[{"family":"Weait","given":"Matthew"}],"issued":{"date-parts":[["2005"]]}},"locator":"116"}],"schema":"https://github.com/citation-style-language/schema/raw/master/csl-citation.json"} </w:instrText>
      </w:r>
      <w:r>
        <w:fldChar w:fldCharType="separate"/>
      </w:r>
      <w:r w:rsidRPr="007D355F">
        <w:rPr>
          <w:rFonts w:ascii="Calibri" w:cs="Calibri"/>
          <w:kern w:val="0"/>
        </w:rPr>
        <w:t>Matthew Weait, ‘Harm, Consent and the Limits of Privacy’ (2005) 13 Fem L</w:t>
      </w:r>
      <w:r w:rsidR="002501EC">
        <w:rPr>
          <w:rFonts w:ascii="Calibri" w:cs="Calibri"/>
          <w:kern w:val="0"/>
        </w:rPr>
        <w:t>S</w:t>
      </w:r>
      <w:r w:rsidRPr="007D355F">
        <w:rPr>
          <w:rFonts w:ascii="Calibri" w:cs="Calibri"/>
          <w:kern w:val="0"/>
        </w:rPr>
        <w:t xml:space="preserve"> 97, 116.</w:t>
      </w:r>
      <w:r>
        <w:fldChar w:fldCharType="end"/>
      </w:r>
    </w:p>
  </w:footnote>
  <w:footnote w:id="107">
    <w:p w14:paraId="70C01ABC" w14:textId="3DDA6869" w:rsidR="00F96ED2" w:rsidRDefault="00F96ED2">
      <w:pPr>
        <w:pStyle w:val="FootnoteText"/>
      </w:pPr>
      <w:r w:rsidRPr="00444F1D">
        <w:rPr>
          <w:rStyle w:val="FootnoteReference"/>
        </w:rPr>
        <w:footnoteRef/>
      </w:r>
      <w:r>
        <w:t xml:space="preserve"> </w:t>
      </w:r>
      <w:r>
        <w:fldChar w:fldCharType="begin"/>
      </w:r>
      <w:r w:rsidR="008A2231">
        <w:instrText xml:space="preserve"> ADDIN ZOTERO_ITEM CSL_CITATION {"citationID":"7opxlTwJ","properties":{"formattedCitation":"ibid 118.","plainCitation":"ibid 118.","noteIndex":108},"citationItems":[{"id":4552,"uris":["http://zotero.org/users/10005302/items/63R2EIWC"],"itemData":{"id":4552,"type":"article-journal","abstract":"Within the context of U.K. law, the right to respect for private life, articulated in Article 8 of the European Convention on Human Rights, and acknowledged more opaquely in domestic legislation and case law, is one whose scope is unclear. Nowhere is this brought into sharper relief than in cases where conduct which manifests a person's sexual identity, or concerns her intimate relations with others, is prima facie criminal. In this essay I attempt, through a discussion of cases in which injury is caused in the context of relationships experienced inter-subjectively as private, to explore the contexts in which the law is prepared to legitimate that inter-subjective experience, and where it is not. Using cases in which injury has been caused purposively (in S/M sex), and incidentally (through the reckless transmission of HIV during sexual intercourse), the essay argues that the law is prepared to respect the right to respect for private life only in so far as the private life concerned is one which reinforces traditional gender roles and relationship types; in short, a life that one would be prepared to live publicly. © Springer 2005.","container-title":"Feminist Legal Studies","DOI":"10.1007/s10691-005-1458-1","ISSN":"09663622","issue":"1","page":"97-122","title":"Harm, consent and the limits of privacy","volume":"13","author":[{"family":"Weait","given":"Matthew"}],"issued":{"date-parts":[["2005"]]}},"locator":"118"}],"schema":"https://github.com/citation-style-language/schema/raw/master/csl-citation.json"} </w:instrText>
      </w:r>
      <w:r>
        <w:fldChar w:fldCharType="separate"/>
      </w:r>
      <w:r>
        <w:rPr>
          <w:noProof/>
        </w:rPr>
        <w:t>ibid 118.</w:t>
      </w:r>
      <w:r>
        <w:fldChar w:fldCharType="end"/>
      </w:r>
    </w:p>
  </w:footnote>
  <w:footnote w:id="108">
    <w:p w14:paraId="29E1DE39" w14:textId="11F5A14F" w:rsidR="00A356CA" w:rsidRDefault="00A356CA">
      <w:pPr>
        <w:pStyle w:val="FootnoteText"/>
      </w:pPr>
      <w:r w:rsidRPr="00444F1D">
        <w:rPr>
          <w:rStyle w:val="FootnoteReference"/>
        </w:rPr>
        <w:footnoteRef/>
      </w:r>
      <w:r>
        <w:t xml:space="preserve"> </w:t>
      </w:r>
      <w:r>
        <w:fldChar w:fldCharType="begin"/>
      </w:r>
      <w:r w:rsidR="008A2231">
        <w:instrText xml:space="preserve"> ADDIN ZOTERO_ITEM CSL_CITATION {"citationID":"0qxscjY0","properties":{"formattedCitation":"Weait and Gerry (n 75).","plainCitation":"Weait and Gerry (n 75).","dontUpdate":true,"noteIndex":109},"citationItems":[{"id":5261,"uris":["http://zotero.org/users/10005302/items/8HV2EIQT"],"itemData":{"id":5261,"type":"document","abstract":"Predicting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approach.","note":"container-title: Libertas Chambers","title":"Virus Transmission, Deception and the Criminal Law","URL":"https://www.libertaschambers.com/media-hub/virus-transmission-deception-and-the-criminal-law/","author":[{"family":"Weait","given":"Matthew"},{"family":"Gerry","given":"Felicity"}],"issued":{"date-parts":[["2021"]]}}}],"schema":"https://github.com/citation-style-language/schema/raw/master/csl-citation.json"} </w:instrText>
      </w:r>
      <w:r>
        <w:fldChar w:fldCharType="separate"/>
      </w:r>
      <w:r w:rsidR="0051105C">
        <w:rPr>
          <w:noProof/>
        </w:rPr>
        <w:t>Weait and Gerry (n 7</w:t>
      </w:r>
      <w:r w:rsidR="00386206">
        <w:rPr>
          <w:noProof/>
        </w:rPr>
        <w:t>7</w:t>
      </w:r>
      <w:r w:rsidR="0051105C">
        <w:rPr>
          <w:noProof/>
        </w:rPr>
        <w:t>).</w:t>
      </w:r>
      <w:r>
        <w:fldChar w:fldCharType="end"/>
      </w:r>
    </w:p>
  </w:footnote>
  <w:footnote w:id="109">
    <w:p w14:paraId="1D8D448F" w14:textId="5EE56AEC" w:rsidR="00060D46" w:rsidRDefault="00060D46">
      <w:pPr>
        <w:pStyle w:val="FootnoteText"/>
      </w:pPr>
      <w:r w:rsidRPr="00444F1D">
        <w:rPr>
          <w:rStyle w:val="FootnoteReference"/>
        </w:rPr>
        <w:footnoteRef/>
      </w:r>
      <w:r>
        <w:t xml:space="preserve"> </w:t>
      </w:r>
      <w:r>
        <w:fldChar w:fldCharType="begin"/>
      </w:r>
      <w:r w:rsidR="008A2231">
        <w:instrText xml:space="preserve"> ADDIN ZOTERO_ITEM CSL_CITATION {"citationID":"i3ZKnVE2","properties":{"formattedCitation":"{\\i{}R v Jason Lawrance} (n 9) [40].","plainCitation":"R v Jason Lawrance (n 9) [40].","dontUpdate":true,"noteIndex":110},"citationItems":[{"id":4684,"uris":["http://zotero.org/users/10005302/items/KQ8W7G65"],"itemData":{"id":4684,"type":"legal_case","note":"container-title: EWCA Crim","page":"971","title":"R v Jason Lawrance","issued":{"date-parts":[["2020"]]}},"label":"page","suffix":" [40]"}],"schema":"https://github.com/citation-style-language/schema/raw/master/csl-citation.json"} </w:instrText>
      </w:r>
      <w:r>
        <w:fldChar w:fldCharType="separate"/>
      </w:r>
      <w:r w:rsidRPr="00060D46">
        <w:rPr>
          <w:rFonts w:ascii="Calibri" w:cs="Calibri"/>
          <w:i/>
          <w:iCs/>
          <w:kern w:val="0"/>
        </w:rPr>
        <w:t>Lawrance</w:t>
      </w:r>
      <w:r w:rsidRPr="00060D46">
        <w:rPr>
          <w:rFonts w:ascii="Calibri" w:cs="Calibri"/>
          <w:kern w:val="0"/>
        </w:rPr>
        <w:t xml:space="preserve"> (n 9) [40].</w:t>
      </w:r>
      <w:r>
        <w:fldChar w:fldCharType="end"/>
      </w:r>
    </w:p>
  </w:footnote>
  <w:footnote w:id="110">
    <w:p w14:paraId="66A55EC7" w14:textId="2C6C85AE" w:rsidR="00060D46" w:rsidRDefault="00060D46">
      <w:pPr>
        <w:pStyle w:val="FootnoteText"/>
      </w:pPr>
      <w:r w:rsidRPr="00444F1D">
        <w:rPr>
          <w:rStyle w:val="FootnoteReference"/>
        </w:rPr>
        <w:footnoteRef/>
      </w:r>
      <w:r>
        <w:t xml:space="preserve"> </w:t>
      </w:r>
      <w:r>
        <w:fldChar w:fldCharType="begin"/>
      </w:r>
      <w:r w:rsidR="008A2231">
        <w:instrText xml:space="preserve"> ADDIN ZOTERO_ITEM CSL_CITATION {"citationID":"pmpZqY6a","properties":{"formattedCitation":"Travis (n 80) 319\\uc0\\u8211{}320.","plainCitation":"Travis (n 80) 319–320.","dontUpdate":true,"noteIndex":111},"citationItems":[{"id":5142,"uris":["http://zotero.org/users/10005302/items/CXRDGNCH"],"itemData":{"id":5142,"type":"article-journal","abstract":"This article considers the institutional frameworks that privilege heterosexuality, police notions of sex and gender and individualize discussions and responsibilities around consent. In doing so, Vulnerability theory is drawn upon and added to through the introduction of a richer conception of embodiment. By understanding embodiment as a product of corporeality, discourse and institutions, vulnerability theory is better equipped to engage with the complexities of LGBTIAQ identities. The article traces these developments by engaging with a series of recent criminal law cases concerning deception as to gender. It then reflects upon the ways in which institutions such as law, the family and educational systems focus on individualizing responsibilities around consent rather than focusing on their own role in creating the conditions under which non-heterosexual sex is disincentivized, constructed as predatory and ultimately criminalized. It concludes by demanding a new approach from the state that moves away from carceral approaches towards educative programmes grounded in substantive equality.","container-title":"Social and Legal Studies","DOI":"10.1177/0964663918773151","ISSN":"14617390","issue":"3","page":"303-326","title":"The Vulnerability of Heterosexuality: Consent, Gender Deception and Embodiment","volume":"28","author":[{"family":"Travis","given":"Mitchell"}],"issued":{"date-parts":[["2019"]]}},"locator":"319-320"}],"schema":"https://github.com/citation-style-language/schema/raw/master/csl-citation.json"} </w:instrText>
      </w:r>
      <w:r>
        <w:fldChar w:fldCharType="separate"/>
      </w:r>
      <w:r w:rsidR="0051105C" w:rsidRPr="0051105C">
        <w:rPr>
          <w:rFonts w:ascii="Calibri" w:cs="Calibri"/>
          <w:kern w:val="0"/>
        </w:rPr>
        <w:t>Travis (n 8</w:t>
      </w:r>
      <w:r w:rsidR="00386206">
        <w:rPr>
          <w:rFonts w:ascii="Calibri" w:cs="Calibri"/>
          <w:kern w:val="0"/>
        </w:rPr>
        <w:t>2</w:t>
      </w:r>
      <w:r w:rsidR="0051105C" w:rsidRPr="0051105C">
        <w:rPr>
          <w:rFonts w:ascii="Calibri" w:cs="Calibri"/>
          <w:kern w:val="0"/>
        </w:rPr>
        <w:t>) 319–320.</w:t>
      </w:r>
      <w:r>
        <w:fldChar w:fldCharType="end"/>
      </w:r>
    </w:p>
  </w:footnote>
  <w:footnote w:id="111">
    <w:p w14:paraId="113964BE" w14:textId="4E12C4B1" w:rsidR="00DD2458" w:rsidRDefault="00DD2458">
      <w:pPr>
        <w:pStyle w:val="FootnoteText"/>
      </w:pPr>
      <w:r w:rsidRPr="00444F1D">
        <w:rPr>
          <w:rStyle w:val="FootnoteReference"/>
        </w:rPr>
        <w:footnoteRef/>
      </w:r>
      <w:r>
        <w:t xml:space="preserve"> </w:t>
      </w:r>
      <w:r>
        <w:fldChar w:fldCharType="begin"/>
      </w:r>
      <w:r w:rsidR="008A2231">
        <w:instrText xml:space="preserve"> ADDIN ZOTERO_ITEM CSL_CITATION {"citationID":"2DB3XSDC","properties":{"formattedCitation":"Brian Heaphy, Carol Smart and Anna Einarsdottir, {\\i{}Same Sex Marriages: New Generations, New Relationships} (Palgrave Macmillan 2013) 132.","plainCitation":"Brian Heaphy, Carol Smart and Anna Einarsdottir, Same Sex Marriages: New Generations, New Relationships (Palgrave Macmillan 2013) 132.","noteIndex":112},"citationItems":[{"id":5734,"uris":["http://zotero.org/users/10005302/items/Z4QEYTTM"],"itemData":{"id":5734,"type":"book","call-number":"HQ76.35.G7 H43 2013","collection-title":"Genders and sexualitites in the social sciences","event-place":"Houndmills, Basingstoke, Hampshire","ISBN":"978-0-230-30023-1","number-of-pages":"205","publisher":"Palgrave Macmillan","publisher-place":"Houndmills, Basingstoke, Hampshire","source":"Library of Congress ISBN","title":"Same sex marriages: new generations, new relationships","title-short":"Same sex marriages","author":[{"family":"Heaphy","given":"Brian"},{"family":"Smart","given":"Carol"},{"family":"Einarsdottir","given":"Anna"}],"issued":{"date-parts":[["2013"]]}},"locator":"132"}],"schema":"https://github.com/citation-style-language/schema/raw/master/csl-citation.json"} </w:instrText>
      </w:r>
      <w:r>
        <w:fldChar w:fldCharType="separate"/>
      </w:r>
      <w:r w:rsidRPr="00DD2458">
        <w:rPr>
          <w:rFonts w:ascii="Calibri" w:cs="Calibri"/>
          <w:kern w:val="0"/>
        </w:rPr>
        <w:t xml:space="preserve">Brian </w:t>
      </w:r>
      <w:proofErr w:type="spellStart"/>
      <w:r w:rsidRPr="00DD2458">
        <w:rPr>
          <w:rFonts w:ascii="Calibri" w:cs="Calibri"/>
          <w:kern w:val="0"/>
        </w:rPr>
        <w:t>Heaphy</w:t>
      </w:r>
      <w:proofErr w:type="spellEnd"/>
      <w:r w:rsidRPr="00DD2458">
        <w:rPr>
          <w:rFonts w:ascii="Calibri" w:cs="Calibri"/>
          <w:kern w:val="0"/>
        </w:rPr>
        <w:t xml:space="preserve">, Carol Smart and Anna Einarsdottir, </w:t>
      </w:r>
      <w:r w:rsidRPr="00DD2458">
        <w:rPr>
          <w:rFonts w:ascii="Calibri" w:cs="Calibri"/>
          <w:i/>
          <w:iCs/>
          <w:kern w:val="0"/>
        </w:rPr>
        <w:t>Same Sex Marriages: New Generations, New Relationships</w:t>
      </w:r>
      <w:r w:rsidRPr="00DD2458">
        <w:rPr>
          <w:rFonts w:ascii="Calibri" w:cs="Calibri"/>
          <w:kern w:val="0"/>
        </w:rPr>
        <w:t xml:space="preserve"> (Palgrave Macmillan 2013) 132.</w:t>
      </w:r>
      <w:r>
        <w:fldChar w:fldCharType="end"/>
      </w:r>
    </w:p>
  </w:footnote>
  <w:footnote w:id="112">
    <w:p w14:paraId="2B0B997B" w14:textId="7DF3A037" w:rsidR="00DD2458" w:rsidRDefault="00DD2458">
      <w:pPr>
        <w:pStyle w:val="FootnoteText"/>
      </w:pPr>
      <w:r w:rsidRPr="00444F1D">
        <w:rPr>
          <w:rStyle w:val="FootnoteReference"/>
        </w:rPr>
        <w:footnoteRef/>
      </w:r>
      <w:r>
        <w:t xml:space="preserve"> </w:t>
      </w:r>
      <w:r>
        <w:fldChar w:fldCharType="begin"/>
      </w:r>
      <w:r w:rsidR="008A2231">
        <w:instrText xml:space="preserve"> ADDIN ZOTERO_ITEM CSL_CITATION {"citationID":"v0uCegcc","properties":{"formattedCitation":"Adrian Thatcher, {\\i{}Marriage after Modernity: Christian Marriage in Postmodern Times} (Sheffield Acad Press 1999) 53 (emphasis in original).","plainCitation":"Adrian Thatcher, Marriage after Modernity: Christian Marriage in Postmodern Times (Sheffield Acad Press 1999) 53 (emphasis in original).","noteIndex":113},"citationItems":[{"id":5720,"uris":["http://zotero.org/users/10005302/items/C7HN5I5Z"],"itemData":{"id":5720,"type":"book","collection-number":"3","collection-title":"Studies in theology and sexuality","event-place":"Sheffield","ISBN":"978-1-85075-944-7","language":"eng","number-of-pages":"329","publisher":"Sheffield Acad. Press","publisher-place":"Sheffield","source":"K10plus ISBN","title":"Marriage after modernity: Christian marriage in postmodern times","title-short":"Marriage after modernity","author":[{"family":"Thatcher","given":"Adrian"}],"issued":{"date-parts":[["1999"]]}},"label":"page","suffix":" 53 (emphasis in original)"}],"schema":"https://github.com/citation-style-language/schema/raw/master/csl-citation.json"} </w:instrText>
      </w:r>
      <w:r>
        <w:fldChar w:fldCharType="separate"/>
      </w:r>
      <w:r w:rsidRPr="00DD2458">
        <w:rPr>
          <w:rFonts w:ascii="Calibri" w:cs="Calibri"/>
          <w:kern w:val="0"/>
        </w:rPr>
        <w:t xml:space="preserve">Adrian Thatcher, </w:t>
      </w:r>
      <w:r w:rsidRPr="00DD2458">
        <w:rPr>
          <w:rFonts w:ascii="Calibri" w:cs="Calibri"/>
          <w:i/>
          <w:iCs/>
          <w:kern w:val="0"/>
        </w:rPr>
        <w:t>Marriage after Modernity: Christian Marriage in Postmodern Times</w:t>
      </w:r>
      <w:r w:rsidRPr="00DD2458">
        <w:rPr>
          <w:rFonts w:ascii="Calibri" w:cs="Calibri"/>
          <w:kern w:val="0"/>
        </w:rPr>
        <w:t xml:space="preserve"> (Sheffield </w:t>
      </w:r>
      <w:proofErr w:type="spellStart"/>
      <w:r w:rsidRPr="00DD2458">
        <w:rPr>
          <w:rFonts w:ascii="Calibri" w:cs="Calibri"/>
          <w:kern w:val="0"/>
        </w:rPr>
        <w:t>Acad</w:t>
      </w:r>
      <w:proofErr w:type="spellEnd"/>
      <w:r w:rsidRPr="00DD2458">
        <w:rPr>
          <w:rFonts w:ascii="Calibri" w:cs="Calibri"/>
          <w:kern w:val="0"/>
        </w:rPr>
        <w:t xml:space="preserve"> Press 1999) 53 (emphasis in original).</w:t>
      </w:r>
      <w:r>
        <w:fldChar w:fldCharType="end"/>
      </w:r>
    </w:p>
  </w:footnote>
  <w:footnote w:id="113">
    <w:p w14:paraId="3881CA65" w14:textId="6DC02A07" w:rsidR="009D0101" w:rsidRDefault="009D0101">
      <w:pPr>
        <w:pStyle w:val="FootnoteText"/>
      </w:pPr>
      <w:r w:rsidRPr="00444F1D">
        <w:rPr>
          <w:rStyle w:val="FootnoteReference"/>
        </w:rPr>
        <w:footnoteRef/>
      </w:r>
      <w:r>
        <w:t xml:space="preserve"> </w:t>
      </w:r>
      <w:r>
        <w:fldChar w:fldCharType="begin"/>
      </w:r>
      <w:r w:rsidR="008A2231">
        <w:instrText xml:space="preserve"> ADDIN ZOTERO_ITEM CSL_CITATION {"citationID":"TtIH6aBf","properties":{"formattedCitation":"Rosie Harding, \\uc0\\u8216{}Playing \\uc0\\u8220{}House of Lords Bingo\\uc0\\u8221{}: A Critical Discourse Analysis of Hansard Debates on Civil Partnership and Same Sex Marriage\\uc0\\u8217{} in Joanna Miles, Perveez Mody and Rebecca Probert (eds), {\\i{}Marriage Rites and Rights} (Hart Publishing 2015) 236.","plainCitation":"Rosie Harding, ‘Playing “House of Lords Bingo”: A Critical Discourse Analysis of Hansard Debates on Civil Partnership and Same Sex Marriage’ in Joanna Miles, Perveez Mody and Rebecca Probert (eds), Marriage Rites and Rights (Hart Publishing 2015) 236.","dontUpdate":true,"noteIndex":114},"citationItems":[{"id":5740,"uris":["http://zotero.org/users/10005302/items/GPJRL2DN"],"itemData":{"id":5740,"type":"chapter","container-title":"Marriage Rites and Rights","event-place":"Oxford","ISBN":"978-1-84946-913-5","page":"227-252","publisher":"Hart Publishing","publisher-place":"Oxford","source":"University of Birmingham","title":"Playing 'House of Lords Bingo': A critical discourse analysis of Hansard debates on civil partnership and same sex marriage","title-short":"Playing 'House of Lords Bingo'","author":[{"family":"Harding","given":"Rosie"}],"editor":[{"family":"Miles","given":"Joanna"},{"family":"Mody","given":"Perveez"},{"family":"Probert","given":"Rebecca"}],"issued":{"date-parts":[["2015",9,24]]}},"locator":"236"}],"schema":"https://github.com/citation-style-language/schema/raw/master/csl-citation.json"} </w:instrText>
      </w:r>
      <w:r>
        <w:fldChar w:fldCharType="separate"/>
      </w:r>
      <w:r w:rsidR="00DE563C" w:rsidRPr="00DE563C">
        <w:rPr>
          <w:rFonts w:ascii="Calibri" w:cs="Calibri"/>
          <w:kern w:val="0"/>
        </w:rPr>
        <w:t>Rosie Harding, ‘Playing “House of Lords Bingo”: A Critical Discourse Analysis of Hansard Debates on Civil Partnership and Same Sex Marriage’ in Miles, Mody and Probert</w:t>
      </w:r>
      <w:r w:rsidR="00041B47">
        <w:rPr>
          <w:rFonts w:ascii="Calibri" w:cs="Calibri"/>
          <w:kern w:val="0"/>
        </w:rPr>
        <w:t xml:space="preserve"> (n 38) </w:t>
      </w:r>
      <w:r w:rsidR="00DE563C" w:rsidRPr="00DE563C">
        <w:rPr>
          <w:rFonts w:ascii="Calibri" w:cs="Calibri"/>
          <w:kern w:val="0"/>
        </w:rPr>
        <w:t>236.</w:t>
      </w:r>
      <w:r>
        <w:fldChar w:fldCharType="end"/>
      </w:r>
    </w:p>
  </w:footnote>
  <w:footnote w:id="114">
    <w:p w14:paraId="4B546D9E" w14:textId="597B0D08" w:rsidR="009D0101" w:rsidRDefault="009D0101">
      <w:pPr>
        <w:pStyle w:val="FootnoteText"/>
      </w:pPr>
      <w:r w:rsidRPr="00444F1D">
        <w:rPr>
          <w:rStyle w:val="FootnoteReference"/>
        </w:rPr>
        <w:footnoteRef/>
      </w:r>
      <w:r>
        <w:t xml:space="preserve"> </w:t>
      </w:r>
      <w:r>
        <w:fldChar w:fldCharType="begin"/>
      </w:r>
      <w:r w:rsidR="008A2231">
        <w:instrText xml:space="preserve"> ADDIN ZOTERO_ITEM CSL_CITATION {"citationID":"xjD97mqb","properties":{"formattedCitation":"Harding (n 112).","plainCitation":"Harding (n 112).","dontUpdate":true,"noteIndex":115},"citationItems":[{"id":5740,"uris":["http://zotero.org/users/10005302/items/GPJRL2DN"],"itemData":{"id":5740,"type":"chapter","container-title":"Marriage Rites and Rights","event-place":"Oxford","ISBN":"978-1-84946-913-5","page":"227-252","publisher":"Hart Publishing","publisher-place":"Oxford","source":"University of Birmingham","title":"Playing 'House of Lords Bingo': A critical discourse analysis of Hansard debates on civil partnership and same sex marriage","title-short":"Playing 'House of Lords Bingo'","author":[{"family":"Harding","given":"Rosie"}],"editor":[{"family":"Miles","given":"Joanna"},{"family":"Mody","given":"Perveez"},{"family":"Probert","given":"Rebecca"}],"issued":{"date-parts":[["2015",9,24]]}}}],"schema":"https://github.com/citation-style-language/schema/raw/master/csl-citation.json"} </w:instrText>
      </w:r>
      <w:r>
        <w:fldChar w:fldCharType="separate"/>
      </w:r>
      <w:r w:rsidR="00D01E48">
        <w:rPr>
          <w:noProof/>
        </w:rPr>
        <w:t>Ibid</w:t>
      </w:r>
      <w:r w:rsidR="0051105C">
        <w:rPr>
          <w:noProof/>
        </w:rPr>
        <w:t>.</w:t>
      </w:r>
      <w:r>
        <w:fldChar w:fldCharType="end"/>
      </w:r>
    </w:p>
  </w:footnote>
  <w:footnote w:id="115">
    <w:p w14:paraId="27F87529" w14:textId="2210BA99" w:rsidR="00140A78" w:rsidRDefault="00140A78">
      <w:pPr>
        <w:pStyle w:val="FootnoteText"/>
      </w:pPr>
      <w:r w:rsidRPr="00444F1D">
        <w:rPr>
          <w:rStyle w:val="FootnoteReference"/>
        </w:rPr>
        <w:footnoteRef/>
      </w:r>
      <w:r>
        <w:t xml:space="preserve"> HC Deb 5 February 2013, </w:t>
      </w:r>
      <w:r w:rsidR="003B2FCC">
        <w:t>v</w:t>
      </w:r>
      <w:r>
        <w:t xml:space="preserve">ol 558, </w:t>
      </w:r>
      <w:r w:rsidR="003B2FCC">
        <w:t>c</w:t>
      </w:r>
      <w:r>
        <w:t>ol 161</w:t>
      </w:r>
      <w:r w:rsidR="003B2FCC">
        <w:t>.</w:t>
      </w:r>
    </w:p>
  </w:footnote>
  <w:footnote w:id="116">
    <w:p w14:paraId="57E1E330" w14:textId="023222CB" w:rsidR="0097088E" w:rsidRDefault="0097088E">
      <w:pPr>
        <w:pStyle w:val="FootnoteText"/>
      </w:pPr>
      <w:r>
        <w:rPr>
          <w:rStyle w:val="FootnoteReference"/>
        </w:rPr>
        <w:footnoteRef/>
      </w:r>
      <w:r>
        <w:t xml:space="preserve"> </w:t>
      </w:r>
      <w:r>
        <w:fldChar w:fldCharType="begin"/>
      </w:r>
      <w:r>
        <w:instrText xml:space="preserve"> ADDIN ZOTERO_ITEM CSL_CITATION {"citationID":"j2vATIn8","properties":{"formattedCitation":"For discussion of privacy, procreation and same-sex relationship recognition in the US, see, Vivian Hamilton, \\uc0\\u8216{}Mistaking Marriage for Social Policy\\uc0\\u8217{} (2004) 11 Virginia Journal of Social Policy &amp; the Law 307 in particular at 321-333, 346-349 .","plainCitation":"For discussion of privacy, procreation and same-sex relationship recognition in the US, see, Vivian Hamilton, ‘Mistaking Marriage for Social Policy’ (2004) 11 Virginia Journal of Social Policy &amp; the Law 307 in particular at 321-333, 346-349 .","noteIndex":104},"citationItems":[{"id":6110,"uris":["http://zotero.org/users/10005302/items/5JHIHR22"],"itemData":{"id":6110,"type":"article-journal","container-title":"Virginia Journal of Social Policy &amp; the Law","issue":"3","language":"en","page":"307","source":"Zotero","title":"Mistaking Marriage for Social Policy","volume":"11","author":[{"family":"Hamilton","given":"Vivian"}],"issued":{"date-parts":[["2004"]]}},"label":"page","prefix":"For discussion of privacy, procreation and same-sex relationship recognition in the US, see,","suffix":" in particular at 321-333, 346-349 "}],"schema":"https://github.com/citation-style-language/schema/raw/master/csl-citation.json"} </w:instrText>
      </w:r>
      <w:r>
        <w:fldChar w:fldCharType="separate"/>
      </w:r>
      <w:r w:rsidRPr="008A2231">
        <w:rPr>
          <w:rFonts w:ascii="Calibri" w:cs="Calibri"/>
          <w:kern w:val="0"/>
        </w:rPr>
        <w:t xml:space="preserve">For discussion of privacy, </w:t>
      </w:r>
      <w:r w:rsidR="007D6BE1" w:rsidRPr="008A2231">
        <w:rPr>
          <w:rFonts w:ascii="Calibri" w:cs="Calibri"/>
          <w:kern w:val="0"/>
        </w:rPr>
        <w:t>procreation,</w:t>
      </w:r>
      <w:r w:rsidRPr="008A2231">
        <w:rPr>
          <w:rFonts w:ascii="Calibri" w:cs="Calibri"/>
          <w:kern w:val="0"/>
        </w:rPr>
        <w:t xml:space="preserve"> and same-sex relationship recognition in the US, see, Vivian Hamilton, ‘Mistaking Marriage for Social Policy’ (2004) 11 V</w:t>
      </w:r>
      <w:r>
        <w:rPr>
          <w:rFonts w:ascii="Calibri" w:cs="Calibri"/>
          <w:kern w:val="0"/>
        </w:rPr>
        <w:t xml:space="preserve">a J Soc </w:t>
      </w:r>
      <w:proofErr w:type="spellStart"/>
      <w:r>
        <w:rPr>
          <w:rFonts w:ascii="Calibri" w:cs="Calibri"/>
          <w:kern w:val="0"/>
        </w:rPr>
        <w:t>Pol'y</w:t>
      </w:r>
      <w:proofErr w:type="spellEnd"/>
      <w:r>
        <w:rPr>
          <w:rFonts w:ascii="Calibri" w:cs="Calibri"/>
          <w:kern w:val="0"/>
        </w:rPr>
        <w:t xml:space="preserve"> &amp; L</w:t>
      </w:r>
      <w:r w:rsidRPr="008A2231">
        <w:rPr>
          <w:rFonts w:ascii="Calibri" w:cs="Calibri"/>
          <w:kern w:val="0"/>
        </w:rPr>
        <w:t xml:space="preserve"> 307 </w:t>
      </w:r>
      <w:proofErr w:type="gramStart"/>
      <w:r w:rsidRPr="008A2231">
        <w:rPr>
          <w:rFonts w:ascii="Calibri" w:cs="Calibri"/>
          <w:kern w:val="0"/>
        </w:rPr>
        <w:t>in particular at</w:t>
      </w:r>
      <w:proofErr w:type="gramEnd"/>
      <w:r w:rsidRPr="008A2231">
        <w:rPr>
          <w:rFonts w:ascii="Calibri" w:cs="Calibri"/>
          <w:kern w:val="0"/>
        </w:rPr>
        <w:t xml:space="preserve"> 321-333, 346-349.</w:t>
      </w:r>
      <w:r>
        <w:fldChar w:fldCharType="end"/>
      </w:r>
    </w:p>
  </w:footnote>
  <w:footnote w:id="117">
    <w:p w14:paraId="35AEF8D1" w14:textId="00888037" w:rsidR="00D56F97" w:rsidRDefault="00D56F97">
      <w:pPr>
        <w:pStyle w:val="FootnoteText"/>
      </w:pPr>
      <w:r w:rsidRPr="00444F1D">
        <w:rPr>
          <w:rStyle w:val="FootnoteReference"/>
        </w:rPr>
        <w:footnoteRef/>
      </w:r>
      <w:r>
        <w:t xml:space="preserve"> </w:t>
      </w:r>
      <w:r>
        <w:fldChar w:fldCharType="begin"/>
      </w:r>
      <w:r w:rsidR="008A2231">
        <w:instrText xml:space="preserve"> ADDIN ZOTERO_ITEM CSL_CITATION {"citationID":"S2CbYl2Y","properties":{"formattedCitation":"Hannah Alsgaardt, \\uc0\\u8216{}Recent Developments Decoupling Marriage &amp; Procreation\\uc0\\u8217{}: (2012) 27 Berkeley Journal of Gender, Law &amp; Justice 307, 332\\uc0\\u8211{}334.","plainCitation":"Hannah Alsgaardt, ‘Recent Developments Decoupling Marriage &amp; Procreation’: (2012) 27 Berkeley Journal of Gender, Law &amp; Justice 307, 332–334.","noteIndex":117},"citationItems":[{"id":6112,"uris":["http://zotero.org/users/10005302/items/MYGUZ6HJ"],"itemData":{"id":6112,"type":"article-journal","abstract":"The quickly arriving reality of same-sex marriage is a move forward for all couples who marry, including opposite-sex and transgender couples. This piece examines the way that same-sex marriage will improve these other marriages. In particular, I argue that the \"essential aspects\" of marriage remain sex and reproduction--domains associated with the wife in a traditional marriage in a way that serves to denigrate women. Although the long-existing link between procreation and marriage has begun to fade, it will not be until same-sex marriage is fully legalized that opposite-sex marriage can fundamentally change. Therefore, both feminists and advocates of same-sex marriage should work together to continue to make marriage relevant for the modem day.","container-title":"Berkeley Journal of Gender, Law &amp; Justice","issue":"2","language":"en","page":"307","source":"Zotero","title":"Recent Developments Decoupling Marriage &amp; Procreation:","volume":"27","author":[{"family":"Alsgaardt","given":"Hannah"}],"issued":{"date-parts":[["2012"]]}},"locator":"332-334"}],"schema":"https://github.com/citation-style-language/schema/raw/master/csl-citation.json"} </w:instrText>
      </w:r>
      <w:r>
        <w:fldChar w:fldCharType="separate"/>
      </w:r>
      <w:r w:rsidRPr="00D56F97">
        <w:rPr>
          <w:rFonts w:ascii="Calibri" w:cs="Calibri"/>
          <w:kern w:val="0"/>
        </w:rPr>
        <w:t xml:space="preserve">Hannah </w:t>
      </w:r>
      <w:proofErr w:type="spellStart"/>
      <w:r w:rsidRPr="00D56F97">
        <w:rPr>
          <w:rFonts w:ascii="Calibri" w:cs="Calibri"/>
          <w:kern w:val="0"/>
        </w:rPr>
        <w:t>Alsgaardt</w:t>
      </w:r>
      <w:proofErr w:type="spellEnd"/>
      <w:r w:rsidRPr="00D56F97">
        <w:rPr>
          <w:rFonts w:ascii="Calibri" w:cs="Calibri"/>
          <w:kern w:val="0"/>
        </w:rPr>
        <w:t>, ‘Recent Developments Decoupling Marriage &amp; Procreation’: (2012) 27 Berkeley Journal of Gender, Law &amp; Justice 307, 332–334.</w:t>
      </w:r>
      <w:r>
        <w:fldChar w:fldCharType="end"/>
      </w:r>
    </w:p>
  </w:footnote>
  <w:footnote w:id="118">
    <w:p w14:paraId="76BDA8E2" w14:textId="67242E9F" w:rsidR="00D56F97" w:rsidRDefault="00D56F97">
      <w:pPr>
        <w:pStyle w:val="FootnoteText"/>
      </w:pPr>
      <w:r w:rsidRPr="00444F1D">
        <w:rPr>
          <w:rStyle w:val="FootnoteReference"/>
        </w:rPr>
        <w:footnoteRef/>
      </w:r>
      <w:r>
        <w:t xml:space="preserve"> HC Deb 5 February 2013, Vol 558, Col 172</w:t>
      </w:r>
    </w:p>
  </w:footnote>
  <w:footnote w:id="119">
    <w:p w14:paraId="41BD7F81" w14:textId="23AA76C9" w:rsidR="00D56F97" w:rsidRDefault="00D56F97">
      <w:pPr>
        <w:pStyle w:val="FootnoteText"/>
      </w:pPr>
      <w:r w:rsidRPr="00444F1D">
        <w:rPr>
          <w:rStyle w:val="FootnoteReference"/>
        </w:rPr>
        <w:footnoteRef/>
      </w:r>
      <w:r>
        <w:t xml:space="preserve"> </w:t>
      </w:r>
      <w:r>
        <w:fldChar w:fldCharType="begin"/>
      </w:r>
      <w:r w:rsidR="008A2231">
        <w:instrText xml:space="preserve"> ADDIN ZOTERO_ITEM CSL_CITATION {"citationID":"Cah8vbNz","properties":{"formattedCitation":"Sarah Farrimond, \\uc0\\u8216{}Church of England Weddings and Ritual Symbolism\\uc0\\u8217{} in Joanna Miles, Perveez Mody and Rebecca Probert (eds), {\\i{}Marriage Rites and Rights} (Hart Publishing 2015) 216\\uc0\\u8211{}218.","plainCitation":"Sarah Farrimond, ‘Church of England Weddings and Ritual Symbolism’ in Joanna Miles, Perveez Mody and Rebecca Probert (eds), Marriage Rites and Rights (Hart Publishing 2015) 216–218.","dontUpdate":true,"noteIndex":119},"citationItems":[{"id":5736,"uris":["http://zotero.org/users/10005302/items/TADCERZI"],"itemData":{"id":5736,"type":"chapter","container-title":"Marriage Rites and Rights","event-place":"Oxford","ISBN":"978-1-84946-913-5","page":"211-228","publisher":"Hart Publishing","publisher-place":"Oxford","source":"University of Birmingham","title":"Church of England Weddings and Ritual Symbolism","title-short":"Playing 'House of Lords Bingo'","author":[{"family":"Farrimond","given":"Sarah"}],"editor":[{"family":"Miles","given":"Joanna"},{"family":"Mody","given":"Perveez"},{"family":"Probert","given":"Rebecca"}],"issued":{"date-parts":[["2015",9,24]]}},"locator":"216-218"}],"schema":"https://github.com/citation-style-language/schema/raw/master/csl-citation.json"} </w:instrText>
      </w:r>
      <w:r>
        <w:fldChar w:fldCharType="separate"/>
      </w:r>
      <w:r w:rsidRPr="00D56F97">
        <w:rPr>
          <w:rFonts w:ascii="Calibri" w:cs="Calibri"/>
          <w:kern w:val="0"/>
        </w:rPr>
        <w:t>Sarah Farrimond, ‘Church of England Weddings and Ritual Symbolism’ in Miles, Mody and Probert (</w:t>
      </w:r>
      <w:r w:rsidR="00041B47">
        <w:rPr>
          <w:rFonts w:ascii="Calibri" w:cs="Calibri"/>
          <w:kern w:val="0"/>
        </w:rPr>
        <w:t xml:space="preserve">n 38) </w:t>
      </w:r>
      <w:r w:rsidRPr="00D56F97">
        <w:rPr>
          <w:rFonts w:ascii="Calibri" w:cs="Calibri"/>
          <w:kern w:val="0"/>
        </w:rPr>
        <w:t>216–218.</w:t>
      </w:r>
      <w:r>
        <w:fldChar w:fldCharType="end"/>
      </w:r>
    </w:p>
  </w:footnote>
  <w:footnote w:id="120">
    <w:p w14:paraId="2E48DED2" w14:textId="428E4131" w:rsidR="00D56F97" w:rsidRDefault="00D56F97">
      <w:pPr>
        <w:pStyle w:val="FootnoteText"/>
      </w:pPr>
      <w:r w:rsidRPr="00444F1D">
        <w:rPr>
          <w:rStyle w:val="FootnoteReference"/>
        </w:rPr>
        <w:footnoteRef/>
      </w:r>
      <w:r>
        <w:t xml:space="preserve"> See, Page 4, above.</w:t>
      </w:r>
    </w:p>
  </w:footnote>
  <w:footnote w:id="121">
    <w:p w14:paraId="2C90C11F" w14:textId="1A976A19" w:rsidR="00D56F97" w:rsidRDefault="00D56F97">
      <w:pPr>
        <w:pStyle w:val="FootnoteText"/>
      </w:pPr>
      <w:r w:rsidRPr="00444F1D">
        <w:rPr>
          <w:rStyle w:val="FootnoteReference"/>
        </w:rPr>
        <w:footnoteRef/>
      </w:r>
      <w:r>
        <w:t xml:space="preserve"> </w:t>
      </w:r>
      <w:r>
        <w:fldChar w:fldCharType="begin"/>
      </w:r>
      <w:r w:rsidR="008A2231">
        <w:instrText xml:space="preserve"> ADDIN ZOTERO_ITEM CSL_CITATION {"citationID":"lkwXYuOQ","properties":{"formattedCitation":"Farrimond (n 117).","plainCitation":"Farrimond (n 117).","dontUpdate":true,"noteIndex":121},"citationItems":[{"id":5736,"uris":["http://zotero.org/users/10005302/items/TADCERZI"],"itemData":{"id":5736,"type":"chapter","container-title":"Marriage Rites and Rights","event-place":"Oxford","ISBN":"978-1-84946-913-5","page":"211-228","publisher":"Hart Publishing","publisher-place":"Oxford","source":"University of Birmingham","title":"Church of England Weddings and Ritual Symbolism","title-short":"Playing 'House of Lords Bingo'","author":[{"family":"Farrimond","given":"Sarah"}],"editor":[{"family":"Miles","given":"Joanna"},{"family":"Mody","given":"Perveez"},{"family":"Probert","given":"Rebecca"}],"issued":{"date-parts":[["2015",9,24]]}}}],"schema":"https://github.com/citation-style-language/schema/raw/master/csl-citation.json"} </w:instrText>
      </w:r>
      <w:r>
        <w:fldChar w:fldCharType="separate"/>
      </w:r>
      <w:r w:rsidR="0051105C">
        <w:rPr>
          <w:noProof/>
        </w:rPr>
        <w:t>Farrimond (n 11</w:t>
      </w:r>
      <w:r w:rsidR="008A2231">
        <w:rPr>
          <w:noProof/>
        </w:rPr>
        <w:t>9</w:t>
      </w:r>
      <w:r w:rsidR="0051105C">
        <w:rPr>
          <w:noProof/>
        </w:rPr>
        <w:t>).</w:t>
      </w:r>
      <w:r>
        <w:fldChar w:fldCharType="end"/>
      </w:r>
    </w:p>
  </w:footnote>
  <w:footnote w:id="122">
    <w:p w14:paraId="7444BD4E" w14:textId="0F9813FB" w:rsidR="00D56F97" w:rsidRDefault="00D56F97">
      <w:pPr>
        <w:pStyle w:val="FootnoteText"/>
      </w:pPr>
      <w:r w:rsidRPr="00444F1D">
        <w:rPr>
          <w:rStyle w:val="FootnoteReference"/>
        </w:rPr>
        <w:footnoteRef/>
      </w:r>
      <w:r>
        <w:t xml:space="preserve"> </w:t>
      </w:r>
      <w:r>
        <w:fldChar w:fldCharType="begin"/>
      </w:r>
      <w:r w:rsidR="008A2231">
        <w:instrText xml:space="preserve"> ADDIN ZOTERO_ITEM CSL_CITATION {"citationID":"C5GgIQTt","properties":{"formattedCitation":"Cf the view of Thatcher (n 111) 229 that children remain \\uc0\\u8216{}central, and not secondary, to marriage\\uc0\\u8217{} in a Christian context.","plainCitation":"Cf the view of Thatcher (n 111) 229 that children remain ‘central, and not secondary, to marriage’ in a Christian context.","dontUpdate":true,"noteIndex":122},"citationItems":[{"id":5720,"uris":["http://zotero.org/users/10005302/items/C7HN5I5Z"],"itemData":{"id":5720,"type":"book","collection-number":"3","collection-title":"Studies in theology and sexuality","event-place":"Sheffield","ISBN":"978-1-85075-944-7","language":"eng","number-of-pages":"329","publisher":"Sheffield Acad. Press","publisher-place":"Sheffield","source":"K10plus ISBN","title":"Marriage after modernity: Christian marriage in postmodern times","title-short":"Marriage after modernity","author":[{"family":"Thatcher","given":"Adrian"}],"issued":{"date-parts":[["1999"]]}},"label":"page","prefix":"Cf the view of ","suffix":" 229 that children remain 'central, and not secondary, to marriage' in a Christian context"}],"schema":"https://github.com/citation-style-language/schema/raw/master/csl-citation.json"} </w:instrText>
      </w:r>
      <w:r>
        <w:fldChar w:fldCharType="separate"/>
      </w:r>
      <w:r w:rsidR="0051105C" w:rsidRPr="0051105C">
        <w:rPr>
          <w:rFonts w:ascii="Calibri" w:cs="Calibri"/>
          <w:kern w:val="0"/>
        </w:rPr>
        <w:t>Cf the view of Thatcher (n 11</w:t>
      </w:r>
      <w:r w:rsidR="0097088E">
        <w:rPr>
          <w:rFonts w:ascii="Calibri" w:cs="Calibri"/>
          <w:kern w:val="0"/>
        </w:rPr>
        <w:t>2</w:t>
      </w:r>
      <w:r w:rsidR="0051105C" w:rsidRPr="0051105C">
        <w:rPr>
          <w:rFonts w:ascii="Calibri" w:cs="Calibri"/>
          <w:kern w:val="0"/>
        </w:rPr>
        <w:t>) 229 that children remain ‘</w:t>
      </w:r>
      <w:proofErr w:type="gramStart"/>
      <w:r w:rsidR="0051105C" w:rsidRPr="0051105C">
        <w:rPr>
          <w:rFonts w:ascii="Calibri" w:cs="Calibri"/>
          <w:kern w:val="0"/>
        </w:rPr>
        <w:t>central, and not secondary,</w:t>
      </w:r>
      <w:proofErr w:type="gramEnd"/>
      <w:r w:rsidR="0051105C" w:rsidRPr="0051105C">
        <w:rPr>
          <w:rFonts w:ascii="Calibri" w:cs="Calibri"/>
          <w:kern w:val="0"/>
        </w:rPr>
        <w:t xml:space="preserve"> to</w:t>
      </w:r>
      <w:r w:rsidR="00AA00D7">
        <w:rPr>
          <w:rFonts w:ascii="Calibri" w:cs="Calibri"/>
          <w:kern w:val="0"/>
        </w:rPr>
        <w:t xml:space="preserve"> </w:t>
      </w:r>
      <w:r w:rsidR="0051105C" w:rsidRPr="0051105C">
        <w:rPr>
          <w:rFonts w:ascii="Calibri" w:cs="Calibri"/>
          <w:kern w:val="0"/>
        </w:rPr>
        <w:t>marriage’ in a Christian context.</w:t>
      </w:r>
      <w:r>
        <w:fldChar w:fldCharType="end"/>
      </w:r>
    </w:p>
  </w:footnote>
  <w:footnote w:id="123">
    <w:p w14:paraId="6C685CCB" w14:textId="0C3F3847" w:rsidR="00334E33" w:rsidRDefault="00334E33">
      <w:pPr>
        <w:pStyle w:val="FootnoteText"/>
      </w:pPr>
      <w:r w:rsidRPr="00444F1D">
        <w:rPr>
          <w:rStyle w:val="FootnoteReference"/>
        </w:rPr>
        <w:footnoteRef/>
      </w:r>
      <w:r>
        <w:t xml:space="preserve"> </w:t>
      </w:r>
      <w:r>
        <w:fldChar w:fldCharType="begin"/>
      </w:r>
      <w:r w:rsidR="008A2231">
        <w:instrText xml:space="preserve"> ADDIN ZOTERO_ITEM CSL_CITATION {"citationID":"5KmgZwnY","properties":{"formattedCitation":"Herring (n 38) 278.","plainCitation":"Herring (n 38) 278.","noteIndex":123},"citationItems":[{"id":5672,"uris":["http://zotero.org/users/10005302/items/S4WKIPNC"],"itemData":{"id":5672,"type":"chapter","container-title":"Marriage Rites and Rights","ISBN":"978-1-78225-966-4","note":"DOI: 10.5040/9781782259664","publisher":"Hart Publishing","source":"DOI.org (Crossref)","title":"Why Marriage Needs to be Less Sexy","author":[{"family":"Herring","given":"Jonathan"}],"editor":[{"family":"Miles","given":"Joanna"},{"family":"Mody","given":"Perveez"},{"family":"Probert","given":"Rebecca"}],"accessed":{"date-parts":[["2022",9,26]]},"issued":{"date-parts":[["2015"]]}},"locator":"278"}],"schema":"https://github.com/citation-style-language/schema/raw/master/csl-citation.json"} </w:instrText>
      </w:r>
      <w:r>
        <w:fldChar w:fldCharType="separate"/>
      </w:r>
      <w:r w:rsidR="000B3771">
        <w:rPr>
          <w:noProof/>
        </w:rPr>
        <w:t>Herring (n 38) 278.</w:t>
      </w:r>
      <w:r>
        <w:fldChar w:fldCharType="end"/>
      </w:r>
    </w:p>
  </w:footnote>
  <w:footnote w:id="124">
    <w:p w14:paraId="09917C3A" w14:textId="1821388D" w:rsidR="00D07BA2" w:rsidRDefault="00D07BA2">
      <w:pPr>
        <w:pStyle w:val="FootnoteText"/>
      </w:pPr>
      <w:r w:rsidRPr="00444F1D">
        <w:rPr>
          <w:rStyle w:val="FootnoteReference"/>
        </w:rPr>
        <w:footnoteRef/>
      </w:r>
      <w:r>
        <w:t xml:space="preserve"> </w:t>
      </w:r>
      <w:r>
        <w:fldChar w:fldCharType="begin"/>
      </w:r>
      <w:r w:rsidR="008A2231">
        <w:instrText xml:space="preserve"> ADDIN ZOTERO_ITEM CSL_CITATION {"citationID":"aczm6EtH","properties":{"formattedCitation":"See, Diorio (n 72).","plainCitation":"See, Diorio (n 72).","dontUpdate":true,"noteIndex":124},"citationItems":[{"id":6114,"uris":["http://zotero.org/users/10005302/items/JBJMBUBI"],"itemData":{"id":6114,"type":"article-journal","abstract":"Young people learn what sex is, how to perform it, and what status it has largely through discourse. Sexual discourse has changed since the mid-twentieth century, but coitus still dominates heterosexual sex talk, and both change and continuity are reﬂected in adolescent sexual attitudes and behavior. Acceptance of non-coital sexuality among LGBTQ people and heterosexuals has increased, but these behaviors often have a different status when performed by members of each of these groups. Non-coital acts may be legitimately sexual when performed by nonheterosexuals, but coitus remains the paradigmatic heterosexual activity even though young heterosexuals often engage in non-coital behaviors. Young heterosexuals often differentiate real coital sex from quasi-sexual non-coital behaviors, and sexuality researchers, clinicians, and educators frequently reinforce this distinction and threaten the sexual status and self-esteem of young heterosexuals who do not like or cannot perform coitus. Many sexuality professionals urge young heterosexuals to recognize non-coital acts as sexual because of their risks of sexually transmitted infections, but sometimes also undermine this message by describing these acts as preliminaries to or substitutes for coitus. These professionals use an objective language of sexuality which presumably should supplant the mistaken usages of young people, but they overlook their own dependence on culturally constructed sexual discourse, and can impose needless problems on young people.","container-title":"Sexuality &amp; Culture","DOI":"10.1007/s12119-016-9359-9","ISSN":"1095-5143, 1936-4822","issue":"4","journalAbbreviation":"Sexuality &amp; Culture","language":"en","page":"841-861","source":"DOI.org (Crossref)","title":"Changing Discourse, Learning Sex, and Non-coital Heterosexuality","volume":"20","author":[{"family":"Diorio","given":"Joseph A."}],"issued":{"date-parts":[["2016",12]]}},"label":"page","prefix":"See, "}],"schema":"https://github.com/citation-style-language/schema/raw/master/csl-citation.json"} </w:instrText>
      </w:r>
      <w:r>
        <w:fldChar w:fldCharType="separate"/>
      </w:r>
      <w:r w:rsidR="0051105C">
        <w:rPr>
          <w:noProof/>
        </w:rPr>
        <w:t>See Diorio (n 7</w:t>
      </w:r>
      <w:r w:rsidR="00C55D71">
        <w:rPr>
          <w:noProof/>
        </w:rPr>
        <w:t>4</w:t>
      </w:r>
      <w:r w:rsidR="0051105C">
        <w:rPr>
          <w:noProof/>
        </w:rPr>
        <w:t>).</w:t>
      </w:r>
      <w:r>
        <w:fldChar w:fldCharType="end"/>
      </w:r>
    </w:p>
  </w:footnote>
  <w:footnote w:id="125">
    <w:p w14:paraId="311AE5BD" w14:textId="16BC03DB" w:rsidR="00D07BA2" w:rsidRDefault="00D07BA2">
      <w:pPr>
        <w:pStyle w:val="FootnoteText"/>
      </w:pPr>
      <w:r w:rsidRPr="00444F1D">
        <w:rPr>
          <w:rStyle w:val="FootnoteReference"/>
        </w:rPr>
        <w:footnoteRef/>
      </w:r>
      <w:r>
        <w:t xml:space="preserve"> </w:t>
      </w:r>
      <w:r>
        <w:fldChar w:fldCharType="begin"/>
      </w:r>
      <w:r w:rsidR="008A2231">
        <w:instrText xml:space="preserve"> ADDIN ZOTERO_ITEM CSL_CITATION {"citationID":"GU9Nnqi0","properties":{"formattedCitation":"Maine (n 16).","plainCitation":"Maine (n 16).","noteIndex":125},"citationItems":[{"id":5561,"uris":["http://zotero.org/users/10005302/items/TSCCKXG7"],"itemData":{"id":5561,"type":"article-journal","abstract":"This article explores ‘bad’ sex in an age of same-sex marriage, through an analysis of the ‘homoradical’ as a rejection of both hetero and homo-normativities. Drawing on qualitative data from 29 LGBTQ interviewees, the article considers resistance to the discursive privileging of same-sex marriage in the context of Gayle Rubin’s theories of respectability and sexual hierarchies. These hierarchies constitute a ‘charmed circle’ of accepted sexual practices which are traditionally justiﬁed by marriage, procreation and/or love. It examines non-normative sexuality through the example of the lived experiences of non-normative, anti-assimilationist identities, particularly non-monogamy, public sex, and kink sex, showing how the ‘homoradical’ deviates from the normative practices that same-sex marriage reinforces.","container-title":"Laws","issue":"1","language":"en","source":"Zotero","title":"Queering Marriage: The Homoradical and Anti-Normativity","volume":"11","author":[{"family":"Maine","given":"Alexander"}],"issued":{"date-parts":[["2022"]]}}}],"schema":"https://github.com/citation-style-language/schema/raw/master/csl-citation.json"} </w:instrText>
      </w:r>
      <w:r>
        <w:fldChar w:fldCharType="separate"/>
      </w:r>
      <w:r>
        <w:rPr>
          <w:noProof/>
        </w:rPr>
        <w:t>Maine (n 16).</w:t>
      </w:r>
      <w:r>
        <w:fldChar w:fldCharType="end"/>
      </w:r>
    </w:p>
  </w:footnote>
  <w:footnote w:id="126">
    <w:p w14:paraId="1C533423" w14:textId="1CADE316" w:rsidR="000A1F4E" w:rsidRDefault="000A1F4E">
      <w:pPr>
        <w:pStyle w:val="FootnoteText"/>
      </w:pPr>
      <w:r w:rsidRPr="00444F1D">
        <w:rPr>
          <w:rStyle w:val="FootnoteReference"/>
        </w:rPr>
        <w:footnoteRef/>
      </w:r>
      <w:r>
        <w:t xml:space="preserve"> </w:t>
      </w:r>
      <w:r>
        <w:fldChar w:fldCharType="begin"/>
      </w:r>
      <w:r w:rsidR="008A2231">
        <w:instrText xml:space="preserve"> ADDIN ZOTERO_ITEM CSL_CITATION {"citationID":"8fmla4eL","properties":{"formattedCitation":"Alsgaardt (n 115) 337\\uc0\\u8211{}338.","plainCitation":"Alsgaardt (n 115) 337–338.","dontUpdate":true,"noteIndex":126},"citationItems":[{"id":6112,"uris":["http://zotero.org/users/10005302/items/MYGUZ6HJ"],"itemData":{"id":6112,"type":"article-journal","abstract":"The quickly arriving reality of same-sex marriage is a move forward for all couples who marry, including opposite-sex and transgender couples. This piece examines the way that same-sex marriage will improve these other marriages. In particular, I argue that the \"essential aspects\" of marriage remain sex and reproduction--domains associated with the wife in a traditional marriage in a way that serves to denigrate women. Although the long-existing link between procreation and marriage has begun to fade, it will not be until same-sex marriage is fully legalized that opposite-sex marriage can fundamentally change. Therefore, both feminists and advocates of same-sex marriage should work together to continue to make marriage relevant for the modem day.","container-title":"Berkeley Journal of Gender, Law &amp; Justice","issue":"2","language":"en","page":"307","source":"Zotero","title":"Recent Developments Decoupling Marriage &amp; Procreation:","volume":"27","author":[{"family":"Alsgaardt","given":"Hannah"}],"issued":{"date-parts":[["2012"]]}},"locator":"337-338"}],"schema":"https://github.com/citation-style-language/schema/raw/master/csl-citation.json"} </w:instrText>
      </w:r>
      <w:r>
        <w:fldChar w:fldCharType="separate"/>
      </w:r>
      <w:proofErr w:type="spellStart"/>
      <w:r w:rsidR="0051105C" w:rsidRPr="0051105C">
        <w:rPr>
          <w:rFonts w:ascii="Calibri" w:cs="Calibri"/>
          <w:kern w:val="0"/>
        </w:rPr>
        <w:t>Alsgaardt</w:t>
      </w:r>
      <w:proofErr w:type="spellEnd"/>
      <w:r w:rsidR="0051105C" w:rsidRPr="0051105C">
        <w:rPr>
          <w:rFonts w:ascii="Calibri" w:cs="Calibri"/>
          <w:kern w:val="0"/>
        </w:rPr>
        <w:t xml:space="preserve"> (n 11</w:t>
      </w:r>
      <w:r w:rsidR="008A2231">
        <w:rPr>
          <w:rFonts w:ascii="Calibri" w:cs="Calibri"/>
          <w:kern w:val="0"/>
        </w:rPr>
        <w:t>7</w:t>
      </w:r>
      <w:r w:rsidR="0051105C" w:rsidRPr="0051105C">
        <w:rPr>
          <w:rFonts w:ascii="Calibri" w:cs="Calibri"/>
          <w:kern w:val="0"/>
        </w:rPr>
        <w:t>) 337–338.</w:t>
      </w:r>
      <w:r>
        <w:fldChar w:fldCharType="end"/>
      </w:r>
    </w:p>
  </w:footnote>
  <w:footnote w:id="127">
    <w:p w14:paraId="63794241" w14:textId="734BA9A9" w:rsidR="00E94D19" w:rsidRDefault="00E94D19">
      <w:pPr>
        <w:pStyle w:val="FootnoteText"/>
      </w:pPr>
      <w:r w:rsidRPr="00444F1D">
        <w:rPr>
          <w:rStyle w:val="FootnoteReference"/>
        </w:rPr>
        <w:footnoteRef/>
      </w:r>
      <w:r>
        <w:t xml:space="preserve"> </w:t>
      </w:r>
      <w:r>
        <w:fldChar w:fldCharType="begin"/>
      </w:r>
      <w:r w:rsidR="008A2231">
        <w:instrText xml:space="preserve"> ADDIN ZOTERO_ITEM CSL_CITATION {"citationID":"2ZssWnCk","properties":{"formattedCitation":"Black (n 36) 319; Maine (n 16) 10.","plainCitation":"Black (n 36) 319; Maine (n 16) 10.","noteIndex":127},"citationItems":[{"id":6098,"uris":["http://zotero.org/users/10005302/items/JR5MTXBD"],"itemData":{"id":6098,"type":"chapter","container-title":"Family Matters: Essays in Honor of John Eekelarr","publisher":"Intersentia","title":"Adult Relationships and the Ongoing Significance of Sexual Intimacy","author":[{"family":"Black","given":"Gillian"}],"editor":[{"family":"Scherpe","given":"Jens M"},{"family":"Gilmore","given":"Stephen"}],"issued":{"date-parts":[["2022"]]}},"locator":"319"},{"id":5561,"uris":["http://zotero.org/users/10005302/items/TSCCKXG7"],"itemData":{"id":5561,"type":"article-journal","abstract":"This article explores ‘bad’ sex in an age of same-sex marriage, through an analysis of the ‘homoradical’ as a rejection of both hetero and homo-normativities. Drawing on qualitative data from 29 LGBTQ interviewees, the article considers resistance to the discursive privileging of same-sex marriage in the context of Gayle Rubin’s theories of respectability and sexual hierarchies. These hierarchies constitute a ‘charmed circle’ of accepted sexual practices which are traditionally justiﬁed by marriage, procreation and/or love. It examines non-normative sexuality through the example of the lived experiences of non-normative, anti-assimilationist identities, particularly non-monogamy, public sex, and kink sex, showing how the ‘homoradical’ deviates from the normative practices that same-sex marriage reinforces.","container-title":"Laws","issue":"1","language":"en","source":"Zotero","title":"Queering Marriage: The Homoradical and Anti-Normativity","volume":"11","author":[{"family":"Maine","given":"Alexander"}],"issued":{"date-parts":[["2022"]]}},"locator":"10"}],"schema":"https://github.com/citation-style-language/schema/raw/master/csl-citation.json"} </w:instrText>
      </w:r>
      <w:r>
        <w:fldChar w:fldCharType="separate"/>
      </w:r>
      <w:r w:rsidR="000B3771">
        <w:rPr>
          <w:noProof/>
        </w:rPr>
        <w:t>Black (n 36) 319; Maine (n 16) 10.</w:t>
      </w:r>
      <w:r>
        <w:fldChar w:fldCharType="end"/>
      </w:r>
    </w:p>
  </w:footnote>
  <w:footnote w:id="128">
    <w:p w14:paraId="16F8CAF9" w14:textId="151A9DCA" w:rsidR="001E1730" w:rsidRDefault="001E1730">
      <w:pPr>
        <w:pStyle w:val="FootnoteText"/>
      </w:pPr>
      <w:r w:rsidRPr="00444F1D">
        <w:rPr>
          <w:rStyle w:val="FootnoteReference"/>
        </w:rPr>
        <w:footnoteRef/>
      </w:r>
      <w:r>
        <w:t xml:space="preserve"> </w:t>
      </w:r>
      <w:r>
        <w:fldChar w:fldCharType="begin"/>
      </w:r>
      <w:r w:rsidR="008A2231">
        <w:instrText xml:space="preserve"> ADDIN ZOTERO_ITEM CSL_CITATION {"citationID":"8PJ9xydU","properties":{"formattedCitation":"Farrimond (n 117) 213.","plainCitation":"Farrimond (n 117) 213.","dontUpdate":true,"noteIndex":128},"citationItems":[{"id":5736,"uris":["http://zotero.org/users/10005302/items/TADCERZI"],"itemData":{"id":5736,"type":"chapter","container-title":"Marriage Rites and Rights","event-place":"Oxford","ISBN":"978-1-84946-913-5","page":"211-228","publisher":"Hart Publishing","publisher-place":"Oxford","source":"University of Birmingham","title":"Church of England Weddings and Ritual Symbolism","title-short":"Playing 'House of Lords Bingo'","author":[{"family":"Farrimond","given":"Sarah"}],"editor":[{"family":"Miles","given":"Joanna"},{"family":"Mody","given":"Perveez"},{"family":"Probert","given":"Rebecca"}],"issued":{"date-parts":[["2015",9,24]]}},"locator":"213"}],"schema":"https://github.com/citation-style-language/schema/raw/master/csl-citation.json"} </w:instrText>
      </w:r>
      <w:r>
        <w:fldChar w:fldCharType="separate"/>
      </w:r>
      <w:r w:rsidR="0051105C">
        <w:rPr>
          <w:noProof/>
        </w:rPr>
        <w:t>Farrimond (n 11</w:t>
      </w:r>
      <w:r w:rsidR="008A2231">
        <w:rPr>
          <w:noProof/>
        </w:rPr>
        <w:t>9</w:t>
      </w:r>
      <w:r w:rsidR="0051105C">
        <w:rPr>
          <w:noProof/>
        </w:rPr>
        <w:t>) 213.</w:t>
      </w:r>
      <w:r>
        <w:fldChar w:fldCharType="end"/>
      </w:r>
    </w:p>
  </w:footnote>
  <w:footnote w:id="129">
    <w:p w14:paraId="6485927D" w14:textId="7E6AF0BB" w:rsidR="001E1730" w:rsidRDefault="001E1730">
      <w:pPr>
        <w:pStyle w:val="FootnoteText"/>
      </w:pPr>
      <w:r w:rsidRPr="00444F1D">
        <w:rPr>
          <w:rStyle w:val="FootnoteReference"/>
        </w:rPr>
        <w:footnoteRef/>
      </w:r>
      <w:r>
        <w:t xml:space="preserve"> </w:t>
      </w:r>
      <w:r>
        <w:fldChar w:fldCharType="begin"/>
      </w:r>
      <w:r w:rsidR="008A2231">
        <w:instrText xml:space="preserve"> ADDIN ZOTERO_ITEM CSL_CITATION {"citationID":"DwTfcLMR","properties":{"formattedCitation":"See, General Synod (n 15); and, also, Francis Martin, Tim Wyatt and Hattie Williams, \\uc0\\u8216{}Bishops\\uc0\\u8217{} Proposals to Bless Same-Sex Couples Carried by Synod, despite Sustained Opposition\\uc0\\u8217{} ({\\i{}Church Times}, 9 February 2023) &lt;https://www.churchtimes.co.uk/articles/2023/10-february/news/uk/bishops-proposals-to-bless-same-sex-couples-carried-by-synod-despite-sustained-opposition&gt; accessed 16 June 2023.","plainCitation":"See, General Synod (n 15); and, also, Francis Martin, Tim Wyatt and Hattie Williams, ‘Bishops’ Proposals to Bless Same-Sex Couples Carried by Synod, despite Sustained Opposition’ (Church Times, 9 February 2023) &lt;https://www.churchtimes.co.uk/articles/2023/10-february/news/uk/bishops-proposals-to-bless-same-sex-couples-carried-by-synod-despite-sustained-opposition&gt; accessed 16 June 2023.","noteIndex":129},"citationItems":[{"id":6089,"uris":["http://zotero.org/users/10005302/items/ZRZZSBQA"],"itemData":{"id":6089,"type":"document","publisher":"Church of England","title":"Report of Proceedings 2023","URL":"https://www.churchofengland.org/sites/default/files/2023-05/Group%20of%20Sessions%20-%206-9%20February%202023.pdf","author":[{"literal":"General Synod"}],"accessed":{"date-parts":[["2023",6,16]]},"issued":{"date-parts":[["2023",2,9]]}},"label":"page","prefix":"See,"},{"id":6094,"uris":["http://zotero.org/users/10005302/items/HMC2G29B"],"itemData":{"id":6094,"type":"webpage","abstract":"THE General Synod has agreed to welcome the Bishops’ proposals to provide prayers to bless same-sex ...","container-title":"Church Times","title":"Bishops’ proposals to bless same-sex couples carried by Synod, despite sustained opposition","URL":"https://www.churchtimes.co.uk/articles/2023/10-february/news/uk/bishops-proposals-to-bless-same-sex-couples-carried-by-synod-despite-sustained-opposition","author":[{"family":"Martin","given":"Francis"},{"family":"Wyatt","given":"Tim"},{"family":"Williams","given":"Hattie"}],"accessed":{"date-parts":[["2023",6,16]]},"issued":{"date-parts":[["2023",2,9]]}},"label":"page","prefix":"and, also,"}],"schema":"https://github.com/citation-style-language/schema/raw/master/csl-citation.json"} </w:instrText>
      </w:r>
      <w:r>
        <w:fldChar w:fldCharType="separate"/>
      </w:r>
      <w:r w:rsidRPr="001E1730">
        <w:rPr>
          <w:rFonts w:ascii="Calibri" w:cs="Calibri"/>
          <w:kern w:val="0"/>
        </w:rPr>
        <w:t xml:space="preserve">See, General Synod (n 15); and, also, Francis Martin, Tim </w:t>
      </w:r>
      <w:proofErr w:type="gramStart"/>
      <w:r w:rsidRPr="001E1730">
        <w:rPr>
          <w:rFonts w:ascii="Calibri" w:cs="Calibri"/>
          <w:kern w:val="0"/>
        </w:rPr>
        <w:t>Wyatt</w:t>
      </w:r>
      <w:proofErr w:type="gramEnd"/>
      <w:r w:rsidRPr="001E1730">
        <w:rPr>
          <w:rFonts w:ascii="Calibri" w:cs="Calibri"/>
          <w:kern w:val="0"/>
        </w:rPr>
        <w:t xml:space="preserve"> and Hattie Williams, ‘Bishops’ Proposals to Bless Same-Sex Couples Carried by Synod, despite Sustained Opposition’ (</w:t>
      </w:r>
      <w:r w:rsidRPr="001E1730">
        <w:rPr>
          <w:rFonts w:ascii="Calibri" w:cs="Calibri"/>
          <w:i/>
          <w:iCs/>
          <w:kern w:val="0"/>
        </w:rPr>
        <w:t>Church Times</w:t>
      </w:r>
      <w:r w:rsidRPr="001E1730">
        <w:rPr>
          <w:rFonts w:ascii="Calibri" w:cs="Calibri"/>
          <w:kern w:val="0"/>
        </w:rPr>
        <w:t>, 9 February 2023) &lt;https://www.churchtimes.co.uk/articles/2023/10-february/news/uk/bishops-proposals-to-bless-same-sex-couples-carried-by-synod-despite-sustained-opposition&gt; accessed 1</w:t>
      </w:r>
      <w:r w:rsidR="002A7CA3">
        <w:rPr>
          <w:rFonts w:ascii="Calibri" w:cs="Calibri"/>
          <w:kern w:val="0"/>
        </w:rPr>
        <w:t>4 August 2023</w:t>
      </w:r>
      <w:r w:rsidRPr="001E1730">
        <w:rPr>
          <w:rFonts w:ascii="Calibri" w:cs="Calibri"/>
          <w:kern w:val="0"/>
        </w:rPr>
        <w:t>.</w:t>
      </w:r>
      <w:r>
        <w:fldChar w:fldCharType="end"/>
      </w:r>
    </w:p>
  </w:footnote>
  <w:footnote w:id="130">
    <w:p w14:paraId="1F63DDD7" w14:textId="0D978923" w:rsidR="001E1730" w:rsidRDefault="001E1730">
      <w:pPr>
        <w:pStyle w:val="FootnoteText"/>
      </w:pPr>
      <w:r w:rsidRPr="00444F1D">
        <w:rPr>
          <w:rStyle w:val="FootnoteReference"/>
        </w:rPr>
        <w:footnoteRef/>
      </w:r>
      <w:r>
        <w:t xml:space="preserve"> </w:t>
      </w:r>
      <w:r w:rsidR="00710E91">
        <w:t xml:space="preserve">See, Same Sex Marriage (Church of England) HC Bill (2022-23) 274; </w:t>
      </w:r>
      <w:r>
        <w:t xml:space="preserve">HC Deb 21 March 2023, Vol </w:t>
      </w:r>
      <w:r w:rsidR="00710E91">
        <w:t>730, Col 18.</w:t>
      </w:r>
    </w:p>
  </w:footnote>
  <w:footnote w:id="131">
    <w:p w14:paraId="7F92CAF3" w14:textId="1D43E195" w:rsidR="004A365E" w:rsidRDefault="004A365E">
      <w:pPr>
        <w:pStyle w:val="FootnoteText"/>
      </w:pPr>
      <w:r w:rsidRPr="00444F1D">
        <w:rPr>
          <w:rStyle w:val="FootnoteReference"/>
        </w:rPr>
        <w:footnoteRef/>
      </w:r>
      <w:r>
        <w:t xml:space="preserve"> </w:t>
      </w:r>
      <w:r>
        <w:fldChar w:fldCharType="begin"/>
      </w:r>
      <w:r w:rsidR="008A2231">
        <w:instrText xml:space="preserve"> ADDIN ZOTERO_ITEM CSL_CITATION {"citationID":"CHoBEjXn","properties":{"formattedCitation":"Muvija M, \\uc0\\u8216{}Church of England to Draft Pastoral Guidance on Same-Sex Couple Blessings\\uc0\\u8217{} {\\i{}Reuters} (9 July 2023) &lt;https://www.reuters.com/world/uk/church-england-draft-pastoral-guidance-same-sex-couple-blessings-2023-07-08/&gt; accessed 10 July 2023.","plainCitation":"Muvija M, ‘Church of England to Draft Pastoral Guidance on Same-Sex Couple Blessings’ Reuters (9 July 2023) &lt;https://www.reuters.com/world/uk/church-england-draft-pastoral-guidance-same-sex-couple-blessings-2023-07-08/&gt; accessed 10 July 2023.","dontUpdate":true,"noteIndex":131},"citationItems":[{"id":6121,"uris":["http://zotero.org/users/10005302/items/YK49QGA4"],"itemData":{"id":6121,"type":"article-newspaper","abstract":"The Church of England will work towards drafting new pastoral guidance and other material needed to allow same-sex couples to receive blessings from priests over the next few months, it said on Saturday.","container-title":"Reuters","language":"en","section":"United Kingdom","source":"www.reuters.com","title":"Church of England to draft pastoral guidance on same-sex couple blessings","URL":"https://www.reuters.com/world/uk/church-england-draft-pastoral-guidance-same-sex-couple-blessings-2023-07-08/","author":[{"family":"M","given":"Muvija"}],"accessed":{"date-parts":[["2023",7,10]]},"issued":{"date-parts":[["2023",7,9]]}}}],"schema":"https://github.com/citation-style-language/schema/raw/master/csl-citation.json"} </w:instrText>
      </w:r>
      <w:r>
        <w:fldChar w:fldCharType="separate"/>
      </w:r>
      <w:proofErr w:type="spellStart"/>
      <w:r w:rsidRPr="004A365E">
        <w:rPr>
          <w:rFonts w:ascii="Calibri" w:cs="Calibri"/>
          <w:kern w:val="0"/>
        </w:rPr>
        <w:t>Muvija</w:t>
      </w:r>
      <w:proofErr w:type="spellEnd"/>
      <w:r w:rsidRPr="004A365E">
        <w:rPr>
          <w:rFonts w:ascii="Calibri" w:cs="Calibri"/>
          <w:kern w:val="0"/>
        </w:rPr>
        <w:t xml:space="preserve"> M, ‘Church of England to Draft Pastoral Guidance on Same-Sex Couple Blessings’ </w:t>
      </w:r>
      <w:r>
        <w:rPr>
          <w:rFonts w:ascii="Calibri" w:cs="Calibri"/>
          <w:kern w:val="0"/>
        </w:rPr>
        <w:t>(</w:t>
      </w:r>
      <w:r w:rsidRPr="004A365E">
        <w:rPr>
          <w:rFonts w:ascii="Calibri" w:cs="Calibri"/>
          <w:i/>
          <w:iCs/>
          <w:kern w:val="0"/>
        </w:rPr>
        <w:t>Reuters</w:t>
      </w:r>
      <w:r>
        <w:rPr>
          <w:rFonts w:ascii="Calibri" w:cs="Calibri"/>
          <w:kern w:val="0"/>
        </w:rPr>
        <w:t>,</w:t>
      </w:r>
      <w:r w:rsidRPr="004A365E">
        <w:rPr>
          <w:rFonts w:ascii="Calibri" w:cs="Calibri"/>
          <w:kern w:val="0"/>
        </w:rPr>
        <w:t xml:space="preserve"> 9 July 2023) &lt;https://www.reuters.com/world/uk/church-england-draft-pastoral-guidance-same-sex-couple-blessings-2023-07-08/&gt; accessed 1</w:t>
      </w:r>
      <w:r w:rsidR="002A7CA3">
        <w:rPr>
          <w:rFonts w:ascii="Calibri" w:cs="Calibri"/>
          <w:kern w:val="0"/>
        </w:rPr>
        <w:t>4 August 2023</w:t>
      </w:r>
      <w:r w:rsidRPr="004A365E">
        <w:rPr>
          <w:rFonts w:ascii="Calibri" w:cs="Calibri"/>
          <w:kern w:val="0"/>
        </w:rPr>
        <w:t>.</w:t>
      </w:r>
      <w:r>
        <w:fldChar w:fldCharType="end"/>
      </w:r>
    </w:p>
  </w:footnote>
  <w:footnote w:id="132">
    <w:p w14:paraId="560E997E" w14:textId="25C508FA" w:rsidR="00784D61" w:rsidRDefault="00784D61">
      <w:pPr>
        <w:pStyle w:val="FootnoteText"/>
      </w:pPr>
      <w:r w:rsidRPr="00444F1D">
        <w:rPr>
          <w:rStyle w:val="FootnoteReference"/>
        </w:rPr>
        <w:footnoteRef/>
      </w:r>
      <w:r>
        <w:t xml:space="preserve"> </w:t>
      </w:r>
      <w:r>
        <w:fldChar w:fldCharType="begin"/>
      </w:r>
      <w:r w:rsidR="008A2231">
        <w:instrText xml:space="preserve"> ADDIN ZOTERO_ITEM CSL_CITATION {"citationID":"wOSgDh1c","properties":{"formattedCitation":"Heaphy, Smart and Einarsdottir (n 110) 132; Elizabeth Peel, \\uc0\\u8216{}Civil Partnership Ceremonies: (Hetero)Normativity, Ritual and Gender\\uc0\\u8217{} in Joanna Miles, Perveez Mody and Rebecca Probert (eds), {\\i{}Marriage Rites and Rights} (Hart Publishing 2015) 113; Maine (n 16).","plainCitation":"Heaphy, Smart and Einarsdottir (n 110) 132; Elizabeth Peel, ‘Civil Partnership Ceremonies: (Hetero)Normativity, Ritual and Gender’ in Joanna Miles, Perveez Mody and Rebecca Probert (eds), Marriage Rites and Rights (Hart Publishing 2015) 113; Maine (n 16).","dontUpdate":true,"noteIndex":132},"citationItems":[{"id":5734,"uris":["http://zotero.org/users/10005302/items/Z4QEYTTM"],"itemData":{"id":5734,"type":"book","call-number":"HQ76.35.G7 H43 2013","collection-title":"Genders and sexualitites in the social sciences","event-place":"Houndmills, Basingstoke, Hampshire","ISBN":"978-0-230-30023-1","number-of-pages":"205","publisher":"Palgrave Macmillan","publisher-place":"Houndmills, Basingstoke, Hampshire","source":"Library of Congress ISBN","title":"Same sex marriages: new generations, new relationships","title-short":"Same sex marriages","author":[{"family":"Heaphy","given":"Brian"},{"family":"Smart","given":"Carol"},{"family":"Einarsdottir","given":"Anna"}],"issued":{"date-parts":[["2013"]]}},"locator":"132"},{"id":5752,"uris":["http://zotero.org/users/10005302/items/8692PJ89"],"itemData":{"id":5752,"type":"chapter","container-title":"Marriage Rites and Rights","event-place":"Oxford","publisher":"Hart Publishing","publisher-place":"Oxford","title":"Civil Partnership Ceremonies: (Hetero)normativity, Ritual and Gender","author":[{"family":"Peel","given":"Elizabeth"}],"editor":[{"family":"Miles","given":"Joanna"},{"family":"Mody","given":"Perveez"},{"family":"Probert","given":"Rebecca"}],"issued":{"date-parts":[["2015"]]}},"locator":"113"},{"id":5561,"uris":["http://zotero.org/users/10005302/items/TSCCKXG7"],"itemData":{"id":5561,"type":"article-journal","abstract":"This article explores ‘bad’ sex in an age of same-sex marriage, through an analysis of the ‘homoradical’ as a rejection of both hetero and homo-normativities. Drawing on qualitative data from 29 LGBTQ interviewees, the article considers resistance to the discursive privileging of same-sex marriage in the context of Gayle Rubin’s theories of respectability and sexual hierarchies. These hierarchies constitute a ‘charmed circle’ of accepted sexual practices which are traditionally justiﬁed by marriage, procreation and/or love. It examines non-normative sexuality through the example of the lived experiences of non-normative, anti-assimilationist identities, particularly non-monogamy, public sex, and kink sex, showing how the ‘homoradical’ deviates from the normative practices that same-sex marriage reinforces.","container-title":"Laws","issue":"1","language":"en","source":"Zotero","title":"Queering Marriage: The Homoradical and Anti-Normativity","volume":"11","author":[{"family":"Maine","given":"Alexander"}],"issued":{"date-parts":[["2022"]]}}}],"schema":"https://github.com/citation-style-language/schema/raw/master/csl-citation.json"} </w:instrText>
      </w:r>
      <w:r>
        <w:fldChar w:fldCharType="separate"/>
      </w:r>
      <w:proofErr w:type="spellStart"/>
      <w:r w:rsidR="0051105C" w:rsidRPr="0051105C">
        <w:rPr>
          <w:rFonts w:ascii="Calibri" w:cs="Calibri"/>
          <w:kern w:val="0"/>
        </w:rPr>
        <w:t>Heaphy</w:t>
      </w:r>
      <w:proofErr w:type="spellEnd"/>
      <w:r w:rsidR="0051105C" w:rsidRPr="0051105C">
        <w:rPr>
          <w:rFonts w:ascii="Calibri" w:cs="Calibri"/>
          <w:kern w:val="0"/>
        </w:rPr>
        <w:t>, Smart and Einarsdottir (n 11</w:t>
      </w:r>
      <w:r w:rsidR="00141A3F">
        <w:rPr>
          <w:rFonts w:ascii="Calibri" w:cs="Calibri"/>
          <w:kern w:val="0"/>
        </w:rPr>
        <w:t>1</w:t>
      </w:r>
      <w:r w:rsidR="0051105C" w:rsidRPr="0051105C">
        <w:rPr>
          <w:rFonts w:ascii="Calibri" w:cs="Calibri"/>
          <w:kern w:val="0"/>
        </w:rPr>
        <w:t>) 132; Elizabeth Peel, ‘Civil Partnership Ceremonies: (Hetero)Normativity, Ritual and Gender’ in Miles, Mody and Probert (</w:t>
      </w:r>
      <w:r w:rsidR="00041B47">
        <w:rPr>
          <w:rFonts w:ascii="Calibri" w:cs="Calibri"/>
          <w:kern w:val="0"/>
        </w:rPr>
        <w:t>n 38)</w:t>
      </w:r>
      <w:r w:rsidR="0051105C" w:rsidRPr="0051105C">
        <w:rPr>
          <w:rFonts w:ascii="Calibri" w:cs="Calibri"/>
          <w:kern w:val="0"/>
        </w:rPr>
        <w:t xml:space="preserve"> 113; Maine (n 16).</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85"/>
    <w:rsid w:val="000009B9"/>
    <w:rsid w:val="00005997"/>
    <w:rsid w:val="00021394"/>
    <w:rsid w:val="00023C2F"/>
    <w:rsid w:val="00026026"/>
    <w:rsid w:val="000279B3"/>
    <w:rsid w:val="00032F93"/>
    <w:rsid w:val="00036E81"/>
    <w:rsid w:val="00041B47"/>
    <w:rsid w:val="00043E92"/>
    <w:rsid w:val="0005083C"/>
    <w:rsid w:val="00051C37"/>
    <w:rsid w:val="00060D46"/>
    <w:rsid w:val="000763E1"/>
    <w:rsid w:val="00087939"/>
    <w:rsid w:val="000961B0"/>
    <w:rsid w:val="000A0C82"/>
    <w:rsid w:val="000A1859"/>
    <w:rsid w:val="000A1F4E"/>
    <w:rsid w:val="000A2B19"/>
    <w:rsid w:val="000B3771"/>
    <w:rsid w:val="000B417B"/>
    <w:rsid w:val="000C55EF"/>
    <w:rsid w:val="000D286F"/>
    <w:rsid w:val="000E307B"/>
    <w:rsid w:val="000E6537"/>
    <w:rsid w:val="000F7152"/>
    <w:rsid w:val="0011231A"/>
    <w:rsid w:val="001163FD"/>
    <w:rsid w:val="00135DDB"/>
    <w:rsid w:val="00140A78"/>
    <w:rsid w:val="00141A3F"/>
    <w:rsid w:val="0015367A"/>
    <w:rsid w:val="00161087"/>
    <w:rsid w:val="00161756"/>
    <w:rsid w:val="0016456A"/>
    <w:rsid w:val="00186E52"/>
    <w:rsid w:val="0019062B"/>
    <w:rsid w:val="00194D01"/>
    <w:rsid w:val="00195AA4"/>
    <w:rsid w:val="001A5F90"/>
    <w:rsid w:val="001A6200"/>
    <w:rsid w:val="001B22FA"/>
    <w:rsid w:val="001B2A39"/>
    <w:rsid w:val="001B4177"/>
    <w:rsid w:val="001D072C"/>
    <w:rsid w:val="001E1730"/>
    <w:rsid w:val="001E2D0A"/>
    <w:rsid w:val="001E7869"/>
    <w:rsid w:val="002030FC"/>
    <w:rsid w:val="0021111D"/>
    <w:rsid w:val="00220AF3"/>
    <w:rsid w:val="002233B5"/>
    <w:rsid w:val="00223982"/>
    <w:rsid w:val="00235039"/>
    <w:rsid w:val="00235B0D"/>
    <w:rsid w:val="00236287"/>
    <w:rsid w:val="00243145"/>
    <w:rsid w:val="00245DB6"/>
    <w:rsid w:val="002501EC"/>
    <w:rsid w:val="00252BF9"/>
    <w:rsid w:val="0027454C"/>
    <w:rsid w:val="00276920"/>
    <w:rsid w:val="00277D73"/>
    <w:rsid w:val="00292513"/>
    <w:rsid w:val="002A38C5"/>
    <w:rsid w:val="002A3FC4"/>
    <w:rsid w:val="002A4CF2"/>
    <w:rsid w:val="002A7CA3"/>
    <w:rsid w:val="002D4D2F"/>
    <w:rsid w:val="002E6DC6"/>
    <w:rsid w:val="002F043D"/>
    <w:rsid w:val="002F7512"/>
    <w:rsid w:val="003038D6"/>
    <w:rsid w:val="00305160"/>
    <w:rsid w:val="0031677A"/>
    <w:rsid w:val="00334E33"/>
    <w:rsid w:val="00344267"/>
    <w:rsid w:val="00345650"/>
    <w:rsid w:val="00354614"/>
    <w:rsid w:val="00354783"/>
    <w:rsid w:val="00360F60"/>
    <w:rsid w:val="00374C4F"/>
    <w:rsid w:val="003774AA"/>
    <w:rsid w:val="00382927"/>
    <w:rsid w:val="00383F9B"/>
    <w:rsid w:val="00386206"/>
    <w:rsid w:val="00390BAC"/>
    <w:rsid w:val="00397AB1"/>
    <w:rsid w:val="003A4819"/>
    <w:rsid w:val="003A4DE6"/>
    <w:rsid w:val="003B17E8"/>
    <w:rsid w:val="003B2FCC"/>
    <w:rsid w:val="003B6A83"/>
    <w:rsid w:val="003C2833"/>
    <w:rsid w:val="003D126A"/>
    <w:rsid w:val="003D4EDF"/>
    <w:rsid w:val="003E2D96"/>
    <w:rsid w:val="003E3653"/>
    <w:rsid w:val="003E6866"/>
    <w:rsid w:val="003F5799"/>
    <w:rsid w:val="00413025"/>
    <w:rsid w:val="00444F1D"/>
    <w:rsid w:val="00445533"/>
    <w:rsid w:val="004560E5"/>
    <w:rsid w:val="00463023"/>
    <w:rsid w:val="004A365E"/>
    <w:rsid w:val="004B45FE"/>
    <w:rsid w:val="004B6B41"/>
    <w:rsid w:val="004C3D33"/>
    <w:rsid w:val="004D01D6"/>
    <w:rsid w:val="004D3FFB"/>
    <w:rsid w:val="004D6F26"/>
    <w:rsid w:val="004E0462"/>
    <w:rsid w:val="004E3FEA"/>
    <w:rsid w:val="004E6747"/>
    <w:rsid w:val="004E67CD"/>
    <w:rsid w:val="0050032E"/>
    <w:rsid w:val="0050592D"/>
    <w:rsid w:val="0051105C"/>
    <w:rsid w:val="0052215D"/>
    <w:rsid w:val="005243AF"/>
    <w:rsid w:val="00546BE5"/>
    <w:rsid w:val="005501BB"/>
    <w:rsid w:val="00554568"/>
    <w:rsid w:val="00564958"/>
    <w:rsid w:val="00566AF7"/>
    <w:rsid w:val="00582923"/>
    <w:rsid w:val="00590714"/>
    <w:rsid w:val="005A67E6"/>
    <w:rsid w:val="005B5C5D"/>
    <w:rsid w:val="005C4278"/>
    <w:rsid w:val="005D59F7"/>
    <w:rsid w:val="005D72B8"/>
    <w:rsid w:val="005D7B6E"/>
    <w:rsid w:val="005E2D55"/>
    <w:rsid w:val="005E54E7"/>
    <w:rsid w:val="005F3319"/>
    <w:rsid w:val="00607737"/>
    <w:rsid w:val="0061589D"/>
    <w:rsid w:val="00633D24"/>
    <w:rsid w:val="0065501D"/>
    <w:rsid w:val="00656E42"/>
    <w:rsid w:val="00677622"/>
    <w:rsid w:val="006852CC"/>
    <w:rsid w:val="006874A0"/>
    <w:rsid w:val="006A3D6E"/>
    <w:rsid w:val="006A5896"/>
    <w:rsid w:val="006A7894"/>
    <w:rsid w:val="006A7895"/>
    <w:rsid w:val="006E7D85"/>
    <w:rsid w:val="006F7B8B"/>
    <w:rsid w:val="006F7B9D"/>
    <w:rsid w:val="00710E91"/>
    <w:rsid w:val="00716212"/>
    <w:rsid w:val="00717949"/>
    <w:rsid w:val="00744233"/>
    <w:rsid w:val="00751A85"/>
    <w:rsid w:val="0075272E"/>
    <w:rsid w:val="00770066"/>
    <w:rsid w:val="00784D61"/>
    <w:rsid w:val="00791CF0"/>
    <w:rsid w:val="0079414E"/>
    <w:rsid w:val="00795C70"/>
    <w:rsid w:val="007A22D0"/>
    <w:rsid w:val="007A39F8"/>
    <w:rsid w:val="007B01C0"/>
    <w:rsid w:val="007B2A3F"/>
    <w:rsid w:val="007D026E"/>
    <w:rsid w:val="007D355F"/>
    <w:rsid w:val="007D460F"/>
    <w:rsid w:val="007D6BE1"/>
    <w:rsid w:val="0080547D"/>
    <w:rsid w:val="00806C76"/>
    <w:rsid w:val="0081262A"/>
    <w:rsid w:val="00817D3A"/>
    <w:rsid w:val="008331A0"/>
    <w:rsid w:val="008365C5"/>
    <w:rsid w:val="00840097"/>
    <w:rsid w:val="00873C97"/>
    <w:rsid w:val="00876133"/>
    <w:rsid w:val="00881637"/>
    <w:rsid w:val="00883AED"/>
    <w:rsid w:val="00887B3F"/>
    <w:rsid w:val="008A2231"/>
    <w:rsid w:val="008B5EB3"/>
    <w:rsid w:val="008B7C06"/>
    <w:rsid w:val="008C2DFC"/>
    <w:rsid w:val="008D1103"/>
    <w:rsid w:val="008F2350"/>
    <w:rsid w:val="00910B41"/>
    <w:rsid w:val="0093215E"/>
    <w:rsid w:val="00937707"/>
    <w:rsid w:val="00946445"/>
    <w:rsid w:val="00947026"/>
    <w:rsid w:val="00947167"/>
    <w:rsid w:val="00952BB1"/>
    <w:rsid w:val="0097088E"/>
    <w:rsid w:val="00970CEE"/>
    <w:rsid w:val="0097227C"/>
    <w:rsid w:val="00982913"/>
    <w:rsid w:val="00986342"/>
    <w:rsid w:val="009A5083"/>
    <w:rsid w:val="009B0FBA"/>
    <w:rsid w:val="009B15CE"/>
    <w:rsid w:val="009B7B71"/>
    <w:rsid w:val="009C0C16"/>
    <w:rsid w:val="009D0101"/>
    <w:rsid w:val="009D5658"/>
    <w:rsid w:val="009E4668"/>
    <w:rsid w:val="009E64F2"/>
    <w:rsid w:val="009F2739"/>
    <w:rsid w:val="009F5AF1"/>
    <w:rsid w:val="00A22084"/>
    <w:rsid w:val="00A2373B"/>
    <w:rsid w:val="00A26082"/>
    <w:rsid w:val="00A2674C"/>
    <w:rsid w:val="00A356CA"/>
    <w:rsid w:val="00A35EDB"/>
    <w:rsid w:val="00A379A4"/>
    <w:rsid w:val="00A442F3"/>
    <w:rsid w:val="00A44D87"/>
    <w:rsid w:val="00A545FF"/>
    <w:rsid w:val="00AA00D7"/>
    <w:rsid w:val="00AA4734"/>
    <w:rsid w:val="00AA759F"/>
    <w:rsid w:val="00AB4AA1"/>
    <w:rsid w:val="00AD2286"/>
    <w:rsid w:val="00AD6BA8"/>
    <w:rsid w:val="00AE0771"/>
    <w:rsid w:val="00AE30A4"/>
    <w:rsid w:val="00AF6E8A"/>
    <w:rsid w:val="00B07E74"/>
    <w:rsid w:val="00B1055D"/>
    <w:rsid w:val="00B17E85"/>
    <w:rsid w:val="00B253B4"/>
    <w:rsid w:val="00B258EF"/>
    <w:rsid w:val="00B30334"/>
    <w:rsid w:val="00B32816"/>
    <w:rsid w:val="00B3452E"/>
    <w:rsid w:val="00B457F3"/>
    <w:rsid w:val="00B55732"/>
    <w:rsid w:val="00B579C2"/>
    <w:rsid w:val="00B632C8"/>
    <w:rsid w:val="00B6372A"/>
    <w:rsid w:val="00B64BBB"/>
    <w:rsid w:val="00B65537"/>
    <w:rsid w:val="00B83D0A"/>
    <w:rsid w:val="00B964F1"/>
    <w:rsid w:val="00B97CAA"/>
    <w:rsid w:val="00BA2121"/>
    <w:rsid w:val="00BA7C23"/>
    <w:rsid w:val="00BB04E8"/>
    <w:rsid w:val="00BB2670"/>
    <w:rsid w:val="00BB793E"/>
    <w:rsid w:val="00BD1D75"/>
    <w:rsid w:val="00BD684F"/>
    <w:rsid w:val="00BF16C3"/>
    <w:rsid w:val="00BF5CEB"/>
    <w:rsid w:val="00C02687"/>
    <w:rsid w:val="00C25782"/>
    <w:rsid w:val="00C33E25"/>
    <w:rsid w:val="00C55D71"/>
    <w:rsid w:val="00C5629B"/>
    <w:rsid w:val="00C755A3"/>
    <w:rsid w:val="00C84E2D"/>
    <w:rsid w:val="00CA7165"/>
    <w:rsid w:val="00CB54C7"/>
    <w:rsid w:val="00CC0BC5"/>
    <w:rsid w:val="00CC5173"/>
    <w:rsid w:val="00CE7C04"/>
    <w:rsid w:val="00CF42F4"/>
    <w:rsid w:val="00CF557E"/>
    <w:rsid w:val="00D01D81"/>
    <w:rsid w:val="00D01E48"/>
    <w:rsid w:val="00D046D1"/>
    <w:rsid w:val="00D07BA2"/>
    <w:rsid w:val="00D1119B"/>
    <w:rsid w:val="00D12140"/>
    <w:rsid w:val="00D26025"/>
    <w:rsid w:val="00D40476"/>
    <w:rsid w:val="00D55168"/>
    <w:rsid w:val="00D56975"/>
    <w:rsid w:val="00D56F97"/>
    <w:rsid w:val="00D61E35"/>
    <w:rsid w:val="00D7078C"/>
    <w:rsid w:val="00D73751"/>
    <w:rsid w:val="00D847F3"/>
    <w:rsid w:val="00D86C77"/>
    <w:rsid w:val="00D97EF8"/>
    <w:rsid w:val="00DB2FB1"/>
    <w:rsid w:val="00DB4050"/>
    <w:rsid w:val="00DB725C"/>
    <w:rsid w:val="00DC1573"/>
    <w:rsid w:val="00DC7AA1"/>
    <w:rsid w:val="00DD2458"/>
    <w:rsid w:val="00DE0DA7"/>
    <w:rsid w:val="00DE563C"/>
    <w:rsid w:val="00DF6C90"/>
    <w:rsid w:val="00E0201F"/>
    <w:rsid w:val="00E121FA"/>
    <w:rsid w:val="00E1711A"/>
    <w:rsid w:val="00E20A20"/>
    <w:rsid w:val="00E2521B"/>
    <w:rsid w:val="00E27B4E"/>
    <w:rsid w:val="00E309C4"/>
    <w:rsid w:val="00E425FF"/>
    <w:rsid w:val="00E53601"/>
    <w:rsid w:val="00E6094E"/>
    <w:rsid w:val="00E76FD9"/>
    <w:rsid w:val="00E8211F"/>
    <w:rsid w:val="00E82E8B"/>
    <w:rsid w:val="00E92EFE"/>
    <w:rsid w:val="00E940EB"/>
    <w:rsid w:val="00E94D19"/>
    <w:rsid w:val="00EC7016"/>
    <w:rsid w:val="00EC7D60"/>
    <w:rsid w:val="00ED7764"/>
    <w:rsid w:val="00EF0DE2"/>
    <w:rsid w:val="00F01A2B"/>
    <w:rsid w:val="00F03E84"/>
    <w:rsid w:val="00F06186"/>
    <w:rsid w:val="00F10A17"/>
    <w:rsid w:val="00F14423"/>
    <w:rsid w:val="00F14562"/>
    <w:rsid w:val="00F25F16"/>
    <w:rsid w:val="00F30DA2"/>
    <w:rsid w:val="00F30FC4"/>
    <w:rsid w:val="00F369E7"/>
    <w:rsid w:val="00F36A9B"/>
    <w:rsid w:val="00F62B49"/>
    <w:rsid w:val="00F67769"/>
    <w:rsid w:val="00F841A3"/>
    <w:rsid w:val="00F96ED2"/>
    <w:rsid w:val="00FA068A"/>
    <w:rsid w:val="00FB2D07"/>
    <w:rsid w:val="00FB338A"/>
    <w:rsid w:val="00FB4E50"/>
    <w:rsid w:val="00FD32EE"/>
    <w:rsid w:val="00FF5F6C"/>
    <w:rsid w:val="00FF7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512A"/>
  <w15:chartTrackingRefBased/>
  <w15:docId w15:val="{6A22AEE1-CB68-EE43-8830-F2ACAC1D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6E7D85"/>
    <w:pPr>
      <w:outlineLvl w:val="0"/>
    </w:pPr>
  </w:style>
  <w:style w:type="paragraph" w:styleId="Heading2">
    <w:name w:val="heading 2"/>
    <w:basedOn w:val="Normal"/>
    <w:next w:val="Normal"/>
    <w:link w:val="Heading2Char"/>
    <w:uiPriority w:val="9"/>
    <w:unhideWhenUsed/>
    <w:qFormat/>
    <w:rsid w:val="00883AED"/>
    <w:pPr>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D85"/>
    <w:pPr>
      <w:jc w:val="center"/>
    </w:pPr>
    <w:rPr>
      <w:b/>
      <w:bCs/>
    </w:rPr>
  </w:style>
  <w:style w:type="character" w:customStyle="1" w:styleId="TitleChar">
    <w:name w:val="Title Char"/>
    <w:basedOn w:val="DefaultParagraphFont"/>
    <w:link w:val="Title"/>
    <w:uiPriority w:val="10"/>
    <w:rsid w:val="006E7D85"/>
    <w:rPr>
      <w:b/>
      <w:bCs/>
    </w:rPr>
  </w:style>
  <w:style w:type="paragraph" w:styleId="Subtitle">
    <w:name w:val="Subtitle"/>
    <w:basedOn w:val="Normal"/>
    <w:next w:val="Normal"/>
    <w:link w:val="SubtitleChar"/>
    <w:uiPriority w:val="11"/>
    <w:qFormat/>
    <w:rsid w:val="006E7D85"/>
    <w:pPr>
      <w:jc w:val="center"/>
    </w:pPr>
    <w:rPr>
      <w:i/>
      <w:iCs/>
    </w:rPr>
  </w:style>
  <w:style w:type="character" w:customStyle="1" w:styleId="SubtitleChar">
    <w:name w:val="Subtitle Char"/>
    <w:basedOn w:val="DefaultParagraphFont"/>
    <w:link w:val="Subtitle"/>
    <w:uiPriority w:val="11"/>
    <w:rsid w:val="006E7D85"/>
    <w:rPr>
      <w:i/>
      <w:iCs/>
    </w:rPr>
  </w:style>
  <w:style w:type="character" w:customStyle="1" w:styleId="Heading1Char">
    <w:name w:val="Heading 1 Char"/>
    <w:basedOn w:val="DefaultParagraphFont"/>
    <w:link w:val="Heading1"/>
    <w:uiPriority w:val="9"/>
    <w:rsid w:val="006E7D85"/>
  </w:style>
  <w:style w:type="paragraph" w:styleId="FootnoteText">
    <w:name w:val="footnote text"/>
    <w:basedOn w:val="Normal"/>
    <w:link w:val="FootnoteTextChar"/>
    <w:uiPriority w:val="99"/>
    <w:semiHidden/>
    <w:unhideWhenUsed/>
    <w:rsid w:val="00554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568"/>
    <w:rPr>
      <w:sz w:val="20"/>
      <w:szCs w:val="20"/>
    </w:rPr>
  </w:style>
  <w:style w:type="character" w:styleId="FootnoteReference">
    <w:name w:val="footnote reference"/>
    <w:basedOn w:val="DefaultParagraphFont"/>
    <w:uiPriority w:val="99"/>
    <w:semiHidden/>
    <w:unhideWhenUsed/>
    <w:rsid w:val="00554568"/>
    <w:rPr>
      <w:vertAlign w:val="superscript"/>
    </w:rPr>
  </w:style>
  <w:style w:type="character" w:styleId="EndnoteReference">
    <w:name w:val="endnote reference"/>
    <w:basedOn w:val="DefaultParagraphFont"/>
    <w:uiPriority w:val="99"/>
    <w:semiHidden/>
    <w:unhideWhenUsed/>
    <w:rsid w:val="00383F9B"/>
    <w:rPr>
      <w:vertAlign w:val="superscript"/>
    </w:rPr>
  </w:style>
  <w:style w:type="character" w:styleId="CommentReference">
    <w:name w:val="annotation reference"/>
    <w:basedOn w:val="DefaultParagraphFont"/>
    <w:uiPriority w:val="99"/>
    <w:semiHidden/>
    <w:unhideWhenUsed/>
    <w:rsid w:val="009B7B71"/>
    <w:rPr>
      <w:sz w:val="16"/>
      <w:szCs w:val="16"/>
    </w:rPr>
  </w:style>
  <w:style w:type="paragraph" w:styleId="CommentText">
    <w:name w:val="annotation text"/>
    <w:basedOn w:val="Normal"/>
    <w:link w:val="CommentTextChar"/>
    <w:uiPriority w:val="99"/>
    <w:unhideWhenUsed/>
    <w:rsid w:val="009B7B71"/>
    <w:pPr>
      <w:spacing w:line="240" w:lineRule="auto"/>
    </w:pPr>
    <w:rPr>
      <w:sz w:val="20"/>
      <w:szCs w:val="20"/>
    </w:rPr>
  </w:style>
  <w:style w:type="character" w:customStyle="1" w:styleId="CommentTextChar">
    <w:name w:val="Comment Text Char"/>
    <w:basedOn w:val="DefaultParagraphFont"/>
    <w:link w:val="CommentText"/>
    <w:uiPriority w:val="99"/>
    <w:rsid w:val="009B7B71"/>
    <w:rPr>
      <w:sz w:val="20"/>
      <w:szCs w:val="20"/>
    </w:rPr>
  </w:style>
  <w:style w:type="paragraph" w:styleId="CommentSubject">
    <w:name w:val="annotation subject"/>
    <w:basedOn w:val="CommentText"/>
    <w:next w:val="CommentText"/>
    <w:link w:val="CommentSubjectChar"/>
    <w:uiPriority w:val="99"/>
    <w:semiHidden/>
    <w:unhideWhenUsed/>
    <w:rsid w:val="009B7B71"/>
    <w:rPr>
      <w:b/>
      <w:bCs/>
    </w:rPr>
  </w:style>
  <w:style w:type="character" w:customStyle="1" w:styleId="CommentSubjectChar">
    <w:name w:val="Comment Subject Char"/>
    <w:basedOn w:val="CommentTextChar"/>
    <w:link w:val="CommentSubject"/>
    <w:uiPriority w:val="99"/>
    <w:semiHidden/>
    <w:rsid w:val="009B7B71"/>
    <w:rPr>
      <w:b/>
      <w:bCs/>
      <w:sz w:val="20"/>
      <w:szCs w:val="20"/>
    </w:rPr>
  </w:style>
  <w:style w:type="paragraph" w:styleId="NoSpacing">
    <w:name w:val="No Spacing"/>
    <w:uiPriority w:val="1"/>
    <w:qFormat/>
    <w:rsid w:val="00FF5F6C"/>
  </w:style>
  <w:style w:type="character" w:customStyle="1" w:styleId="Heading2Char">
    <w:name w:val="Heading 2 Char"/>
    <w:basedOn w:val="DefaultParagraphFont"/>
    <w:link w:val="Heading2"/>
    <w:uiPriority w:val="9"/>
    <w:rsid w:val="00883AED"/>
    <w:rPr>
      <w:b/>
      <w:bCs/>
    </w:rPr>
  </w:style>
  <w:style w:type="paragraph" w:styleId="Revision">
    <w:name w:val="Revision"/>
    <w:hidden/>
    <w:uiPriority w:val="99"/>
    <w:semiHidden/>
    <w:rsid w:val="004B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429">
      <w:bodyDiv w:val="1"/>
      <w:marLeft w:val="0"/>
      <w:marRight w:val="0"/>
      <w:marTop w:val="0"/>
      <w:marBottom w:val="0"/>
      <w:divBdr>
        <w:top w:val="none" w:sz="0" w:space="0" w:color="auto"/>
        <w:left w:val="none" w:sz="0" w:space="0" w:color="auto"/>
        <w:bottom w:val="none" w:sz="0" w:space="0" w:color="auto"/>
        <w:right w:val="none" w:sz="0" w:space="0" w:color="auto"/>
      </w:divBdr>
    </w:div>
    <w:div w:id="9296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9BBDF-86E0-424F-AE7B-9EB5A89B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5734</Words>
  <Characters>32687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Cameron 4</dc:creator>
  <cp:keywords/>
  <dc:description/>
  <cp:lastModifiedBy>Cameron Giles</cp:lastModifiedBy>
  <cp:revision>2</cp:revision>
  <dcterms:created xsi:type="dcterms:W3CDTF">2024-03-26T10:01:00Z</dcterms:created>
  <dcterms:modified xsi:type="dcterms:W3CDTF">2024-03-26T10:01:00Z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id="AuxqLM2n"/&gt;&lt;style id="http://www.zotero.org/styles/oscola" hasBibliography="1" bibliographyStyleHasBeenSet="0"/&gt;&lt;prefs&gt;&lt;pref name="fieldType" value="Field"/&gt;&lt;pref name="automaticJournalAbbreviati</vt:lpwstr>
  </property>
  <property fmtid="{D5CDD505-2E9C-101B-9397-08002B2CF9AE}" pid="3" name="ZOTERO_PREF_2">
    <vt:lpwstr>ons" value="true"/&gt;&lt;pref name="noteType" value="1"/&gt;&lt;/prefs&gt;&lt;/data&gt;</vt:lpwstr>
  </property>
</Properties>
</file>