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D773" w14:textId="24B9B446" w:rsidR="00B343D6" w:rsidRPr="001D5FAF" w:rsidRDefault="001D5FAF">
      <w:pPr>
        <w:rPr>
          <w:b/>
          <w:bCs/>
          <w:sz w:val="28"/>
          <w:szCs w:val="28"/>
        </w:rPr>
      </w:pPr>
      <w:r w:rsidRPr="001D5FAF">
        <w:rPr>
          <w:b/>
          <w:bCs/>
          <w:sz w:val="28"/>
          <w:szCs w:val="28"/>
        </w:rPr>
        <w:t>Journal of Prescribing Practice</w:t>
      </w:r>
    </w:p>
    <w:p w14:paraId="238A6A9F" w14:textId="2F30CC99" w:rsidR="001D5FAF" w:rsidRPr="001D5FAF" w:rsidRDefault="001D5FAF">
      <w:pPr>
        <w:rPr>
          <w:b/>
          <w:bCs/>
          <w:sz w:val="28"/>
          <w:szCs w:val="28"/>
        </w:rPr>
      </w:pPr>
      <w:r w:rsidRPr="001D5FAF">
        <w:rPr>
          <w:b/>
          <w:bCs/>
          <w:sz w:val="28"/>
          <w:szCs w:val="28"/>
        </w:rPr>
        <w:t>A-Z of Prescribing for children</w:t>
      </w:r>
    </w:p>
    <w:p w14:paraId="0C288AB8" w14:textId="77777777" w:rsidR="001D5FAF" w:rsidRDefault="001D5FAF"/>
    <w:p w14:paraId="41FDEAF9" w14:textId="77777777" w:rsidR="001D5FAF" w:rsidRDefault="001D5FAF"/>
    <w:p w14:paraId="4BD723D5" w14:textId="644AFCAA" w:rsidR="001D5FAF" w:rsidRPr="001D5FAF" w:rsidRDefault="001D5FAF">
      <w:pPr>
        <w:rPr>
          <w:b/>
          <w:bCs/>
        </w:rPr>
      </w:pPr>
      <w:r w:rsidRPr="001D5FAF">
        <w:rPr>
          <w:b/>
          <w:bCs/>
        </w:rPr>
        <w:t>Kate Davies</w:t>
      </w:r>
    </w:p>
    <w:p w14:paraId="4B898880" w14:textId="7B715A49" w:rsidR="001D5FAF" w:rsidRPr="001D5FAF" w:rsidRDefault="001D5FAF">
      <w:pPr>
        <w:rPr>
          <w:b/>
          <w:bCs/>
        </w:rPr>
      </w:pPr>
      <w:r w:rsidRPr="001D5FAF">
        <w:rPr>
          <w:b/>
          <w:bCs/>
        </w:rPr>
        <w:t>Associate Professor, Paediatric Prescribing &amp; Endocrinology</w:t>
      </w:r>
    </w:p>
    <w:p w14:paraId="43B85043" w14:textId="29FEE4B9" w:rsidR="001D5FAF" w:rsidRDefault="001D5FAF">
      <w:pPr>
        <w:rPr>
          <w:b/>
          <w:bCs/>
        </w:rPr>
      </w:pPr>
      <w:r w:rsidRPr="001D5FAF">
        <w:rPr>
          <w:b/>
          <w:bCs/>
        </w:rPr>
        <w:t>London South Bank University</w:t>
      </w:r>
    </w:p>
    <w:p w14:paraId="68E363BF" w14:textId="77777777" w:rsidR="001D5FAF" w:rsidRDefault="001D5FAF">
      <w:pPr>
        <w:rPr>
          <w:b/>
          <w:bCs/>
        </w:rPr>
      </w:pPr>
    </w:p>
    <w:p w14:paraId="3CA485BD" w14:textId="0BA2D307" w:rsidR="001D5FAF" w:rsidRDefault="0037052F" w:rsidP="001D5FAF">
      <w:pPr>
        <w:jc w:val="center"/>
        <w:rPr>
          <w:b/>
          <w:bCs/>
          <w:sz w:val="32"/>
          <w:szCs w:val="32"/>
        </w:rPr>
      </w:pPr>
      <w:r>
        <w:rPr>
          <w:b/>
          <w:bCs/>
          <w:sz w:val="32"/>
          <w:szCs w:val="32"/>
        </w:rPr>
        <w:t>L – Legal considerations</w:t>
      </w:r>
    </w:p>
    <w:p w14:paraId="710EB2BF" w14:textId="77777777" w:rsidR="0037052F" w:rsidRDefault="0037052F" w:rsidP="001D5FAF">
      <w:pPr>
        <w:jc w:val="center"/>
        <w:rPr>
          <w:b/>
          <w:bCs/>
          <w:sz w:val="32"/>
          <w:szCs w:val="32"/>
        </w:rPr>
      </w:pPr>
    </w:p>
    <w:p w14:paraId="10CA8EE2" w14:textId="1E448C79" w:rsidR="0037052F" w:rsidRDefault="0037052F" w:rsidP="0037052F">
      <w:pPr>
        <w:jc w:val="both"/>
      </w:pPr>
      <w:r w:rsidRPr="0037052F">
        <w:t xml:space="preserve">There </w:t>
      </w:r>
      <w:r>
        <w:t xml:space="preserve">are many legal aspects to consider when </w:t>
      </w:r>
      <w:proofErr w:type="gramStart"/>
      <w:r>
        <w:t>entering into</w:t>
      </w:r>
      <w:proofErr w:type="gramEnd"/>
      <w:r>
        <w:t xml:space="preserve"> independent prescribing, alongside regulatory frameworks and ethical principles. Prescribing professionally requires an awareness of relevant laws underpinning prescribing practice </w:t>
      </w:r>
      <w:r>
        <w:fldChar w:fldCharType="begin"/>
      </w:r>
      <w:r>
        <w:instrText xml:space="preserve"> ADDIN EN.CITE &lt;EndNote&gt;&lt;Cite&gt;&lt;Author&gt;Gould&lt;/Author&gt;&lt;Year&gt;2022&lt;/Year&gt;&lt;RecNum&gt;15446&lt;/RecNum&gt;&lt;DisplayText&gt;(Gould and Bain 2022)&lt;/DisplayText&gt;&lt;record&gt;&lt;rec-number&gt;15446&lt;/rec-number&gt;&lt;foreign-keys&gt;&lt;key app="EN" db-id="2dvtr5t089z0xke2s0qpxtf3w9xsp0ssadxw" timestamp="1691763936" guid="370cb4a7-a2d6-4624-b5d8-2ca3ed3da625"&gt;15446&lt;/key&gt;&lt;/foreign-keys&gt;&lt;ref-type name="Journal Article"&gt;17&lt;/ref-type&gt;&lt;contributors&gt;&lt;authors&gt;&lt;author&gt;Gould, Jill&lt;/author&gt;&lt;author&gt;Bain, Heather&lt;/author&gt;&lt;/authors&gt;&lt;/contributors&gt;&lt;titles&gt;&lt;title&gt;Professional, legal and ethical dimensions of prescribing. Part 2: legal and ethical&lt;/title&gt;&lt;secondary-title&gt;Primary Health Care&lt;/secondary-title&gt;&lt;/titles&gt;&lt;periodical&gt;&lt;full-title&gt;Primary Health Care&lt;/full-title&gt;&lt;/periodical&gt;&lt;pages&gt;27-34&lt;/pages&gt;&lt;volume&gt;33&lt;/volume&gt;&lt;number&gt;1&lt;/number&gt;&lt;section&gt;27&lt;/section&gt;&lt;dates&gt;&lt;year&gt;2022&lt;/year&gt;&lt;/dates&gt;&lt;isbn&gt;0264-5033&amp;#xD;2047-900X&lt;/isbn&gt;&lt;urls&gt;&lt;/urls&gt;&lt;electronic-resource-num&gt;10.7748/phc.2022.e1774&lt;/electronic-resource-num&gt;&lt;/record&gt;&lt;/Cite&gt;&lt;/EndNote&gt;</w:instrText>
      </w:r>
      <w:r>
        <w:fldChar w:fldCharType="separate"/>
      </w:r>
      <w:r>
        <w:rPr>
          <w:noProof/>
        </w:rPr>
        <w:t>(Gould and Bain 2022)</w:t>
      </w:r>
      <w:r>
        <w:fldChar w:fldCharType="end"/>
      </w:r>
      <w:r w:rsidR="00F71610">
        <w:t xml:space="preserve">, but some laws and issues when prescribing for children should be considered. </w:t>
      </w:r>
    </w:p>
    <w:p w14:paraId="5F9D98A5" w14:textId="77777777" w:rsidR="00F71610" w:rsidRDefault="00F71610" w:rsidP="0037052F">
      <w:pPr>
        <w:jc w:val="both"/>
      </w:pPr>
    </w:p>
    <w:p w14:paraId="624F2A08" w14:textId="3F9297A7" w:rsidR="00F71610" w:rsidRDefault="00F71610" w:rsidP="0037052F">
      <w:pPr>
        <w:jc w:val="both"/>
        <w:rPr>
          <w:i/>
          <w:iCs/>
        </w:rPr>
      </w:pPr>
      <w:r>
        <w:t xml:space="preserve">Gillick competence and consent have already been covered in this series </w:t>
      </w:r>
      <w:r>
        <w:fldChar w:fldCharType="begin"/>
      </w:r>
      <w:r>
        <w:instrText xml:space="preserve"> ADDIN EN.CITE &lt;EndNote&gt;&lt;Cite&gt;&lt;Author&gt;Davies&lt;/Author&gt;&lt;Year&gt;2024&lt;/Year&gt;&lt;RecNum&gt;16566&lt;/RecNum&gt;&lt;DisplayText&gt;(Davies 2024)&lt;/DisplayText&gt;&lt;record&gt;&lt;rec-number&gt;16566&lt;/rec-number&gt;&lt;foreign-keys&gt;&lt;key app="EN" db-id="2dvtr5t089z0xke2s0qpxtf3w9xsp0ssadxw" timestamp="1719153627"&gt;16566&lt;/key&gt;&lt;/foreign-keys&gt;&lt;ref-type name="Journal Article"&gt;17&lt;/ref-type&gt;&lt;contributors&gt;&lt;authors&gt;&lt;author&gt;Davies, K.&lt;/author&gt;&lt;/authors&gt;&lt;/contributors&gt;&lt;titles&gt;&lt;title&gt;G - Gillick competence&lt;/title&gt;&lt;secondary-title&gt;Journal of Prescribing Practice&lt;/secondary-title&gt;&lt;/titles&gt;&lt;periodical&gt;&lt;full-title&gt;Journal of Prescribing Practice&lt;/full-title&gt;&lt;/periodical&gt;&lt;pages&gt;156 - 157&lt;/pages&gt;&lt;volume&gt;6&lt;/volume&gt;&lt;number&gt;4&lt;/number&gt;&lt;dates&gt;&lt;year&gt;2024&lt;/year&gt;&lt;/dates&gt;&lt;urls&gt;&lt;/urls&gt;&lt;/record&gt;&lt;/Cite&gt;&lt;/EndNote&gt;</w:instrText>
      </w:r>
      <w:r>
        <w:fldChar w:fldCharType="separate"/>
      </w:r>
      <w:r>
        <w:rPr>
          <w:noProof/>
        </w:rPr>
        <w:t>(Davies 2024)</w:t>
      </w:r>
      <w:r>
        <w:fldChar w:fldCharType="end"/>
      </w:r>
      <w:r>
        <w:t xml:space="preserve">, but exploring the child’s best interests is a concept that should also be examined. The Children Act </w:t>
      </w:r>
      <w:r w:rsidR="00AF0C97">
        <w:fldChar w:fldCharType="begin"/>
      </w:r>
      <w:r w:rsidR="00AF0C97">
        <w:instrText xml:space="preserve"> ADDIN EN.CITE &lt;EndNote&gt;&lt;Cite&gt;&lt;Year&gt;1989&lt;/Year&gt;&lt;RecNum&gt;16571&lt;/RecNum&gt;&lt;DisplayText&gt;(1989)&lt;/DisplayText&gt;&lt;record&gt;&lt;rec-number&gt;16571&lt;/rec-number&gt;&lt;foreign-keys&gt;&lt;key app="EN" db-id="2dvtr5t089z0xke2s0qpxtf3w9xsp0ssadxw" timestamp="1719399057"&gt;16571&lt;/key&gt;&lt;/foreign-keys&gt;&lt;ref-type name="Statute"&gt;31&lt;/ref-type&gt;&lt;contributors&gt;&lt;/contributors&gt;&lt;titles&gt;&lt;title&gt;Children Act&lt;/title&gt;&lt;secondary-title&gt;c.31&lt;/secondary-title&gt;&lt;/titles&gt;&lt;num-vols&gt;41&lt;/num-vols&gt;&lt;dates&gt;&lt;year&gt;1989&lt;/year&gt;&lt;/dates&gt;&lt;pub-location&gt;UK&lt;/pub-location&gt;&lt;urls&gt;&lt;related-urls&gt;&lt;url&gt;https://www.legislation.gov.uk/ukpga/1989/41/data.pdf&lt;/url&gt;&lt;/related-urls&gt;&lt;/urls&gt;&lt;access-date&gt;26 June 2024&lt;/access-date&gt;&lt;/record&gt;&lt;/Cite&gt;&lt;/EndNote&gt;</w:instrText>
      </w:r>
      <w:r w:rsidR="00AF0C97">
        <w:fldChar w:fldCharType="separate"/>
      </w:r>
      <w:r w:rsidR="00AF0C97">
        <w:rPr>
          <w:noProof/>
        </w:rPr>
        <w:t>(1989)</w:t>
      </w:r>
      <w:r w:rsidR="00AF0C97">
        <w:fldChar w:fldCharType="end"/>
      </w:r>
      <w:r w:rsidR="00AF0C97">
        <w:t xml:space="preserve"> is central to decision making with regards to children’s treatment, and focuses on the care, upbringing and the protection of children </w:t>
      </w:r>
      <w:r w:rsidR="00AF0C97">
        <w:fldChar w:fldCharType="begin"/>
      </w:r>
      <w:r w:rsidR="00AF0C97">
        <w:instrText xml:space="preserve"> ADDIN EN.CITE &lt;EndNote&gt;&lt;Cite&gt;&lt;Author&gt;Bridgeman&lt;/Author&gt;&lt;Year&gt;2021&lt;/Year&gt;&lt;RecNum&gt;13426&lt;/RecNum&gt;&lt;DisplayText&gt;(Bridgeman 2021)&lt;/DisplayText&gt;&lt;record&gt;&lt;rec-number&gt;13426&lt;/rec-number&gt;&lt;foreign-keys&gt;&lt;key app="EN" db-id="2dvtr5t089z0xke2s0qpxtf3w9xsp0ssadxw" timestamp="1669302436" guid="8691ec1b-4a57-4ee2-b9db-9ea967c13e52"&gt;13426&lt;/key&gt;&lt;/foreign-keys&gt;&lt;ref-type name="Journal Article"&gt;17&lt;/ref-type&gt;&lt;contributors&gt;&lt;authors&gt;&lt;author&gt;Bridgeman, Jo&lt;/author&gt;&lt;/authors&gt;&lt;/contributors&gt;&lt;titles&gt;&lt;title&gt;‘Our legal responsibility…to intervene on behalf of the child’: Recognising public responsibilities for the medical treatment of children&lt;/title&gt;&lt;secondary-title&gt;Medical Law International&lt;/secondary-title&gt;&lt;/titles&gt;&lt;periodical&gt;&lt;full-title&gt;Medical Law International&lt;/full-title&gt;&lt;/periodical&gt;&lt;pages&gt;19-41&lt;/pages&gt;&lt;volume&gt;21&lt;/volume&gt;&lt;number&gt;1&lt;/number&gt;&lt;section&gt;19&lt;/section&gt;&lt;dates&gt;&lt;year&gt;2021&lt;/year&gt;&lt;/dates&gt;&lt;isbn&gt;0968-5332&amp;#xD;2047-9441&lt;/isbn&gt;&lt;urls&gt;&lt;/urls&gt;&lt;electronic-resource-num&gt;10.1177/0968533221993507&lt;/electronic-resource-num&gt;&lt;/record&gt;&lt;/Cite&gt;&lt;/EndNote&gt;</w:instrText>
      </w:r>
      <w:r w:rsidR="00AF0C97">
        <w:fldChar w:fldCharType="separate"/>
      </w:r>
      <w:r w:rsidR="00AF0C97">
        <w:rPr>
          <w:noProof/>
        </w:rPr>
        <w:t>(Bridgeman 2021)</w:t>
      </w:r>
      <w:r w:rsidR="00AF0C97">
        <w:fldChar w:fldCharType="end"/>
      </w:r>
      <w:r w:rsidR="00AF0C97">
        <w:t xml:space="preserve">. Healthcare professionals are obliged to act on any concerns they may have if they perceive the child is at risk – and this can also be pertinent if the parent lacks capacity to exert parental responsibility </w:t>
      </w:r>
      <w:r w:rsidR="00AF0C97">
        <w:fldChar w:fldCharType="begin"/>
      </w:r>
      <w:r w:rsidR="00AF0C97">
        <w:instrText xml:space="preserve"> ADDIN EN.CITE &lt;EndNote&gt;&lt;Cite&gt;&lt;Author&gt;Griffith&lt;/Author&gt;&lt;Year&gt;2009&lt;/Year&gt;&lt;RecNum&gt;10780&lt;/RecNum&gt;&lt;DisplayText&gt;(Griffith 2009)&lt;/DisplayText&gt;&lt;record&gt;&lt;rec-number&gt;10780&lt;/rec-number&gt;&lt;foreign-keys&gt;&lt;key app="EN" db-id="2dvtr5t089z0xke2s0qpxtf3w9xsp0ssadxw" timestamp="1669285055" guid="fece50fa-8098-4fe8-812d-7006cc2eb032"&gt;10780&lt;/key&gt;&lt;/foreign-keys&gt;&lt;ref-type name="Journal Article"&gt;17&lt;/ref-type&gt;&lt;contributors&gt;&lt;authors&gt;&lt;author&gt;Griffith, R.&lt;/author&gt;&lt;/authors&gt;&lt;/contributors&gt;&lt;titles&gt;&lt;title&gt;The Mental Capacity Act 2005 in practice: best interests&lt;/title&gt;&lt;secondary-title&gt;Nurse Prescribing&lt;/secondary-title&gt;&lt;/titles&gt;&lt;periodical&gt;&lt;full-title&gt;Nurse Prescribing&lt;/full-title&gt;&lt;/periodical&gt;&lt;pages&gt;172 - 175&lt;/pages&gt;&lt;volume&gt;7&lt;/volume&gt;&lt;number&gt;4&lt;/number&gt;&lt;dates&gt;&lt;year&gt;2009&lt;/year&gt;&lt;/dates&gt;&lt;urls&gt;&lt;/urls&gt;&lt;/record&gt;&lt;/Cite&gt;&lt;/EndNote&gt;</w:instrText>
      </w:r>
      <w:r w:rsidR="00AF0C97">
        <w:fldChar w:fldCharType="separate"/>
      </w:r>
      <w:r w:rsidR="00AF0C97">
        <w:rPr>
          <w:noProof/>
        </w:rPr>
        <w:t>(Griffith 2009)</w:t>
      </w:r>
      <w:r w:rsidR="00AF0C97">
        <w:fldChar w:fldCharType="end"/>
      </w:r>
      <w:r w:rsidR="00AF0C97">
        <w:t xml:space="preserve">. This also applies if it is not clear </w:t>
      </w:r>
      <w:r w:rsidR="00AF0C97" w:rsidRPr="00AF0C97">
        <w:rPr>
          <w:i/>
          <w:iCs/>
        </w:rPr>
        <w:t>who</w:t>
      </w:r>
      <w:r w:rsidR="00AF0C97">
        <w:rPr>
          <w:i/>
          <w:iCs/>
        </w:rPr>
        <w:t xml:space="preserve"> </w:t>
      </w:r>
      <w:r w:rsidR="00AF0C97">
        <w:t xml:space="preserve">has parental responsibility for the minor. Changing family demographics, however, also need to be considered </w:t>
      </w:r>
      <w:r w:rsidR="00AF0C97">
        <w:fldChar w:fldCharType="begin"/>
      </w:r>
      <w:r w:rsidR="00AF0C97">
        <w:instrText xml:space="preserve"> ADDIN EN.CITE &lt;EndNote&gt;&lt;Cite&gt;&lt;Author&gt;Davies&lt;/Author&gt;&lt;Year&gt;2023&lt;/Year&gt;&lt;RecNum&gt;16101&lt;/RecNum&gt;&lt;DisplayText&gt;(Davies 2023)&lt;/DisplayText&gt;&lt;record&gt;&lt;rec-number&gt;16101&lt;/rec-number&gt;&lt;foreign-keys&gt;&lt;key app="EN" db-id="2dvtr5t089z0xke2s0qpxtf3w9xsp0ssadxw" timestamp="1705684750" guid="6c15013f-2333-4846-ac86-2bdefe18b013"&gt;16101&lt;/key&gt;&lt;/foreign-keys&gt;&lt;ref-type name="Journal Article"&gt;17&lt;/ref-type&gt;&lt;contributors&gt;&lt;authors&gt;&lt;author&gt;Davies, K.&lt;/author&gt;&lt;/authors&gt;&lt;/contributors&gt;&lt;titles&gt;&lt;title&gt;The current state of paediatric non-medical prescribing&lt;/title&gt;&lt;secondary-title&gt;Journal of Prescribing Practice&lt;/secondary-title&gt;&lt;/titles&gt;&lt;periodical&gt;&lt;full-title&gt;Journal of Prescribing Practice&lt;/full-title&gt;&lt;/periodical&gt;&lt;pages&gt;518 - 524&lt;/pages&gt;&lt;volume&gt;5&lt;/volume&gt;&lt;number&gt;12&lt;/number&gt;&lt;dates&gt;&lt;year&gt;2023&lt;/year&gt;&lt;/dates&gt;&lt;urls&gt;&lt;/urls&gt;&lt;/record&gt;&lt;/Cite&gt;&lt;/EndNote&gt;</w:instrText>
      </w:r>
      <w:r w:rsidR="00AF0C97">
        <w:fldChar w:fldCharType="separate"/>
      </w:r>
      <w:r w:rsidR="00AF0C97">
        <w:rPr>
          <w:noProof/>
        </w:rPr>
        <w:t>(Davies 2023)</w:t>
      </w:r>
      <w:r w:rsidR="00AF0C97">
        <w:fldChar w:fldCharType="end"/>
      </w:r>
      <w:r w:rsidR="00AF0C97">
        <w:t xml:space="preserve">, with regards to step parents, same sex parents, or parents with acquired responsibility. If no-one is present with parental responsibility, or the parents – or the child – are unable to consent to aspects of treatment – then the healthcare professional can legally prescribe for the child if they are prescribing in the </w:t>
      </w:r>
      <w:r w:rsidR="00AF0C97" w:rsidRPr="00AF0C97">
        <w:rPr>
          <w:i/>
          <w:iCs/>
        </w:rPr>
        <w:t>child’s best interests</w:t>
      </w:r>
      <w:r w:rsidR="00AF0C97">
        <w:rPr>
          <w:i/>
          <w:iCs/>
        </w:rPr>
        <w:t>.</w:t>
      </w:r>
    </w:p>
    <w:p w14:paraId="6237ED19" w14:textId="77777777" w:rsidR="00AF0C97" w:rsidRDefault="00AF0C97" w:rsidP="0037052F">
      <w:pPr>
        <w:jc w:val="both"/>
        <w:rPr>
          <w:i/>
          <w:iCs/>
        </w:rPr>
      </w:pPr>
    </w:p>
    <w:p w14:paraId="194F6F34" w14:textId="0FC6FD42" w:rsidR="00062582" w:rsidRDefault="00AF0C97" w:rsidP="00883D90">
      <w:pPr>
        <w:jc w:val="both"/>
      </w:pPr>
      <w:r>
        <w:t xml:space="preserve">However, in order to act in the child’s best interests, the prescriber must be familiar with the </w:t>
      </w:r>
      <w:proofErr w:type="spellStart"/>
      <w:r>
        <w:t>BNFc</w:t>
      </w:r>
      <w:proofErr w:type="spellEnd"/>
      <w:r>
        <w:t xml:space="preserve"> </w:t>
      </w:r>
      <w:r>
        <w:fldChar w:fldCharType="begin"/>
      </w:r>
      <w:r>
        <w:instrText xml:space="preserve"> ADDIN EN.CITE &lt;EndNote&gt;&lt;Cite&gt;&lt;Author&gt;Davies&lt;/Author&gt;&lt;Year&gt;2023&lt;/Year&gt;&lt;RecNum&gt;15754&lt;/RecNum&gt;&lt;DisplayText&gt;(Davies 2023)&lt;/DisplayText&gt;&lt;record&gt;&lt;rec-number&gt;15754&lt;/rec-number&gt;&lt;foreign-keys&gt;&lt;key app="EN" db-id="2dvtr5t089z0xke2s0qpxtf3w9xsp0ssadxw" timestamp="1698408854" guid="29f7ba4c-e387-4989-9ed9-53c38fd3398e"&gt;15754&lt;/key&gt;&lt;/foreign-keys&gt;&lt;ref-type name="Journal Article"&gt;17&lt;/ref-type&gt;&lt;contributors&gt;&lt;authors&gt;&lt;author&gt;Davies, K.&lt;/author&gt;&lt;/authors&gt;&lt;/contributors&gt;&lt;titles&gt;&lt;title&gt;B - BNFc &lt;/title&gt;&lt;secondary-title&gt;Journal of Prescribing Practice&lt;/secondary-title&gt;&lt;/titles&gt;&lt;periodical&gt;&lt;full-title&gt;Journal of Prescribing Practice&lt;/full-title&gt;&lt;/periodical&gt;&lt;pages&gt;418 - 419&lt;/pages&gt;&lt;volume&gt;5&lt;/volume&gt;&lt;number&gt;10&lt;/number&gt;&lt;dates&gt;&lt;year&gt;2023&lt;/year&gt;&lt;/dates&gt;&lt;urls&gt;&lt;/urls&gt;&lt;/record&gt;&lt;/Cite&gt;&lt;/EndNote&gt;</w:instrText>
      </w:r>
      <w:r>
        <w:fldChar w:fldCharType="separate"/>
      </w:r>
      <w:r>
        <w:rPr>
          <w:noProof/>
        </w:rPr>
        <w:t>(Davies 2023)</w:t>
      </w:r>
      <w:r>
        <w:fldChar w:fldCharType="end"/>
      </w:r>
      <w:r w:rsidR="00883D90">
        <w:t xml:space="preserve">, be proficient in paediatric specific history taking </w:t>
      </w:r>
      <w:r w:rsidR="00883D90">
        <w:fldChar w:fldCharType="begin"/>
      </w:r>
      <w:r w:rsidR="00883D90">
        <w:instrText xml:space="preserve"> ADDIN EN.CITE &lt;EndNote&gt;&lt;Cite&gt;&lt;Author&gt;Davies&lt;/Author&gt;&lt;Year&gt;2024&lt;/Year&gt;&lt;RecNum&gt;16555&lt;/RecNum&gt;&lt;DisplayText&gt;(Davies 2024)&lt;/DisplayText&gt;&lt;record&gt;&lt;rec-number&gt;16555&lt;/rec-number&gt;&lt;foreign-keys&gt;&lt;key app="EN" db-id="2dvtr5t089z0xke2s0qpxtf3w9xsp0ssadxw" timestamp="1719153608"&gt;16555&lt;/key&gt;&lt;/foreign-keys&gt;&lt;ref-type name="Journal Article"&gt;17&lt;/ref-type&gt;&lt;contributors&gt;&lt;authors&gt;&lt;author&gt;Davies, K.&lt;/author&gt;&lt;/authors&gt;&lt;/contributors&gt;&lt;titles&gt;&lt;title&gt;H - History taking&lt;/title&gt;&lt;secondary-title&gt;Journal of Prescribing Practice&lt;/secondary-title&gt;&lt;/titles&gt;&lt;periodical&gt;&lt;full-title&gt;Journal of Prescribing Practice&lt;/full-title&gt;&lt;/periodical&gt;&lt;pages&gt;200 - 201&lt;/pages&gt;&lt;volume&gt;6&lt;/volume&gt;&lt;number&gt;5&lt;/number&gt;&lt;dates&gt;&lt;year&gt;2024&lt;/year&gt;&lt;/dates&gt;&lt;urls&gt;&lt;/urls&gt;&lt;/record&gt;&lt;/Cite&gt;&lt;/EndNote&gt;</w:instrText>
      </w:r>
      <w:r w:rsidR="00883D90">
        <w:fldChar w:fldCharType="separate"/>
      </w:r>
      <w:r w:rsidR="00883D90">
        <w:rPr>
          <w:noProof/>
        </w:rPr>
        <w:t>(Davies 2024)</w:t>
      </w:r>
      <w:r w:rsidR="00883D90">
        <w:fldChar w:fldCharType="end"/>
      </w:r>
      <w:r w:rsidR="00883D90">
        <w:t xml:space="preserve">, be able to give the full information about the drug concerned, including any side effects, and prescribing the right dose </w:t>
      </w:r>
      <w:r w:rsidR="00883D90">
        <w:fldChar w:fldCharType="begin"/>
      </w:r>
      <w:r w:rsidR="00883D90">
        <w:instrText xml:space="preserve"> ADDIN EN.CITE &lt;EndNote&gt;&lt;Cite&gt;&lt;Author&gt;Keith&lt;/Author&gt;&lt;Year&gt;2015&lt;/Year&gt;&lt;RecNum&gt;12383&lt;/RecNum&gt;&lt;DisplayText&gt;(Keith 2015)&lt;/DisplayText&gt;&lt;record&gt;&lt;rec-number&gt;12383&lt;/rec-number&gt;&lt;foreign-keys&gt;&lt;key app="EN" db-id="2dvtr5t089z0xke2s0qpxtf3w9xsp0ssadxw" timestamp="1669298606" guid="11147ac8-d788-45e1-89ad-6521480eeb6c"&gt;12383&lt;/key&gt;&lt;/foreign-keys&gt;&lt;ref-type name="Journal Article"&gt;17&lt;/ref-type&gt;&lt;contributors&gt;&lt;authors&gt;&lt;author&gt;Keith, Tamara&lt;/author&gt;&lt;/authors&gt;&lt;/contributors&gt;&lt;titles&gt;&lt;title&gt;Prescribing for children&lt;/title&gt;&lt;secondary-title&gt;InnovAiT: Education and inspiration for general practice&lt;/secondary-title&gt;&lt;/titles&gt;&lt;periodical&gt;&lt;full-title&gt;InnovAiT: Education and inspiration for general practice&lt;/full-title&gt;&lt;/periodical&gt;&lt;pages&gt;599-606&lt;/pages&gt;&lt;volume&gt;8&lt;/volume&gt;&lt;number&gt;10&lt;/number&gt;&lt;dates&gt;&lt;year&gt;2015&lt;/year&gt;&lt;/dates&gt;&lt;isbn&gt;1755-7380&amp;#xD;1755-7399&lt;/isbn&gt;&lt;urls&gt;&lt;/urls&gt;&lt;electronic-resource-num&gt;10.1177/1755738015585017&lt;/electronic-resource-num&gt;&lt;/record&gt;&lt;/Cite&gt;&lt;/EndNote&gt;</w:instrText>
      </w:r>
      <w:r w:rsidR="00883D90">
        <w:fldChar w:fldCharType="separate"/>
      </w:r>
      <w:r w:rsidR="00883D90">
        <w:rPr>
          <w:noProof/>
        </w:rPr>
        <w:t>(Keith 2015)</w:t>
      </w:r>
      <w:r w:rsidR="00883D90">
        <w:fldChar w:fldCharType="end"/>
      </w:r>
      <w:r w:rsidR="00883D90">
        <w:t>. Only when the prescriber is practising within their scope of practice can they be able to assess the child’s best interests, where guidance is given by the GMC (20</w:t>
      </w:r>
      <w:r w:rsidR="001C087D">
        <w:t>20</w:t>
      </w:r>
      <w:r w:rsidR="00883D90">
        <w:t>) (See Table 1)</w:t>
      </w:r>
    </w:p>
    <w:p w14:paraId="43CFC88E" w14:textId="77777777" w:rsidR="00883D90" w:rsidRDefault="00883D90" w:rsidP="00883D90">
      <w:pPr>
        <w:jc w:val="both"/>
      </w:pPr>
    </w:p>
    <w:tbl>
      <w:tblPr>
        <w:tblStyle w:val="TableGrid"/>
        <w:tblW w:w="0" w:type="auto"/>
        <w:tblLook w:val="04A0" w:firstRow="1" w:lastRow="0" w:firstColumn="1" w:lastColumn="0" w:noHBand="0" w:noVBand="1"/>
      </w:tblPr>
      <w:tblGrid>
        <w:gridCol w:w="9016"/>
      </w:tblGrid>
      <w:tr w:rsidR="00883D90" w14:paraId="179A6EBB" w14:textId="77777777" w:rsidTr="00883D90">
        <w:tc>
          <w:tcPr>
            <w:tcW w:w="9016" w:type="dxa"/>
          </w:tcPr>
          <w:p w14:paraId="0CA7ACBC" w14:textId="2B425A55" w:rsidR="00883D90" w:rsidRDefault="00883D90" w:rsidP="00883D90">
            <w:pPr>
              <w:jc w:val="both"/>
            </w:pPr>
            <w:r>
              <w:t>Consideration of the</w:t>
            </w:r>
            <w:r>
              <w:t xml:space="preserve"> views of the child or young person, </w:t>
            </w:r>
            <w:r>
              <w:t>if they are able</w:t>
            </w:r>
            <w:r>
              <w:t xml:space="preserve">, including any previously expressed preferences </w:t>
            </w:r>
          </w:p>
        </w:tc>
      </w:tr>
      <w:tr w:rsidR="00883D90" w14:paraId="26186FAD" w14:textId="77777777" w:rsidTr="00883D90">
        <w:tc>
          <w:tcPr>
            <w:tcW w:w="9016" w:type="dxa"/>
          </w:tcPr>
          <w:p w14:paraId="1A96CBE2" w14:textId="0E7A604C" w:rsidR="00883D90" w:rsidRDefault="00883D90" w:rsidP="00883D90">
            <w:pPr>
              <w:jc w:val="both"/>
            </w:pPr>
            <w:r>
              <w:t xml:space="preserve">The </w:t>
            </w:r>
            <w:proofErr w:type="gramStart"/>
            <w:r>
              <w:t>parents</w:t>
            </w:r>
            <w:proofErr w:type="gramEnd"/>
            <w:r>
              <w:t xml:space="preserve"> views</w:t>
            </w:r>
          </w:p>
        </w:tc>
      </w:tr>
      <w:tr w:rsidR="00883D90" w14:paraId="78FABDB3" w14:textId="77777777" w:rsidTr="00883D90">
        <w:tc>
          <w:tcPr>
            <w:tcW w:w="9016" w:type="dxa"/>
          </w:tcPr>
          <w:p w14:paraId="1280F9C5" w14:textId="2178D74D" w:rsidR="00883D90" w:rsidRDefault="00883D90" w:rsidP="00883D90">
            <w:pPr>
              <w:jc w:val="both"/>
            </w:pPr>
            <w:r>
              <w:t xml:space="preserve">Views of others close to the child or young person, </w:t>
            </w:r>
            <w:proofErr w:type="spellStart"/>
            <w:r>
              <w:t>eg</w:t>
            </w:r>
            <w:proofErr w:type="spellEnd"/>
            <w:r>
              <w:t>, grandparent</w:t>
            </w:r>
          </w:p>
        </w:tc>
      </w:tr>
      <w:tr w:rsidR="00883D90" w14:paraId="7DD6C5BB" w14:textId="77777777" w:rsidTr="00883D90">
        <w:tc>
          <w:tcPr>
            <w:tcW w:w="9016" w:type="dxa"/>
          </w:tcPr>
          <w:p w14:paraId="464C72A4" w14:textId="3A25EB41" w:rsidR="00883D90" w:rsidRDefault="00883D90" w:rsidP="00883D90">
            <w:pPr>
              <w:jc w:val="both"/>
            </w:pPr>
            <w:r>
              <w:t>Any</w:t>
            </w:r>
            <w:r>
              <w:t xml:space="preserve"> cultural, religious or other beliefs and values </w:t>
            </w:r>
          </w:p>
        </w:tc>
      </w:tr>
      <w:tr w:rsidR="00883D90" w14:paraId="677910B0" w14:textId="77777777" w:rsidTr="00883D90">
        <w:tc>
          <w:tcPr>
            <w:tcW w:w="9016" w:type="dxa"/>
          </w:tcPr>
          <w:p w14:paraId="336C9411" w14:textId="1EAADBD5" w:rsidR="00883D90" w:rsidRDefault="00883D90" w:rsidP="00883D90">
            <w:pPr>
              <w:jc w:val="both"/>
            </w:pPr>
            <w:r>
              <w:t>V</w:t>
            </w:r>
            <w:r>
              <w:t>iews of other healthcare professionals involved in providing care to the child or young person, and of any other professionals who have an interest in their welfare</w:t>
            </w:r>
          </w:p>
        </w:tc>
      </w:tr>
      <w:tr w:rsidR="00883D90" w14:paraId="5BFFAEF8" w14:textId="77777777" w:rsidTr="00883D90">
        <w:tc>
          <w:tcPr>
            <w:tcW w:w="9016" w:type="dxa"/>
          </w:tcPr>
          <w:p w14:paraId="2A8218D7" w14:textId="5DE7BB4A" w:rsidR="00883D90" w:rsidRDefault="008F3ECF" w:rsidP="00883D90">
            <w:pPr>
              <w:jc w:val="both"/>
            </w:pPr>
            <w:r>
              <w:t>W</w:t>
            </w:r>
            <w:r w:rsidR="00883D90">
              <w:t>hich choice</w:t>
            </w:r>
            <w:r w:rsidR="00883D90">
              <w:t xml:space="preserve"> – and there may be more than one - </w:t>
            </w:r>
            <w:r w:rsidR="00883D90">
              <w:t>will least restrict the</w:t>
            </w:r>
            <w:r w:rsidR="00883D90">
              <w:t xml:space="preserve"> future options for the</w:t>
            </w:r>
            <w:r w:rsidR="00883D90">
              <w:t xml:space="preserve"> child or young person</w:t>
            </w:r>
          </w:p>
        </w:tc>
      </w:tr>
    </w:tbl>
    <w:p w14:paraId="62AB5DFC" w14:textId="77777777" w:rsidR="00883D90" w:rsidRDefault="00883D90" w:rsidP="00883D90">
      <w:pPr>
        <w:jc w:val="both"/>
      </w:pPr>
    </w:p>
    <w:p w14:paraId="630F66F3" w14:textId="688A9EFF" w:rsidR="00883D90" w:rsidRPr="001C087D" w:rsidRDefault="00883D90" w:rsidP="00883D90">
      <w:pPr>
        <w:jc w:val="both"/>
        <w:rPr>
          <w:b/>
          <w:bCs/>
        </w:rPr>
      </w:pPr>
      <w:r w:rsidRPr="001C087D">
        <w:rPr>
          <w:b/>
          <w:bCs/>
        </w:rPr>
        <w:t xml:space="preserve">Table 1: What to consider during an assessment of </w:t>
      </w:r>
      <w:r w:rsidR="001C087D" w:rsidRPr="001C087D">
        <w:rPr>
          <w:b/>
          <w:bCs/>
        </w:rPr>
        <w:t xml:space="preserve">the child’s </w:t>
      </w:r>
      <w:r w:rsidRPr="001C087D">
        <w:rPr>
          <w:b/>
          <w:bCs/>
        </w:rPr>
        <w:t>best interests</w:t>
      </w:r>
      <w:r w:rsidR="001C087D" w:rsidRPr="001C087D">
        <w:rPr>
          <w:b/>
          <w:bCs/>
        </w:rPr>
        <w:t xml:space="preserve"> </w:t>
      </w:r>
    </w:p>
    <w:p w14:paraId="5DA2BE37" w14:textId="08C860AF" w:rsidR="001C087D" w:rsidRDefault="001C087D" w:rsidP="00883D90">
      <w:pPr>
        <w:jc w:val="both"/>
      </w:pPr>
      <w:r>
        <w:t xml:space="preserve">Adapted from </w:t>
      </w:r>
      <w:r>
        <w:fldChar w:fldCharType="begin"/>
      </w:r>
      <w:r>
        <w:instrText xml:space="preserve"> ADDIN EN.CITE &lt;EndNote&gt;&lt;Cite&gt;&lt;Author&gt;GMC&lt;/Author&gt;&lt;Year&gt;2020&lt;/Year&gt;&lt;RecNum&gt;16577&lt;/RecNum&gt;&lt;DisplayText&gt;(GMC 2020)&lt;/DisplayText&gt;&lt;record&gt;&lt;rec-number&gt;16577&lt;/rec-number&gt;&lt;foreign-keys&gt;&lt;key app="EN" db-id="2dvtr5t089z0xke2s0qpxtf3w9xsp0ssadxw" timestamp="1719401201"&gt;16577&lt;/key&gt;&lt;/foreign-keys&gt;&lt;ref-type name="Standard"&gt;58&lt;/ref-type&gt;&lt;contributors&gt;&lt;authors&gt;&lt;author&gt;GMC&lt;/author&gt;&lt;/authors&gt;&lt;/contributors&gt;&lt;titles&gt;&lt;title&gt;0-18 years: Guidance for all doctors&lt;/title&gt;&lt;secondary-title&gt;Assessing best interests&lt;/secondary-title&gt;&lt;/titles&gt;&lt;dates&gt;&lt;year&gt;2020&lt;/year&gt;&lt;/dates&gt;&lt;pub-location&gt;Manchester&lt;/pub-location&gt;&lt;publisher&gt;General Medical Council&lt;/publisher&gt;&lt;urls&gt;&lt;related-urls&gt;&lt;url&gt;https://www.gmc-uk.org/-/media/documents/gmc-guidance-for-doctors---0-18-years---english-20200211_pdf-48903188.pdf&lt;/url&gt;&lt;/related-urls&gt;&lt;/urls&gt;&lt;/record&gt;&lt;/Cite&gt;&lt;/EndNote&gt;</w:instrText>
      </w:r>
      <w:r>
        <w:fldChar w:fldCharType="separate"/>
      </w:r>
      <w:r>
        <w:rPr>
          <w:noProof/>
        </w:rPr>
        <w:t>(GMC 2020)</w:t>
      </w:r>
      <w:r>
        <w:fldChar w:fldCharType="end"/>
      </w:r>
    </w:p>
    <w:p w14:paraId="10DA4725" w14:textId="77777777" w:rsidR="001C087D" w:rsidRDefault="001C087D" w:rsidP="00883D90">
      <w:pPr>
        <w:jc w:val="both"/>
      </w:pPr>
    </w:p>
    <w:p w14:paraId="6D14C9CE" w14:textId="40E7994C" w:rsidR="008F3ECF" w:rsidRDefault="008F3ECF" w:rsidP="00883D90">
      <w:pPr>
        <w:jc w:val="both"/>
      </w:pPr>
      <w:r>
        <w:lastRenderedPageBreak/>
        <w:t>Regardless, whilst it is important to consider the child’s best interests, it is vital to work</w:t>
      </w:r>
      <w:r w:rsidRPr="008F3ECF">
        <w:rPr>
          <w:i/>
          <w:iCs/>
        </w:rPr>
        <w:t xml:space="preserve"> with</w:t>
      </w:r>
      <w:r>
        <w:rPr>
          <w:i/>
          <w:iCs/>
        </w:rPr>
        <w:t xml:space="preserve"> </w:t>
      </w:r>
      <w:r>
        <w:t xml:space="preserve">the parents – wherever possible – but inevitably, once a child is under a clinician’s care, then there is a legal duty to care for the </w:t>
      </w:r>
      <w:r w:rsidRPr="008F3ECF">
        <w:rPr>
          <w:i/>
          <w:iCs/>
        </w:rPr>
        <w:t>patient</w:t>
      </w:r>
      <w:r>
        <w:rPr>
          <w:i/>
          <w:iCs/>
        </w:rPr>
        <w:t xml:space="preserve">. </w:t>
      </w:r>
      <w:r w:rsidRPr="008F3ECF">
        <w:fldChar w:fldCharType="begin"/>
      </w:r>
      <w:r w:rsidRPr="008F3ECF">
        <w:instrText xml:space="preserve"> ADDIN EN.CITE &lt;EndNote&gt;&lt;Cite&gt;&lt;Author&gt;Archard&lt;/Author&gt;&lt;Year&gt;2024&lt;/Year&gt;&lt;RecNum&gt;16575&lt;/RecNum&gt;&lt;DisplayText&gt;(Archard, Cave et al. 2024)&lt;/DisplayText&gt;&lt;record&gt;&lt;rec-number&gt;16575&lt;/rec-number&gt;&lt;foreign-keys&gt;&lt;key app="EN" db-id="2dvtr5t089z0xke2s0qpxtf3w9xsp0ssadxw" timestamp="1719401200"&gt;16575&lt;/key&gt;&lt;/foreign-keys&gt;&lt;ref-type name="Journal Article"&gt;17&lt;/ref-type&gt;&lt;contributors&gt;&lt;authors&gt;&lt;author&gt;Archard, D.&lt;/author&gt;&lt;author&gt;Cave, E.&lt;/author&gt;&lt;author&gt;Brierley, J.&lt;/author&gt;&lt;/authors&gt;&lt;/contributors&gt;&lt;titles&gt;&lt;title&gt;How should we decide how to treat the child: harm versus best interests in cases of disagreement&lt;/title&gt;&lt;secondary-title&gt;Medical Law Review&lt;/secondary-title&gt;&lt;/titles&gt;&lt;periodical&gt;&lt;full-title&gt;Medical Law Review&lt;/full-title&gt;&lt;/periodical&gt;&lt;pages&gt;158 - 177&lt;/pages&gt;&lt;volume&gt;32&lt;/volume&gt;&lt;dates&gt;&lt;year&gt;2024&lt;/year&gt;&lt;/dates&gt;&lt;urls&gt;&lt;/urls&gt;&lt;electronic-resource-num&gt;10.1093/medlaw/fwad040 Medical&lt;/electronic-resource-num&gt;&lt;/record&gt;&lt;/Cite&gt;&lt;/EndNote&gt;</w:instrText>
      </w:r>
      <w:r w:rsidRPr="008F3ECF">
        <w:fldChar w:fldCharType="separate"/>
      </w:r>
      <w:r w:rsidRPr="008F3ECF">
        <w:rPr>
          <w:noProof/>
        </w:rPr>
        <w:t>(Archard, Cave et al. 2024)</w:t>
      </w:r>
      <w:r w:rsidRPr="008F3ECF">
        <w:fldChar w:fldCharType="end"/>
      </w:r>
      <w:r w:rsidR="009A3247">
        <w:t>.</w:t>
      </w:r>
    </w:p>
    <w:p w14:paraId="232B49F2" w14:textId="77777777" w:rsidR="009A3247" w:rsidRDefault="009A3247" w:rsidP="00883D90">
      <w:pPr>
        <w:jc w:val="both"/>
      </w:pPr>
    </w:p>
    <w:p w14:paraId="4B7362DA" w14:textId="7DAF7A92" w:rsidR="009A3247" w:rsidRDefault="009A3247" w:rsidP="00883D90">
      <w:pPr>
        <w:jc w:val="both"/>
      </w:pPr>
      <w:r>
        <w:t xml:space="preserve">Once it is confirmed that a child needs treatment, then it is a legal and professional requirement </w:t>
      </w:r>
      <w:r>
        <w:fldChar w:fldCharType="begin"/>
      </w:r>
      <w:r>
        <w:instrText xml:space="preserve"> ADDIN EN.CITE &lt;EndNote&gt;&lt;Cite&gt;&lt;Author&gt;RPS&lt;/Author&gt;&lt;Year&gt;2021&lt;/Year&gt;&lt;RecNum&gt;15623&lt;/RecNum&gt;&lt;DisplayText&gt;(RPS 2021)&lt;/DisplayText&gt;&lt;record&gt;&lt;rec-number&gt;15623&lt;/rec-number&gt;&lt;foreign-keys&gt;&lt;key app="EN" db-id="2dvtr5t089z0xke2s0qpxtf3w9xsp0ssadxw" timestamp="1695386580" guid="1919856c-5a8b-46e6-8494-8852321e862e"&gt;15623&lt;/key&gt;&lt;/foreign-keys&gt;&lt;ref-type name="Standard"&gt;58&lt;/ref-type&gt;&lt;contributors&gt;&lt;authors&gt;&lt;author&gt;RPS&lt;/author&gt;&lt;/authors&gt;&lt;/contributors&gt;&lt;titles&gt;&lt;title&gt;A competency framework for all prescribers&lt;/title&gt;&lt;/titles&gt;&lt;dates&gt;&lt;year&gt;2021&lt;/year&gt;&lt;/dates&gt;&lt;pub-location&gt;London&lt;/pub-location&gt;&lt;publisher&gt;Royal Pharmaceutical Society&lt;/publisher&gt;&lt;urls&gt;&lt;/urls&gt;&lt;/record&gt;&lt;/Cite&gt;&lt;/EndNote&gt;</w:instrText>
      </w:r>
      <w:r>
        <w:fldChar w:fldCharType="separate"/>
      </w:r>
      <w:r>
        <w:rPr>
          <w:noProof/>
        </w:rPr>
        <w:t>(RPS 2021)</w:t>
      </w:r>
      <w:r>
        <w:fldChar w:fldCharType="end"/>
      </w:r>
      <w:r>
        <w:t xml:space="preserve">  that the prescriber must only prescribe within their specific field of competence, and only after having undertaken and passed the required training from a registered higher educational institute </w:t>
      </w:r>
      <w:r>
        <w:fldChar w:fldCharType="begin"/>
      </w:r>
      <w:r>
        <w:instrText xml:space="preserve"> ADDIN EN.CITE &lt;EndNote&gt;&lt;Cite&gt;&lt;Author&gt;NMC&lt;/Author&gt;&lt;Year&gt;2023&lt;/Year&gt;&lt;RecNum&gt;15622&lt;/RecNum&gt;&lt;DisplayText&gt;(NMC 2023)&lt;/DisplayText&gt;&lt;record&gt;&lt;rec-number&gt;15622&lt;/rec-number&gt;&lt;foreign-keys&gt;&lt;key app="EN" db-id="2dvtr5t089z0xke2s0qpxtf3w9xsp0ssadxw" timestamp="1695386299" guid="414e888a-68bc-4d45-befc-dc268d9e5b36"&gt;15622&lt;/key&gt;&lt;/foreign-keys&gt;&lt;ref-type name="Standard"&gt;58&lt;/ref-type&gt;&lt;contributors&gt;&lt;authors&gt;&lt;author&gt;NMC&lt;/author&gt;&lt;/authors&gt;&lt;/contributors&gt;&lt;titles&gt;&lt;title&gt;Standards for education and training, Part 3: Standards for Prescribing Programmes&lt;/title&gt;&lt;/titles&gt;&lt;dates&gt;&lt;year&gt;2023&lt;/year&gt;&lt;/dates&gt;&lt;pub-location&gt;London&lt;/pub-location&gt;&lt;publisher&gt;Nursing Midwifery Council&lt;/publisher&gt;&lt;urls&gt;&lt;/urls&gt;&lt;/record&gt;&lt;/Cite&gt;&lt;/EndNote&gt;</w:instrText>
      </w:r>
      <w:r>
        <w:fldChar w:fldCharType="separate"/>
      </w:r>
      <w:r>
        <w:rPr>
          <w:noProof/>
        </w:rPr>
        <w:t>(NMC 2023)</w:t>
      </w:r>
      <w:r>
        <w:fldChar w:fldCharType="end"/>
      </w:r>
      <w:r>
        <w:t xml:space="preserve">. </w:t>
      </w:r>
      <w:r w:rsidR="002123DE">
        <w:t>For healthcare professionals working with children, leaders of educational programmes must have the appropriate knowledge, skills and experience pertaining to paediatric specific teaching</w:t>
      </w:r>
      <w:r w:rsidR="00DC1ED1">
        <w:t>, if it is a paediatric specific programme.</w:t>
      </w:r>
      <w:r w:rsidR="002B390E">
        <w:t xml:space="preserve"> </w:t>
      </w:r>
    </w:p>
    <w:p w14:paraId="6917D170" w14:textId="77777777" w:rsidR="002B390E" w:rsidRDefault="002B390E" w:rsidP="00883D90">
      <w:pPr>
        <w:jc w:val="both"/>
      </w:pPr>
    </w:p>
    <w:p w14:paraId="67382E71" w14:textId="54FCCD7A" w:rsidR="002B390E" w:rsidRDefault="000A5E73" w:rsidP="00615F56">
      <w:pPr>
        <w:jc w:val="both"/>
      </w:pPr>
      <w:r>
        <w:t>Finally, p</w:t>
      </w:r>
      <w:r w:rsidR="002B390E">
        <w:t xml:space="preserve">rescriptions for children differ slightly to those to adults, in that the child’s age has to be written on the prescription, as well as their date of birth, if under 12 years of age </w:t>
      </w:r>
      <w:r w:rsidR="002B390E">
        <w:fldChar w:fldCharType="begin"/>
      </w:r>
      <w:r w:rsidR="002B390E">
        <w:instrText xml:space="preserve"> ADDIN EN.CITE &lt;EndNote&gt;&lt;Cite&gt;&lt;Author&gt;NICE&lt;/Author&gt;&lt;Year&gt;2023&lt;/Year&gt;&lt;RecNum&gt;15431&lt;/RecNum&gt;&lt;DisplayText&gt;(NICE 2023)&lt;/DisplayText&gt;&lt;record&gt;&lt;rec-number&gt;15431&lt;/rec-number&gt;&lt;foreign-keys&gt;&lt;key app="EN" db-id="2dvtr5t089z0xke2s0qpxtf3w9xsp0ssadxw" timestamp="1691763911" guid="7625ed58-9ab3-4978-b728-659b48925f35"&gt;15431&lt;/key&gt;&lt;/foreign-keys&gt;&lt;ref-type name="Standard"&gt;58&lt;/ref-type&gt;&lt;contributors&gt;&lt;authors&gt;&lt;author&gt;NICE&lt;/author&gt;&lt;/authors&gt;&lt;/contributors&gt;&lt;titles&gt;&lt;title&gt;Prescribing in Children&lt;/title&gt;&lt;/titles&gt;&lt;dates&gt;&lt;year&gt;2023&lt;/year&gt;&lt;/dates&gt;&lt;publisher&gt;National Institute for Health and Care Excellence&lt;/publisher&gt;&lt;urls&gt;&lt;/urls&gt;&lt;/record&gt;&lt;/Cite&gt;&lt;/EndNote&gt;</w:instrText>
      </w:r>
      <w:r w:rsidR="002B390E">
        <w:fldChar w:fldCharType="separate"/>
      </w:r>
      <w:r w:rsidR="002B390E">
        <w:rPr>
          <w:noProof/>
        </w:rPr>
        <w:t>(NICE 2023)</w:t>
      </w:r>
      <w:r w:rsidR="002B390E">
        <w:fldChar w:fldCharType="end"/>
      </w:r>
      <w:r w:rsidR="002B390E">
        <w:t xml:space="preserve">. Strengths of tablets or capsules have to be detailed: even though liquid formulations may be deemed more suitable for children </w:t>
      </w:r>
      <w:r w:rsidR="002B390E">
        <w:fldChar w:fldCharType="begin"/>
      </w:r>
      <w:r w:rsidR="002B390E">
        <w:instrText xml:space="preserve"> ADDIN EN.CITE &lt;EndNote&gt;&lt;Cite&gt;&lt;Author&gt;Davies&lt;/Author&gt;&lt;Year&gt;2024&lt;/Year&gt;&lt;RecNum&gt;16570&lt;/RecNum&gt;&lt;DisplayText&gt;(Davies 2024)&lt;/DisplayText&gt;&lt;record&gt;&lt;rec-number&gt;16570&lt;/rec-number&gt;&lt;foreign-keys&gt;&lt;key app="EN" db-id="2dvtr5t089z0xke2s0qpxtf3w9xsp0ssadxw" timestamp="1719154593"&gt;16570&lt;/key&gt;&lt;/foreign-keys&gt;&lt;ref-type name="Journal Article"&gt;17&lt;/ref-type&gt;&lt;contributors&gt;&lt;authors&gt;&lt;author&gt;Davies, K.&lt;/author&gt;&lt;/authors&gt;&lt;/contributors&gt;&lt;titles&gt;&lt;title&gt;F - Formulations&lt;/title&gt;&lt;secondary-title&gt;Journal of Prescribing Practice&lt;/secondary-title&gt;&lt;/titles&gt;&lt;periodical&gt;&lt;full-title&gt;Journal of Prescribing Practice&lt;/full-title&gt;&lt;/periodical&gt;&lt;pages&gt;122 - 123&lt;/pages&gt;&lt;volume&gt;6&lt;/volume&gt;&lt;number&gt;3&lt;/number&gt;&lt;dates&gt;&lt;year&gt;2024&lt;/year&gt;&lt;/dates&gt;&lt;urls&gt;&lt;/urls&gt;&lt;/record&gt;&lt;/Cite&gt;&lt;/EndNote&gt;</w:instrText>
      </w:r>
      <w:r w:rsidR="002B390E">
        <w:fldChar w:fldCharType="separate"/>
      </w:r>
      <w:r w:rsidR="002B390E">
        <w:rPr>
          <w:noProof/>
        </w:rPr>
        <w:t>(Davies 2024)</w:t>
      </w:r>
      <w:r w:rsidR="002B390E">
        <w:fldChar w:fldCharType="end"/>
      </w:r>
      <w:r w:rsidR="002B390E">
        <w:t xml:space="preserve">, many contain a lot of sugar which can clearly cause dental decay, so consider prescribing tablets where possible, as younger children may be able to </w:t>
      </w:r>
      <w:r>
        <w:t xml:space="preserve">swallow </w:t>
      </w:r>
      <w:r w:rsidR="002B390E">
        <w:t xml:space="preserve">tablets </w:t>
      </w:r>
      <w:r w:rsidR="002B390E">
        <w:fldChar w:fldCharType="begin">
          <w:fldData xml:space="preserve">PEVuZE5vdGU+PENpdGU+PEF1dGhvcj5SYXNoZWQ8L0F1dGhvcj48WWVhcj4yMDIxPC9ZZWFyPjxS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=
</w:fldData>
        </w:fldChar>
      </w:r>
      <w:r w:rsidR="002B390E">
        <w:instrText xml:space="preserve"> ADDIN EN.CITE </w:instrText>
      </w:r>
      <w:r w:rsidR="002B390E">
        <w:fldChar w:fldCharType="begin">
          <w:fldData xml:space="preserve">PEVuZE5vdGU+PENpdGU+PEF1dGhvcj5SYXNoZWQ8L0F1dGhvcj48WWVhcj4yMDIxPC9ZZWFyPjxS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=
</w:fldData>
        </w:fldChar>
      </w:r>
      <w:r w:rsidR="002B390E">
        <w:instrText xml:space="preserve"> ADDIN EN.CITE.DATA </w:instrText>
      </w:r>
      <w:r w:rsidR="002B390E">
        <w:fldChar w:fldCharType="end"/>
      </w:r>
      <w:r w:rsidR="002B390E">
        <w:fldChar w:fldCharType="separate"/>
      </w:r>
      <w:r w:rsidR="002B390E">
        <w:rPr>
          <w:noProof/>
        </w:rPr>
        <w:t>(Rashed, Terry et al. 2021)</w:t>
      </w:r>
      <w:r w:rsidR="002B390E">
        <w:fldChar w:fldCharType="end"/>
      </w:r>
      <w:r w:rsidR="002B390E">
        <w:t>. However, if a liquid formulation cannot be avoided, and the total volume is less than 5mL, then an oral syringe will also be supplied, so additional teaching will be needed on how to administer the medication. The prescription itself should always detail the strength (</w:t>
      </w:r>
      <w:proofErr w:type="spellStart"/>
      <w:r w:rsidR="002B390E">
        <w:t>eg</w:t>
      </w:r>
      <w:proofErr w:type="spellEnd"/>
      <w:r w:rsidR="002B390E">
        <w:t xml:space="preserve"> mcg or mg) rather than the volume (mL) wherever possible.</w:t>
      </w:r>
    </w:p>
    <w:p w14:paraId="661BDBDD" w14:textId="4B35E528" w:rsidR="000A5E73" w:rsidRPr="00615F56" w:rsidRDefault="000B0BAB" w:rsidP="00615F56">
      <w:pPr>
        <w:pStyle w:val="NormalWeb"/>
        <w:jc w:val="both"/>
        <w:rPr>
          <w:rFonts w:asciiTheme="minorHAnsi" w:hAnsiTheme="minorHAnsi" w:cstheme="minorHAnsi"/>
        </w:rPr>
      </w:pPr>
      <w:r w:rsidRPr="00615F56">
        <w:rPr>
          <w:rFonts w:asciiTheme="minorHAnsi" w:hAnsiTheme="minorHAnsi" w:cstheme="minorHAnsi"/>
        </w:rPr>
        <w:t>Health care professionals caring for</w:t>
      </w:r>
      <w:r w:rsidR="000A5E73" w:rsidRPr="00615F56">
        <w:rPr>
          <w:rFonts w:asciiTheme="minorHAnsi" w:hAnsiTheme="minorHAnsi" w:cstheme="minorHAnsi"/>
        </w:rPr>
        <w:t xml:space="preserve"> children and young people </w:t>
      </w:r>
      <w:r w:rsidRPr="00615F56">
        <w:rPr>
          <w:rFonts w:asciiTheme="minorHAnsi" w:hAnsiTheme="minorHAnsi" w:cstheme="minorHAnsi"/>
        </w:rPr>
        <w:t xml:space="preserve">need to be aware of their own limitations when </w:t>
      </w:r>
      <w:proofErr w:type="gramStart"/>
      <w:r w:rsidRPr="00615F56">
        <w:rPr>
          <w:rFonts w:asciiTheme="minorHAnsi" w:hAnsiTheme="minorHAnsi" w:cstheme="minorHAnsi"/>
        </w:rPr>
        <w:t>entering into</w:t>
      </w:r>
      <w:proofErr w:type="gramEnd"/>
      <w:r w:rsidRPr="00615F56">
        <w:rPr>
          <w:rFonts w:asciiTheme="minorHAnsi" w:hAnsiTheme="minorHAnsi" w:cstheme="minorHAnsi"/>
        </w:rPr>
        <w:t xml:space="preserve"> a prescribing relationship. Qualified independent prescribers have to provide safe and competent care to their patients </w:t>
      </w:r>
      <w:r w:rsidRPr="00615F56">
        <w:rPr>
          <w:rFonts w:asciiTheme="minorHAnsi" w:hAnsiTheme="minorHAnsi" w:cstheme="minorHAnsi"/>
        </w:rPr>
        <w:fldChar w:fldCharType="begin"/>
      </w:r>
      <w:r w:rsidRPr="00615F56">
        <w:rPr>
          <w:rFonts w:asciiTheme="minorHAnsi" w:hAnsiTheme="minorHAnsi" w:cstheme="minorHAnsi"/>
        </w:rPr>
        <w:instrText xml:space="preserve"> ADDIN EN.CITE &lt;EndNote&gt;&lt;Cite&gt;&lt;Author&gt;Gagan&lt;/Author&gt;&lt;Year&gt;2018&lt;/Year&gt;&lt;RecNum&gt;11859&lt;/RecNum&gt;&lt;DisplayText&gt;(Gagan 2018)&lt;/DisplayText&gt;&lt;record&gt;&lt;rec-number&gt;11859&lt;/rec-number&gt;&lt;foreign-keys&gt;&lt;key app="EN" db-id="2dvtr5t089z0xke2s0qpxtf3w9xsp0ssadxw" timestamp="1669293742" guid="c22ed966-12cc-45e0-9217-eeb77f765341"&gt;11859&lt;/key&gt;&lt;/foreign-keys&gt;&lt;ref-type name="Journal Article"&gt;17&lt;/ref-type&gt;&lt;contributors&gt;&lt;authors&gt;&lt;author&gt;Gagan, M.&lt;/author&gt;&lt;/authors&gt;&lt;/contributors&gt;&lt;titles&gt;&lt;title&gt;Legal aspects in nurse prescribing&lt;/title&gt;&lt;secondary-title&gt;Nurse Prescribing&lt;/secondary-title&gt;&lt;/titles&gt;&lt;periodical&gt;&lt;full-title&gt;Nurse Prescribing&lt;/full-title&gt;&lt;/periodical&gt;&lt;pages&gt;187 - 189&lt;/pages&gt;&lt;volume&gt;16&lt;/volume&gt;&lt;number&gt;4&lt;/number&gt;&lt;dates&gt;&lt;year&gt;2018&lt;/year&gt;&lt;/dates&gt;&lt;urls&gt;&lt;/urls&gt;&lt;/record&gt;&lt;/Cite&gt;&lt;/EndNote&gt;</w:instrText>
      </w:r>
      <w:r w:rsidRPr="00615F56">
        <w:rPr>
          <w:rFonts w:asciiTheme="minorHAnsi" w:hAnsiTheme="minorHAnsi" w:cstheme="minorHAnsi"/>
        </w:rPr>
        <w:fldChar w:fldCharType="separate"/>
      </w:r>
      <w:r w:rsidRPr="00615F56">
        <w:rPr>
          <w:rFonts w:asciiTheme="minorHAnsi" w:hAnsiTheme="minorHAnsi" w:cstheme="minorHAnsi"/>
          <w:noProof/>
        </w:rPr>
        <w:t>(Gagan 2018)</w:t>
      </w:r>
      <w:r w:rsidRPr="00615F56">
        <w:rPr>
          <w:rFonts w:asciiTheme="minorHAnsi" w:hAnsiTheme="minorHAnsi" w:cstheme="minorHAnsi"/>
        </w:rPr>
        <w:fldChar w:fldCharType="end"/>
      </w:r>
      <w:r w:rsidRPr="00615F56">
        <w:rPr>
          <w:rFonts w:asciiTheme="minorHAnsi" w:hAnsiTheme="minorHAnsi" w:cstheme="minorHAnsi"/>
        </w:rPr>
        <w:t xml:space="preserve">, supported with up to date </w:t>
      </w:r>
      <w:r w:rsidR="00615F56">
        <w:rPr>
          <w:rFonts w:asciiTheme="minorHAnsi" w:hAnsiTheme="minorHAnsi" w:cstheme="minorHAnsi"/>
        </w:rPr>
        <w:t xml:space="preserve">focus on </w:t>
      </w:r>
      <w:r w:rsidRPr="00615F56">
        <w:rPr>
          <w:rFonts w:asciiTheme="minorHAnsi" w:hAnsiTheme="minorHAnsi" w:cstheme="minorHAnsi"/>
        </w:rPr>
        <w:t xml:space="preserve">continuing </w:t>
      </w:r>
      <w:r w:rsidR="00615F56">
        <w:rPr>
          <w:rFonts w:asciiTheme="minorHAnsi" w:hAnsiTheme="minorHAnsi" w:cstheme="minorHAnsi"/>
        </w:rPr>
        <w:t xml:space="preserve">their </w:t>
      </w:r>
      <w:r w:rsidRPr="00615F56">
        <w:rPr>
          <w:rFonts w:asciiTheme="minorHAnsi" w:hAnsiTheme="minorHAnsi" w:cstheme="minorHAnsi"/>
        </w:rPr>
        <w:t>professional development. Aspects of children’s care is fluid, and care must be given to consider changes in health status</w:t>
      </w:r>
      <w:r w:rsidR="00615F56">
        <w:rPr>
          <w:rFonts w:asciiTheme="minorHAnsi" w:hAnsiTheme="minorHAnsi" w:cstheme="minorHAnsi"/>
        </w:rPr>
        <w:t xml:space="preserve">, </w:t>
      </w:r>
      <w:r w:rsidRPr="00615F56">
        <w:rPr>
          <w:rFonts w:asciiTheme="minorHAnsi" w:hAnsiTheme="minorHAnsi" w:cstheme="minorHAnsi"/>
        </w:rPr>
        <w:t xml:space="preserve">such as increase in incidences of metabolic syndrome </w:t>
      </w:r>
      <w:r w:rsidRPr="00615F56">
        <w:rPr>
          <w:rFonts w:asciiTheme="minorHAnsi" w:hAnsiTheme="minorHAnsi" w:cstheme="minorHAnsi"/>
        </w:rPr>
        <w:fldChar w:fldCharType="begin"/>
      </w:r>
      <w:r w:rsidRPr="00615F56">
        <w:rPr>
          <w:rFonts w:asciiTheme="minorHAnsi" w:hAnsiTheme="minorHAnsi" w:cstheme="minorHAnsi"/>
        </w:rPr>
        <w:instrText xml:space="preserve"> ADDIN EN.CITE &lt;EndNote&gt;&lt;Cite&gt;&lt;Author&gt;Al-Hamad&lt;/Author&gt;&lt;Year&gt;2017&lt;/Year&gt;&lt;RecNum&gt;14793&lt;/RecNum&gt;&lt;DisplayText&gt;(Al-Hamad and Raman 2017)&lt;/DisplayText&gt;&lt;record&gt;&lt;rec-number&gt;14793&lt;/rec-number&gt;&lt;foreign-keys&gt;&lt;key app="EN" db-id="2dvtr5t089z0xke2s0qpxtf3w9xsp0ssadxw" timestamp="1676898038" guid="5b99880f-cd80-49e6-b851-2bf49a468a29"&gt;14793&lt;/key&gt;&lt;/foreign-keys&gt;&lt;ref-type name="Journal Article"&gt;17&lt;/ref-type&gt;&lt;contributors&gt;&lt;authors&gt;&lt;author&gt;Al-Hamad, D.&lt;/author&gt;&lt;author&gt;Raman, V.&lt;/author&gt;&lt;/authors&gt;&lt;/contributors&gt;&lt;auth-address&gt;Division of Pediatric Endocrinology and Diabetes, University of Utah, Salt Lake City, UT, USA.&lt;/auth-address&gt;&lt;titles&gt;&lt;title&gt;Metabolic syndrome in children and adolescents&lt;/title&gt;&lt;secondary-title&gt;Transl Pediatr&lt;/secondary-title&gt;&lt;/titles&gt;&lt;periodical&gt;&lt;full-title&gt;Transl Pediatr&lt;/full-title&gt;&lt;/periodical&gt;&lt;pages&gt;397-407&lt;/pages&gt;&lt;volume&gt;6&lt;/volume&gt;&lt;number&gt;4&lt;/number&gt;&lt;keywords&gt;&lt;keyword&gt;Metabolic syndrome&lt;/keyword&gt;&lt;keyword&gt;obesity&lt;/keyword&gt;&lt;keyword&gt;pediatrics&lt;/keyword&gt;&lt;/keywords&gt;&lt;dates&gt;&lt;year&gt;2017&lt;/year&gt;&lt;pub-dates&gt;&lt;date&gt;Oct&lt;/date&gt;&lt;/pub-dates&gt;&lt;/dates&gt;&lt;isbn&gt;2224-4344 (Print)&amp;#xD;2224-4344 (Electronic)&amp;#xD;2224-4336 (Linking)&lt;/isbn&gt;&lt;accession-num&gt;29184820&lt;/accession-num&gt;&lt;urls&gt;&lt;related-urls&gt;&lt;url&gt;https://www.ncbi.nlm.nih.gov/pubmed/29184820&lt;/url&gt;&lt;/related-urls&gt;&lt;/urls&gt;&lt;custom1&gt;Conflicts of Interest: The authors have no conflicts of interest to declare.&lt;/custom1&gt;&lt;custom2&gt;PMC5682379&lt;/custom2&gt;&lt;electronic-resource-num&gt;10.21037/tp.2017.10.02&lt;/electronic-resource-num&gt;&lt;remote-database-name&gt;PubMed-not-MEDLINE&lt;/remote-database-name&gt;&lt;remote-database-provider&gt;NLM&lt;/remote-database-provider&gt;&lt;/record&gt;&lt;/Cite&gt;&lt;/EndNote&gt;</w:instrText>
      </w:r>
      <w:r w:rsidRPr="00615F56">
        <w:rPr>
          <w:rFonts w:asciiTheme="minorHAnsi" w:hAnsiTheme="minorHAnsi" w:cstheme="minorHAnsi"/>
        </w:rPr>
        <w:fldChar w:fldCharType="separate"/>
      </w:r>
      <w:r w:rsidRPr="00615F56">
        <w:rPr>
          <w:rFonts w:asciiTheme="minorHAnsi" w:hAnsiTheme="minorHAnsi" w:cstheme="minorHAnsi"/>
          <w:noProof/>
        </w:rPr>
        <w:t>(Al-Hamad and Raman 2017)</w:t>
      </w:r>
      <w:r w:rsidRPr="00615F56">
        <w:rPr>
          <w:rFonts w:asciiTheme="minorHAnsi" w:hAnsiTheme="minorHAnsi" w:cstheme="minorHAnsi"/>
        </w:rPr>
        <w:fldChar w:fldCharType="end"/>
      </w:r>
      <w:r w:rsidRPr="00615F56">
        <w:rPr>
          <w:rFonts w:asciiTheme="minorHAnsi" w:hAnsiTheme="minorHAnsi" w:cstheme="minorHAnsi"/>
        </w:rPr>
        <w:t xml:space="preserve">, cancer survivorship </w:t>
      </w:r>
      <w:r w:rsidR="00615F56" w:rsidRPr="00615F56">
        <w:rPr>
          <w:rFonts w:asciiTheme="minorHAnsi" w:hAnsiTheme="minorHAnsi" w:cstheme="minorHAnsi"/>
        </w:rPr>
        <w:fldChar w:fldCharType="begin"/>
      </w:r>
      <w:r w:rsidR="00615F56" w:rsidRPr="00615F56">
        <w:rPr>
          <w:rFonts w:asciiTheme="minorHAnsi" w:hAnsiTheme="minorHAnsi" w:cstheme="minorHAnsi"/>
        </w:rPr>
        <w:instrText xml:space="preserve"> ADDIN EN.CITE &lt;EndNote&gt;&lt;Cite&gt;&lt;Author&gt;Erdmann&lt;/Author&gt;&lt;Year&gt;2021&lt;/Year&gt;&lt;RecNum&gt;16580&lt;/RecNum&gt;&lt;DisplayText&gt;(Erdmann, Frederiksen et al. 2021)&lt;/DisplayText&gt;&lt;record&gt;&lt;rec-number&gt;16580&lt;/rec-number&gt;&lt;foreign-keys&gt;&lt;key app="EN" db-id="2dvtr5t089z0xke2s0qpxtf3w9xsp0ssadxw" timestamp="1719413655"&gt;16580&lt;/key&gt;&lt;/foreign-keys&gt;&lt;ref-type name="Journal Article"&gt;17&lt;/ref-type&gt;&lt;contributors&gt;&lt;authors&gt;&lt;author&gt;Erdmann, Friederike&lt;/author&gt;&lt;author&gt;Frederiksen, Line Elmerdahl&lt;/author&gt;&lt;author&gt;Bonaventure, Audrey&lt;/author&gt;&lt;author&gt;Mader, Luzius&lt;/author&gt;&lt;author&gt;Hasle, Henrik&lt;/author&gt;&lt;author&gt;Robison, Leslie L.&lt;/author&gt;&lt;author&gt;Winther, Jeanette Falck&lt;/author&gt;&lt;/authors&gt;&lt;/contributors&gt;&lt;titles&gt;&lt;title&gt;Childhood cancer: Survival, treatment modalities, late effects and improvements over time&lt;/title&gt;&lt;secondary-title&gt;Cancer Epidemiology&lt;/secondary-title&gt;&lt;/titles&gt;&lt;periodical&gt;&lt;full-title&gt;Cancer Epidemiology&lt;/full-title&gt;&lt;/periodical&gt;&lt;volume&gt;71&lt;/volume&gt;&lt;section&gt;101733&lt;/section&gt;&lt;dates&gt;&lt;year&gt;2021&lt;/year&gt;&lt;/dates&gt;&lt;isbn&gt;18777821&lt;/isbn&gt;&lt;urls&gt;&lt;/urls&gt;&lt;electronic-resource-num&gt;10.1016/j.canep.2020.101733&lt;/electronic-resource-num&gt;&lt;/record&gt;&lt;/Cite&gt;&lt;/EndNote&gt;</w:instrText>
      </w:r>
      <w:r w:rsidR="00615F56" w:rsidRPr="00615F56">
        <w:rPr>
          <w:rFonts w:asciiTheme="minorHAnsi" w:hAnsiTheme="minorHAnsi" w:cstheme="minorHAnsi"/>
        </w:rPr>
        <w:fldChar w:fldCharType="separate"/>
      </w:r>
      <w:r w:rsidR="00615F56" w:rsidRPr="00615F56">
        <w:rPr>
          <w:rFonts w:asciiTheme="minorHAnsi" w:hAnsiTheme="minorHAnsi" w:cstheme="minorHAnsi"/>
          <w:noProof/>
        </w:rPr>
        <w:t>(Erdmann, Frederiksen et al. 2021)</w:t>
      </w:r>
      <w:r w:rsidR="00615F56" w:rsidRPr="00615F56">
        <w:rPr>
          <w:rFonts w:asciiTheme="minorHAnsi" w:hAnsiTheme="minorHAnsi" w:cstheme="minorHAnsi"/>
        </w:rPr>
        <w:fldChar w:fldCharType="end"/>
      </w:r>
      <w:r w:rsidR="00615F56">
        <w:rPr>
          <w:rFonts w:asciiTheme="minorHAnsi" w:hAnsiTheme="minorHAnsi" w:cstheme="minorHAnsi"/>
        </w:rPr>
        <w:t xml:space="preserve">, and gender identity </w:t>
      </w:r>
      <w:r w:rsidR="00615F56">
        <w:rPr>
          <w:rFonts w:asciiTheme="minorHAnsi" w:hAnsiTheme="minorHAnsi" w:cstheme="minorHAnsi"/>
        </w:rPr>
        <w:fldChar w:fldCharType="begin"/>
      </w:r>
      <w:r w:rsidR="00615F56">
        <w:rPr>
          <w:rFonts w:asciiTheme="minorHAnsi" w:hAnsiTheme="minorHAnsi" w:cstheme="minorHAnsi"/>
        </w:rPr>
        <w:instrText xml:space="preserve"> ADDIN EN.CITE &lt;EndNote&gt;&lt;Cite&gt;&lt;Author&gt;Abbasi&lt;/Author&gt;&lt;Year&gt;2024&lt;/Year&gt;&lt;RecNum&gt;16581&lt;/RecNum&gt;&lt;DisplayText&gt;(Abbasi 2024)&lt;/DisplayText&gt;&lt;record&gt;&lt;rec-number&gt;16581&lt;/rec-number&gt;&lt;foreign-keys&gt;&lt;key app="EN" db-id="2dvtr5t089z0xke2s0qpxtf3w9xsp0ssadxw" timestamp="1719413968"&gt;16581&lt;/key&gt;&lt;/foreign-keys&gt;&lt;ref-type name="Journal Article"&gt;17&lt;/ref-type&gt;&lt;contributors&gt;&lt;authors&gt;&lt;author&gt;Abbasi, Kamran&lt;/author&gt;&lt;/authors&gt;&lt;/contributors&gt;&lt;titles&gt;&lt;title&gt;The Cass review: an opportunity to unite behind evidence informed care in gender medicine&lt;/title&gt;&lt;secondary-title&gt;Bmj&lt;/secondary-title&gt;&lt;/titles&gt;&lt;periodical&gt;&lt;full-title&gt;BMJ&lt;/full-title&gt;&lt;abbr-1&gt;Bmj&lt;/abbr-1&gt;&lt;/periodical&gt;&lt;section&gt;q837&lt;/section&gt;&lt;dates&gt;&lt;year&gt;2024&lt;/year&gt;&lt;/dates&gt;&lt;isbn&gt;1756-1833&lt;/isbn&gt;&lt;urls&gt;&lt;/urls&gt;&lt;electronic-resource-num&gt;10.1136/bmj.q837&lt;/electronic-resource-num&gt;&lt;/record&gt;&lt;/Cite&gt;&lt;/EndNote&gt;</w:instrText>
      </w:r>
      <w:r w:rsidR="00615F56">
        <w:rPr>
          <w:rFonts w:asciiTheme="minorHAnsi" w:hAnsiTheme="minorHAnsi" w:cstheme="minorHAnsi"/>
        </w:rPr>
        <w:fldChar w:fldCharType="separate"/>
      </w:r>
      <w:r w:rsidR="00615F56">
        <w:rPr>
          <w:rFonts w:asciiTheme="minorHAnsi" w:hAnsiTheme="minorHAnsi" w:cstheme="minorHAnsi"/>
          <w:noProof/>
        </w:rPr>
        <w:t>(Abbasi 2024)</w:t>
      </w:r>
      <w:r w:rsidR="00615F56">
        <w:rPr>
          <w:rFonts w:asciiTheme="minorHAnsi" w:hAnsiTheme="minorHAnsi" w:cstheme="minorHAnsi"/>
        </w:rPr>
        <w:fldChar w:fldCharType="end"/>
      </w:r>
      <w:r w:rsidR="00615F56">
        <w:rPr>
          <w:rFonts w:asciiTheme="minorHAnsi" w:hAnsiTheme="minorHAnsi" w:cstheme="minorHAnsi"/>
        </w:rPr>
        <w:t>. As the scope of children’s health changes, it is inevitable that further developments concerning legal aspects will change.</w:t>
      </w:r>
    </w:p>
    <w:p w14:paraId="7FB79AB7" w14:textId="77777777" w:rsidR="001C087D" w:rsidRPr="00883D90" w:rsidRDefault="001C087D" w:rsidP="00883D90">
      <w:pPr>
        <w:jc w:val="both"/>
      </w:pPr>
    </w:p>
    <w:p w14:paraId="66984BFD" w14:textId="65FD139F" w:rsidR="003D0AB8" w:rsidRPr="003D0AB8" w:rsidRDefault="003D0AB8" w:rsidP="001D5FAF">
      <w:pPr>
        <w:jc w:val="both"/>
        <w:rPr>
          <w:color w:val="000000" w:themeColor="text1"/>
        </w:rPr>
      </w:pPr>
      <w:r>
        <w:rPr>
          <w:color w:val="000000" w:themeColor="text1"/>
        </w:rPr>
        <w:t xml:space="preserve">Next article: </w:t>
      </w:r>
      <w:r w:rsidR="0037052F">
        <w:rPr>
          <w:color w:val="000000" w:themeColor="text1"/>
        </w:rPr>
        <w:t>M - Metabolism</w:t>
      </w:r>
    </w:p>
    <w:p w14:paraId="283C9D8A" w14:textId="77777777" w:rsidR="003D0AB8" w:rsidRDefault="003D0AB8" w:rsidP="001D5FAF">
      <w:pPr>
        <w:jc w:val="both"/>
      </w:pPr>
    </w:p>
    <w:p w14:paraId="698BC1E8" w14:textId="77777777" w:rsidR="003D0AB8" w:rsidRDefault="003D0AB8" w:rsidP="001D5FAF">
      <w:pPr>
        <w:jc w:val="both"/>
      </w:pPr>
    </w:p>
    <w:p w14:paraId="6623654D" w14:textId="77777777" w:rsidR="003D0AB8" w:rsidRDefault="003D0AB8" w:rsidP="001D5FAF">
      <w:pPr>
        <w:jc w:val="both"/>
      </w:pPr>
    </w:p>
    <w:p w14:paraId="41711196" w14:textId="0B531C61" w:rsidR="003D0AB8" w:rsidRDefault="003D0AB8" w:rsidP="001D5FAF">
      <w:pPr>
        <w:jc w:val="both"/>
        <w:rPr>
          <w:b/>
          <w:bCs/>
        </w:rPr>
      </w:pPr>
      <w:r w:rsidRPr="003D0AB8">
        <w:rPr>
          <w:b/>
          <w:bCs/>
        </w:rPr>
        <w:t>References</w:t>
      </w:r>
    </w:p>
    <w:p w14:paraId="7ABB11BB" w14:textId="77777777" w:rsidR="003D0AB8" w:rsidRPr="003D0AB8" w:rsidRDefault="003D0AB8" w:rsidP="001D5FAF">
      <w:pPr>
        <w:jc w:val="both"/>
        <w:rPr>
          <w:b/>
          <w:bCs/>
        </w:rPr>
      </w:pPr>
    </w:p>
    <w:p w14:paraId="64CA3E7D" w14:textId="77777777" w:rsidR="0037052F" w:rsidRDefault="0037052F" w:rsidP="001D5FAF">
      <w:pPr>
        <w:jc w:val="both"/>
      </w:pPr>
    </w:p>
    <w:p w14:paraId="5D3AD585" w14:textId="77777777" w:rsidR="0037052F" w:rsidRDefault="0037052F" w:rsidP="001D5FAF">
      <w:pPr>
        <w:jc w:val="both"/>
      </w:pPr>
    </w:p>
    <w:p w14:paraId="00F62D78" w14:textId="77777777" w:rsidR="00615F56" w:rsidRPr="00615F56" w:rsidRDefault="0037052F" w:rsidP="00615F56">
      <w:pPr>
        <w:pStyle w:val="EndNoteBibliography"/>
        <w:spacing w:after="240"/>
        <w:rPr>
          <w:noProof/>
        </w:rPr>
      </w:pPr>
      <w:r>
        <w:fldChar w:fldCharType="begin"/>
      </w:r>
      <w:r>
        <w:instrText xml:space="preserve"> ADDIN EN.REFLIST </w:instrText>
      </w:r>
      <w:r>
        <w:fldChar w:fldCharType="separate"/>
      </w:r>
      <w:r w:rsidR="00615F56" w:rsidRPr="00615F56">
        <w:rPr>
          <w:noProof/>
        </w:rPr>
        <w:t xml:space="preserve">(1989). Children Act. </w:t>
      </w:r>
      <w:r w:rsidR="00615F56" w:rsidRPr="00615F56">
        <w:rPr>
          <w:noProof/>
          <w:u w:val="single"/>
        </w:rPr>
        <w:t>c.31</w:t>
      </w:r>
      <w:r w:rsidR="00615F56" w:rsidRPr="00615F56">
        <w:rPr>
          <w:noProof/>
        </w:rPr>
        <w:t>. UK.</w:t>
      </w:r>
    </w:p>
    <w:p w14:paraId="18F0525A" w14:textId="77777777" w:rsidR="00615F56" w:rsidRPr="00615F56" w:rsidRDefault="00615F56" w:rsidP="00615F56">
      <w:pPr>
        <w:pStyle w:val="EndNoteBibliography"/>
        <w:spacing w:after="240"/>
        <w:rPr>
          <w:noProof/>
        </w:rPr>
      </w:pPr>
      <w:r w:rsidRPr="00615F56">
        <w:rPr>
          <w:noProof/>
        </w:rPr>
        <w:t xml:space="preserve">Abbasi, K. (2024). "The Cass review: an opportunity to unite behind evidence informed care in gender medicine." </w:t>
      </w:r>
      <w:r w:rsidRPr="00615F56">
        <w:rPr>
          <w:noProof/>
          <w:u w:val="single"/>
        </w:rPr>
        <w:t>Bmj</w:t>
      </w:r>
      <w:r w:rsidRPr="00615F56">
        <w:rPr>
          <w:noProof/>
        </w:rPr>
        <w:t>.</w:t>
      </w:r>
    </w:p>
    <w:p w14:paraId="7F09185A" w14:textId="77777777" w:rsidR="00615F56" w:rsidRPr="00615F56" w:rsidRDefault="00615F56" w:rsidP="00615F56">
      <w:pPr>
        <w:pStyle w:val="EndNoteBibliography"/>
        <w:spacing w:after="240"/>
        <w:rPr>
          <w:noProof/>
        </w:rPr>
      </w:pPr>
      <w:r w:rsidRPr="00615F56">
        <w:rPr>
          <w:noProof/>
        </w:rPr>
        <w:t xml:space="preserve">Al-Hamad, D. and V. Raman (2017). "Metabolic syndrome in children and adolescents." </w:t>
      </w:r>
      <w:r w:rsidRPr="00615F56">
        <w:rPr>
          <w:noProof/>
          <w:u w:val="single"/>
        </w:rPr>
        <w:t>Transl Pediatr</w:t>
      </w:r>
      <w:r w:rsidRPr="00615F56">
        <w:rPr>
          <w:noProof/>
        </w:rPr>
        <w:t xml:space="preserve"> </w:t>
      </w:r>
      <w:r w:rsidRPr="00615F56">
        <w:rPr>
          <w:b/>
          <w:noProof/>
        </w:rPr>
        <w:t>6</w:t>
      </w:r>
      <w:r w:rsidRPr="00615F56">
        <w:rPr>
          <w:noProof/>
        </w:rPr>
        <w:t>(4): 397-407.</w:t>
      </w:r>
    </w:p>
    <w:p w14:paraId="3D771FB8" w14:textId="77777777" w:rsidR="00615F56" w:rsidRPr="00615F56" w:rsidRDefault="00615F56" w:rsidP="00615F56">
      <w:pPr>
        <w:pStyle w:val="EndNoteBibliography"/>
        <w:spacing w:after="240"/>
        <w:rPr>
          <w:noProof/>
        </w:rPr>
      </w:pPr>
      <w:r w:rsidRPr="00615F56">
        <w:rPr>
          <w:noProof/>
        </w:rPr>
        <w:t xml:space="preserve">Archard, D., E. Cave and J. Brierley (2024). "How should we decide how to treat the child: harm versus best interests in cases of disagreement." </w:t>
      </w:r>
      <w:r w:rsidRPr="00615F56">
        <w:rPr>
          <w:noProof/>
          <w:u w:val="single"/>
        </w:rPr>
        <w:t>Medical Law Review</w:t>
      </w:r>
      <w:r w:rsidRPr="00615F56">
        <w:rPr>
          <w:noProof/>
        </w:rPr>
        <w:t xml:space="preserve"> </w:t>
      </w:r>
      <w:r w:rsidRPr="00615F56">
        <w:rPr>
          <w:b/>
          <w:noProof/>
        </w:rPr>
        <w:t>32</w:t>
      </w:r>
      <w:r w:rsidRPr="00615F56">
        <w:rPr>
          <w:noProof/>
        </w:rPr>
        <w:t>: 158 - 177.</w:t>
      </w:r>
    </w:p>
    <w:p w14:paraId="6E27BAB4" w14:textId="77777777" w:rsidR="00615F56" w:rsidRPr="00615F56" w:rsidRDefault="00615F56" w:rsidP="00615F56">
      <w:pPr>
        <w:pStyle w:val="EndNoteBibliography"/>
        <w:spacing w:after="240"/>
        <w:rPr>
          <w:noProof/>
        </w:rPr>
      </w:pPr>
      <w:r w:rsidRPr="00615F56">
        <w:rPr>
          <w:noProof/>
        </w:rPr>
        <w:lastRenderedPageBreak/>
        <w:t xml:space="preserve">Bridgeman, J. (2021). "‘Our legal responsibility…to intervene on behalf of the child’: Recognising public responsibilities for the medical treatment of children." </w:t>
      </w:r>
      <w:r w:rsidRPr="00615F56">
        <w:rPr>
          <w:noProof/>
          <w:u w:val="single"/>
        </w:rPr>
        <w:t>Medical Law International</w:t>
      </w:r>
      <w:r w:rsidRPr="00615F56">
        <w:rPr>
          <w:noProof/>
        </w:rPr>
        <w:t xml:space="preserve"> </w:t>
      </w:r>
      <w:r w:rsidRPr="00615F56">
        <w:rPr>
          <w:b/>
          <w:noProof/>
        </w:rPr>
        <w:t>21</w:t>
      </w:r>
      <w:r w:rsidRPr="00615F56">
        <w:rPr>
          <w:noProof/>
        </w:rPr>
        <w:t>(1): 19-41.</w:t>
      </w:r>
    </w:p>
    <w:p w14:paraId="7BF1BCB1" w14:textId="77777777" w:rsidR="00615F56" w:rsidRPr="00615F56" w:rsidRDefault="00615F56" w:rsidP="00615F56">
      <w:pPr>
        <w:pStyle w:val="EndNoteBibliography"/>
        <w:spacing w:after="240"/>
        <w:rPr>
          <w:noProof/>
        </w:rPr>
      </w:pPr>
      <w:r w:rsidRPr="00615F56">
        <w:rPr>
          <w:noProof/>
        </w:rPr>
        <w:t xml:space="preserve">Davies, K. (2023). "B - BNFc " </w:t>
      </w:r>
      <w:r w:rsidRPr="00615F56">
        <w:rPr>
          <w:noProof/>
          <w:u w:val="single"/>
        </w:rPr>
        <w:t>Journal of Prescribing Practice</w:t>
      </w:r>
      <w:r w:rsidRPr="00615F56">
        <w:rPr>
          <w:noProof/>
        </w:rPr>
        <w:t xml:space="preserve"> </w:t>
      </w:r>
      <w:r w:rsidRPr="00615F56">
        <w:rPr>
          <w:b/>
          <w:noProof/>
        </w:rPr>
        <w:t>5</w:t>
      </w:r>
      <w:r w:rsidRPr="00615F56">
        <w:rPr>
          <w:noProof/>
        </w:rPr>
        <w:t>(10): 418 - 419.</w:t>
      </w:r>
    </w:p>
    <w:p w14:paraId="5C9FD133" w14:textId="77777777" w:rsidR="00615F56" w:rsidRPr="00615F56" w:rsidRDefault="00615F56" w:rsidP="00615F56">
      <w:pPr>
        <w:pStyle w:val="EndNoteBibliography"/>
        <w:spacing w:after="240"/>
        <w:rPr>
          <w:noProof/>
        </w:rPr>
      </w:pPr>
      <w:r w:rsidRPr="00615F56">
        <w:rPr>
          <w:noProof/>
        </w:rPr>
        <w:t xml:space="preserve">Davies, K. (2023). "The current state of paediatric non-medical prescribing." </w:t>
      </w:r>
      <w:r w:rsidRPr="00615F56">
        <w:rPr>
          <w:noProof/>
          <w:u w:val="single"/>
        </w:rPr>
        <w:t>Journal of Prescribing Practice</w:t>
      </w:r>
      <w:r w:rsidRPr="00615F56">
        <w:rPr>
          <w:noProof/>
        </w:rPr>
        <w:t xml:space="preserve"> </w:t>
      </w:r>
      <w:r w:rsidRPr="00615F56">
        <w:rPr>
          <w:b/>
          <w:noProof/>
        </w:rPr>
        <w:t>5</w:t>
      </w:r>
      <w:r w:rsidRPr="00615F56">
        <w:rPr>
          <w:noProof/>
        </w:rPr>
        <w:t>(12): 518 - 524.</w:t>
      </w:r>
    </w:p>
    <w:p w14:paraId="22874122" w14:textId="77777777" w:rsidR="00615F56" w:rsidRPr="00615F56" w:rsidRDefault="00615F56" w:rsidP="00615F56">
      <w:pPr>
        <w:pStyle w:val="EndNoteBibliography"/>
        <w:spacing w:after="240"/>
        <w:rPr>
          <w:noProof/>
        </w:rPr>
      </w:pPr>
      <w:r w:rsidRPr="00615F56">
        <w:rPr>
          <w:noProof/>
        </w:rPr>
        <w:t xml:space="preserve">Davies, K. (2024). "F - Formulations." </w:t>
      </w:r>
      <w:r w:rsidRPr="00615F56">
        <w:rPr>
          <w:noProof/>
          <w:u w:val="single"/>
        </w:rPr>
        <w:t>Journal of Prescribing Practice</w:t>
      </w:r>
      <w:r w:rsidRPr="00615F56">
        <w:rPr>
          <w:noProof/>
        </w:rPr>
        <w:t xml:space="preserve"> </w:t>
      </w:r>
      <w:r w:rsidRPr="00615F56">
        <w:rPr>
          <w:b/>
          <w:noProof/>
        </w:rPr>
        <w:t>6</w:t>
      </w:r>
      <w:r w:rsidRPr="00615F56">
        <w:rPr>
          <w:noProof/>
        </w:rPr>
        <w:t>(3): 122 - 123.</w:t>
      </w:r>
    </w:p>
    <w:p w14:paraId="14BCCCAE" w14:textId="77777777" w:rsidR="00615F56" w:rsidRPr="00615F56" w:rsidRDefault="00615F56" w:rsidP="00615F56">
      <w:pPr>
        <w:pStyle w:val="EndNoteBibliography"/>
        <w:spacing w:after="240"/>
        <w:rPr>
          <w:noProof/>
        </w:rPr>
      </w:pPr>
      <w:r w:rsidRPr="00615F56">
        <w:rPr>
          <w:noProof/>
        </w:rPr>
        <w:t xml:space="preserve">Davies, K. (2024). "G - Gillick competence." </w:t>
      </w:r>
      <w:r w:rsidRPr="00615F56">
        <w:rPr>
          <w:noProof/>
          <w:u w:val="single"/>
        </w:rPr>
        <w:t>Journal of Prescribing Practice</w:t>
      </w:r>
      <w:r w:rsidRPr="00615F56">
        <w:rPr>
          <w:noProof/>
        </w:rPr>
        <w:t xml:space="preserve"> </w:t>
      </w:r>
      <w:r w:rsidRPr="00615F56">
        <w:rPr>
          <w:b/>
          <w:noProof/>
        </w:rPr>
        <w:t>6</w:t>
      </w:r>
      <w:r w:rsidRPr="00615F56">
        <w:rPr>
          <w:noProof/>
        </w:rPr>
        <w:t>(4): 156 - 157.</w:t>
      </w:r>
    </w:p>
    <w:p w14:paraId="1881EB39" w14:textId="77777777" w:rsidR="00615F56" w:rsidRPr="00615F56" w:rsidRDefault="00615F56" w:rsidP="00615F56">
      <w:pPr>
        <w:pStyle w:val="EndNoteBibliography"/>
        <w:spacing w:after="240"/>
        <w:rPr>
          <w:noProof/>
        </w:rPr>
      </w:pPr>
      <w:r w:rsidRPr="00615F56">
        <w:rPr>
          <w:noProof/>
        </w:rPr>
        <w:t xml:space="preserve">Davies, K. (2024). "H - History taking." </w:t>
      </w:r>
      <w:r w:rsidRPr="00615F56">
        <w:rPr>
          <w:noProof/>
          <w:u w:val="single"/>
        </w:rPr>
        <w:t>Journal of Prescribing Practice</w:t>
      </w:r>
      <w:r w:rsidRPr="00615F56">
        <w:rPr>
          <w:noProof/>
        </w:rPr>
        <w:t xml:space="preserve"> </w:t>
      </w:r>
      <w:r w:rsidRPr="00615F56">
        <w:rPr>
          <w:b/>
          <w:noProof/>
        </w:rPr>
        <w:t>6</w:t>
      </w:r>
      <w:r w:rsidRPr="00615F56">
        <w:rPr>
          <w:noProof/>
        </w:rPr>
        <w:t>(5): 200 - 201.</w:t>
      </w:r>
    </w:p>
    <w:p w14:paraId="2768B67E" w14:textId="77777777" w:rsidR="00615F56" w:rsidRPr="00615F56" w:rsidRDefault="00615F56" w:rsidP="00615F56">
      <w:pPr>
        <w:pStyle w:val="EndNoteBibliography"/>
        <w:spacing w:after="240"/>
        <w:rPr>
          <w:noProof/>
        </w:rPr>
      </w:pPr>
      <w:r w:rsidRPr="00615F56">
        <w:rPr>
          <w:noProof/>
        </w:rPr>
        <w:t xml:space="preserve">Erdmann, F., L. E. Frederiksen, A. Bonaventure, L. Mader, H. Hasle, L. L. Robison and J. F. Winther (2021). "Childhood cancer: Survival, treatment modalities, late effects and improvements over time." </w:t>
      </w:r>
      <w:r w:rsidRPr="00615F56">
        <w:rPr>
          <w:noProof/>
          <w:u w:val="single"/>
        </w:rPr>
        <w:t>Cancer Epidemiology</w:t>
      </w:r>
      <w:r w:rsidRPr="00615F56">
        <w:rPr>
          <w:noProof/>
        </w:rPr>
        <w:t xml:space="preserve"> </w:t>
      </w:r>
      <w:r w:rsidRPr="00615F56">
        <w:rPr>
          <w:b/>
          <w:noProof/>
        </w:rPr>
        <w:t>71</w:t>
      </w:r>
      <w:r w:rsidRPr="00615F56">
        <w:rPr>
          <w:noProof/>
        </w:rPr>
        <w:t>.</w:t>
      </w:r>
    </w:p>
    <w:p w14:paraId="352A6BE6" w14:textId="77777777" w:rsidR="00615F56" w:rsidRPr="00615F56" w:rsidRDefault="00615F56" w:rsidP="00615F56">
      <w:pPr>
        <w:pStyle w:val="EndNoteBibliography"/>
        <w:spacing w:after="240"/>
        <w:rPr>
          <w:noProof/>
        </w:rPr>
      </w:pPr>
      <w:r w:rsidRPr="00615F56">
        <w:rPr>
          <w:noProof/>
        </w:rPr>
        <w:t xml:space="preserve">Gagan, M. (2018). "Legal aspects in nurse prescribing." </w:t>
      </w:r>
      <w:r w:rsidRPr="00615F56">
        <w:rPr>
          <w:noProof/>
          <w:u w:val="single"/>
        </w:rPr>
        <w:t>Nurse Prescribing</w:t>
      </w:r>
      <w:r w:rsidRPr="00615F56">
        <w:rPr>
          <w:noProof/>
        </w:rPr>
        <w:t xml:space="preserve"> </w:t>
      </w:r>
      <w:r w:rsidRPr="00615F56">
        <w:rPr>
          <w:b/>
          <w:noProof/>
        </w:rPr>
        <w:t>16</w:t>
      </w:r>
      <w:r w:rsidRPr="00615F56">
        <w:rPr>
          <w:noProof/>
        </w:rPr>
        <w:t>(4): 187 - 189.</w:t>
      </w:r>
    </w:p>
    <w:p w14:paraId="763CEA09" w14:textId="77777777" w:rsidR="00615F56" w:rsidRPr="00615F56" w:rsidRDefault="00615F56" w:rsidP="00615F56">
      <w:pPr>
        <w:pStyle w:val="EndNoteBibliography"/>
        <w:spacing w:after="240"/>
        <w:rPr>
          <w:noProof/>
        </w:rPr>
      </w:pPr>
      <w:r w:rsidRPr="00615F56">
        <w:rPr>
          <w:noProof/>
        </w:rPr>
        <w:t xml:space="preserve">GMC (2020). 0-18 years: Guidance for all doctors. </w:t>
      </w:r>
      <w:r w:rsidRPr="00615F56">
        <w:rPr>
          <w:noProof/>
          <w:u w:val="single"/>
        </w:rPr>
        <w:t>Assessing best interests</w:t>
      </w:r>
      <w:r w:rsidRPr="00615F56">
        <w:rPr>
          <w:noProof/>
        </w:rPr>
        <w:t>. Manchester, General Medical Council.</w:t>
      </w:r>
    </w:p>
    <w:p w14:paraId="75D05ABD" w14:textId="77777777" w:rsidR="00615F56" w:rsidRPr="00615F56" w:rsidRDefault="00615F56" w:rsidP="00615F56">
      <w:pPr>
        <w:pStyle w:val="EndNoteBibliography"/>
        <w:spacing w:after="240"/>
        <w:rPr>
          <w:noProof/>
        </w:rPr>
      </w:pPr>
      <w:r w:rsidRPr="00615F56">
        <w:rPr>
          <w:noProof/>
        </w:rPr>
        <w:t xml:space="preserve">Gould, J. and H. Bain (2022). "Professional, legal and ethical dimensions of prescribing. Part 2: legal and ethical." </w:t>
      </w:r>
      <w:r w:rsidRPr="00615F56">
        <w:rPr>
          <w:noProof/>
          <w:u w:val="single"/>
        </w:rPr>
        <w:t>Primary Health Care</w:t>
      </w:r>
      <w:r w:rsidRPr="00615F56">
        <w:rPr>
          <w:noProof/>
        </w:rPr>
        <w:t xml:space="preserve"> </w:t>
      </w:r>
      <w:r w:rsidRPr="00615F56">
        <w:rPr>
          <w:b/>
          <w:noProof/>
        </w:rPr>
        <w:t>33</w:t>
      </w:r>
      <w:r w:rsidRPr="00615F56">
        <w:rPr>
          <w:noProof/>
        </w:rPr>
        <w:t>(1): 27-34.</w:t>
      </w:r>
    </w:p>
    <w:p w14:paraId="133AFCFF" w14:textId="77777777" w:rsidR="00615F56" w:rsidRPr="00615F56" w:rsidRDefault="00615F56" w:rsidP="00615F56">
      <w:pPr>
        <w:pStyle w:val="EndNoteBibliography"/>
        <w:spacing w:after="240"/>
        <w:rPr>
          <w:noProof/>
        </w:rPr>
      </w:pPr>
      <w:r w:rsidRPr="00615F56">
        <w:rPr>
          <w:noProof/>
        </w:rPr>
        <w:t xml:space="preserve">Griffith, R. (2009). "The Mental Capacity Act 2005 in practice: best interests." </w:t>
      </w:r>
      <w:r w:rsidRPr="00615F56">
        <w:rPr>
          <w:noProof/>
          <w:u w:val="single"/>
        </w:rPr>
        <w:t>Nurse Prescribing</w:t>
      </w:r>
      <w:r w:rsidRPr="00615F56">
        <w:rPr>
          <w:noProof/>
        </w:rPr>
        <w:t xml:space="preserve"> </w:t>
      </w:r>
      <w:r w:rsidRPr="00615F56">
        <w:rPr>
          <w:b/>
          <w:noProof/>
        </w:rPr>
        <w:t>7</w:t>
      </w:r>
      <w:r w:rsidRPr="00615F56">
        <w:rPr>
          <w:noProof/>
        </w:rPr>
        <w:t>(4): 172 - 175.</w:t>
      </w:r>
    </w:p>
    <w:p w14:paraId="33F0107C" w14:textId="77777777" w:rsidR="00615F56" w:rsidRPr="00615F56" w:rsidRDefault="00615F56" w:rsidP="00615F56">
      <w:pPr>
        <w:pStyle w:val="EndNoteBibliography"/>
        <w:spacing w:after="240"/>
        <w:rPr>
          <w:noProof/>
        </w:rPr>
      </w:pPr>
      <w:r w:rsidRPr="00615F56">
        <w:rPr>
          <w:noProof/>
        </w:rPr>
        <w:t xml:space="preserve">Keith, T. (2015). "Prescribing for children." </w:t>
      </w:r>
      <w:r w:rsidRPr="00615F56">
        <w:rPr>
          <w:noProof/>
          <w:u w:val="single"/>
        </w:rPr>
        <w:t>InnovAiT: Education and inspiration for general practice</w:t>
      </w:r>
      <w:r w:rsidRPr="00615F56">
        <w:rPr>
          <w:noProof/>
        </w:rPr>
        <w:t xml:space="preserve"> </w:t>
      </w:r>
      <w:r w:rsidRPr="00615F56">
        <w:rPr>
          <w:b/>
          <w:noProof/>
        </w:rPr>
        <w:t>8</w:t>
      </w:r>
      <w:r w:rsidRPr="00615F56">
        <w:rPr>
          <w:noProof/>
        </w:rPr>
        <w:t>(10): 599-606.</w:t>
      </w:r>
    </w:p>
    <w:p w14:paraId="12712531" w14:textId="77777777" w:rsidR="00615F56" w:rsidRPr="00615F56" w:rsidRDefault="00615F56" w:rsidP="00615F56">
      <w:pPr>
        <w:pStyle w:val="EndNoteBibliography"/>
        <w:spacing w:after="240"/>
        <w:rPr>
          <w:noProof/>
        </w:rPr>
      </w:pPr>
      <w:r w:rsidRPr="00615F56">
        <w:rPr>
          <w:noProof/>
        </w:rPr>
        <w:t>NICE (2023). Prescribing in Children, National Institute for Health and Care Excellence.</w:t>
      </w:r>
    </w:p>
    <w:p w14:paraId="717F1731" w14:textId="77777777" w:rsidR="00615F56" w:rsidRPr="00615F56" w:rsidRDefault="00615F56" w:rsidP="00615F56">
      <w:pPr>
        <w:pStyle w:val="EndNoteBibliography"/>
        <w:spacing w:after="240"/>
        <w:rPr>
          <w:noProof/>
        </w:rPr>
      </w:pPr>
      <w:r w:rsidRPr="00615F56">
        <w:rPr>
          <w:noProof/>
        </w:rPr>
        <w:t>NMC (2023). Standards for education and training, Part 3: Standards for Prescribing Programmes. London, Nursing Midwifery Council.</w:t>
      </w:r>
    </w:p>
    <w:p w14:paraId="546D1A69" w14:textId="77777777" w:rsidR="00615F56" w:rsidRPr="00615F56" w:rsidRDefault="00615F56" w:rsidP="00615F56">
      <w:pPr>
        <w:pStyle w:val="EndNoteBibliography"/>
        <w:spacing w:after="240"/>
        <w:rPr>
          <w:noProof/>
        </w:rPr>
      </w:pPr>
      <w:r w:rsidRPr="00615F56">
        <w:rPr>
          <w:noProof/>
        </w:rPr>
        <w:t xml:space="preserve">Rashed, A. N., D. Terry, A. Fox, N. Christiansen and S. Tomlin (2021). "Feasibility of developing children's Pill School within a UK hospital." </w:t>
      </w:r>
      <w:r w:rsidRPr="00615F56">
        <w:rPr>
          <w:noProof/>
          <w:u w:val="single"/>
        </w:rPr>
        <w:t>Arch Dis Child</w:t>
      </w:r>
      <w:r w:rsidRPr="00615F56">
        <w:rPr>
          <w:noProof/>
        </w:rPr>
        <w:t xml:space="preserve"> </w:t>
      </w:r>
      <w:r w:rsidRPr="00615F56">
        <w:rPr>
          <w:b/>
          <w:noProof/>
        </w:rPr>
        <w:t>106</w:t>
      </w:r>
      <w:r w:rsidRPr="00615F56">
        <w:rPr>
          <w:noProof/>
        </w:rPr>
        <w:t>(7): 705-708.</w:t>
      </w:r>
    </w:p>
    <w:p w14:paraId="6DDBE83C" w14:textId="77777777" w:rsidR="00615F56" w:rsidRPr="00615F56" w:rsidRDefault="00615F56" w:rsidP="00615F56">
      <w:pPr>
        <w:pStyle w:val="EndNoteBibliography"/>
        <w:rPr>
          <w:noProof/>
        </w:rPr>
      </w:pPr>
      <w:r w:rsidRPr="00615F56">
        <w:rPr>
          <w:noProof/>
        </w:rPr>
        <w:t>RPS (2021). A competency framework for all prescribers. London, Royal Pharmaceutical Society.</w:t>
      </w:r>
    </w:p>
    <w:p w14:paraId="6D57F3C4" w14:textId="789B0356" w:rsidR="00A82B5E" w:rsidRPr="002145C9" w:rsidRDefault="0037052F" w:rsidP="001D5FAF">
      <w:pPr>
        <w:jc w:val="both"/>
      </w:pPr>
      <w:r>
        <w:fldChar w:fldCharType="end"/>
      </w:r>
    </w:p>
    <w:sectPr w:rsidR="00A82B5E" w:rsidRPr="002145C9" w:rsidSect="001C087D">
      <w:footerReference w:type="even" r:id="rId8"/>
      <w:footerReference w:type="default" r:id="rId9"/>
      <w:pgSz w:w="11906" w:h="16838"/>
      <w:pgMar w:top="30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610C" w14:textId="77777777" w:rsidR="00A11EB0" w:rsidRDefault="00A11EB0" w:rsidP="00E00288">
      <w:r>
        <w:separator/>
      </w:r>
    </w:p>
  </w:endnote>
  <w:endnote w:type="continuationSeparator" w:id="0">
    <w:p w14:paraId="573D1ECD" w14:textId="77777777" w:rsidR="00A11EB0" w:rsidRDefault="00A11EB0" w:rsidP="00E0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124"/>
      <w:docPartObj>
        <w:docPartGallery w:val="Page Numbers (Bottom of Page)"/>
        <w:docPartUnique/>
      </w:docPartObj>
    </w:sdtPr>
    <w:sdtContent>
      <w:p w14:paraId="672D522A" w14:textId="70F848DA" w:rsidR="00E00288" w:rsidRDefault="00E00288" w:rsidP="002636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A3698" w14:textId="77777777" w:rsidR="00E00288" w:rsidRDefault="00E00288" w:rsidP="00E002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2593709"/>
      <w:docPartObj>
        <w:docPartGallery w:val="Page Numbers (Bottom of Page)"/>
        <w:docPartUnique/>
      </w:docPartObj>
    </w:sdtPr>
    <w:sdtContent>
      <w:p w14:paraId="0A120A39" w14:textId="0FF9A0E2" w:rsidR="00E00288" w:rsidRDefault="00E00288" w:rsidP="002636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BB7F5E" w14:textId="77777777" w:rsidR="00E00288" w:rsidRDefault="00E00288" w:rsidP="00E002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D75F" w14:textId="77777777" w:rsidR="00A11EB0" w:rsidRDefault="00A11EB0" w:rsidP="00E00288">
      <w:r>
        <w:separator/>
      </w:r>
    </w:p>
  </w:footnote>
  <w:footnote w:type="continuationSeparator" w:id="0">
    <w:p w14:paraId="09DBD0F4" w14:textId="77777777" w:rsidR="00A11EB0" w:rsidRDefault="00A11EB0" w:rsidP="00E00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769AE"/>
    <w:multiLevelType w:val="multilevel"/>
    <w:tmpl w:val="3152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711F08"/>
    <w:multiLevelType w:val="hybridMultilevel"/>
    <w:tmpl w:val="E6CCA25E"/>
    <w:lvl w:ilvl="0" w:tplc="5EA076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546797">
    <w:abstractNumId w:val="1"/>
  </w:num>
  <w:num w:numId="2" w16cid:durableId="40287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2dvtr5t089z0xke2s0qpxtf3w9xsp0ssadxw&quot;&gt;Kate&amp;apos;s Endnote&lt;record-ids&gt;&lt;item&gt;10780&lt;/item&gt;&lt;item&gt;11859&lt;/item&gt;&lt;item&gt;12383&lt;/item&gt;&lt;item&gt;13426&lt;/item&gt;&lt;item&gt;14793&lt;/item&gt;&lt;item&gt;15377&lt;/item&gt;&lt;item&gt;15431&lt;/item&gt;&lt;item&gt;15446&lt;/item&gt;&lt;item&gt;15622&lt;/item&gt;&lt;item&gt;15623&lt;/item&gt;&lt;item&gt;15754&lt;/item&gt;&lt;item&gt;16101&lt;/item&gt;&lt;item&gt;16555&lt;/item&gt;&lt;item&gt;16566&lt;/item&gt;&lt;item&gt;16570&lt;/item&gt;&lt;item&gt;16571&lt;/item&gt;&lt;item&gt;16575&lt;/item&gt;&lt;item&gt;16577&lt;/item&gt;&lt;item&gt;16580&lt;/item&gt;&lt;item&gt;16581&lt;/item&gt;&lt;/record-ids&gt;&lt;/item&gt;&lt;/Libraries&gt;"/>
  </w:docVars>
  <w:rsids>
    <w:rsidRoot w:val="001D5FAF"/>
    <w:rsid w:val="000014A2"/>
    <w:rsid w:val="0000372F"/>
    <w:rsid w:val="00006E61"/>
    <w:rsid w:val="00021907"/>
    <w:rsid w:val="00026880"/>
    <w:rsid w:val="0003366B"/>
    <w:rsid w:val="0004624F"/>
    <w:rsid w:val="00050E3B"/>
    <w:rsid w:val="00051029"/>
    <w:rsid w:val="00056CD3"/>
    <w:rsid w:val="00062582"/>
    <w:rsid w:val="000774C7"/>
    <w:rsid w:val="000805B3"/>
    <w:rsid w:val="000A5E73"/>
    <w:rsid w:val="000A64DE"/>
    <w:rsid w:val="000B0BAB"/>
    <w:rsid w:val="000B4862"/>
    <w:rsid w:val="000C1189"/>
    <w:rsid w:val="000C1A1E"/>
    <w:rsid w:val="000D6B6E"/>
    <w:rsid w:val="000F6ABA"/>
    <w:rsid w:val="000F7F3A"/>
    <w:rsid w:val="00107A22"/>
    <w:rsid w:val="00130264"/>
    <w:rsid w:val="0013397F"/>
    <w:rsid w:val="0014742E"/>
    <w:rsid w:val="00151426"/>
    <w:rsid w:val="001606F5"/>
    <w:rsid w:val="00162036"/>
    <w:rsid w:val="001720FA"/>
    <w:rsid w:val="0019452A"/>
    <w:rsid w:val="001972EC"/>
    <w:rsid w:val="001C087D"/>
    <w:rsid w:val="001C2E76"/>
    <w:rsid w:val="001C5ADD"/>
    <w:rsid w:val="001D5FAF"/>
    <w:rsid w:val="001E08A1"/>
    <w:rsid w:val="001F5DBC"/>
    <w:rsid w:val="001F5DF0"/>
    <w:rsid w:val="00201931"/>
    <w:rsid w:val="00201B3B"/>
    <w:rsid w:val="002123DE"/>
    <w:rsid w:val="002145C9"/>
    <w:rsid w:val="002270AC"/>
    <w:rsid w:val="00292EF2"/>
    <w:rsid w:val="00296DD5"/>
    <w:rsid w:val="00297216"/>
    <w:rsid w:val="002B390E"/>
    <w:rsid w:val="002B7F49"/>
    <w:rsid w:val="002C1210"/>
    <w:rsid w:val="002E02D7"/>
    <w:rsid w:val="00303CE9"/>
    <w:rsid w:val="00303E0A"/>
    <w:rsid w:val="00316198"/>
    <w:rsid w:val="003566DC"/>
    <w:rsid w:val="0037052F"/>
    <w:rsid w:val="00373572"/>
    <w:rsid w:val="00390856"/>
    <w:rsid w:val="003B3002"/>
    <w:rsid w:val="003B4A2A"/>
    <w:rsid w:val="003C003E"/>
    <w:rsid w:val="003D0AB8"/>
    <w:rsid w:val="003E2500"/>
    <w:rsid w:val="003E59B1"/>
    <w:rsid w:val="003F66DB"/>
    <w:rsid w:val="003F6D62"/>
    <w:rsid w:val="00432DC9"/>
    <w:rsid w:val="00462A12"/>
    <w:rsid w:val="004679C0"/>
    <w:rsid w:val="00467E61"/>
    <w:rsid w:val="00472991"/>
    <w:rsid w:val="00483D71"/>
    <w:rsid w:val="0049248A"/>
    <w:rsid w:val="004F0DC6"/>
    <w:rsid w:val="004F3B11"/>
    <w:rsid w:val="00516EBC"/>
    <w:rsid w:val="00522561"/>
    <w:rsid w:val="00531015"/>
    <w:rsid w:val="00537CDF"/>
    <w:rsid w:val="00541038"/>
    <w:rsid w:val="00544F8A"/>
    <w:rsid w:val="00545562"/>
    <w:rsid w:val="00545FB3"/>
    <w:rsid w:val="005543D8"/>
    <w:rsid w:val="0056651D"/>
    <w:rsid w:val="005A504A"/>
    <w:rsid w:val="005A60D8"/>
    <w:rsid w:val="005E03EE"/>
    <w:rsid w:val="005E3E6B"/>
    <w:rsid w:val="005F21AE"/>
    <w:rsid w:val="0060401D"/>
    <w:rsid w:val="00615F56"/>
    <w:rsid w:val="00624456"/>
    <w:rsid w:val="006260E3"/>
    <w:rsid w:val="00627218"/>
    <w:rsid w:val="00642440"/>
    <w:rsid w:val="00650451"/>
    <w:rsid w:val="006759DC"/>
    <w:rsid w:val="00691055"/>
    <w:rsid w:val="00694CAC"/>
    <w:rsid w:val="006B1C31"/>
    <w:rsid w:val="006B24F3"/>
    <w:rsid w:val="00753393"/>
    <w:rsid w:val="00777F82"/>
    <w:rsid w:val="007B31CF"/>
    <w:rsid w:val="007C0D18"/>
    <w:rsid w:val="007C578C"/>
    <w:rsid w:val="007C6417"/>
    <w:rsid w:val="00855B30"/>
    <w:rsid w:val="00880F21"/>
    <w:rsid w:val="008832AA"/>
    <w:rsid w:val="00883D90"/>
    <w:rsid w:val="00886411"/>
    <w:rsid w:val="00897E37"/>
    <w:rsid w:val="008C1A6D"/>
    <w:rsid w:val="008C63B3"/>
    <w:rsid w:val="008E6EA1"/>
    <w:rsid w:val="008F3ECF"/>
    <w:rsid w:val="008F424A"/>
    <w:rsid w:val="008F54F4"/>
    <w:rsid w:val="008F5AC6"/>
    <w:rsid w:val="008F7638"/>
    <w:rsid w:val="009009BC"/>
    <w:rsid w:val="009235FC"/>
    <w:rsid w:val="00932A5F"/>
    <w:rsid w:val="009416D5"/>
    <w:rsid w:val="0097041E"/>
    <w:rsid w:val="009A3247"/>
    <w:rsid w:val="00A03752"/>
    <w:rsid w:val="00A11EB0"/>
    <w:rsid w:val="00A442D8"/>
    <w:rsid w:val="00A455A0"/>
    <w:rsid w:val="00A5349A"/>
    <w:rsid w:val="00A750C3"/>
    <w:rsid w:val="00A81889"/>
    <w:rsid w:val="00A82B53"/>
    <w:rsid w:val="00A82B5E"/>
    <w:rsid w:val="00AA217E"/>
    <w:rsid w:val="00AC17F4"/>
    <w:rsid w:val="00AE4ADC"/>
    <w:rsid w:val="00AE7089"/>
    <w:rsid w:val="00AF0C97"/>
    <w:rsid w:val="00B343D6"/>
    <w:rsid w:val="00B63E7F"/>
    <w:rsid w:val="00B7264B"/>
    <w:rsid w:val="00B756F4"/>
    <w:rsid w:val="00BA0C47"/>
    <w:rsid w:val="00BD49DD"/>
    <w:rsid w:val="00C050E0"/>
    <w:rsid w:val="00C432FD"/>
    <w:rsid w:val="00C72F98"/>
    <w:rsid w:val="00C95A27"/>
    <w:rsid w:val="00CD0CBF"/>
    <w:rsid w:val="00CD51E7"/>
    <w:rsid w:val="00D00E59"/>
    <w:rsid w:val="00D26612"/>
    <w:rsid w:val="00D33852"/>
    <w:rsid w:val="00D40090"/>
    <w:rsid w:val="00D514C2"/>
    <w:rsid w:val="00D53A0D"/>
    <w:rsid w:val="00D665FA"/>
    <w:rsid w:val="00D85BD8"/>
    <w:rsid w:val="00D90EB1"/>
    <w:rsid w:val="00DC1ED1"/>
    <w:rsid w:val="00DD1097"/>
    <w:rsid w:val="00DE124F"/>
    <w:rsid w:val="00E00288"/>
    <w:rsid w:val="00E17AF8"/>
    <w:rsid w:val="00E436B2"/>
    <w:rsid w:val="00E75ECA"/>
    <w:rsid w:val="00E80AAE"/>
    <w:rsid w:val="00EA03FF"/>
    <w:rsid w:val="00EB605B"/>
    <w:rsid w:val="00EC72D9"/>
    <w:rsid w:val="00F40EDC"/>
    <w:rsid w:val="00F43D3C"/>
    <w:rsid w:val="00F71610"/>
    <w:rsid w:val="00F7638F"/>
    <w:rsid w:val="00F91949"/>
    <w:rsid w:val="00F95FAC"/>
    <w:rsid w:val="00FB550B"/>
    <w:rsid w:val="00FE3A8B"/>
    <w:rsid w:val="00FF5C9F"/>
    <w:rsid w:val="00FF6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1CBC8"/>
  <w15:chartTrackingRefBased/>
  <w15:docId w15:val="{29A892B0-4508-474A-AC14-625917C6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D5FAF"/>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1D5FAF"/>
    <w:rPr>
      <w:rFonts w:ascii="Calibri" w:hAnsi="Calibri" w:cs="Calibri"/>
      <w:lang w:val="en-US"/>
    </w:rPr>
  </w:style>
  <w:style w:type="paragraph" w:customStyle="1" w:styleId="EndNoteBibliography">
    <w:name w:val="EndNote Bibliography"/>
    <w:basedOn w:val="Normal"/>
    <w:link w:val="EndNoteBibliographyChar"/>
    <w:rsid w:val="001D5FAF"/>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1D5FAF"/>
    <w:rPr>
      <w:rFonts w:ascii="Calibri" w:hAnsi="Calibri" w:cs="Calibri"/>
      <w:lang w:val="en-US"/>
    </w:rPr>
  </w:style>
  <w:style w:type="paragraph" w:styleId="Footer">
    <w:name w:val="footer"/>
    <w:basedOn w:val="Normal"/>
    <w:link w:val="FooterChar"/>
    <w:uiPriority w:val="99"/>
    <w:unhideWhenUsed/>
    <w:rsid w:val="00E00288"/>
    <w:pPr>
      <w:tabs>
        <w:tab w:val="center" w:pos="4513"/>
        <w:tab w:val="right" w:pos="9026"/>
      </w:tabs>
    </w:pPr>
  </w:style>
  <w:style w:type="character" w:customStyle="1" w:styleId="FooterChar">
    <w:name w:val="Footer Char"/>
    <w:basedOn w:val="DefaultParagraphFont"/>
    <w:link w:val="Footer"/>
    <w:uiPriority w:val="99"/>
    <w:rsid w:val="00E00288"/>
  </w:style>
  <w:style w:type="character" w:styleId="PageNumber">
    <w:name w:val="page number"/>
    <w:basedOn w:val="DefaultParagraphFont"/>
    <w:uiPriority w:val="99"/>
    <w:semiHidden/>
    <w:unhideWhenUsed/>
    <w:rsid w:val="00E00288"/>
  </w:style>
  <w:style w:type="character" w:styleId="Hyperlink">
    <w:name w:val="Hyperlink"/>
    <w:basedOn w:val="DefaultParagraphFont"/>
    <w:uiPriority w:val="99"/>
    <w:unhideWhenUsed/>
    <w:rsid w:val="00E00288"/>
    <w:rPr>
      <w:color w:val="0563C1" w:themeColor="hyperlink"/>
      <w:u w:val="single"/>
    </w:rPr>
  </w:style>
  <w:style w:type="character" w:styleId="UnresolvedMention">
    <w:name w:val="Unresolved Mention"/>
    <w:basedOn w:val="DefaultParagraphFont"/>
    <w:uiPriority w:val="99"/>
    <w:semiHidden/>
    <w:unhideWhenUsed/>
    <w:rsid w:val="00E00288"/>
    <w:rPr>
      <w:color w:val="605E5C"/>
      <w:shd w:val="clear" w:color="auto" w:fill="E1DFDD"/>
    </w:rPr>
  </w:style>
  <w:style w:type="table" w:styleId="TableGrid">
    <w:name w:val="Table Grid"/>
    <w:basedOn w:val="TableNormal"/>
    <w:uiPriority w:val="39"/>
    <w:rsid w:val="00AE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94CAC"/>
    <w:rPr>
      <w:sz w:val="20"/>
      <w:szCs w:val="20"/>
    </w:rPr>
  </w:style>
  <w:style w:type="character" w:customStyle="1" w:styleId="EndnoteTextChar">
    <w:name w:val="Endnote Text Char"/>
    <w:basedOn w:val="DefaultParagraphFont"/>
    <w:link w:val="EndnoteText"/>
    <w:uiPriority w:val="99"/>
    <w:semiHidden/>
    <w:rsid w:val="00694CAC"/>
    <w:rPr>
      <w:sz w:val="20"/>
      <w:szCs w:val="20"/>
    </w:rPr>
  </w:style>
  <w:style w:type="character" w:styleId="EndnoteReference">
    <w:name w:val="endnote reference"/>
    <w:basedOn w:val="DefaultParagraphFont"/>
    <w:uiPriority w:val="99"/>
    <w:semiHidden/>
    <w:unhideWhenUsed/>
    <w:rsid w:val="00694CAC"/>
    <w:rPr>
      <w:vertAlign w:val="superscript"/>
    </w:rPr>
  </w:style>
  <w:style w:type="paragraph" w:styleId="ListParagraph">
    <w:name w:val="List Paragraph"/>
    <w:basedOn w:val="Normal"/>
    <w:uiPriority w:val="34"/>
    <w:qFormat/>
    <w:rsid w:val="00F43D3C"/>
    <w:pPr>
      <w:ind w:left="720"/>
      <w:contextualSpacing/>
    </w:pPr>
  </w:style>
  <w:style w:type="paragraph" w:styleId="NormalWeb">
    <w:name w:val="Normal (Web)"/>
    <w:basedOn w:val="Normal"/>
    <w:uiPriority w:val="99"/>
    <w:unhideWhenUsed/>
    <w:rsid w:val="003D0AB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222169">
      <w:bodyDiv w:val="1"/>
      <w:marLeft w:val="0"/>
      <w:marRight w:val="0"/>
      <w:marTop w:val="0"/>
      <w:marBottom w:val="0"/>
      <w:divBdr>
        <w:top w:val="none" w:sz="0" w:space="0" w:color="auto"/>
        <w:left w:val="none" w:sz="0" w:space="0" w:color="auto"/>
        <w:bottom w:val="none" w:sz="0" w:space="0" w:color="auto"/>
        <w:right w:val="none" w:sz="0" w:space="0" w:color="auto"/>
      </w:divBdr>
    </w:div>
    <w:div w:id="1408573690">
      <w:bodyDiv w:val="1"/>
      <w:marLeft w:val="0"/>
      <w:marRight w:val="0"/>
      <w:marTop w:val="0"/>
      <w:marBottom w:val="0"/>
      <w:divBdr>
        <w:top w:val="none" w:sz="0" w:space="0" w:color="auto"/>
        <w:left w:val="none" w:sz="0" w:space="0" w:color="auto"/>
        <w:bottom w:val="none" w:sz="0" w:space="0" w:color="auto"/>
        <w:right w:val="none" w:sz="0" w:space="0" w:color="auto"/>
      </w:divBdr>
      <w:divsChild>
        <w:div w:id="1146750441">
          <w:marLeft w:val="0"/>
          <w:marRight w:val="0"/>
          <w:marTop w:val="0"/>
          <w:marBottom w:val="0"/>
          <w:divBdr>
            <w:top w:val="none" w:sz="0" w:space="0" w:color="auto"/>
            <w:left w:val="none" w:sz="0" w:space="0" w:color="auto"/>
            <w:bottom w:val="none" w:sz="0" w:space="0" w:color="auto"/>
            <w:right w:val="none" w:sz="0" w:space="0" w:color="auto"/>
          </w:divBdr>
          <w:divsChild>
            <w:div w:id="2013021854">
              <w:marLeft w:val="0"/>
              <w:marRight w:val="0"/>
              <w:marTop w:val="0"/>
              <w:marBottom w:val="0"/>
              <w:divBdr>
                <w:top w:val="none" w:sz="0" w:space="0" w:color="auto"/>
                <w:left w:val="none" w:sz="0" w:space="0" w:color="auto"/>
                <w:bottom w:val="none" w:sz="0" w:space="0" w:color="auto"/>
                <w:right w:val="none" w:sz="0" w:space="0" w:color="auto"/>
              </w:divBdr>
              <w:divsChild>
                <w:div w:id="1948655348">
                  <w:marLeft w:val="0"/>
                  <w:marRight w:val="0"/>
                  <w:marTop w:val="0"/>
                  <w:marBottom w:val="0"/>
                  <w:divBdr>
                    <w:top w:val="none" w:sz="0" w:space="0" w:color="auto"/>
                    <w:left w:val="none" w:sz="0" w:space="0" w:color="auto"/>
                    <w:bottom w:val="none" w:sz="0" w:space="0" w:color="auto"/>
                    <w:right w:val="none" w:sz="0" w:space="0" w:color="auto"/>
                  </w:divBdr>
                  <w:divsChild>
                    <w:div w:id="10792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56368">
      <w:bodyDiv w:val="1"/>
      <w:marLeft w:val="0"/>
      <w:marRight w:val="0"/>
      <w:marTop w:val="0"/>
      <w:marBottom w:val="0"/>
      <w:divBdr>
        <w:top w:val="none" w:sz="0" w:space="0" w:color="auto"/>
        <w:left w:val="none" w:sz="0" w:space="0" w:color="auto"/>
        <w:bottom w:val="none" w:sz="0" w:space="0" w:color="auto"/>
        <w:right w:val="none" w:sz="0" w:space="0" w:color="auto"/>
      </w:divBdr>
      <w:divsChild>
        <w:div w:id="2046327702">
          <w:marLeft w:val="0"/>
          <w:marRight w:val="0"/>
          <w:marTop w:val="0"/>
          <w:marBottom w:val="0"/>
          <w:divBdr>
            <w:top w:val="none" w:sz="0" w:space="0" w:color="auto"/>
            <w:left w:val="none" w:sz="0" w:space="0" w:color="auto"/>
            <w:bottom w:val="none" w:sz="0" w:space="0" w:color="auto"/>
            <w:right w:val="none" w:sz="0" w:space="0" w:color="auto"/>
          </w:divBdr>
          <w:divsChild>
            <w:div w:id="588277830">
              <w:marLeft w:val="0"/>
              <w:marRight w:val="0"/>
              <w:marTop w:val="0"/>
              <w:marBottom w:val="0"/>
              <w:divBdr>
                <w:top w:val="none" w:sz="0" w:space="0" w:color="auto"/>
                <w:left w:val="none" w:sz="0" w:space="0" w:color="auto"/>
                <w:bottom w:val="none" w:sz="0" w:space="0" w:color="auto"/>
                <w:right w:val="none" w:sz="0" w:space="0" w:color="auto"/>
              </w:divBdr>
              <w:divsChild>
                <w:div w:id="1407721628">
                  <w:marLeft w:val="0"/>
                  <w:marRight w:val="0"/>
                  <w:marTop w:val="0"/>
                  <w:marBottom w:val="0"/>
                  <w:divBdr>
                    <w:top w:val="none" w:sz="0" w:space="0" w:color="auto"/>
                    <w:left w:val="none" w:sz="0" w:space="0" w:color="auto"/>
                    <w:bottom w:val="none" w:sz="0" w:space="0" w:color="auto"/>
                    <w:right w:val="none" w:sz="0" w:space="0" w:color="auto"/>
                  </w:divBdr>
                  <w:divsChild>
                    <w:div w:id="6199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9C8C-A5BF-B44D-B65D-26736293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TotalTime>
  <Pages>3</Pages>
  <Words>4022</Words>
  <Characters>20151</Characters>
  <Application>Microsoft Office Word</Application>
  <DocSecurity>0</DocSecurity>
  <Lines>1831</Lines>
  <Paragraphs>1098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Davies</dc:creator>
  <cp:keywords/>
  <dc:description/>
  <cp:lastModifiedBy>Kate Davies</cp:lastModifiedBy>
  <cp:revision>2</cp:revision>
  <dcterms:created xsi:type="dcterms:W3CDTF">2024-06-26T15:03:00Z</dcterms:created>
  <dcterms:modified xsi:type="dcterms:W3CDTF">2024-06-26T15:03:00Z</dcterms:modified>
</cp:coreProperties>
</file>