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97005" w14:textId="77777777" w:rsidR="00583512" w:rsidRDefault="00A9048A" w:rsidP="00054D61">
      <w:pPr>
        <w:spacing w:before="311" w:line="244" w:lineRule="auto"/>
        <w:ind w:left="120"/>
        <w:rPr>
          <w:rFonts w:ascii="Arial"/>
          <w:b/>
          <w:sz w:val="15"/>
        </w:rPr>
      </w:pPr>
      <w:r>
        <w:rPr>
          <w:rFonts w:ascii="Arial"/>
          <w:b/>
          <w:sz w:val="34"/>
        </w:rPr>
        <w:t>A cylinder pressure-based knock detection method for pre-chamber ignition gasoline engine.</w:t>
      </w:r>
    </w:p>
    <w:p w14:paraId="3B0B43D0" w14:textId="77777777" w:rsidR="00AD1C69" w:rsidRDefault="00AD1C69" w:rsidP="00097E1B">
      <w:pPr>
        <w:spacing w:before="1"/>
        <w:jc w:val="both"/>
        <w:rPr>
          <w:b/>
        </w:rPr>
      </w:pPr>
      <w:bookmarkStart w:id="0" w:name="_bookmark0"/>
      <w:bookmarkEnd w:id="0"/>
    </w:p>
    <w:p w14:paraId="3A354DCB" w14:textId="77777777" w:rsidR="00583512" w:rsidRPr="00794BF5" w:rsidRDefault="006B1410">
      <w:pPr>
        <w:spacing w:before="1"/>
        <w:ind w:left="120"/>
        <w:jc w:val="both"/>
        <w:rPr>
          <w:b/>
        </w:rPr>
      </w:pPr>
      <w:r w:rsidRPr="00794BF5">
        <w:rPr>
          <w:b/>
        </w:rPr>
        <w:t>Abstract</w:t>
      </w:r>
    </w:p>
    <w:p w14:paraId="29F6264F" w14:textId="77777777" w:rsidR="00583512" w:rsidRPr="00794BF5" w:rsidRDefault="00A9048A" w:rsidP="004043B6">
      <w:pPr>
        <w:spacing w:before="35" w:line="276" w:lineRule="auto"/>
        <w:ind w:left="120" w:right="118"/>
        <w:jc w:val="both"/>
        <w:rPr>
          <w:sz w:val="20"/>
          <w:szCs w:val="20"/>
        </w:rPr>
      </w:pPr>
      <w:r>
        <w:rPr>
          <w:sz w:val="20"/>
          <w:szCs w:val="20"/>
        </w:rPr>
        <w:t xml:space="preserve">Pre-chamber ignition system has the potential to reduce burn duration of lean-burn gasoline engine combustion </w:t>
      </w:r>
      <w:r w:rsidR="007B36D0">
        <w:rPr>
          <w:sz w:val="20"/>
          <w:szCs w:val="20"/>
        </w:rPr>
        <w:t>and</w:t>
      </w:r>
      <w:r w:rsidR="0038507D">
        <w:rPr>
          <w:sz w:val="20"/>
          <w:szCs w:val="20"/>
        </w:rPr>
        <w:t xml:space="preserve"> can achieve </w:t>
      </w:r>
      <w:r>
        <w:rPr>
          <w:sz w:val="20"/>
          <w:szCs w:val="20"/>
        </w:rPr>
        <w:t xml:space="preserve">reduced knock occurrence </w:t>
      </w:r>
      <w:r w:rsidR="0038507D">
        <w:rPr>
          <w:sz w:val="20"/>
          <w:szCs w:val="20"/>
        </w:rPr>
        <w:t>from</w:t>
      </w:r>
      <w:r>
        <w:rPr>
          <w:sz w:val="20"/>
          <w:szCs w:val="20"/>
        </w:rPr>
        <w:t xml:space="preserve"> </w:t>
      </w:r>
      <w:r w:rsidR="00F97CDD">
        <w:rPr>
          <w:sz w:val="20"/>
          <w:szCs w:val="20"/>
        </w:rPr>
        <w:t xml:space="preserve">the </w:t>
      </w:r>
      <w:r>
        <w:rPr>
          <w:sz w:val="20"/>
          <w:szCs w:val="20"/>
        </w:rPr>
        <w:t>distributed ignition sources. Pre-chamber ignition produces high velocity turbulent jets and</w:t>
      </w:r>
      <w:r w:rsidR="00DC56A3">
        <w:rPr>
          <w:sz w:val="20"/>
          <w:szCs w:val="20"/>
        </w:rPr>
        <w:t xml:space="preserve"> these jets</w:t>
      </w:r>
      <w:r>
        <w:rPr>
          <w:sz w:val="20"/>
          <w:szCs w:val="20"/>
        </w:rPr>
        <w:t xml:space="preserve"> </w:t>
      </w:r>
      <w:r w:rsidR="008564E5">
        <w:rPr>
          <w:sz w:val="20"/>
          <w:szCs w:val="20"/>
        </w:rPr>
        <w:t>often</w:t>
      </w:r>
      <w:r>
        <w:rPr>
          <w:sz w:val="20"/>
          <w:szCs w:val="20"/>
        </w:rPr>
        <w:t xml:space="preserve"> reach sonic velocity and produce shock waves inside the combustion chamber. Th</w:t>
      </w:r>
      <w:r w:rsidR="00DC56A3">
        <w:rPr>
          <w:sz w:val="20"/>
          <w:szCs w:val="20"/>
        </w:rPr>
        <w:t>e</w:t>
      </w:r>
      <w:r>
        <w:rPr>
          <w:sz w:val="20"/>
          <w:szCs w:val="20"/>
        </w:rPr>
        <w:t>s</w:t>
      </w:r>
      <w:r w:rsidR="00DC56A3">
        <w:rPr>
          <w:sz w:val="20"/>
          <w:szCs w:val="20"/>
        </w:rPr>
        <w:t>e</w:t>
      </w:r>
      <w:r>
        <w:rPr>
          <w:sz w:val="20"/>
          <w:szCs w:val="20"/>
        </w:rPr>
        <w:t xml:space="preserve"> shock waves make knock detection difficult with a conventional surface mounted </w:t>
      </w:r>
      <w:r w:rsidR="001D351D">
        <w:rPr>
          <w:sz w:val="20"/>
          <w:szCs w:val="20"/>
        </w:rPr>
        <w:t>acoustic</w:t>
      </w:r>
      <w:r>
        <w:rPr>
          <w:sz w:val="20"/>
          <w:szCs w:val="20"/>
        </w:rPr>
        <w:t xml:space="preserve"> knock sensor. This paper </w:t>
      </w:r>
      <w:r w:rsidR="00AD399A">
        <w:rPr>
          <w:sz w:val="20"/>
          <w:szCs w:val="20"/>
        </w:rPr>
        <w:t>discusses how a</w:t>
      </w:r>
      <w:r w:rsidR="001D351D">
        <w:rPr>
          <w:sz w:val="20"/>
          <w:szCs w:val="20"/>
        </w:rPr>
        <w:t>n</w:t>
      </w:r>
      <w:r w:rsidR="00AD399A">
        <w:rPr>
          <w:sz w:val="20"/>
          <w:szCs w:val="20"/>
        </w:rPr>
        <w:t xml:space="preserve"> </w:t>
      </w:r>
      <w:r w:rsidR="001D351D">
        <w:rPr>
          <w:sz w:val="20"/>
          <w:szCs w:val="20"/>
        </w:rPr>
        <w:t xml:space="preserve">acoustic </w:t>
      </w:r>
      <w:r w:rsidR="00AD399A">
        <w:rPr>
          <w:sz w:val="20"/>
          <w:szCs w:val="20"/>
        </w:rPr>
        <w:t xml:space="preserve">knock sensor works with pre-chamber ignition and </w:t>
      </w:r>
      <w:r w:rsidR="00F70F3A">
        <w:rPr>
          <w:sz w:val="20"/>
          <w:szCs w:val="20"/>
        </w:rPr>
        <w:t>evaluates</w:t>
      </w:r>
      <w:r w:rsidR="0038507D">
        <w:rPr>
          <w:sz w:val="20"/>
          <w:szCs w:val="20"/>
        </w:rPr>
        <w:t xml:space="preserve"> </w:t>
      </w:r>
      <w:r w:rsidR="00F70F3A">
        <w:rPr>
          <w:sz w:val="20"/>
          <w:szCs w:val="20"/>
        </w:rPr>
        <w:t>different</w:t>
      </w:r>
      <w:r w:rsidR="0038507D">
        <w:rPr>
          <w:sz w:val="20"/>
          <w:szCs w:val="20"/>
        </w:rPr>
        <w:t xml:space="preserve"> cylinder </w:t>
      </w:r>
      <w:r w:rsidR="007B36D0">
        <w:rPr>
          <w:sz w:val="20"/>
          <w:szCs w:val="20"/>
        </w:rPr>
        <w:t>pressure-based</w:t>
      </w:r>
      <w:r w:rsidR="0038507D">
        <w:rPr>
          <w:sz w:val="20"/>
          <w:szCs w:val="20"/>
        </w:rPr>
        <w:t xml:space="preserve"> knock detection strategies and proposes a method which eliminates the influence of jet induced oscillations on knock detection</w:t>
      </w:r>
      <w:r w:rsidR="006B1410" w:rsidRPr="00794BF5">
        <w:rPr>
          <w:sz w:val="20"/>
          <w:szCs w:val="20"/>
        </w:rPr>
        <w:t>.</w:t>
      </w:r>
    </w:p>
    <w:p w14:paraId="63287C10" w14:textId="77777777" w:rsidR="00583512" w:rsidRPr="00794BF5" w:rsidRDefault="00583512" w:rsidP="00733DE9">
      <w:pPr>
        <w:pStyle w:val="BodyText"/>
      </w:pPr>
    </w:p>
    <w:p w14:paraId="232C6A13" w14:textId="77777777" w:rsidR="00583512" w:rsidRPr="00794BF5" w:rsidRDefault="006B1410">
      <w:pPr>
        <w:ind w:left="120"/>
        <w:jc w:val="both"/>
        <w:rPr>
          <w:b/>
        </w:rPr>
      </w:pPr>
      <w:r w:rsidRPr="00794BF5">
        <w:rPr>
          <w:b/>
        </w:rPr>
        <w:t>Keywords</w:t>
      </w:r>
    </w:p>
    <w:p w14:paraId="79EE22D5" w14:textId="77777777" w:rsidR="00583512" w:rsidRDefault="006B1410" w:rsidP="00E24147">
      <w:pPr>
        <w:spacing w:before="20"/>
        <w:ind w:left="120"/>
        <w:jc w:val="both"/>
        <w:rPr>
          <w:sz w:val="20"/>
          <w:szCs w:val="20"/>
        </w:rPr>
      </w:pPr>
      <w:r w:rsidRPr="00794BF5">
        <w:rPr>
          <w:sz w:val="20"/>
          <w:szCs w:val="20"/>
        </w:rPr>
        <w:t xml:space="preserve">Pre-chamber ignition, turbulent jet ignition, lean-burn gasoline engine, </w:t>
      </w:r>
      <w:r w:rsidR="00A14928">
        <w:rPr>
          <w:sz w:val="20"/>
          <w:szCs w:val="20"/>
        </w:rPr>
        <w:t>engine knock</w:t>
      </w:r>
      <w:r w:rsidR="001E6A14">
        <w:rPr>
          <w:sz w:val="20"/>
          <w:szCs w:val="20"/>
        </w:rPr>
        <w:t xml:space="preserve"> detection</w:t>
      </w:r>
      <w:r w:rsidR="00A14928">
        <w:rPr>
          <w:sz w:val="20"/>
          <w:szCs w:val="20"/>
        </w:rPr>
        <w:t>.</w:t>
      </w:r>
    </w:p>
    <w:p w14:paraId="3FBB2D9B" w14:textId="77777777" w:rsidR="00455188" w:rsidRPr="00794BF5" w:rsidRDefault="00455188" w:rsidP="00E24147">
      <w:pPr>
        <w:spacing w:before="20"/>
        <w:ind w:left="120"/>
        <w:jc w:val="both"/>
        <w:rPr>
          <w:sz w:val="20"/>
          <w:szCs w:val="20"/>
        </w:rPr>
      </w:pPr>
    </w:p>
    <w:p w14:paraId="0AD16043" w14:textId="77777777" w:rsidR="00583512" w:rsidRPr="00794BF5" w:rsidRDefault="006B1410" w:rsidP="00733DE9">
      <w:pPr>
        <w:pStyle w:val="Heading1"/>
      </w:pPr>
      <w:bookmarkStart w:id="1" w:name="Introduction"/>
      <w:bookmarkEnd w:id="1"/>
      <w:r w:rsidRPr="00794BF5">
        <w:t>Introduction</w:t>
      </w:r>
    </w:p>
    <w:p w14:paraId="1D66B2B9" w14:textId="77777777" w:rsidR="004D1048" w:rsidRDefault="006B1410" w:rsidP="00733DE9">
      <w:pPr>
        <w:pStyle w:val="BodyText"/>
        <w:rPr>
          <w:spacing w:val="-6"/>
        </w:rPr>
      </w:pPr>
      <w:r w:rsidRPr="00794BF5">
        <w:t xml:space="preserve">Motor-sport engines </w:t>
      </w:r>
      <w:r w:rsidR="008564E5">
        <w:t>often lead the way to</w:t>
      </w:r>
      <w:r w:rsidRPr="00794BF5">
        <w:t xml:space="preserve"> how gasoline engines can be designed </w:t>
      </w:r>
      <w:r w:rsidR="008564E5">
        <w:t>to achieve</w:t>
      </w:r>
      <w:r w:rsidRPr="00794BF5">
        <w:t xml:space="preserve"> high thermal efficiency. </w:t>
      </w:r>
      <w:r w:rsidRPr="00794BF5">
        <w:rPr>
          <w:spacing w:val="-8"/>
        </w:rPr>
        <w:t xml:space="preserve">To </w:t>
      </w:r>
      <w:r w:rsidRPr="00794BF5">
        <w:t xml:space="preserve">make motor-sport road relevant and attract automotive manufactures, motor-sport regulatory authorities </w:t>
      </w:r>
      <w:r w:rsidR="008564E5">
        <w:t>such as</w:t>
      </w:r>
      <w:r w:rsidRPr="00794BF5">
        <w:t xml:space="preserve"> FIA (International Auto-mobile Federation) </w:t>
      </w:r>
      <w:r w:rsidR="008564E5">
        <w:t xml:space="preserve">have emphasized focus </w:t>
      </w:r>
      <w:r w:rsidRPr="00794BF5">
        <w:t xml:space="preserve">on fuel efficiency.  This was </w:t>
      </w:r>
      <w:r w:rsidR="008564E5">
        <w:t>carried out</w:t>
      </w:r>
      <w:r w:rsidRPr="00794BF5">
        <w:t xml:space="preserve"> by restricting the maximum fuel flow r</w:t>
      </w:r>
      <w:r w:rsidR="00733DE9">
        <w:t>ate</w:t>
      </w:r>
      <w:r w:rsidRPr="00794BF5">
        <w:t xml:space="preserve"> </w:t>
      </w:r>
      <w:r w:rsidR="008564E5">
        <w:t xml:space="preserve">available </w:t>
      </w:r>
      <w:r w:rsidRPr="00794BF5">
        <w:t xml:space="preserve">to the engine </w:t>
      </w:r>
      <w:r w:rsidR="004C46EC" w:rsidRPr="00794BF5">
        <w:t>and</w:t>
      </w:r>
      <w:r w:rsidRPr="00794BF5">
        <w:t xml:space="preserve"> by limi</w:t>
      </w:r>
      <w:r w:rsidR="007833E1" w:rsidRPr="00794BF5">
        <w:t xml:space="preserve">ting </w:t>
      </w:r>
      <w:r w:rsidR="008564E5">
        <w:t xml:space="preserve">the </w:t>
      </w:r>
      <w:r w:rsidR="007833E1" w:rsidRPr="00794BF5">
        <w:t>total fuel quantity for</w:t>
      </w:r>
      <w:r w:rsidRPr="00794BF5">
        <w:t xml:space="preserve"> </w:t>
      </w:r>
      <w:r w:rsidR="0041756E">
        <w:t xml:space="preserve">a race </w:t>
      </w:r>
      <w:r w:rsidR="00054D61" w:rsidRPr="00794BF5">
        <w:t>[1]</w:t>
      </w:r>
      <w:r w:rsidRPr="00794BF5">
        <w:rPr>
          <w:spacing w:val="5"/>
        </w:rPr>
        <w:t xml:space="preserve">. </w:t>
      </w:r>
      <w:r w:rsidRPr="00794BF5">
        <w:t>Such a restriction has resulted in motor-sport engine manufacturers</w:t>
      </w:r>
      <w:r w:rsidR="00733DE9">
        <w:t xml:space="preserve"> focus on reducing the </w:t>
      </w:r>
      <w:r w:rsidR="00D2786F">
        <w:t>Br</w:t>
      </w:r>
      <w:r w:rsidR="008564E5">
        <w:t>ake</w:t>
      </w:r>
      <w:r w:rsidR="00D2786F">
        <w:t xml:space="preserve"> Specific Fuel Consumption (</w:t>
      </w:r>
      <w:r w:rsidR="00733DE9">
        <w:t>BSFC</w:t>
      </w:r>
      <w:r w:rsidR="00D2786F">
        <w:t>)</w:t>
      </w:r>
      <w:r w:rsidRPr="00794BF5">
        <w:t xml:space="preserve">. As per Formula One engine regulations, cylinder geometry including the compression ratio is defined and restricted </w:t>
      </w:r>
      <w:r w:rsidR="00054D61" w:rsidRPr="00794BF5">
        <w:t>[1]</w:t>
      </w:r>
      <w:r w:rsidRPr="00794BF5">
        <w:rPr>
          <w:spacing w:val="4"/>
        </w:rPr>
        <w:t xml:space="preserve">. </w:t>
      </w:r>
      <w:r w:rsidR="00D2786F" w:rsidRPr="00794BF5">
        <w:t>So,</w:t>
      </w:r>
      <w:r w:rsidRPr="00794BF5">
        <w:t xml:space="preserve"> one possible direction to reduce</w:t>
      </w:r>
      <w:r w:rsidRPr="00794BF5">
        <w:rPr>
          <w:spacing w:val="-6"/>
        </w:rPr>
        <w:t xml:space="preserve"> </w:t>
      </w:r>
      <w:r w:rsidRPr="00794BF5">
        <w:t>the</w:t>
      </w:r>
      <w:r w:rsidRPr="00794BF5">
        <w:rPr>
          <w:spacing w:val="-6"/>
        </w:rPr>
        <w:t xml:space="preserve"> </w:t>
      </w:r>
      <w:r w:rsidRPr="00794BF5">
        <w:t>BSFC</w:t>
      </w:r>
      <w:r w:rsidRPr="00794BF5">
        <w:rPr>
          <w:spacing w:val="-6"/>
        </w:rPr>
        <w:t xml:space="preserve"> </w:t>
      </w:r>
      <w:r w:rsidRPr="00794BF5">
        <w:t>is</w:t>
      </w:r>
      <w:r w:rsidRPr="00794BF5">
        <w:rPr>
          <w:spacing w:val="-6"/>
        </w:rPr>
        <w:t xml:space="preserve"> </w:t>
      </w:r>
      <w:r w:rsidRPr="00794BF5">
        <w:t>to</w:t>
      </w:r>
      <w:r w:rsidRPr="00794BF5">
        <w:rPr>
          <w:spacing w:val="-6"/>
        </w:rPr>
        <w:t xml:space="preserve"> </w:t>
      </w:r>
      <w:r w:rsidRPr="00794BF5">
        <w:t>increase</w:t>
      </w:r>
      <w:r w:rsidRPr="00794BF5">
        <w:rPr>
          <w:spacing w:val="-6"/>
        </w:rPr>
        <w:t xml:space="preserve"> </w:t>
      </w:r>
      <w:r w:rsidRPr="00794BF5">
        <w:t>the</w:t>
      </w:r>
      <w:r w:rsidRPr="00794BF5">
        <w:rPr>
          <w:spacing w:val="-6"/>
        </w:rPr>
        <w:t xml:space="preserve"> </w:t>
      </w:r>
      <w:r w:rsidRPr="00794BF5">
        <w:t>dilution.</w:t>
      </w:r>
      <w:r w:rsidRPr="00794BF5">
        <w:rPr>
          <w:spacing w:val="-6"/>
        </w:rPr>
        <w:t xml:space="preserve"> </w:t>
      </w:r>
      <w:r w:rsidR="00D2786F" w:rsidRPr="00D2786F">
        <w:rPr>
          <w:spacing w:val="-6"/>
        </w:rPr>
        <w:t xml:space="preserve">Higher dilution can deteriorate combustion performance and often require novel ignition systems </w:t>
      </w:r>
      <w:r w:rsidR="008564E5">
        <w:rPr>
          <w:spacing w:val="-6"/>
        </w:rPr>
        <w:t>such as</w:t>
      </w:r>
      <w:r w:rsidR="00D2786F" w:rsidRPr="00D2786F">
        <w:rPr>
          <w:spacing w:val="-6"/>
        </w:rPr>
        <w:t xml:space="preserve"> pre-chamber ignition</w:t>
      </w:r>
      <w:r w:rsidR="00D2786F">
        <w:rPr>
          <w:spacing w:val="-6"/>
        </w:rPr>
        <w:t xml:space="preserve">. </w:t>
      </w:r>
    </w:p>
    <w:p w14:paraId="07E32885" w14:textId="77777777" w:rsidR="004D1048" w:rsidRDefault="004D1048" w:rsidP="00733DE9">
      <w:pPr>
        <w:pStyle w:val="BodyText"/>
        <w:rPr>
          <w:spacing w:val="-6"/>
        </w:rPr>
      </w:pPr>
      <w:r w:rsidRPr="004D1048">
        <w:rPr>
          <w:spacing w:val="-6"/>
        </w:rPr>
        <w:t>A pre-chamber is an auxiliary small volume combustion</w:t>
      </w:r>
      <w:r>
        <w:rPr>
          <w:spacing w:val="-6"/>
        </w:rPr>
        <w:t xml:space="preserve"> </w:t>
      </w:r>
      <w:r w:rsidRPr="004D1048">
        <w:rPr>
          <w:spacing w:val="-6"/>
        </w:rPr>
        <w:t>chamber with multiple orifices connecting to the main combustion</w:t>
      </w:r>
      <w:r>
        <w:rPr>
          <w:spacing w:val="-6"/>
        </w:rPr>
        <w:t xml:space="preserve"> </w:t>
      </w:r>
      <w:r w:rsidRPr="004D1048">
        <w:rPr>
          <w:spacing w:val="-6"/>
        </w:rPr>
        <w:t>chamber, with a spark plug mounted inside, with or</w:t>
      </w:r>
      <w:r>
        <w:rPr>
          <w:spacing w:val="-6"/>
        </w:rPr>
        <w:t xml:space="preserve"> </w:t>
      </w:r>
      <w:r w:rsidRPr="004D1048">
        <w:rPr>
          <w:spacing w:val="-6"/>
        </w:rPr>
        <w:t>without an injector inside and usually replaces the normal</w:t>
      </w:r>
      <w:r>
        <w:rPr>
          <w:spacing w:val="-6"/>
        </w:rPr>
        <w:t xml:space="preserve"> </w:t>
      </w:r>
      <w:r w:rsidRPr="004D1048">
        <w:rPr>
          <w:spacing w:val="-6"/>
        </w:rPr>
        <w:t>spark plug in a gasoline engine. In pre-chamber ignition</w:t>
      </w:r>
      <w:r>
        <w:rPr>
          <w:spacing w:val="-6"/>
        </w:rPr>
        <w:t xml:space="preserve"> </w:t>
      </w:r>
      <w:r w:rsidRPr="004D1048">
        <w:rPr>
          <w:spacing w:val="-6"/>
        </w:rPr>
        <w:t>system, multiple turbulent flame jets from a pre-chamber</w:t>
      </w:r>
      <w:r>
        <w:rPr>
          <w:spacing w:val="-6"/>
        </w:rPr>
        <w:t xml:space="preserve"> </w:t>
      </w:r>
      <w:r w:rsidRPr="004D1048">
        <w:rPr>
          <w:spacing w:val="-6"/>
        </w:rPr>
        <w:t>burn main combustion chamber mixture in much shorter</w:t>
      </w:r>
      <w:r>
        <w:rPr>
          <w:spacing w:val="-6"/>
        </w:rPr>
        <w:t xml:space="preserve"> </w:t>
      </w:r>
      <w:r w:rsidRPr="004D1048">
        <w:rPr>
          <w:spacing w:val="-6"/>
        </w:rPr>
        <w:t>duration compared to</w:t>
      </w:r>
      <w:r w:rsidR="00E1302B">
        <w:rPr>
          <w:spacing w:val="-6"/>
        </w:rPr>
        <w:t xml:space="preserve"> otherwise slow burning lean mixture</w:t>
      </w:r>
      <w:r w:rsidR="00E1302B" w:rsidRPr="00E1302B">
        <w:rPr>
          <w:spacing w:val="-6"/>
        </w:rPr>
        <w:t xml:space="preserve"> </w:t>
      </w:r>
      <w:r w:rsidR="00E1302B">
        <w:rPr>
          <w:spacing w:val="-6"/>
        </w:rPr>
        <w:t xml:space="preserve">with </w:t>
      </w:r>
      <w:r w:rsidR="00E1302B" w:rsidRPr="004D1048">
        <w:rPr>
          <w:spacing w:val="-6"/>
        </w:rPr>
        <w:t>a conventional spark ignition system</w:t>
      </w:r>
      <w:r w:rsidR="00E1302B">
        <w:rPr>
          <w:spacing w:val="-6"/>
        </w:rPr>
        <w:t xml:space="preserve"> </w:t>
      </w:r>
      <w:r w:rsidR="00E1302B" w:rsidRPr="004D1048">
        <w:rPr>
          <w:spacing w:val="-6"/>
        </w:rPr>
        <w:t>[</w:t>
      </w:r>
      <w:r w:rsidR="0071316F">
        <w:rPr>
          <w:spacing w:val="-6"/>
        </w:rPr>
        <w:t>2</w:t>
      </w:r>
      <w:r w:rsidR="00E1302B" w:rsidRPr="004D1048">
        <w:rPr>
          <w:spacing w:val="-6"/>
        </w:rPr>
        <w:t>]</w:t>
      </w:r>
      <w:r w:rsidRPr="004D1048">
        <w:rPr>
          <w:spacing w:val="-6"/>
        </w:rPr>
        <w:t xml:space="preserve">. The shorter burn duration </w:t>
      </w:r>
      <w:r w:rsidR="00A22F64">
        <w:rPr>
          <w:spacing w:val="-6"/>
        </w:rPr>
        <w:t>leads to a reduction</w:t>
      </w:r>
      <w:r w:rsidR="005203E0">
        <w:rPr>
          <w:spacing w:val="-6"/>
        </w:rPr>
        <w:t xml:space="preserve"> in</w:t>
      </w:r>
      <w:r w:rsidRPr="004D1048">
        <w:rPr>
          <w:spacing w:val="-6"/>
        </w:rPr>
        <w:t xml:space="preserve"> end gas residence</w:t>
      </w:r>
      <w:r>
        <w:rPr>
          <w:spacing w:val="-6"/>
        </w:rPr>
        <w:t xml:space="preserve"> </w:t>
      </w:r>
      <w:r w:rsidRPr="004D1048">
        <w:rPr>
          <w:spacing w:val="-6"/>
        </w:rPr>
        <w:t>time at elevated pressure and temperature and hence has</w:t>
      </w:r>
      <w:r>
        <w:rPr>
          <w:spacing w:val="-6"/>
        </w:rPr>
        <w:t xml:space="preserve"> </w:t>
      </w:r>
      <w:r w:rsidRPr="004D1048">
        <w:rPr>
          <w:spacing w:val="-6"/>
        </w:rPr>
        <w:t>the potential to reduce engine knock. The pre-chamber</w:t>
      </w:r>
      <w:r>
        <w:rPr>
          <w:spacing w:val="-6"/>
        </w:rPr>
        <w:t xml:space="preserve"> </w:t>
      </w:r>
      <w:r w:rsidRPr="004D1048">
        <w:rPr>
          <w:spacing w:val="-6"/>
        </w:rPr>
        <w:t>jet ignition concept involves the use of a chemically active,</w:t>
      </w:r>
      <w:r>
        <w:rPr>
          <w:spacing w:val="-6"/>
        </w:rPr>
        <w:t xml:space="preserve"> </w:t>
      </w:r>
      <w:r w:rsidRPr="004D1048">
        <w:rPr>
          <w:spacing w:val="-6"/>
        </w:rPr>
        <w:t>turbulent jet to initiate the combustion in lean mixtures.</w:t>
      </w:r>
      <w:r>
        <w:rPr>
          <w:spacing w:val="-6"/>
        </w:rPr>
        <w:t xml:space="preserve"> </w:t>
      </w:r>
    </w:p>
    <w:p w14:paraId="30962A78" w14:textId="77777777" w:rsidR="00583512" w:rsidRDefault="00D2786F" w:rsidP="00733DE9">
      <w:pPr>
        <w:pStyle w:val="BodyText"/>
        <w:rPr>
          <w:spacing w:val="-6"/>
        </w:rPr>
      </w:pPr>
      <w:r>
        <w:rPr>
          <w:spacing w:val="-6"/>
        </w:rPr>
        <w:t xml:space="preserve">A </w:t>
      </w:r>
      <w:r w:rsidR="001E39CE">
        <w:rPr>
          <w:spacing w:val="-6"/>
        </w:rPr>
        <w:t xml:space="preserve">passive </w:t>
      </w:r>
      <w:r>
        <w:rPr>
          <w:spacing w:val="-6"/>
        </w:rPr>
        <w:t>pre-chamber ignition system was developed for a lean-burn gasoline direct injection motor-sport engine</w:t>
      </w:r>
      <w:r w:rsidR="00D25579">
        <w:rPr>
          <w:spacing w:val="-6"/>
        </w:rPr>
        <w:t>, achieving lower BSFC and improved knock resistance</w:t>
      </w:r>
      <w:r>
        <w:rPr>
          <w:spacing w:val="-6"/>
        </w:rPr>
        <w:t xml:space="preserve"> [</w:t>
      </w:r>
      <w:r w:rsidR="0071316F">
        <w:rPr>
          <w:spacing w:val="-6"/>
        </w:rPr>
        <w:t>3</w:t>
      </w:r>
      <w:r>
        <w:rPr>
          <w:spacing w:val="-6"/>
        </w:rPr>
        <w:t>]. This</w:t>
      </w:r>
      <w:r w:rsidR="007C2FB8">
        <w:rPr>
          <w:spacing w:val="-6"/>
        </w:rPr>
        <w:t xml:space="preserve"> research found that conventional </w:t>
      </w:r>
      <w:r w:rsidR="001D351D">
        <w:rPr>
          <w:spacing w:val="-6"/>
        </w:rPr>
        <w:t>acoustic</w:t>
      </w:r>
      <w:r w:rsidR="004E35DA">
        <w:rPr>
          <w:spacing w:val="-6"/>
        </w:rPr>
        <w:t xml:space="preserve"> knock sensor</w:t>
      </w:r>
      <w:r w:rsidR="007C2FB8">
        <w:rPr>
          <w:spacing w:val="-6"/>
        </w:rPr>
        <w:t xml:space="preserve"> failed to detect spark knock with pre-chamber ignition due to the presence of additional </w:t>
      </w:r>
      <w:r w:rsidR="004E35DA">
        <w:rPr>
          <w:spacing w:val="-6"/>
        </w:rPr>
        <w:t xml:space="preserve">pre-chamber </w:t>
      </w:r>
      <w:r w:rsidR="007C2FB8">
        <w:rPr>
          <w:spacing w:val="-6"/>
        </w:rPr>
        <w:t>jet induced pressure oscillations.</w:t>
      </w:r>
      <w:r w:rsidR="00C34918">
        <w:rPr>
          <w:spacing w:val="-6"/>
        </w:rPr>
        <w:t xml:space="preserve"> Researchers </w:t>
      </w:r>
      <w:r w:rsidR="005203E0">
        <w:rPr>
          <w:spacing w:val="-6"/>
        </w:rPr>
        <w:t xml:space="preserve">have </w:t>
      </w:r>
      <w:r w:rsidR="00C34918">
        <w:rPr>
          <w:spacing w:val="-6"/>
        </w:rPr>
        <w:t xml:space="preserve">already </w:t>
      </w:r>
      <w:r w:rsidR="00F97CDD">
        <w:rPr>
          <w:spacing w:val="-6"/>
        </w:rPr>
        <w:t>mentioned</w:t>
      </w:r>
      <w:r w:rsidR="005203E0">
        <w:rPr>
          <w:spacing w:val="-6"/>
        </w:rPr>
        <w:t xml:space="preserve"> witnessing</w:t>
      </w:r>
      <w:r w:rsidR="00C34918">
        <w:rPr>
          <w:spacing w:val="-6"/>
        </w:rPr>
        <w:t xml:space="preserve"> knock like pressure oscillations with the pre-chamber in </w:t>
      </w:r>
      <w:r w:rsidR="005203E0">
        <w:rPr>
          <w:spacing w:val="-6"/>
        </w:rPr>
        <w:t>previously</w:t>
      </w:r>
      <w:r w:rsidR="00C34918">
        <w:rPr>
          <w:spacing w:val="-6"/>
        </w:rPr>
        <w:t xml:space="preserve"> </w:t>
      </w:r>
      <w:r w:rsidR="0071316F">
        <w:rPr>
          <w:spacing w:val="-6"/>
        </w:rPr>
        <w:t xml:space="preserve">published </w:t>
      </w:r>
      <w:r w:rsidR="00C34918">
        <w:rPr>
          <w:spacing w:val="-6"/>
        </w:rPr>
        <w:t xml:space="preserve">works. </w:t>
      </w:r>
      <w:r w:rsidR="00855E08">
        <w:rPr>
          <w:spacing w:val="-6"/>
        </w:rPr>
        <w:t>While studying a pre-chamber</w:t>
      </w:r>
      <w:r w:rsidR="00C34918">
        <w:rPr>
          <w:spacing w:val="-6"/>
        </w:rPr>
        <w:t xml:space="preserve"> ignition, Robinet et al [</w:t>
      </w:r>
      <w:r w:rsidR="003B201D">
        <w:rPr>
          <w:spacing w:val="-6"/>
        </w:rPr>
        <w:t>4</w:t>
      </w:r>
      <w:r w:rsidR="00C34918">
        <w:rPr>
          <w:spacing w:val="-6"/>
        </w:rPr>
        <w:t xml:space="preserve">] </w:t>
      </w:r>
      <w:r w:rsidR="00C34918" w:rsidRPr="00C34918">
        <w:rPr>
          <w:spacing w:val="-6"/>
        </w:rPr>
        <w:t xml:space="preserve">observed </w:t>
      </w:r>
      <w:r w:rsidR="00F97CDD">
        <w:rPr>
          <w:spacing w:val="-6"/>
        </w:rPr>
        <w:t xml:space="preserve">that </w:t>
      </w:r>
      <w:r w:rsidR="00C34918" w:rsidRPr="00C34918">
        <w:rPr>
          <w:spacing w:val="-6"/>
        </w:rPr>
        <w:t>pressure oscillations inside the main chamber</w:t>
      </w:r>
      <w:r w:rsidR="00C34918">
        <w:rPr>
          <w:spacing w:val="-6"/>
        </w:rPr>
        <w:t xml:space="preserve"> </w:t>
      </w:r>
      <w:r w:rsidR="00C34918" w:rsidRPr="00C34918">
        <w:rPr>
          <w:spacing w:val="-6"/>
        </w:rPr>
        <w:t>from the start of combustion. Whereas</w:t>
      </w:r>
      <w:r w:rsidR="00C34918">
        <w:rPr>
          <w:spacing w:val="-6"/>
        </w:rPr>
        <w:t xml:space="preserve"> </w:t>
      </w:r>
      <w:r w:rsidR="00C34918" w:rsidRPr="00C34918">
        <w:rPr>
          <w:spacing w:val="-6"/>
        </w:rPr>
        <w:t>in a spark ignition case, pressure</w:t>
      </w:r>
      <w:r w:rsidR="00C34918">
        <w:rPr>
          <w:spacing w:val="-6"/>
        </w:rPr>
        <w:t xml:space="preserve"> </w:t>
      </w:r>
      <w:r w:rsidR="00C34918" w:rsidRPr="00C34918">
        <w:rPr>
          <w:spacing w:val="-6"/>
        </w:rPr>
        <w:t xml:space="preserve">oscillations </w:t>
      </w:r>
      <w:r w:rsidR="005203E0">
        <w:rPr>
          <w:spacing w:val="-6"/>
        </w:rPr>
        <w:t xml:space="preserve">were </w:t>
      </w:r>
      <w:r w:rsidR="00C34918" w:rsidRPr="00C34918">
        <w:rPr>
          <w:spacing w:val="-6"/>
        </w:rPr>
        <w:t>reported from the peak of the pressure curve. The oscillation</w:t>
      </w:r>
      <w:r w:rsidR="00C34918">
        <w:rPr>
          <w:spacing w:val="-6"/>
        </w:rPr>
        <w:t xml:space="preserve"> </w:t>
      </w:r>
      <w:r w:rsidR="00C34918" w:rsidRPr="00C34918">
        <w:rPr>
          <w:spacing w:val="-6"/>
        </w:rPr>
        <w:t>fundamental frequency is the same as that generated by knock and hence, it</w:t>
      </w:r>
      <w:r w:rsidR="00C34918">
        <w:rPr>
          <w:spacing w:val="-6"/>
        </w:rPr>
        <w:t xml:space="preserve"> </w:t>
      </w:r>
      <w:r w:rsidR="00C34918" w:rsidRPr="00C34918">
        <w:rPr>
          <w:spacing w:val="-6"/>
        </w:rPr>
        <w:t>becomes di</w:t>
      </w:r>
      <w:r w:rsidR="00C34918">
        <w:rPr>
          <w:spacing w:val="-6"/>
        </w:rPr>
        <w:t>ffi</w:t>
      </w:r>
      <w:r w:rsidR="00C34918" w:rsidRPr="00C34918">
        <w:rPr>
          <w:spacing w:val="-6"/>
        </w:rPr>
        <w:t>cult to di</w:t>
      </w:r>
      <w:r w:rsidR="00C34918">
        <w:rPr>
          <w:spacing w:val="-6"/>
        </w:rPr>
        <w:t>ff</w:t>
      </w:r>
      <w:r w:rsidR="00C34918" w:rsidRPr="00C34918">
        <w:rPr>
          <w:spacing w:val="-6"/>
        </w:rPr>
        <w:t>erentiate knock from pre-chamber induced oscillations.</w:t>
      </w:r>
      <w:r w:rsidR="00C34918">
        <w:rPr>
          <w:spacing w:val="-6"/>
        </w:rPr>
        <w:t xml:space="preserve"> </w:t>
      </w:r>
      <w:r w:rsidR="00C34918" w:rsidRPr="00C34918">
        <w:rPr>
          <w:spacing w:val="-6"/>
        </w:rPr>
        <w:t>Attard et al. [</w:t>
      </w:r>
      <w:r w:rsidR="00583D3B">
        <w:rPr>
          <w:spacing w:val="-6"/>
        </w:rPr>
        <w:t>5</w:t>
      </w:r>
      <w:r w:rsidR="00C34918" w:rsidRPr="00C34918">
        <w:rPr>
          <w:spacing w:val="-6"/>
        </w:rPr>
        <w:t>] also reported jet knock from pre-chamber even when the</w:t>
      </w:r>
      <w:r w:rsidR="00C34918">
        <w:rPr>
          <w:spacing w:val="-6"/>
        </w:rPr>
        <w:t xml:space="preserve"> </w:t>
      </w:r>
      <w:r w:rsidR="00C34918" w:rsidRPr="00C34918">
        <w:rPr>
          <w:spacing w:val="-6"/>
        </w:rPr>
        <w:t>engine operated at heavily retarded spark timing where there is no chance of</w:t>
      </w:r>
      <w:r w:rsidR="00C34918">
        <w:rPr>
          <w:spacing w:val="-6"/>
        </w:rPr>
        <w:t xml:space="preserve"> </w:t>
      </w:r>
      <w:r w:rsidR="00C34918" w:rsidRPr="00C34918">
        <w:rPr>
          <w:spacing w:val="-6"/>
        </w:rPr>
        <w:t xml:space="preserve">auto-ignition in an SI engine. </w:t>
      </w:r>
      <w:r w:rsidR="00541D13">
        <w:rPr>
          <w:spacing w:val="-6"/>
        </w:rPr>
        <w:t xml:space="preserve"> The a</w:t>
      </w:r>
      <w:r w:rsidR="00C34918" w:rsidRPr="00C34918">
        <w:rPr>
          <w:spacing w:val="-6"/>
        </w:rPr>
        <w:t>uthor explain</w:t>
      </w:r>
      <w:r w:rsidR="00541D13">
        <w:rPr>
          <w:spacing w:val="-6"/>
        </w:rPr>
        <w:t>ed that</w:t>
      </w:r>
      <w:r w:rsidR="00C34918" w:rsidRPr="00C34918">
        <w:rPr>
          <w:spacing w:val="-6"/>
        </w:rPr>
        <w:t xml:space="preserve"> jet knock is characterized by</w:t>
      </w:r>
      <w:r w:rsidR="00C34918">
        <w:rPr>
          <w:spacing w:val="-6"/>
        </w:rPr>
        <w:t xml:space="preserve"> </w:t>
      </w:r>
      <w:r w:rsidR="00C34918" w:rsidRPr="00C34918">
        <w:rPr>
          <w:spacing w:val="-6"/>
        </w:rPr>
        <w:t xml:space="preserve">small pressure oscillations </w:t>
      </w:r>
      <w:r w:rsidR="00353B13" w:rsidRPr="00C34918">
        <w:rPr>
          <w:spacing w:val="-6"/>
        </w:rPr>
        <w:t>like</w:t>
      </w:r>
      <w:r w:rsidR="00C34918" w:rsidRPr="00C34918">
        <w:rPr>
          <w:spacing w:val="-6"/>
        </w:rPr>
        <w:t xml:space="preserve"> conventional end-gas knock, only signi</w:t>
      </w:r>
      <w:r w:rsidR="00C34918">
        <w:rPr>
          <w:spacing w:val="-6"/>
        </w:rPr>
        <w:t>fi</w:t>
      </w:r>
      <w:r w:rsidR="00C34918" w:rsidRPr="00C34918">
        <w:rPr>
          <w:spacing w:val="-6"/>
        </w:rPr>
        <w:t>cantly smaller in magnitude and initiated just after the start of ignition instead</w:t>
      </w:r>
      <w:r w:rsidR="00C34918">
        <w:rPr>
          <w:spacing w:val="-6"/>
        </w:rPr>
        <w:t xml:space="preserve"> </w:t>
      </w:r>
      <w:r w:rsidR="00C34918" w:rsidRPr="00C34918">
        <w:rPr>
          <w:spacing w:val="-6"/>
        </w:rPr>
        <w:t xml:space="preserve">of towards the end of combustion. These jet knocks caused </w:t>
      </w:r>
      <w:r w:rsidR="00716F37" w:rsidRPr="00C34918">
        <w:rPr>
          <w:spacing w:val="-6"/>
        </w:rPr>
        <w:t>pre-chamber</w:t>
      </w:r>
      <w:r w:rsidR="00716F37">
        <w:rPr>
          <w:spacing w:val="-6"/>
        </w:rPr>
        <w:t xml:space="preserve"> </w:t>
      </w:r>
      <w:r w:rsidR="00541D13">
        <w:rPr>
          <w:spacing w:val="-6"/>
        </w:rPr>
        <w:t>ignited</w:t>
      </w:r>
      <w:r w:rsidR="00C34918">
        <w:rPr>
          <w:spacing w:val="-6"/>
        </w:rPr>
        <w:t xml:space="preserve"> </w:t>
      </w:r>
      <w:r w:rsidR="00C34918" w:rsidRPr="00C34918">
        <w:rPr>
          <w:spacing w:val="-6"/>
        </w:rPr>
        <w:t>engines</w:t>
      </w:r>
      <w:r w:rsidR="00541D13">
        <w:rPr>
          <w:spacing w:val="-6"/>
        </w:rPr>
        <w:t xml:space="preserve"> to</w:t>
      </w:r>
      <w:r w:rsidR="00C34918" w:rsidRPr="00C34918">
        <w:rPr>
          <w:spacing w:val="-6"/>
        </w:rPr>
        <w:t xml:space="preserve"> always operate at some knock level, which may not be as damaging as</w:t>
      </w:r>
      <w:r w:rsidR="00C34918">
        <w:rPr>
          <w:spacing w:val="-6"/>
        </w:rPr>
        <w:t xml:space="preserve"> </w:t>
      </w:r>
      <w:r w:rsidR="00C34918" w:rsidRPr="00C34918">
        <w:rPr>
          <w:spacing w:val="-6"/>
        </w:rPr>
        <w:t xml:space="preserve">spark knock. </w:t>
      </w:r>
      <w:r w:rsidR="00541D13">
        <w:rPr>
          <w:spacing w:val="-6"/>
        </w:rPr>
        <w:t xml:space="preserve">Due to limited literature available on jet knock phenomenon present in pre-chamber ignited engines, a detailed study on pre-chamber induced jet knock was undertaken and an alternate cylinder pressure-based knock detection </w:t>
      </w:r>
      <w:r w:rsidR="007D4D56">
        <w:rPr>
          <w:spacing w:val="-6"/>
        </w:rPr>
        <w:t>strategy</w:t>
      </w:r>
      <w:r w:rsidR="00541D13">
        <w:rPr>
          <w:spacing w:val="-6"/>
        </w:rPr>
        <w:t xml:space="preserve">, which can work with a pre-chamber ignition system is discussed in this paper. </w:t>
      </w:r>
    </w:p>
    <w:p w14:paraId="0BE80142" w14:textId="77777777" w:rsidR="00973CF6" w:rsidRPr="00794BF5" w:rsidRDefault="00973CF6" w:rsidP="00733DE9">
      <w:pPr>
        <w:pStyle w:val="BodyText"/>
      </w:pPr>
    </w:p>
    <w:p w14:paraId="5E84F546" w14:textId="77777777" w:rsidR="003574C7" w:rsidRDefault="003574C7" w:rsidP="00733DE9">
      <w:pPr>
        <w:pStyle w:val="Heading1"/>
      </w:pPr>
      <w:bookmarkStart w:id="2" w:name="Pre-chamber_ignition_systems"/>
      <w:bookmarkEnd w:id="2"/>
      <w:r w:rsidRPr="003574C7">
        <w:t>Experimental Setup</w:t>
      </w:r>
    </w:p>
    <w:p w14:paraId="2DC27664" w14:textId="77777777" w:rsidR="00E22D55" w:rsidRDefault="00C61106" w:rsidP="00D75E43">
      <w:pPr>
        <w:pStyle w:val="BodyText"/>
      </w:pPr>
      <w:r w:rsidRPr="00C61106">
        <w:t>A single-cylinder research engine</w:t>
      </w:r>
      <w:r>
        <w:t xml:space="preserve"> (SCRE)</w:t>
      </w:r>
      <w:r w:rsidRPr="00C61106">
        <w:t xml:space="preserve"> was developed based on an existing V6 turbocharged spark-ignition GDI motor-sport engine</w:t>
      </w:r>
      <w:r w:rsidR="00D25579">
        <w:t>, with the main objective of studying lean burn combustion on a high BMEP engine</w:t>
      </w:r>
      <w:r w:rsidRPr="00C61106">
        <w:t>. The single-cylinder research engine design specifications were modified from its base engine to give a consistent performance. This single cylinder engine ha</w:t>
      </w:r>
      <w:r w:rsidR="00923CDD">
        <w:t>d</w:t>
      </w:r>
      <w:r w:rsidRPr="00C61106">
        <w:t xml:space="preserve"> a geometrical compression ratio of 13 and can operate at relative equivalence ratio (</w:t>
      </w:r>
      <w:r>
        <w:t>λ</w:t>
      </w:r>
      <w:r w:rsidRPr="00C61106">
        <w:t>)</w:t>
      </w:r>
      <w:r w:rsidR="00923CDD">
        <w:t xml:space="preserve"> of</w:t>
      </w:r>
      <w:r w:rsidRPr="00C61106">
        <w:t xml:space="preserve"> up to 1.4. Key engine geometry specifications are provided in Table </w:t>
      </w:r>
      <w:r>
        <w:t>1</w:t>
      </w:r>
      <w:r w:rsidR="007C2FB8">
        <w:t>.</w:t>
      </w:r>
      <w:r w:rsidR="00E22D55" w:rsidRPr="00E22D55">
        <w:t xml:space="preserve"> </w:t>
      </w:r>
      <w:r w:rsidR="001F45B4">
        <w:t>The pre-chamber used ha</w:t>
      </w:r>
      <w:r w:rsidR="00923CDD">
        <w:t>d</w:t>
      </w:r>
      <w:r w:rsidR="001F45B4">
        <w:t xml:space="preserve"> 4 nozzles of 1.5 mm diameter and 2% of combustion chamber volume. </w:t>
      </w:r>
      <w:r w:rsidR="00E22D55" w:rsidRPr="00E22D55">
        <w:t xml:space="preserve">Additional engine design specifications are not discussed here due to engine design confidentiality. A two-stage supercharger rig </w:t>
      </w:r>
      <w:r w:rsidR="009E6D99">
        <w:t xml:space="preserve">driven </w:t>
      </w:r>
      <w:r w:rsidR="00E22D55" w:rsidRPr="00E22D55">
        <w:t xml:space="preserve">by the engine dyno and an exhaust back pressure valve </w:t>
      </w:r>
      <w:r w:rsidR="009E6D99">
        <w:t>w</w:t>
      </w:r>
      <w:r w:rsidR="00923CDD">
        <w:t>ere utilized</w:t>
      </w:r>
      <w:r w:rsidR="00E22D55" w:rsidRPr="00E22D55">
        <w:t xml:space="preserve"> to simulate the turbo-charged air supply of the base engine. AVL X-ion data acquisition system and AVL CONCERTO </w:t>
      </w:r>
      <w:r w:rsidR="009E6D99">
        <w:t>wa</w:t>
      </w:r>
      <w:r w:rsidR="00E22D55" w:rsidRPr="00E22D55">
        <w:t xml:space="preserve">s </w:t>
      </w:r>
      <w:r w:rsidR="00923CDD">
        <w:t>utilized</w:t>
      </w:r>
      <w:r w:rsidR="00E22D55" w:rsidRPr="00E22D55">
        <w:t xml:space="preserve"> to measure and post process cylinder pressure data. The engine calibration was </w:t>
      </w:r>
      <w:r w:rsidR="00923CDD">
        <w:t>carried out</w:t>
      </w:r>
      <w:r w:rsidR="00E22D55" w:rsidRPr="00E22D55">
        <w:t xml:space="preserve"> ensuring constant fuel flow rate </w:t>
      </w:r>
      <w:r w:rsidR="00E22D55">
        <w:t xml:space="preserve">at full-load </w:t>
      </w:r>
      <w:r w:rsidR="00E22D55">
        <w:lastRenderedPageBreak/>
        <w:t xml:space="preserve">and </w:t>
      </w:r>
      <w:r w:rsidR="00E22D55" w:rsidRPr="00E22D55">
        <w:t xml:space="preserve">at all the speed points tested. </w:t>
      </w:r>
    </w:p>
    <w:p w14:paraId="1844ACC1" w14:textId="77777777" w:rsidR="00C61106" w:rsidRDefault="007C2FB8" w:rsidP="00D75E43">
      <w:pPr>
        <w:pStyle w:val="BodyText"/>
      </w:pPr>
      <w:r>
        <w:t xml:space="preserve"> </w:t>
      </w:r>
    </w:p>
    <w:p w14:paraId="1DA41419" w14:textId="77777777" w:rsidR="00C61106" w:rsidRDefault="00C61106" w:rsidP="00C61106">
      <w:pPr>
        <w:pStyle w:val="Caption"/>
        <w:keepNext/>
      </w:pPr>
    </w:p>
    <w:tbl>
      <w:tblPr>
        <w:tblStyle w:val="TableGrid"/>
        <w:tblW w:w="0" w:type="auto"/>
        <w:tblInd w:w="120" w:type="dxa"/>
        <w:tblLook w:val="04A0" w:firstRow="1" w:lastRow="0" w:firstColumn="1" w:lastColumn="0" w:noHBand="0" w:noVBand="1"/>
      </w:tblPr>
      <w:tblGrid>
        <w:gridCol w:w="4993"/>
        <w:gridCol w:w="4987"/>
      </w:tblGrid>
      <w:tr w:rsidR="00C61106" w14:paraId="27956946" w14:textId="77777777" w:rsidTr="00C61106">
        <w:tc>
          <w:tcPr>
            <w:tcW w:w="4993" w:type="dxa"/>
          </w:tcPr>
          <w:p w14:paraId="3AA3CE76" w14:textId="77777777" w:rsidR="00C61106" w:rsidRDefault="00C61106" w:rsidP="00D75E43">
            <w:pPr>
              <w:pStyle w:val="BodyText"/>
              <w:ind w:left="0"/>
            </w:pPr>
            <w:r>
              <w:t>Combustion chamber</w:t>
            </w:r>
          </w:p>
        </w:tc>
        <w:tc>
          <w:tcPr>
            <w:tcW w:w="4987" w:type="dxa"/>
          </w:tcPr>
          <w:p w14:paraId="3934545E" w14:textId="77777777" w:rsidR="00C61106" w:rsidRDefault="00C61106" w:rsidP="00D75E43">
            <w:pPr>
              <w:pStyle w:val="BodyText"/>
              <w:ind w:left="0"/>
            </w:pPr>
            <w:proofErr w:type="gramStart"/>
            <w:r>
              <w:t>Pent-roof</w:t>
            </w:r>
            <w:proofErr w:type="gramEnd"/>
            <w:r>
              <w:t xml:space="preserve"> with bowl piston</w:t>
            </w:r>
          </w:p>
        </w:tc>
      </w:tr>
      <w:tr w:rsidR="00C61106" w14:paraId="7C9C5A8B" w14:textId="77777777" w:rsidTr="00C61106">
        <w:tc>
          <w:tcPr>
            <w:tcW w:w="4993" w:type="dxa"/>
          </w:tcPr>
          <w:p w14:paraId="29F47514" w14:textId="77777777" w:rsidR="00C61106" w:rsidRDefault="00C61106" w:rsidP="00D75E43">
            <w:pPr>
              <w:pStyle w:val="BodyText"/>
              <w:ind w:left="0"/>
            </w:pPr>
            <w:r>
              <w:t>Compression ratio</w:t>
            </w:r>
          </w:p>
        </w:tc>
        <w:tc>
          <w:tcPr>
            <w:tcW w:w="4987" w:type="dxa"/>
          </w:tcPr>
          <w:p w14:paraId="223C4128" w14:textId="77777777" w:rsidR="00C61106" w:rsidRDefault="00C61106" w:rsidP="00D75E43">
            <w:pPr>
              <w:pStyle w:val="BodyText"/>
              <w:ind w:left="0"/>
            </w:pPr>
            <w:r>
              <w:t>13.0</w:t>
            </w:r>
          </w:p>
        </w:tc>
      </w:tr>
      <w:tr w:rsidR="00C61106" w14:paraId="158295DE" w14:textId="77777777" w:rsidTr="00C61106">
        <w:tc>
          <w:tcPr>
            <w:tcW w:w="4993" w:type="dxa"/>
          </w:tcPr>
          <w:p w14:paraId="154A7D7C" w14:textId="77777777" w:rsidR="00C61106" w:rsidRDefault="00C61106" w:rsidP="00D75E43">
            <w:pPr>
              <w:pStyle w:val="BodyText"/>
              <w:ind w:left="0"/>
            </w:pPr>
            <w:r>
              <w:t>Maximum operating speed</w:t>
            </w:r>
          </w:p>
        </w:tc>
        <w:tc>
          <w:tcPr>
            <w:tcW w:w="4987" w:type="dxa"/>
          </w:tcPr>
          <w:p w14:paraId="65BCC29B" w14:textId="77777777" w:rsidR="00C61106" w:rsidRDefault="00C61106" w:rsidP="00D75E43">
            <w:pPr>
              <w:pStyle w:val="BodyText"/>
              <w:ind w:left="0"/>
            </w:pPr>
            <w:r>
              <w:t>8000</w:t>
            </w:r>
          </w:p>
        </w:tc>
      </w:tr>
      <w:tr w:rsidR="00C61106" w14:paraId="05CDF73B" w14:textId="77777777" w:rsidTr="00C61106">
        <w:tc>
          <w:tcPr>
            <w:tcW w:w="4993" w:type="dxa"/>
          </w:tcPr>
          <w:p w14:paraId="4DBC2C28" w14:textId="77777777" w:rsidR="00C61106" w:rsidRDefault="00C61106" w:rsidP="00D75E43">
            <w:pPr>
              <w:pStyle w:val="BodyText"/>
              <w:ind w:left="0"/>
            </w:pPr>
            <w:r>
              <w:t>Displacement</w:t>
            </w:r>
          </w:p>
        </w:tc>
        <w:tc>
          <w:tcPr>
            <w:tcW w:w="4987" w:type="dxa"/>
          </w:tcPr>
          <w:p w14:paraId="46F6D173" w14:textId="77777777" w:rsidR="00C61106" w:rsidRDefault="00C61106" w:rsidP="00D75E43">
            <w:pPr>
              <w:pStyle w:val="BodyText"/>
              <w:ind w:left="0"/>
            </w:pPr>
            <w:r>
              <w:t>500 cc</w:t>
            </w:r>
          </w:p>
        </w:tc>
      </w:tr>
      <w:tr w:rsidR="00C61106" w14:paraId="002919DF" w14:textId="77777777" w:rsidTr="00C61106">
        <w:tc>
          <w:tcPr>
            <w:tcW w:w="4993" w:type="dxa"/>
          </w:tcPr>
          <w:p w14:paraId="49924CBA" w14:textId="77777777" w:rsidR="00C61106" w:rsidRDefault="00C61106" w:rsidP="00D75E43">
            <w:pPr>
              <w:pStyle w:val="BodyText"/>
              <w:ind w:left="0"/>
            </w:pPr>
            <w:r>
              <w:t xml:space="preserve">Fuel </w:t>
            </w:r>
          </w:p>
        </w:tc>
        <w:tc>
          <w:tcPr>
            <w:tcW w:w="4987" w:type="dxa"/>
          </w:tcPr>
          <w:p w14:paraId="0C96618D" w14:textId="77777777" w:rsidR="00C61106" w:rsidRDefault="00C61106" w:rsidP="00D75E43">
            <w:pPr>
              <w:pStyle w:val="BodyText"/>
              <w:ind w:left="0"/>
            </w:pPr>
            <w:r>
              <w:t>Gasoline with 20% ethanol</w:t>
            </w:r>
          </w:p>
        </w:tc>
      </w:tr>
      <w:tr w:rsidR="00C61106" w14:paraId="4ED5A095" w14:textId="77777777" w:rsidTr="00C61106">
        <w:tc>
          <w:tcPr>
            <w:tcW w:w="4993" w:type="dxa"/>
          </w:tcPr>
          <w:p w14:paraId="43D2239A" w14:textId="77777777" w:rsidR="00C61106" w:rsidRDefault="00C61106" w:rsidP="00D75E43">
            <w:pPr>
              <w:pStyle w:val="BodyText"/>
              <w:ind w:left="0"/>
            </w:pPr>
            <w:r>
              <w:t>Number of valves per cylinder</w:t>
            </w:r>
          </w:p>
        </w:tc>
        <w:tc>
          <w:tcPr>
            <w:tcW w:w="4987" w:type="dxa"/>
          </w:tcPr>
          <w:p w14:paraId="6FACAF7F" w14:textId="77777777" w:rsidR="00C61106" w:rsidRDefault="00C61106" w:rsidP="00D75E43">
            <w:pPr>
              <w:pStyle w:val="BodyText"/>
              <w:ind w:left="0"/>
            </w:pPr>
            <w:r>
              <w:t>4</w:t>
            </w:r>
          </w:p>
        </w:tc>
      </w:tr>
      <w:tr w:rsidR="00C61106" w14:paraId="338E9462" w14:textId="77777777" w:rsidTr="00C61106">
        <w:tc>
          <w:tcPr>
            <w:tcW w:w="4993" w:type="dxa"/>
          </w:tcPr>
          <w:p w14:paraId="747E614C" w14:textId="77777777" w:rsidR="00C61106" w:rsidRDefault="00C61106" w:rsidP="00D75E43">
            <w:pPr>
              <w:pStyle w:val="BodyText"/>
              <w:ind w:left="0"/>
            </w:pPr>
            <w:r>
              <w:t>Max. fuel injection pressure</w:t>
            </w:r>
          </w:p>
        </w:tc>
        <w:tc>
          <w:tcPr>
            <w:tcW w:w="4987" w:type="dxa"/>
          </w:tcPr>
          <w:p w14:paraId="2F679367" w14:textId="77777777" w:rsidR="00C61106" w:rsidRDefault="00C61106" w:rsidP="00C61106">
            <w:pPr>
              <w:pStyle w:val="BodyText"/>
              <w:keepNext/>
              <w:ind w:left="0"/>
            </w:pPr>
            <w:r>
              <w:t>500 Bar</w:t>
            </w:r>
          </w:p>
        </w:tc>
      </w:tr>
      <w:tr w:rsidR="00981E20" w14:paraId="652BB188" w14:textId="77777777" w:rsidTr="00C61106">
        <w:tc>
          <w:tcPr>
            <w:tcW w:w="4993" w:type="dxa"/>
          </w:tcPr>
          <w:p w14:paraId="7FDF55C1" w14:textId="77777777" w:rsidR="00981E20" w:rsidRDefault="00981E20" w:rsidP="00D75E43">
            <w:pPr>
              <w:pStyle w:val="BodyText"/>
              <w:ind w:left="0"/>
            </w:pPr>
            <w:r>
              <w:t>Max. fuel flow rate</w:t>
            </w:r>
          </w:p>
        </w:tc>
        <w:tc>
          <w:tcPr>
            <w:tcW w:w="4987" w:type="dxa"/>
          </w:tcPr>
          <w:p w14:paraId="35E9CB5E" w14:textId="77777777" w:rsidR="00981E20" w:rsidRDefault="00981E20" w:rsidP="00C61106">
            <w:pPr>
              <w:pStyle w:val="BodyText"/>
              <w:keepNext/>
              <w:ind w:left="0"/>
            </w:pPr>
            <w:r>
              <w:t>13.3</w:t>
            </w:r>
            <w:r w:rsidR="00946043">
              <w:t>3</w:t>
            </w:r>
            <w:r>
              <w:t xml:space="preserve"> kg</w:t>
            </w:r>
            <w:r w:rsidR="00702CBB">
              <w:t>-</w:t>
            </w:r>
            <w:proofErr w:type="spellStart"/>
            <w:r>
              <w:t>hr</w:t>
            </w:r>
            <w:proofErr w:type="spellEnd"/>
            <w:r w:rsidR="00946043">
              <w:t xml:space="preserve"> (1/6</w:t>
            </w:r>
            <w:r w:rsidR="00946043" w:rsidRPr="00946043">
              <w:rPr>
                <w:vertAlign w:val="superscript"/>
              </w:rPr>
              <w:t>th</w:t>
            </w:r>
            <w:r w:rsidR="00946043">
              <w:t xml:space="preserve"> of 80 kg-</w:t>
            </w:r>
            <w:proofErr w:type="spellStart"/>
            <w:r w:rsidR="00946043">
              <w:t>hr</w:t>
            </w:r>
            <w:proofErr w:type="spellEnd"/>
            <w:r w:rsidR="00946043">
              <w:t>, fuel flow rate of V6 engine)</w:t>
            </w:r>
          </w:p>
        </w:tc>
      </w:tr>
      <w:tr w:rsidR="00981E20" w14:paraId="7766F56F" w14:textId="77777777" w:rsidTr="00C61106">
        <w:tc>
          <w:tcPr>
            <w:tcW w:w="4993" w:type="dxa"/>
          </w:tcPr>
          <w:p w14:paraId="5846AD2F" w14:textId="77777777" w:rsidR="00981E20" w:rsidRDefault="00981E20" w:rsidP="00D75E43">
            <w:pPr>
              <w:pStyle w:val="BodyText"/>
              <w:ind w:left="0"/>
            </w:pPr>
            <w:r>
              <w:t>Relative equivalence ratio</w:t>
            </w:r>
            <w:r w:rsidR="00AD60E9">
              <w:t xml:space="preserve"> (</w:t>
            </w:r>
            <w:r w:rsidR="00AD60E9" w:rsidRPr="00AD60E9">
              <w:t>λ</w:t>
            </w:r>
            <w:r w:rsidR="00AD60E9">
              <w:t>)</w:t>
            </w:r>
          </w:p>
        </w:tc>
        <w:tc>
          <w:tcPr>
            <w:tcW w:w="4987" w:type="dxa"/>
          </w:tcPr>
          <w:p w14:paraId="2A6ECACD" w14:textId="77777777" w:rsidR="00981E20" w:rsidRDefault="00981E20" w:rsidP="00C61106">
            <w:pPr>
              <w:pStyle w:val="BodyText"/>
              <w:keepNext/>
              <w:ind w:left="0"/>
            </w:pPr>
            <w:r>
              <w:t>1.2</w:t>
            </w:r>
          </w:p>
        </w:tc>
      </w:tr>
      <w:tr w:rsidR="00E61485" w14:paraId="697A1413" w14:textId="77777777" w:rsidTr="00C61106">
        <w:tc>
          <w:tcPr>
            <w:tcW w:w="4993" w:type="dxa"/>
          </w:tcPr>
          <w:p w14:paraId="43E290CB" w14:textId="77777777" w:rsidR="00E61485" w:rsidRDefault="00E61485" w:rsidP="00D75E43">
            <w:pPr>
              <w:pStyle w:val="BodyText"/>
              <w:ind w:left="0"/>
            </w:pPr>
            <w:r>
              <w:t>ECU</w:t>
            </w:r>
          </w:p>
        </w:tc>
        <w:tc>
          <w:tcPr>
            <w:tcW w:w="4987" w:type="dxa"/>
          </w:tcPr>
          <w:p w14:paraId="65D9A41F" w14:textId="77777777" w:rsidR="00E61485" w:rsidRDefault="00E61485" w:rsidP="00C61106">
            <w:pPr>
              <w:pStyle w:val="BodyText"/>
              <w:keepNext/>
              <w:ind w:left="0"/>
            </w:pPr>
            <w:proofErr w:type="spellStart"/>
            <w:r>
              <w:t>LifeRacing</w:t>
            </w:r>
            <w:proofErr w:type="spellEnd"/>
            <w:r>
              <w:t xml:space="preserve"> F90F</w:t>
            </w:r>
          </w:p>
        </w:tc>
      </w:tr>
    </w:tbl>
    <w:p w14:paraId="0B60FC70" w14:textId="77777777" w:rsidR="00C61106" w:rsidRDefault="00C61106" w:rsidP="00C61106">
      <w:pPr>
        <w:pStyle w:val="Caption"/>
        <w:jc w:val="center"/>
      </w:pPr>
      <w:r>
        <w:t xml:space="preserve">Table </w:t>
      </w:r>
      <w:r w:rsidR="002B4E3A">
        <w:fldChar w:fldCharType="begin"/>
      </w:r>
      <w:r w:rsidR="002B4E3A">
        <w:instrText xml:space="preserve"> SEQ Table \* ARABIC </w:instrText>
      </w:r>
      <w:r w:rsidR="002B4E3A">
        <w:fldChar w:fldCharType="separate"/>
      </w:r>
      <w:r w:rsidR="00946D63">
        <w:rPr>
          <w:noProof/>
        </w:rPr>
        <w:t>1</w:t>
      </w:r>
      <w:r w:rsidR="002B4E3A">
        <w:rPr>
          <w:noProof/>
        </w:rPr>
        <w:fldChar w:fldCharType="end"/>
      </w:r>
      <w:r>
        <w:rPr>
          <w:noProof/>
        </w:rPr>
        <w:t xml:space="preserve">: </w:t>
      </w:r>
      <w:r w:rsidRPr="00E31EA1">
        <w:rPr>
          <w:noProof/>
        </w:rPr>
        <w:t>Design specifications of the single cylinder research engine</w:t>
      </w:r>
    </w:p>
    <w:p w14:paraId="22C11EDE" w14:textId="77777777" w:rsidR="00C61106" w:rsidRDefault="00C61106" w:rsidP="00D75E43">
      <w:pPr>
        <w:pStyle w:val="BodyText"/>
      </w:pPr>
    </w:p>
    <w:p w14:paraId="65C9FDBE" w14:textId="77777777" w:rsidR="00702CBB" w:rsidRDefault="00702CBB" w:rsidP="00D75E43">
      <w:pPr>
        <w:pStyle w:val="BodyText"/>
      </w:pPr>
    </w:p>
    <w:p w14:paraId="11184CB9" w14:textId="77777777" w:rsidR="00702CBB" w:rsidRPr="00794BF5" w:rsidRDefault="00702CBB" w:rsidP="00702CBB">
      <w:pPr>
        <w:pStyle w:val="Heading1"/>
      </w:pPr>
      <w:r w:rsidRPr="00D75E43">
        <w:t>Knock limited spark advance (KLSA) strategy</w:t>
      </w:r>
    </w:p>
    <w:p w14:paraId="6C4421DB" w14:textId="77777777" w:rsidR="00D75E43" w:rsidRDefault="00D75E43" w:rsidP="00702CBB">
      <w:pPr>
        <w:pStyle w:val="BodyText"/>
        <w:jc w:val="left"/>
      </w:pPr>
      <w:r>
        <w:t>Th</w:t>
      </w:r>
      <w:r w:rsidR="00702CBB">
        <w:t>e</w:t>
      </w:r>
      <w:r>
        <w:t xml:space="preserve"> SCRE is equipped with a</w:t>
      </w:r>
      <w:r w:rsidR="001D351D">
        <w:t>n</w:t>
      </w:r>
      <w:r>
        <w:t xml:space="preserve"> </w:t>
      </w:r>
      <w:r w:rsidR="001D351D">
        <w:t>acoustic</w:t>
      </w:r>
      <w:r>
        <w:t xml:space="preserve"> knock sensor mounted close to the combustion chamber on the cylinder block outer surface, which detects the surface vibrations produced during combustion. ECU decides the knocking state by </w:t>
      </w:r>
      <w:r w:rsidR="005C3065">
        <w:t>analyzing</w:t>
      </w:r>
      <w:r>
        <w:t xml:space="preserve"> the vibration signal measured by the knock sensor and then retard</w:t>
      </w:r>
      <w:r w:rsidR="000C51C6">
        <w:t>s</w:t>
      </w:r>
      <w:r>
        <w:t xml:space="preserve"> the ignition timing when a knocking cycle is detected. This momentary ignition retard is required to prevent ``runaway knock"</w:t>
      </w:r>
      <w:r w:rsidR="00264C24">
        <w:t xml:space="preserve"> [</w:t>
      </w:r>
      <w:r w:rsidR="00583D3B">
        <w:t>6</w:t>
      </w:r>
      <w:r w:rsidR="00264C24">
        <w:t>].</w:t>
      </w:r>
      <w:r>
        <w:t xml:space="preserve"> Runaway knock is defined as the con</w:t>
      </w:r>
      <w:r w:rsidR="009E6D99">
        <w:t>tinuous</w:t>
      </w:r>
      <w:r>
        <w:t xml:space="preserve"> knocking cycles and it happens when an initial knocking event destroys the thermal boundary layer inside the combustion chamber and results in very high combustion chamber wall temperature and thus creates hot spots, increasing knock probability for next cycles. Ignition angle is reinstated</w:t>
      </w:r>
      <w:r w:rsidR="00522697">
        <w:t xml:space="preserve"> </w:t>
      </w:r>
      <w:r>
        <w:t xml:space="preserve">in subsequent cycles. </w:t>
      </w:r>
    </w:p>
    <w:p w14:paraId="0CD3C7CC" w14:textId="77777777" w:rsidR="00D75E43" w:rsidRDefault="00D75E43" w:rsidP="00D75E43">
      <w:pPr>
        <w:pStyle w:val="BodyText"/>
      </w:pPr>
    </w:p>
    <w:p w14:paraId="33A48CB1" w14:textId="77777777" w:rsidR="00702CBB" w:rsidRPr="00794BF5" w:rsidRDefault="00D75E43" w:rsidP="00702CBB">
      <w:pPr>
        <w:pStyle w:val="BodyText"/>
      </w:pPr>
      <w:r>
        <w:t xml:space="preserve">There are different strategies employed in engine calibration to detect a knocking cycle. One strategy proposed by </w:t>
      </w:r>
      <w:r w:rsidR="00D56838" w:rsidRPr="00522697">
        <w:rPr>
          <w:color w:val="000000" w:themeColor="text1"/>
        </w:rPr>
        <w:t>Biehl</w:t>
      </w:r>
      <w:r w:rsidR="00D56838">
        <w:rPr>
          <w:color w:val="000000" w:themeColor="text1"/>
        </w:rPr>
        <w:t xml:space="preserve"> and</w:t>
      </w:r>
      <w:r w:rsidR="00D56838" w:rsidRPr="00522697">
        <w:rPr>
          <w:color w:val="000000" w:themeColor="text1"/>
        </w:rPr>
        <w:t xml:space="preserve"> Meister</w:t>
      </w:r>
      <w:r>
        <w:t xml:space="preserve"> </w:t>
      </w:r>
      <w:r w:rsidR="00522697">
        <w:t>[</w:t>
      </w:r>
      <w:r w:rsidR="00583D3B">
        <w:t>7</w:t>
      </w:r>
      <w:r w:rsidR="00522697">
        <w:t>]</w:t>
      </w:r>
      <w:r w:rsidR="001E6A14">
        <w:t>,</w:t>
      </w:r>
      <w:r>
        <w:t xml:space="preserve"> and </w:t>
      </w:r>
      <w:proofErr w:type="gramStart"/>
      <w:r w:rsidR="00AD399A">
        <w:t>similar</w:t>
      </w:r>
      <w:r>
        <w:t xml:space="preserve"> to</w:t>
      </w:r>
      <w:proofErr w:type="gramEnd"/>
      <w:r>
        <w:t xml:space="preserve"> the strategy employed for the SCRE is discussed here. In this method, ECU looks for the signal in a calibrated measurement window close to </w:t>
      </w:r>
      <w:proofErr w:type="spellStart"/>
      <w:r>
        <w:t>TDC</w:t>
      </w:r>
      <w:r w:rsidRPr="005C3065">
        <w:rPr>
          <w:vertAlign w:val="subscript"/>
        </w:rPr>
        <w:t>firing</w:t>
      </w:r>
      <w:proofErr w:type="spellEnd"/>
      <w:r>
        <w:t xml:space="preserve"> where the knock is expected to occur. This signal is then band filtered around the knocking frequencies, rectified and integrated to obtain a measure of energy within the window. A </w:t>
      </w:r>
      <w:r w:rsidR="005C3065">
        <w:t>normalized</w:t>
      </w:r>
      <w:r>
        <w:t xml:space="preserve"> value of this energy value is used to compute the final knock intensity. One example for </w:t>
      </w:r>
      <w:r w:rsidR="005C3065">
        <w:t>normalizing</w:t>
      </w:r>
      <w:r>
        <w:t xml:space="preserve"> variable is the measure of energy associated with a heavy knocking cycle, which can damage the engine. A knock threshold value is also defined in the testing by confirming an actual knocking cycle, either by </w:t>
      </w:r>
      <w:r w:rsidR="005C3065">
        <w:t>analyzing</w:t>
      </w:r>
      <w:r>
        <w:t xml:space="preserve"> the cylinder pressure data or by listening to the characteristic metal hitting noise associated with the engine knock. When an individual cycle knock intensity crosses the knock threshold value, ECU detects it as knocking.</w:t>
      </w:r>
      <w:r w:rsidR="00B30708">
        <w:t xml:space="preserve"> This knock threshold is defined as a function of speed and load.</w:t>
      </w:r>
      <w:r w:rsidR="00517751">
        <w:t xml:space="preserve"> </w:t>
      </w:r>
      <w:r w:rsidR="00702CBB">
        <w:t>Fig. 1 shows implementation of this knock detection strategy for SCRE and shows momentary retarding of ignition angle and reinstating to the base ignition angle in subsequent cycles.</w:t>
      </w:r>
    </w:p>
    <w:p w14:paraId="4AB622E3" w14:textId="77777777" w:rsidR="00522697" w:rsidRDefault="003C6F03" w:rsidP="00F06A1C">
      <w:pPr>
        <w:pStyle w:val="BodyText"/>
        <w:jc w:val="center"/>
      </w:pPr>
      <w:r>
        <w:rPr>
          <w:noProof/>
        </w:rPr>
        <w:lastRenderedPageBreak/>
        <w:drawing>
          <wp:inline distT="0" distB="0" distL="0" distR="0" wp14:anchorId="6C3B24DA" wp14:editId="3401B49C">
            <wp:extent cx="4360379" cy="2924926"/>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SA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4360379" cy="2924926"/>
                    </a:xfrm>
                    <a:prstGeom prst="rect">
                      <a:avLst/>
                    </a:prstGeom>
                    <a:ln>
                      <a:noFill/>
                    </a:ln>
                    <a:extLst>
                      <a:ext uri="{53640926-AAD7-44D8-BBD7-CCE9431645EC}">
                        <a14:shadowObscured xmlns:a14="http://schemas.microsoft.com/office/drawing/2010/main"/>
                      </a:ext>
                    </a:extLst>
                  </pic:spPr>
                </pic:pic>
              </a:graphicData>
            </a:graphic>
          </wp:inline>
        </w:drawing>
      </w:r>
    </w:p>
    <w:p w14:paraId="48654E55" w14:textId="77777777" w:rsidR="005C3065" w:rsidRDefault="00522697" w:rsidP="00522697">
      <w:pPr>
        <w:pStyle w:val="Caption"/>
        <w:jc w:val="center"/>
      </w:pPr>
      <w:r>
        <w:t xml:space="preserve">Figure </w:t>
      </w:r>
      <w:r w:rsidR="002B4E3A">
        <w:fldChar w:fldCharType="begin"/>
      </w:r>
      <w:r w:rsidR="002B4E3A">
        <w:instrText xml:space="preserve"> SEQ Figure \* ARABIC </w:instrText>
      </w:r>
      <w:r w:rsidR="002B4E3A">
        <w:fldChar w:fldCharType="separate"/>
      </w:r>
      <w:r w:rsidR="00F51819">
        <w:rPr>
          <w:noProof/>
        </w:rPr>
        <w:t>1</w:t>
      </w:r>
      <w:r w:rsidR="002B4E3A">
        <w:rPr>
          <w:noProof/>
        </w:rPr>
        <w:fldChar w:fldCharType="end"/>
      </w:r>
      <w:r>
        <w:t xml:space="preserve">: </w:t>
      </w:r>
      <w:r w:rsidRPr="00A04729">
        <w:t>Knock Limited Spark Advance at 6000 rpm, full load.</w:t>
      </w:r>
    </w:p>
    <w:p w14:paraId="717AF3FC" w14:textId="77777777" w:rsidR="00583512" w:rsidRPr="00794BF5" w:rsidRDefault="00583512" w:rsidP="00733DE9">
      <w:pPr>
        <w:pStyle w:val="BodyText"/>
      </w:pPr>
    </w:p>
    <w:p w14:paraId="14EEF3F9" w14:textId="77777777" w:rsidR="00583512" w:rsidRDefault="00583512" w:rsidP="00733DE9">
      <w:pPr>
        <w:pStyle w:val="BodyText"/>
      </w:pPr>
    </w:p>
    <w:p w14:paraId="2E1260D0" w14:textId="77777777" w:rsidR="00583512" w:rsidRDefault="00AB71D3" w:rsidP="00821FFC">
      <w:pPr>
        <w:pStyle w:val="Heading1"/>
      </w:pPr>
      <w:bookmarkStart w:id="3" w:name="Full_load_performance_of_a_motor-sport_e"/>
      <w:bookmarkEnd w:id="3"/>
      <w:r>
        <w:t>Pre-chamber ignition</w:t>
      </w:r>
    </w:p>
    <w:p w14:paraId="1218DEBC" w14:textId="77777777" w:rsidR="001F45B4" w:rsidRDefault="00EF48B0" w:rsidP="00821FFC">
      <w:pPr>
        <w:pStyle w:val="BodyText"/>
      </w:pPr>
      <w:r>
        <w:t xml:space="preserve">Full load performance measurements </w:t>
      </w:r>
      <w:r w:rsidR="000C51C6">
        <w:t>were</w:t>
      </w:r>
      <w:r>
        <w:t xml:space="preserve"> carried out for</w:t>
      </w:r>
      <w:r w:rsidR="00C61D24">
        <w:t xml:space="preserve"> both</w:t>
      </w:r>
      <w:r>
        <w:t xml:space="preserve"> </w:t>
      </w:r>
      <w:r w:rsidR="009A6A50">
        <w:t>SI and pre-chamber</w:t>
      </w:r>
      <w:r>
        <w:t xml:space="preserve"> ignition systems at 6000 and 7500 rpm at relative equivalence ratio of 1.2. Fuel flow rate </w:t>
      </w:r>
      <w:r w:rsidR="00BD0518">
        <w:t xml:space="preserve">was </w:t>
      </w:r>
      <w:r>
        <w:t xml:space="preserve">maintained constant at both speed points tested. </w:t>
      </w:r>
      <w:r w:rsidR="00821FFC" w:rsidRPr="00821FFC">
        <w:t>With the pre-chamber ignition system, knock level measured by the knock sensor was observed to be very high and uneven compared to the base spark ignition level, as shown in Fig.</w:t>
      </w:r>
      <w:r w:rsidR="00AB71D3">
        <w:t xml:space="preserve"> </w:t>
      </w:r>
      <w:r w:rsidR="00D10A94">
        <w:t>2</w:t>
      </w:r>
      <w:r w:rsidR="006711C2">
        <w:t>a</w:t>
      </w:r>
      <w:r w:rsidR="00AB71D3">
        <w:t xml:space="preserve"> and Fig. </w:t>
      </w:r>
      <w:r w:rsidR="006711C2">
        <w:t>2b</w:t>
      </w:r>
      <w:r w:rsidR="00AB71D3">
        <w:t>.</w:t>
      </w:r>
      <w:r w:rsidR="006711C2">
        <w:t xml:space="preserve"> Despite changing measuring window and filtering frequency on the knock sensor calibration settings, these oscillations remained.</w:t>
      </w:r>
      <w:r w:rsidR="007D19CD">
        <w:t xml:space="preserve"> </w:t>
      </w:r>
      <w:r w:rsidR="00097AD8">
        <w:t>During the full-load test, c</w:t>
      </w:r>
      <w:r w:rsidR="008D1F27">
        <w:t xml:space="preserve">ylinder pressure </w:t>
      </w:r>
      <w:r w:rsidR="00097AD8">
        <w:t xml:space="preserve">was </w:t>
      </w:r>
      <w:r w:rsidR="008D1F27">
        <w:t xml:space="preserve">simultaneously measured </w:t>
      </w:r>
      <w:r w:rsidR="006711C2">
        <w:t xml:space="preserve">for 100 continues cycles </w:t>
      </w:r>
      <w:r>
        <w:t xml:space="preserve">at </w:t>
      </w:r>
      <w:r w:rsidR="009A6A50">
        <w:t xml:space="preserve">a </w:t>
      </w:r>
      <w:r>
        <w:t>resolution of 0.1</w:t>
      </w:r>
      <w:r w:rsidRPr="00EF48B0">
        <w:rPr>
          <w:vertAlign w:val="superscript"/>
        </w:rPr>
        <w:t>o</w:t>
      </w:r>
      <w:r>
        <w:t xml:space="preserve"> CA</w:t>
      </w:r>
      <w:r w:rsidR="008D1F27">
        <w:t xml:space="preserve">. </w:t>
      </w:r>
      <w:r w:rsidR="008508D9">
        <w:t xml:space="preserve">A mean value filter </w:t>
      </w:r>
      <w:r w:rsidR="00AD3279">
        <w:t>wa</w:t>
      </w:r>
      <w:r w:rsidR="008508D9">
        <w:t>s used to generate high-pass filtered pressure signals.</w:t>
      </w:r>
      <w:r w:rsidR="00821FFC">
        <w:t xml:space="preserve"> </w:t>
      </w:r>
      <w:r w:rsidR="008508D9" w:rsidRPr="00821FFC">
        <w:t xml:space="preserve">With the pre-chamber ignition, the </w:t>
      </w:r>
      <w:proofErr w:type="gramStart"/>
      <w:r w:rsidR="008508D9" w:rsidRPr="00821FFC">
        <w:t>high-pass</w:t>
      </w:r>
      <w:proofErr w:type="gramEnd"/>
      <w:r w:rsidR="008508D9" w:rsidRPr="00821FFC">
        <w:t xml:space="preserve"> filtered cylinder pressure data shows knock like distinct peaks between 10</w:t>
      </w:r>
      <w:r w:rsidR="008508D9" w:rsidRPr="00B86627">
        <w:rPr>
          <w:vertAlign w:val="superscript"/>
        </w:rPr>
        <w:t>o</w:t>
      </w:r>
      <w:r w:rsidR="008508D9" w:rsidRPr="00821FFC">
        <w:t xml:space="preserve"> to 0</w:t>
      </w:r>
      <w:r w:rsidR="008508D9" w:rsidRPr="00B86627">
        <w:rPr>
          <w:vertAlign w:val="superscript"/>
        </w:rPr>
        <w:t>o</w:t>
      </w:r>
      <w:r w:rsidR="008508D9" w:rsidRPr="00821FFC">
        <w:t xml:space="preserve"> deg </w:t>
      </w:r>
      <w:r w:rsidR="008508D9">
        <w:t xml:space="preserve">before </w:t>
      </w:r>
      <w:r w:rsidR="008508D9" w:rsidRPr="00821FFC">
        <w:t>TDC (Fig</w:t>
      </w:r>
      <w:r w:rsidR="008508D9">
        <w:t xml:space="preserve">. </w:t>
      </w:r>
      <w:r w:rsidR="00B466D7">
        <w:t>3</w:t>
      </w:r>
      <w:r w:rsidR="008508D9">
        <w:t xml:space="preserve"> and Fig. </w:t>
      </w:r>
      <w:r w:rsidR="00B466D7">
        <w:t>4</w:t>
      </w:r>
      <w:r w:rsidR="008508D9" w:rsidRPr="00821FFC">
        <w:t>).</w:t>
      </w:r>
      <w:r w:rsidR="008508D9">
        <w:t xml:space="preserve"> </w:t>
      </w:r>
      <w:r w:rsidR="00B86627" w:rsidRPr="00821FFC">
        <w:t>These peaks</w:t>
      </w:r>
      <w:r w:rsidR="00821FFC" w:rsidRPr="00821FFC">
        <w:t xml:space="preserve"> </w:t>
      </w:r>
      <w:r w:rsidR="002B63B3">
        <w:t>occurred</w:t>
      </w:r>
      <w:r w:rsidR="00821FFC" w:rsidRPr="00821FFC">
        <w:t xml:space="preserve"> even before MF</w:t>
      </w:r>
      <w:r w:rsidR="00973CF6">
        <w:t>B</w:t>
      </w:r>
      <w:r w:rsidR="00821FFC" w:rsidRPr="00821FFC">
        <w:t>10% point</w:t>
      </w:r>
      <w:r w:rsidR="006711C2">
        <w:t xml:space="preserve"> (0-2</w:t>
      </w:r>
      <w:r w:rsidR="006711C2" w:rsidRPr="006711C2">
        <w:rPr>
          <w:vertAlign w:val="superscript"/>
        </w:rPr>
        <w:t>o</w:t>
      </w:r>
      <w:r w:rsidR="006711C2">
        <w:t xml:space="preserve"> BTDC)</w:t>
      </w:r>
      <w:r w:rsidR="00821FFC" w:rsidRPr="00821FFC">
        <w:t xml:space="preserve"> and hence </w:t>
      </w:r>
      <w:r w:rsidR="002B63B3">
        <w:t>could not</w:t>
      </w:r>
      <w:r w:rsidR="00821FFC" w:rsidRPr="00821FFC">
        <w:t xml:space="preserve"> be associated </w:t>
      </w:r>
      <w:r w:rsidR="002B63B3">
        <w:t>with</w:t>
      </w:r>
      <w:r w:rsidR="00821FFC" w:rsidRPr="00821FFC">
        <w:t xml:space="preserve"> end gas auto-ignition. There </w:t>
      </w:r>
      <w:r w:rsidR="002B63B3">
        <w:t>was</w:t>
      </w:r>
      <w:r w:rsidR="00821FFC" w:rsidRPr="00821FFC">
        <w:t xml:space="preserve"> another peak observed immediately after TDC with increased amplitude</w:t>
      </w:r>
      <w:r w:rsidR="00D24884">
        <w:t xml:space="preserve">, </w:t>
      </w:r>
      <w:r w:rsidR="002B63B3">
        <w:t xml:space="preserve">which </w:t>
      </w:r>
      <w:r w:rsidR="00D24884">
        <w:t>occurred before MF</w:t>
      </w:r>
      <w:r w:rsidR="00973CF6">
        <w:t>B</w:t>
      </w:r>
      <w:r w:rsidR="00D24884">
        <w:t>50%</w:t>
      </w:r>
      <w:r w:rsidR="006711C2">
        <w:t xml:space="preserve"> (</w:t>
      </w:r>
      <w:r w:rsidR="006E2AB5">
        <w:t>&gt;</w:t>
      </w:r>
      <w:r w:rsidR="006711C2">
        <w:t>1</w:t>
      </w:r>
      <w:r w:rsidR="006E2AB5">
        <w:t>0</w:t>
      </w:r>
      <w:r w:rsidR="006711C2" w:rsidRPr="006711C2">
        <w:rPr>
          <w:vertAlign w:val="superscript"/>
        </w:rPr>
        <w:t>o</w:t>
      </w:r>
      <w:r w:rsidR="006711C2">
        <w:t xml:space="preserve"> </w:t>
      </w:r>
      <w:r w:rsidR="00982A34">
        <w:t>ATDC)</w:t>
      </w:r>
      <w:r w:rsidR="00982A34" w:rsidRPr="00821FFC">
        <w:t xml:space="preserve"> </w:t>
      </w:r>
      <w:r w:rsidR="00982A34">
        <w:t>point</w:t>
      </w:r>
      <w:r w:rsidR="006E2AB5">
        <w:t xml:space="preserve"> and cannot be associated to spark knock</w:t>
      </w:r>
      <w:r w:rsidR="00821FFC" w:rsidRPr="00821FFC">
        <w:t xml:space="preserve">. </w:t>
      </w:r>
      <w:r w:rsidR="00B86627">
        <w:t>The correlated pre-chamber ignit</w:t>
      </w:r>
      <w:r w:rsidR="00BD0518">
        <w:t>ion</w:t>
      </w:r>
      <w:r w:rsidR="00821FFC" w:rsidRPr="00821FFC">
        <w:t xml:space="preserve"> </w:t>
      </w:r>
      <w:r w:rsidR="00B86627">
        <w:t>engine</w:t>
      </w:r>
      <w:r w:rsidR="00BD0518">
        <w:t xml:space="preserve"> CFD</w:t>
      </w:r>
      <w:r w:rsidR="00B86627">
        <w:t xml:space="preserve"> model [2] </w:t>
      </w:r>
      <w:r w:rsidR="002B63B3">
        <w:t>had shown that the</w:t>
      </w:r>
      <w:r w:rsidR="00821FFC" w:rsidRPr="00821FFC">
        <w:t xml:space="preserve"> jets exit from the pre-chamber between 10 to 0</w:t>
      </w:r>
      <w:r w:rsidR="00B86627" w:rsidRPr="00D24884">
        <w:rPr>
          <w:vertAlign w:val="superscript"/>
        </w:rPr>
        <w:t>o</w:t>
      </w:r>
      <w:r w:rsidR="00821FFC" w:rsidRPr="00821FFC">
        <w:t xml:space="preserve"> before TDC</w:t>
      </w:r>
      <w:r w:rsidR="00F77958">
        <w:t xml:space="preserve"> as shown in Fig. </w:t>
      </w:r>
      <w:r w:rsidR="009A6A50">
        <w:t>5</w:t>
      </w:r>
      <w:r w:rsidR="00821FFC" w:rsidRPr="00821FFC">
        <w:t>.</w:t>
      </w:r>
    </w:p>
    <w:p w14:paraId="5F259D99" w14:textId="77777777" w:rsidR="00821FFC" w:rsidRDefault="002B63B3" w:rsidP="00821FFC">
      <w:pPr>
        <w:pStyle w:val="BodyText"/>
      </w:pPr>
      <w:r>
        <w:t>Thus,</w:t>
      </w:r>
      <w:r w:rsidR="00821FFC" w:rsidRPr="00821FFC">
        <w:t xml:space="preserve"> it can be concluded that pre-chamber jet flow </w:t>
      </w:r>
      <w:r>
        <w:t>resulted in</w:t>
      </w:r>
      <w:r w:rsidR="00821FFC" w:rsidRPr="00821FFC">
        <w:t xml:space="preserve"> producing high frequency pressure oscillations </w:t>
      </w:r>
      <w:r>
        <w:t>due to</w:t>
      </w:r>
      <w:r w:rsidR="00821FFC" w:rsidRPr="00821FFC">
        <w:t xml:space="preserve"> jet reaching sonic velocity. These jet induced shock </w:t>
      </w:r>
      <w:proofErr w:type="gramStart"/>
      <w:r w:rsidR="00821FFC" w:rsidRPr="00821FFC">
        <w:t>waves</w:t>
      </w:r>
      <w:proofErr w:type="gramEnd"/>
      <w:r w:rsidR="00821FFC" w:rsidRPr="00821FFC">
        <w:t xml:space="preserve"> and its reflections excite</w:t>
      </w:r>
      <w:r>
        <w:t>d</w:t>
      </w:r>
      <w:r w:rsidR="00821FFC" w:rsidRPr="00821FFC">
        <w:t xml:space="preserve"> the structure </w:t>
      </w:r>
      <w:r>
        <w:t>similar to</w:t>
      </w:r>
      <w:r w:rsidR="00821FFC" w:rsidRPr="00821FFC">
        <w:t xml:space="preserve"> normal knock induced shock waves and these signals </w:t>
      </w:r>
      <w:r w:rsidR="0046179B">
        <w:t>were interpreted</w:t>
      </w:r>
      <w:r w:rsidR="00821FFC" w:rsidRPr="00821FFC">
        <w:t xml:space="preserve"> as knock signal by the knock sensor.</w:t>
      </w:r>
      <w:r w:rsidR="0046179B">
        <w:t xml:space="preserve"> Thus</w:t>
      </w:r>
      <w:r w:rsidR="00342249" w:rsidRPr="00821FFC">
        <w:t>,</w:t>
      </w:r>
      <w:r w:rsidR="0046179B">
        <w:t xml:space="preserve"> </w:t>
      </w:r>
      <w:r w:rsidR="00821FFC" w:rsidRPr="00821FFC">
        <w:t>these additional high frequency vibrations make it difficult to use a</w:t>
      </w:r>
      <w:r w:rsidR="001D351D">
        <w:t>n acoustic</w:t>
      </w:r>
      <w:r w:rsidR="00821FFC" w:rsidRPr="00821FFC">
        <w:t xml:space="preserve"> knock sensor for its intended purpose.</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517751" w14:paraId="256928F3" w14:textId="77777777" w:rsidTr="00702CBB">
        <w:tc>
          <w:tcPr>
            <w:tcW w:w="10100" w:type="dxa"/>
          </w:tcPr>
          <w:p w14:paraId="411BE57A" w14:textId="77777777" w:rsidR="00517751" w:rsidRDefault="00517751" w:rsidP="00C478AC">
            <w:pPr>
              <w:pStyle w:val="BodyText"/>
              <w:keepNext/>
              <w:ind w:left="0"/>
              <w:jc w:val="center"/>
            </w:pPr>
            <w:r>
              <w:rPr>
                <w:noProof/>
              </w:rPr>
              <w:lastRenderedPageBreak/>
              <w:drawing>
                <wp:inline distT="0" distB="0" distL="0" distR="0" wp14:anchorId="407A906D" wp14:editId="39037193">
                  <wp:extent cx="4323600" cy="2859763"/>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23600" cy="2859763"/>
                          </a:xfrm>
                          <a:prstGeom prst="rect">
                            <a:avLst/>
                          </a:prstGeom>
                          <a:noFill/>
                          <a:ln>
                            <a:noFill/>
                          </a:ln>
                        </pic:spPr>
                      </pic:pic>
                    </a:graphicData>
                  </a:graphic>
                </wp:inline>
              </w:drawing>
            </w:r>
          </w:p>
          <w:p w14:paraId="663F4C90" w14:textId="77777777" w:rsidR="00517751" w:rsidRDefault="00517751" w:rsidP="00C00327">
            <w:pPr>
              <w:pStyle w:val="Caption"/>
              <w:jc w:val="center"/>
            </w:pPr>
            <w:r>
              <w:t xml:space="preserve">Figure </w:t>
            </w:r>
            <w:r w:rsidR="00815CE3">
              <w:t>2</w:t>
            </w:r>
            <w:r>
              <w:t xml:space="preserve">a: </w:t>
            </w:r>
            <w:r w:rsidRPr="009B5BC7">
              <w:t>Knock level against engine speed and throttle position for spark ignition.</w:t>
            </w:r>
          </w:p>
        </w:tc>
      </w:tr>
      <w:tr w:rsidR="00517751" w14:paraId="1ED2A9B4" w14:textId="77777777" w:rsidTr="00702CBB">
        <w:tc>
          <w:tcPr>
            <w:tcW w:w="10100" w:type="dxa"/>
          </w:tcPr>
          <w:p w14:paraId="4E54B6B0" w14:textId="77777777" w:rsidR="00517751" w:rsidRDefault="00517751" w:rsidP="00C478AC">
            <w:pPr>
              <w:pStyle w:val="BodyText"/>
              <w:keepNext/>
              <w:ind w:left="0"/>
              <w:jc w:val="center"/>
            </w:pPr>
            <w:r>
              <w:rPr>
                <w:noProof/>
              </w:rPr>
              <w:drawing>
                <wp:inline distT="0" distB="0" distL="0" distR="0" wp14:anchorId="5428F549" wp14:editId="4256C60A">
                  <wp:extent cx="4323600" cy="2859763"/>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323600" cy="2859763"/>
                          </a:xfrm>
                          <a:prstGeom prst="rect">
                            <a:avLst/>
                          </a:prstGeom>
                          <a:noFill/>
                          <a:ln>
                            <a:noFill/>
                          </a:ln>
                        </pic:spPr>
                      </pic:pic>
                    </a:graphicData>
                  </a:graphic>
                </wp:inline>
              </w:drawing>
            </w:r>
          </w:p>
          <w:p w14:paraId="22F1518F" w14:textId="77777777" w:rsidR="00517751" w:rsidRDefault="00517751" w:rsidP="00C00327">
            <w:pPr>
              <w:pStyle w:val="Caption"/>
              <w:jc w:val="center"/>
            </w:pPr>
            <w:r>
              <w:t>Figure 2b</w:t>
            </w:r>
            <w:r w:rsidRPr="00A6483C">
              <w:t>: Knock level against engine speed and throttle position for pre-chamber ignition.</w:t>
            </w:r>
          </w:p>
        </w:tc>
      </w:tr>
    </w:tbl>
    <w:p w14:paraId="12C50E33" w14:textId="77777777" w:rsidR="00517751" w:rsidRDefault="00517751" w:rsidP="00821FFC">
      <w:pPr>
        <w:pStyle w:val="BodyText"/>
      </w:pPr>
    </w:p>
    <w:p w14:paraId="2CBE69A9" w14:textId="77777777" w:rsidR="00B86627" w:rsidRDefault="00B86627" w:rsidP="00B86627">
      <w:pPr>
        <w:pStyle w:val="BodyText"/>
        <w:keepNext/>
      </w:pPr>
    </w:p>
    <w:p w14:paraId="1FE8358A" w14:textId="77777777" w:rsidR="00B86627" w:rsidRDefault="00B86627" w:rsidP="00B86627">
      <w:pPr>
        <w:pStyle w:val="BodyText"/>
        <w:keepNext/>
      </w:pPr>
    </w:p>
    <w:p w14:paraId="2A5AAB01" w14:textId="77777777" w:rsidR="00821FFC" w:rsidRDefault="00821FFC" w:rsidP="00821FFC">
      <w:pPr>
        <w:pStyle w:val="BodyText"/>
      </w:pPr>
      <w:r w:rsidRPr="00821FFC">
        <w:t xml:space="preserve">Jet </w:t>
      </w:r>
      <w:r w:rsidR="00323A3D">
        <w:t>induced</w:t>
      </w:r>
      <w:r w:rsidRPr="00821FFC">
        <w:t xml:space="preserve"> oscillations are observed to be higher at 6000 rpm, as shown in Fig.</w:t>
      </w:r>
      <w:r w:rsidR="00056DD1">
        <w:t xml:space="preserve"> </w:t>
      </w:r>
      <w:r w:rsidR="00437FEC">
        <w:t>4</w:t>
      </w:r>
      <w:r w:rsidR="00056DD1">
        <w:t xml:space="preserve">. As fuel flow rate is maintained constant at both speeds, </w:t>
      </w:r>
      <w:r w:rsidR="00331673">
        <w:t xml:space="preserve">fuel consumed per cycle and manifold pressure is less for </w:t>
      </w:r>
      <w:r w:rsidR="00673E1F">
        <w:t xml:space="preserve">a </w:t>
      </w:r>
      <w:r w:rsidR="00331673">
        <w:t>higher engine speed, for given air-fuel ratio.</w:t>
      </w:r>
      <w:r>
        <w:t xml:space="preserve"> </w:t>
      </w:r>
      <w:r w:rsidR="00331673">
        <w:t>Hence, a</w:t>
      </w:r>
      <w:r w:rsidRPr="00821FFC">
        <w:t xml:space="preserve">verage operating pressure during compression stroke at </w:t>
      </w:r>
      <w:r w:rsidR="00982A34">
        <w:t>7500</w:t>
      </w:r>
      <w:r w:rsidRPr="00821FFC">
        <w:t xml:space="preserve"> rpm is </w:t>
      </w:r>
      <w:r w:rsidR="00982A34">
        <w:t>lower</w:t>
      </w:r>
      <w:r w:rsidRPr="00821FFC">
        <w:t xml:space="preserve"> compared to </w:t>
      </w:r>
      <w:r w:rsidR="00982A34">
        <w:t>60</w:t>
      </w:r>
      <w:r w:rsidRPr="00821FFC">
        <w:t xml:space="preserve">00 rpm </w:t>
      </w:r>
      <w:r w:rsidR="00323A3D">
        <w:t>which results</w:t>
      </w:r>
      <w:r w:rsidRPr="00821FFC">
        <w:t xml:space="preserve"> in less charge entering the pre-chamber and </w:t>
      </w:r>
      <w:r w:rsidR="00323A3D">
        <w:t>thus a</w:t>
      </w:r>
      <w:r w:rsidRPr="00821FFC">
        <w:t xml:space="preserve"> reduced charge burning inside the pre-chamber.</w:t>
      </w:r>
      <w:r w:rsidR="009A23C4">
        <w:t xml:space="preserve"> </w:t>
      </w:r>
      <w:r w:rsidR="00323A3D">
        <w:t>P</w:t>
      </w:r>
      <w:r w:rsidR="009A23C4" w:rsidRPr="009A23C4">
        <w:t>eak pressure</w:t>
      </w:r>
      <w:r w:rsidR="00323A3D">
        <w:t xml:space="preserve"> was found</w:t>
      </w:r>
      <w:r w:rsidR="00AD60E9">
        <w:t xml:space="preserve"> to be</w:t>
      </w:r>
      <w:r w:rsidR="00323A3D">
        <w:t xml:space="preserve"> lower at 7500 rpm as peak pressure</w:t>
      </w:r>
      <w:r w:rsidR="009A23C4" w:rsidRPr="009A23C4">
        <w:t xml:space="preserve"> produced inside the pre-chamber</w:t>
      </w:r>
      <w:r w:rsidR="00323A3D">
        <w:t xml:space="preserve"> </w:t>
      </w:r>
      <w:r w:rsidR="009A23C4" w:rsidRPr="009A23C4">
        <w:t>is a function of charge burned inside the pre-chamber. The reduced peak pressure result</w:t>
      </w:r>
      <w:r w:rsidR="00BD0518">
        <w:t>ed</w:t>
      </w:r>
      <w:r w:rsidR="009A23C4" w:rsidRPr="009A23C4">
        <w:t xml:space="preserve"> i</w:t>
      </w:r>
      <w:r w:rsidR="00BD0518">
        <w:t>n</w:t>
      </w:r>
      <w:r w:rsidR="009A23C4" w:rsidRPr="009A23C4">
        <w:t xml:space="preserve"> </w:t>
      </w:r>
      <w:r w:rsidR="00BD0518">
        <w:t>lower</w:t>
      </w:r>
      <w:r w:rsidR="009A23C4" w:rsidRPr="009A23C4">
        <w:t xml:space="preserve"> pressure difference across the chambers and resulting in lower jet velocities.</w:t>
      </w:r>
      <w:r w:rsidR="00B105AC">
        <w:t xml:space="preserve"> </w:t>
      </w:r>
      <w:r w:rsidR="008C0097">
        <w:t>It was observed that</w:t>
      </w:r>
      <w:r w:rsidR="00B105AC">
        <w:t xml:space="preserve"> with higher dilution</w:t>
      </w:r>
      <w:r w:rsidR="00982A34">
        <w:t xml:space="preserve"> and for the same fuel flow rate</w:t>
      </w:r>
      <w:r w:rsidR="00B105AC">
        <w:t xml:space="preserve">, knock oscillations observed to be </w:t>
      </w:r>
      <w:r w:rsidR="00BD0518">
        <w:t xml:space="preserve">much </w:t>
      </w:r>
      <w:r w:rsidR="00B105AC">
        <w:t xml:space="preserve">lower as shown in Fig. </w:t>
      </w:r>
      <w:r w:rsidR="00982A34">
        <w:t>4c. This</w:t>
      </w:r>
      <w:r w:rsidR="008C0097">
        <w:t xml:space="preserve"> was found to be </w:t>
      </w:r>
      <w:r w:rsidR="00982A34">
        <w:t xml:space="preserve">due to reduced pressure difference at higher dilution due to higher cylinder pressure </w:t>
      </w:r>
      <w:r w:rsidR="00BD0518">
        <w:t xml:space="preserve">inside the cylinder, resulting in lower pressure difference </w:t>
      </w:r>
      <w:r w:rsidR="008C0097">
        <w:t>between</w:t>
      </w:r>
      <w:r w:rsidR="00BD0518">
        <w:t xml:space="preserve"> the chambers</w:t>
      </w:r>
      <w:r w:rsidR="00982A34">
        <w:t xml:space="preserve">. </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F15215" w14:paraId="5FBABED6" w14:textId="77777777" w:rsidTr="00F15215">
        <w:tc>
          <w:tcPr>
            <w:tcW w:w="5050" w:type="dxa"/>
          </w:tcPr>
          <w:p w14:paraId="735EFDDB" w14:textId="77777777" w:rsidR="00F15215" w:rsidRDefault="00F15215" w:rsidP="00F15215">
            <w:pPr>
              <w:pStyle w:val="BodyText"/>
              <w:keepNext/>
              <w:ind w:left="0"/>
            </w:pPr>
            <w:r>
              <w:rPr>
                <w:noProof/>
              </w:rPr>
              <w:lastRenderedPageBreak/>
              <w:drawing>
                <wp:inline distT="0" distB="0" distL="0" distR="0" wp14:anchorId="15F84347" wp14:editId="7039C5DE">
                  <wp:extent cx="2705100" cy="2162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p>
          <w:p w14:paraId="1E3DB91D" w14:textId="77777777" w:rsidR="00F15215" w:rsidRDefault="00F15215" w:rsidP="00F15215">
            <w:pPr>
              <w:pStyle w:val="Caption"/>
              <w:jc w:val="center"/>
            </w:pPr>
            <w:r>
              <w:t>a</w:t>
            </w:r>
            <w:r w:rsidR="00342249">
              <w:t>: Spark Ignition, 6000 rpm</w:t>
            </w:r>
          </w:p>
        </w:tc>
        <w:tc>
          <w:tcPr>
            <w:tcW w:w="5050" w:type="dxa"/>
          </w:tcPr>
          <w:p w14:paraId="40F35F6F" w14:textId="77777777" w:rsidR="00F15215" w:rsidRDefault="00F15215" w:rsidP="00F15215">
            <w:pPr>
              <w:pStyle w:val="BodyText"/>
              <w:keepNext/>
              <w:ind w:left="0"/>
            </w:pPr>
            <w:r>
              <w:rPr>
                <w:noProof/>
              </w:rPr>
              <w:drawing>
                <wp:inline distT="0" distB="0" distL="0" distR="0" wp14:anchorId="7368D5FF" wp14:editId="17E69DB0">
                  <wp:extent cx="2705100" cy="2162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p>
          <w:p w14:paraId="53A0ED41" w14:textId="77777777" w:rsidR="00F15215" w:rsidRDefault="00F15215" w:rsidP="00F15215">
            <w:pPr>
              <w:pStyle w:val="Caption"/>
              <w:jc w:val="center"/>
            </w:pPr>
            <w:r>
              <w:t>b</w:t>
            </w:r>
            <w:r w:rsidR="00342249">
              <w:t>: Spark Ignition, 7500 rpm</w:t>
            </w:r>
          </w:p>
        </w:tc>
      </w:tr>
      <w:tr w:rsidR="00F15215" w14:paraId="4650AE6F" w14:textId="77777777" w:rsidTr="00F15215">
        <w:tc>
          <w:tcPr>
            <w:tcW w:w="5050" w:type="dxa"/>
          </w:tcPr>
          <w:p w14:paraId="1A380AFC" w14:textId="77777777" w:rsidR="00F15215" w:rsidRDefault="00F15215" w:rsidP="00F15215">
            <w:pPr>
              <w:pStyle w:val="BodyText"/>
              <w:keepNext/>
              <w:ind w:left="0"/>
            </w:pPr>
            <w:r>
              <w:rPr>
                <w:noProof/>
              </w:rPr>
              <w:drawing>
                <wp:inline distT="0" distB="0" distL="0" distR="0" wp14:anchorId="053C1AC5" wp14:editId="6DDBA306">
                  <wp:extent cx="2705100" cy="2162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p>
          <w:p w14:paraId="730A26F5" w14:textId="77777777" w:rsidR="00F15215" w:rsidRDefault="00F15215" w:rsidP="00F15215">
            <w:pPr>
              <w:pStyle w:val="Caption"/>
              <w:jc w:val="center"/>
            </w:pPr>
            <w:r>
              <w:t>c</w:t>
            </w:r>
            <w:r w:rsidR="008508D9">
              <w:t>: Pre-chamber, 6000 rpm</w:t>
            </w:r>
          </w:p>
        </w:tc>
        <w:tc>
          <w:tcPr>
            <w:tcW w:w="5050" w:type="dxa"/>
          </w:tcPr>
          <w:p w14:paraId="678574CB" w14:textId="77777777" w:rsidR="00F15215" w:rsidRDefault="00F15215" w:rsidP="00F15215">
            <w:pPr>
              <w:pStyle w:val="BodyText"/>
              <w:keepNext/>
              <w:ind w:left="0"/>
            </w:pPr>
            <w:r>
              <w:rPr>
                <w:noProof/>
              </w:rPr>
              <w:drawing>
                <wp:inline distT="0" distB="0" distL="0" distR="0" wp14:anchorId="1E0A0482" wp14:editId="015BB54A">
                  <wp:extent cx="2705100" cy="2162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p>
          <w:p w14:paraId="05DE9041" w14:textId="77777777" w:rsidR="00F15215" w:rsidRDefault="00F15215" w:rsidP="008E24E7">
            <w:pPr>
              <w:pStyle w:val="Caption"/>
              <w:keepNext/>
              <w:jc w:val="center"/>
            </w:pPr>
            <w:r>
              <w:t>d</w:t>
            </w:r>
            <w:r w:rsidR="008508D9">
              <w:t>: Pre-chamber, 7500 rpm</w:t>
            </w:r>
          </w:p>
        </w:tc>
      </w:tr>
    </w:tbl>
    <w:p w14:paraId="2040A13B" w14:textId="77777777" w:rsidR="00F15215" w:rsidRDefault="008E24E7" w:rsidP="008E24E7">
      <w:pPr>
        <w:pStyle w:val="Caption"/>
        <w:jc w:val="center"/>
      </w:pPr>
      <w:r>
        <w:t xml:space="preserve">Figure </w:t>
      </w:r>
      <w:r w:rsidR="009A6A50">
        <w:t>3</w:t>
      </w:r>
      <w:r>
        <w:t xml:space="preserve">: </w:t>
      </w:r>
      <w:proofErr w:type="gramStart"/>
      <w:r>
        <w:t>High-pass</w:t>
      </w:r>
      <w:proofErr w:type="gramEnd"/>
      <w:r>
        <w:t xml:space="preserve"> filtered pressure signals for 100 continu</w:t>
      </w:r>
      <w:r w:rsidR="004C5845">
        <w:t>ou</w:t>
      </w:r>
      <w:r>
        <w:t>s cycles</w:t>
      </w:r>
    </w:p>
    <w:tbl>
      <w:tblPr>
        <w:tblStyle w:val="TableGrid"/>
        <w:tblW w:w="5000" w:type="pc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8"/>
        <w:gridCol w:w="3371"/>
        <w:gridCol w:w="3371"/>
      </w:tblGrid>
      <w:tr w:rsidR="00946D63" w14:paraId="0163183C" w14:textId="77777777" w:rsidTr="00946D63">
        <w:tc>
          <w:tcPr>
            <w:tcW w:w="1666" w:type="pct"/>
          </w:tcPr>
          <w:p w14:paraId="6A762428" w14:textId="77777777" w:rsidR="00946D63" w:rsidRDefault="00946D63" w:rsidP="00F15215">
            <w:pPr>
              <w:pStyle w:val="BodyText"/>
              <w:keepNext/>
              <w:ind w:left="0"/>
            </w:pPr>
            <w:r>
              <w:rPr>
                <w:noProof/>
              </w:rPr>
              <w:drawing>
                <wp:inline distT="0" distB="0" distL="0" distR="0" wp14:anchorId="364684FE" wp14:editId="4A68C516">
                  <wp:extent cx="1987417" cy="13193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91204" cy="1321856"/>
                          </a:xfrm>
                          <a:prstGeom prst="rect">
                            <a:avLst/>
                          </a:prstGeom>
                          <a:noFill/>
                          <a:ln>
                            <a:noFill/>
                          </a:ln>
                        </pic:spPr>
                      </pic:pic>
                    </a:graphicData>
                  </a:graphic>
                </wp:inline>
              </w:drawing>
            </w:r>
          </w:p>
          <w:p w14:paraId="5155F68F" w14:textId="77777777" w:rsidR="00946D63" w:rsidRDefault="00946D63" w:rsidP="00F15215">
            <w:pPr>
              <w:pStyle w:val="Caption"/>
              <w:jc w:val="center"/>
            </w:pPr>
            <w:r>
              <w:t>a: Pre-chamber, 6000 rpm, λ =1.2</w:t>
            </w:r>
          </w:p>
        </w:tc>
        <w:tc>
          <w:tcPr>
            <w:tcW w:w="1667" w:type="pct"/>
          </w:tcPr>
          <w:p w14:paraId="69E0B898" w14:textId="77777777" w:rsidR="00946D63" w:rsidRDefault="00946D63" w:rsidP="00F15215">
            <w:pPr>
              <w:pStyle w:val="BodyText"/>
              <w:keepNext/>
              <w:ind w:left="0"/>
            </w:pPr>
            <w:r>
              <w:rPr>
                <w:noProof/>
              </w:rPr>
              <w:drawing>
                <wp:inline distT="0" distB="0" distL="0" distR="0" wp14:anchorId="305DC6DE" wp14:editId="18A2FF61">
                  <wp:extent cx="2009775" cy="1334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28947" cy="1346911"/>
                          </a:xfrm>
                          <a:prstGeom prst="rect">
                            <a:avLst/>
                          </a:prstGeom>
                          <a:noFill/>
                          <a:ln>
                            <a:noFill/>
                          </a:ln>
                        </pic:spPr>
                      </pic:pic>
                    </a:graphicData>
                  </a:graphic>
                </wp:inline>
              </w:drawing>
            </w:r>
          </w:p>
          <w:p w14:paraId="6D168797" w14:textId="77777777" w:rsidR="00946D63" w:rsidRDefault="00946D63" w:rsidP="00F15215">
            <w:pPr>
              <w:pStyle w:val="Caption"/>
              <w:jc w:val="center"/>
            </w:pPr>
            <w:r>
              <w:t>b: Pre-chamber, 7500 rpm, λ =1.2</w:t>
            </w:r>
          </w:p>
        </w:tc>
        <w:tc>
          <w:tcPr>
            <w:tcW w:w="1667" w:type="pct"/>
          </w:tcPr>
          <w:p w14:paraId="145CAD09" w14:textId="77777777" w:rsidR="00946D63" w:rsidRDefault="00946D63" w:rsidP="00946D63">
            <w:pPr>
              <w:pStyle w:val="BodyText"/>
              <w:keepNext/>
              <w:ind w:left="0"/>
            </w:pPr>
            <w:r>
              <w:rPr>
                <w:noProof/>
              </w:rPr>
              <w:drawing>
                <wp:inline distT="0" distB="0" distL="0" distR="0" wp14:anchorId="402BDFB7" wp14:editId="6E324126">
                  <wp:extent cx="1985010" cy="1317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ockPressurePC7p5kLam1p4.jpg"/>
                          <pic:cNvPicPr/>
                        </pic:nvPicPr>
                        <pic:blipFill>
                          <a:blip r:embed="rId17">
                            <a:extLst>
                              <a:ext uri="{28A0092B-C50C-407E-A947-70E740481C1C}">
                                <a14:useLocalDpi xmlns:a14="http://schemas.microsoft.com/office/drawing/2010/main" val="0"/>
                              </a:ext>
                            </a:extLst>
                          </a:blip>
                          <a:stretch>
                            <a:fillRect/>
                          </a:stretch>
                        </pic:blipFill>
                        <pic:spPr>
                          <a:xfrm>
                            <a:off x="0" y="0"/>
                            <a:ext cx="2013429" cy="1336611"/>
                          </a:xfrm>
                          <a:prstGeom prst="rect">
                            <a:avLst/>
                          </a:prstGeom>
                        </pic:spPr>
                      </pic:pic>
                    </a:graphicData>
                  </a:graphic>
                </wp:inline>
              </w:drawing>
            </w:r>
          </w:p>
          <w:p w14:paraId="4266EB71" w14:textId="77777777" w:rsidR="00946D63" w:rsidRDefault="00946D63" w:rsidP="00946D63">
            <w:pPr>
              <w:pStyle w:val="Caption"/>
              <w:jc w:val="both"/>
              <w:rPr>
                <w:noProof/>
              </w:rPr>
            </w:pPr>
            <w:r w:rsidRPr="009A6D53">
              <w:rPr>
                <w:noProof/>
              </w:rPr>
              <w:t>c: Pre-chamber, 7500 rpm, λ =1.4</w:t>
            </w:r>
          </w:p>
        </w:tc>
      </w:tr>
    </w:tbl>
    <w:p w14:paraId="51A56287" w14:textId="77777777" w:rsidR="00F51819" w:rsidRDefault="00F51819" w:rsidP="00F51819">
      <w:pPr>
        <w:pStyle w:val="Caption"/>
        <w:jc w:val="center"/>
      </w:pPr>
      <w:r>
        <w:t xml:space="preserve">Figure </w:t>
      </w:r>
      <w:r w:rsidR="009A6A50">
        <w:t>4</w:t>
      </w:r>
      <w:r>
        <w:t xml:space="preserve">: </w:t>
      </w:r>
      <w:proofErr w:type="gramStart"/>
      <w:r>
        <w:t>High-pass</w:t>
      </w:r>
      <w:proofErr w:type="gramEnd"/>
      <w:r>
        <w:t xml:space="preserve"> filtered pressure signals, 100 contin</w:t>
      </w:r>
      <w:r w:rsidR="004C5845">
        <w:t>uou</w:t>
      </w:r>
      <w:r>
        <w:t xml:space="preserve">s cycles </w:t>
      </w:r>
      <w:r w:rsidR="00097AD8">
        <w:t>overlaid.</w:t>
      </w:r>
    </w:p>
    <w:p w14:paraId="50C1BFBE" w14:textId="77777777" w:rsidR="009A6A50" w:rsidRDefault="009A6A50" w:rsidP="009A6A50">
      <w:pPr>
        <w:pStyle w:val="BodyText"/>
        <w:keepNext/>
        <w:jc w:val="center"/>
      </w:pPr>
      <w:r>
        <w:rPr>
          <w:noProof/>
        </w:rPr>
        <w:drawing>
          <wp:inline distT="0" distB="0" distL="0" distR="0" wp14:anchorId="18FA4E8F" wp14:editId="55A49240">
            <wp:extent cx="3819525" cy="2337806"/>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tMach22.png"/>
                    <pic:cNvPicPr/>
                  </pic:nvPicPr>
                  <pic:blipFill>
                    <a:blip r:embed="rId18">
                      <a:extLst>
                        <a:ext uri="{28A0092B-C50C-407E-A947-70E740481C1C}">
                          <a14:useLocalDpi xmlns:a14="http://schemas.microsoft.com/office/drawing/2010/main" val="0"/>
                        </a:ext>
                      </a:extLst>
                    </a:blip>
                    <a:stretch>
                      <a:fillRect/>
                    </a:stretch>
                  </pic:blipFill>
                  <pic:spPr>
                    <a:xfrm>
                      <a:off x="0" y="0"/>
                      <a:ext cx="3819525" cy="2337806"/>
                    </a:xfrm>
                    <a:prstGeom prst="rect">
                      <a:avLst/>
                    </a:prstGeom>
                  </pic:spPr>
                </pic:pic>
              </a:graphicData>
            </a:graphic>
          </wp:inline>
        </w:drawing>
      </w:r>
    </w:p>
    <w:p w14:paraId="33E5B424" w14:textId="77777777" w:rsidR="009A6A50" w:rsidRDefault="009A6A50" w:rsidP="009A6A50">
      <w:pPr>
        <w:pStyle w:val="Caption"/>
        <w:jc w:val="center"/>
      </w:pPr>
      <w:r>
        <w:t>Figure 5: CFD result for v</w:t>
      </w:r>
      <w:r w:rsidRPr="00C944BB">
        <w:t xml:space="preserve">ariation of Mach number </w:t>
      </w:r>
      <w:r>
        <w:t>at 8</w:t>
      </w:r>
      <w:r w:rsidRPr="00F77958">
        <w:rPr>
          <w:vertAlign w:val="superscript"/>
        </w:rPr>
        <w:t>o</w:t>
      </w:r>
      <w:r>
        <w:t xml:space="preserve"> CA BTDC, </w:t>
      </w:r>
      <w:r w:rsidRPr="00C944BB">
        <w:t xml:space="preserve">when the jet comes out of the pre-chamber, with </w:t>
      </w:r>
      <w:r>
        <w:t>jet</w:t>
      </w:r>
      <w:r w:rsidRPr="00C944BB">
        <w:t xml:space="preserve"> velocity </w:t>
      </w:r>
      <w:r>
        <w:t>near</w:t>
      </w:r>
      <w:r w:rsidRPr="00C944BB">
        <w:t xml:space="preserve"> the nozzle crossing Mach 1, resulting in shock waves inside the combustion chamber.</w:t>
      </w:r>
    </w:p>
    <w:p w14:paraId="0E3C93EF" w14:textId="77777777" w:rsidR="009A6A50" w:rsidRPr="009A6A50" w:rsidRDefault="009A6A50" w:rsidP="009A6A50"/>
    <w:p w14:paraId="4503FCE8" w14:textId="77777777" w:rsidR="009A23C4" w:rsidRDefault="009A23C4" w:rsidP="009A23C4">
      <w:pPr>
        <w:pStyle w:val="Heading1"/>
      </w:pPr>
      <w:r w:rsidRPr="009A23C4">
        <w:t xml:space="preserve">Cylinder </w:t>
      </w:r>
      <w:r w:rsidR="00DC56A3" w:rsidRPr="009A23C4">
        <w:t>pressure-based</w:t>
      </w:r>
      <w:r w:rsidRPr="009A23C4">
        <w:t xml:space="preserve"> knock detection</w:t>
      </w:r>
    </w:p>
    <w:p w14:paraId="450A3C41" w14:textId="77777777" w:rsidR="009A23C4" w:rsidRDefault="009A23C4" w:rsidP="009A23C4">
      <w:pPr>
        <w:pStyle w:val="BodyText"/>
      </w:pPr>
      <w:r w:rsidRPr="009A23C4">
        <w:t xml:space="preserve">In this section, an alternate knock detection strategy based on instantaneous cylinder pressure </w:t>
      </w:r>
      <w:r w:rsidR="004C5845">
        <w:t>wa</w:t>
      </w:r>
      <w:r w:rsidRPr="009A23C4">
        <w:t>s investigated to address the problem of difficulty in detecting engine knock with a</w:t>
      </w:r>
      <w:r w:rsidR="001D351D">
        <w:t>n acoustic</w:t>
      </w:r>
      <w:r w:rsidRPr="009A23C4">
        <w:t xml:space="preserve"> knock sensor. Cylinder pressure based knock detection is </w:t>
      </w:r>
      <w:r w:rsidR="001D351D">
        <w:t>already utilized</w:t>
      </w:r>
      <w:r w:rsidRPr="009A23C4">
        <w:t xml:space="preserve"> in motor-sports engines for accurate prediction of knock </w:t>
      </w:r>
      <w:r w:rsidR="00D10A94">
        <w:t>[</w:t>
      </w:r>
      <w:r w:rsidR="0073063C">
        <w:t>8</w:t>
      </w:r>
      <w:r w:rsidR="00D10A94">
        <w:t>,</w:t>
      </w:r>
      <w:r w:rsidR="0073063C">
        <w:t>9</w:t>
      </w:r>
      <w:r w:rsidR="00D10A94">
        <w:t>],</w:t>
      </w:r>
      <w:r w:rsidRPr="009A23C4">
        <w:t xml:space="preserve"> </w:t>
      </w:r>
      <w:r w:rsidR="00E84BAC">
        <w:t>a</w:t>
      </w:r>
      <w:r w:rsidRPr="009A23C4">
        <w:t>s a motor-sport engine normally operates at higher engine speeds</w:t>
      </w:r>
      <w:r w:rsidR="001D351D">
        <w:t xml:space="preserve"> where</w:t>
      </w:r>
      <w:r w:rsidRPr="009A23C4">
        <w:t xml:space="preserve"> the signal to noise ratio is low </w:t>
      </w:r>
      <w:r w:rsidR="001D351D">
        <w:t>which</w:t>
      </w:r>
      <w:r w:rsidRPr="009A23C4">
        <w:t xml:space="preserve"> makes it difficult to </w:t>
      </w:r>
      <w:r w:rsidR="001D351D">
        <w:t>utilize</w:t>
      </w:r>
      <w:r w:rsidRPr="009A23C4">
        <w:t xml:space="preserve"> a</w:t>
      </w:r>
      <w:r w:rsidR="001D351D">
        <w:t>n acoustic</w:t>
      </w:r>
      <w:r w:rsidRPr="009A23C4">
        <w:t xml:space="preserve"> sensor. This section covers</w:t>
      </w:r>
      <w:r w:rsidR="00534FAE">
        <w:t xml:space="preserve"> investigation of various</w:t>
      </w:r>
      <w:r w:rsidRPr="009A23C4">
        <w:t xml:space="preserve"> cylinder </w:t>
      </w:r>
      <w:proofErr w:type="gramStart"/>
      <w:r w:rsidRPr="009A23C4">
        <w:t>pressure based</w:t>
      </w:r>
      <w:proofErr w:type="gramEnd"/>
      <w:r w:rsidRPr="009A23C4">
        <w:t xml:space="preserve"> knock parameters available in the literature </w:t>
      </w:r>
      <w:r w:rsidR="00534FAE">
        <w:t>and</w:t>
      </w:r>
      <w:r w:rsidRPr="009A23C4">
        <w:t xml:space="preserve"> how </w:t>
      </w:r>
      <w:r w:rsidR="00534FAE">
        <w:t xml:space="preserve">effective </w:t>
      </w:r>
      <w:r w:rsidRPr="009A23C4">
        <w:t>these methods are</w:t>
      </w:r>
      <w:r w:rsidR="00534FAE">
        <w:t xml:space="preserve"> in detecting knock in a pre-chamber ignited engine.</w:t>
      </w:r>
      <w:r w:rsidRPr="009A23C4">
        <w:t xml:space="preserve"> This study was done as a </w:t>
      </w:r>
      <w:proofErr w:type="spellStart"/>
      <w:r w:rsidRPr="009A23C4">
        <w:t>post test</w:t>
      </w:r>
      <w:proofErr w:type="spellEnd"/>
      <w:r w:rsidRPr="009A23C4">
        <w:t xml:space="preserve"> analysis and was not implemented as a live detection strategy.</w:t>
      </w:r>
    </w:p>
    <w:p w14:paraId="34B659A3" w14:textId="77777777" w:rsidR="00E84BAC" w:rsidRDefault="00E84BAC" w:rsidP="009A23C4">
      <w:pPr>
        <w:pStyle w:val="BodyText"/>
      </w:pPr>
    </w:p>
    <w:p w14:paraId="52999BC1" w14:textId="77777777" w:rsidR="00DC66D1" w:rsidRDefault="00DC66D1" w:rsidP="00DC66D1">
      <w:pPr>
        <w:pStyle w:val="Heading1"/>
      </w:pPr>
      <w:r>
        <w:t>MAPO, IMPO and DKI</w:t>
      </w:r>
    </w:p>
    <w:p w14:paraId="69F91746" w14:textId="77777777" w:rsidR="00DC66D1" w:rsidRDefault="00DC66D1" w:rsidP="00DC66D1">
      <w:pPr>
        <w:pStyle w:val="BodyText"/>
      </w:pPr>
      <w:r>
        <w:t xml:space="preserve">One of the earliest and </w:t>
      </w:r>
      <w:r w:rsidR="009C4FED">
        <w:t xml:space="preserve">widely </w:t>
      </w:r>
      <w:r w:rsidR="006843FF">
        <w:t>utilized</w:t>
      </w:r>
      <w:r>
        <w:t xml:space="preserve"> used </w:t>
      </w:r>
      <w:r w:rsidR="00A242B3">
        <w:t>pressure-based</w:t>
      </w:r>
      <w:r>
        <w:t xml:space="preserve"> knock indicator is the maximum amplitude of pressure oscillations (MAPO). MAPO is defined as the peak of pressure oscillations due to knock </w:t>
      </w:r>
      <w:r w:rsidR="00A242B3">
        <w:t>[</w:t>
      </w:r>
      <w:r w:rsidR="0073063C">
        <w:t>6</w:t>
      </w:r>
      <w:r w:rsidR="00A242B3">
        <w:t>,</w:t>
      </w:r>
      <w:r w:rsidR="0073063C">
        <w:t>10</w:t>
      </w:r>
      <w:r w:rsidR="00A242B3">
        <w:t>,</w:t>
      </w:r>
      <w:r w:rsidR="0073063C">
        <w:t>11</w:t>
      </w:r>
      <w:r w:rsidR="00A242B3">
        <w:t>]</w:t>
      </w:r>
      <w:r>
        <w:t xml:space="preserve">. The crank angle resolved pressure signal is high pass filtered to </w:t>
      </w:r>
      <w:r w:rsidR="009C4FED">
        <w:t>obtain</w:t>
      </w:r>
      <w:r>
        <w:t xml:space="preserve"> oscillations and </w:t>
      </w:r>
      <w:r w:rsidR="000717BB">
        <w:t>must</w:t>
      </w:r>
      <w:r>
        <w:t xml:space="preserve"> be compared with a threshold to </w:t>
      </w:r>
      <w:r w:rsidR="009C4FED">
        <w:t>determine</w:t>
      </w:r>
      <w:r>
        <w:t xml:space="preserve"> a knocking cycle. Another equally popular knock index is integral of modulus of pressure oscillations (IMPO), initially proposed by Arrigoni</w:t>
      </w:r>
      <w:r w:rsidR="00A242B3">
        <w:t xml:space="preserve"> [</w:t>
      </w:r>
      <w:r w:rsidR="0073063C">
        <w:t>12</w:t>
      </w:r>
      <w:r w:rsidR="00A242B3">
        <w:t>]</w:t>
      </w:r>
      <w:r>
        <w:t xml:space="preserve">. IMPO is a </w:t>
      </w:r>
      <w:r w:rsidR="006843FF">
        <w:t>method</w:t>
      </w:r>
      <w:r>
        <w:t xml:space="preserve"> to represent the energy contained in the high frequency oscillations of the measured pressure signal. A threshold </w:t>
      </w:r>
      <w:r w:rsidR="000717BB">
        <w:t>must</w:t>
      </w:r>
      <w:r>
        <w:t xml:space="preserve"> be identified for IMPO as well to </w:t>
      </w:r>
      <w:r w:rsidR="006843FF">
        <w:t>determine</w:t>
      </w:r>
      <w:r>
        <w:t xml:space="preserve"> a knocking cycle. Both MAPO and IMPO have dimensions and </w:t>
      </w:r>
      <w:proofErr w:type="spellStart"/>
      <w:r>
        <w:t>Brecq</w:t>
      </w:r>
      <w:proofErr w:type="spellEnd"/>
      <w:r>
        <w:t xml:space="preserve"> et al. proposed a dimensionless knock indicator (DKI) based on both MAPO and IMPO</w:t>
      </w:r>
      <w:r w:rsidR="006D3E83">
        <w:t xml:space="preserve"> [1</w:t>
      </w:r>
      <w:r w:rsidR="0073063C">
        <w:t>3</w:t>
      </w:r>
      <w:r w:rsidR="006D3E83">
        <w:t>]</w:t>
      </w:r>
      <w:r>
        <w:t>. MAPO, IMPO and DKI for one cycle is given by</w:t>
      </w:r>
    </w:p>
    <w:p w14:paraId="13FEC24E" w14:textId="77777777" w:rsidR="00626323" w:rsidRDefault="00626323" w:rsidP="00626323">
      <w:pPr>
        <w:pStyle w:val="Caption"/>
        <w:keepNext/>
      </w:pPr>
    </w:p>
    <w:tbl>
      <w:tblPr>
        <w:tblStyle w:val="TableGrid"/>
        <w:tblW w:w="5000" w:type="pc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492"/>
        <w:gridCol w:w="910"/>
      </w:tblGrid>
      <w:tr w:rsidR="00626323" w14:paraId="5A91A4FE" w14:textId="77777777" w:rsidTr="000C42E1">
        <w:tc>
          <w:tcPr>
            <w:tcW w:w="350" w:type="pct"/>
          </w:tcPr>
          <w:p w14:paraId="2F70F710" w14:textId="77777777" w:rsidR="00626323" w:rsidRDefault="00626323" w:rsidP="00DC66D1">
            <w:pPr>
              <w:pStyle w:val="BodyText"/>
              <w:ind w:left="0"/>
            </w:pPr>
          </w:p>
        </w:tc>
        <w:tc>
          <w:tcPr>
            <w:tcW w:w="4200" w:type="pct"/>
          </w:tcPr>
          <w:p w14:paraId="1BC2FAA7" w14:textId="77777777" w:rsidR="00626323" w:rsidRDefault="00626323" w:rsidP="00DC66D1">
            <w:pPr>
              <w:pStyle w:val="BodyText"/>
              <w:ind w:left="0"/>
            </w:pPr>
            <m:oMathPara>
              <m:oMath>
                <m:r>
                  <w:rPr>
                    <w:rFonts w:ascii="Cambria Math" w:hAnsi="Cambria Math"/>
                  </w:rPr>
                  <m:t>MAPO=</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hp</m:t>
                        </m:r>
                      </m:sub>
                    </m:sSub>
                  </m:e>
                </m:d>
              </m:oMath>
            </m:oMathPara>
          </w:p>
        </w:tc>
        <w:tc>
          <w:tcPr>
            <w:tcW w:w="450" w:type="pct"/>
          </w:tcPr>
          <w:p w14:paraId="2216AA58" w14:textId="77777777" w:rsidR="00626323" w:rsidRDefault="00626323" w:rsidP="00DC66D1">
            <w:pPr>
              <w:pStyle w:val="BodyText"/>
              <w:ind w:left="0"/>
            </w:pPr>
            <w:r>
              <w:t>Eq: 1</w:t>
            </w:r>
          </w:p>
        </w:tc>
      </w:tr>
      <w:tr w:rsidR="00626323" w14:paraId="1A48328F" w14:textId="77777777" w:rsidTr="000C42E1">
        <w:tc>
          <w:tcPr>
            <w:tcW w:w="350" w:type="pct"/>
          </w:tcPr>
          <w:p w14:paraId="207398DD" w14:textId="77777777" w:rsidR="00626323" w:rsidRDefault="00626323" w:rsidP="00DC66D1">
            <w:pPr>
              <w:pStyle w:val="BodyText"/>
              <w:ind w:left="0"/>
            </w:pPr>
          </w:p>
        </w:tc>
        <w:tc>
          <w:tcPr>
            <w:tcW w:w="4200" w:type="pct"/>
          </w:tcPr>
          <w:p w14:paraId="0DBC220B" w14:textId="77777777" w:rsidR="00626323" w:rsidRDefault="00626323" w:rsidP="00DC66D1">
            <w:pPr>
              <w:pStyle w:val="BodyText"/>
              <w:ind w:left="0"/>
            </w:pPr>
            <m:oMathPara>
              <m:oMath>
                <m:r>
                  <w:rPr>
                    <w:rFonts w:ascii="Cambria Math" w:hAnsi="Cambria Math"/>
                  </w:rPr>
                  <m:t>IMPO=</m:t>
                </m:r>
                <m:nary>
                  <m:naryPr>
                    <m:ctrlPr>
                      <w:rPr>
                        <w:rFonts w:ascii="Cambria Math" w:hAnsi="Cambria Math"/>
                      </w:rPr>
                    </m:ctrlPr>
                  </m:naryPr>
                  <m:sub>
                    <m:r>
                      <w:rPr>
                        <w:rFonts w:ascii="Cambria Math" w:hAnsi="Cambria Math"/>
                      </w:rPr>
                      <m:t>0</m:t>
                    </m:r>
                    <m:ctrlPr>
                      <w:rPr>
                        <w:rFonts w:ascii="Cambria Math" w:hAnsi="Cambria Math"/>
                        <w:i/>
                      </w:rPr>
                    </m:ctrlPr>
                  </m:sub>
                  <m:sup>
                    <m:r>
                      <w:rPr>
                        <w:rFonts w:ascii="Cambria Math" w:hAnsi="Cambria Math"/>
                      </w:rPr>
                      <m:t>W</m:t>
                    </m:r>
                    <m:ctrlPr>
                      <w:rPr>
                        <w:rFonts w:ascii="Cambria Math" w:hAnsi="Cambria Math"/>
                        <w:i/>
                      </w:rPr>
                    </m:ctrlP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hp</m:t>
                            </m:r>
                          </m:sub>
                        </m:sSub>
                      </m:e>
                    </m:d>
                    <m:r>
                      <w:rPr>
                        <w:rFonts w:ascii="Cambria Math" w:hAnsi="Cambria Math"/>
                      </w:rPr>
                      <m:t>d</m:t>
                    </m:r>
                    <m:ctrlPr>
                      <w:rPr>
                        <w:rFonts w:ascii="Cambria Math" w:hAnsi="Cambria Math"/>
                        <w:i/>
                      </w:rPr>
                    </m:ctrlPr>
                  </m:e>
                </m:nary>
              </m:oMath>
            </m:oMathPara>
          </w:p>
        </w:tc>
        <w:tc>
          <w:tcPr>
            <w:tcW w:w="450" w:type="pct"/>
          </w:tcPr>
          <w:p w14:paraId="0572A59D" w14:textId="77777777" w:rsidR="00626323" w:rsidRDefault="00626323" w:rsidP="00DC66D1">
            <w:pPr>
              <w:pStyle w:val="BodyText"/>
              <w:ind w:left="0"/>
            </w:pPr>
            <w:r>
              <w:t>Eq: 2</w:t>
            </w:r>
          </w:p>
        </w:tc>
      </w:tr>
      <w:tr w:rsidR="00626323" w14:paraId="07B09E56" w14:textId="77777777" w:rsidTr="000C42E1">
        <w:tc>
          <w:tcPr>
            <w:tcW w:w="350" w:type="pct"/>
          </w:tcPr>
          <w:p w14:paraId="5EC8461A" w14:textId="77777777" w:rsidR="00626323" w:rsidRDefault="00626323" w:rsidP="00DC66D1">
            <w:pPr>
              <w:pStyle w:val="BodyText"/>
              <w:ind w:left="0"/>
            </w:pPr>
          </w:p>
        </w:tc>
        <w:tc>
          <w:tcPr>
            <w:tcW w:w="4200" w:type="pct"/>
          </w:tcPr>
          <w:p w14:paraId="44364F74" w14:textId="77777777" w:rsidR="00626323" w:rsidRDefault="00626323" w:rsidP="00DC66D1">
            <w:pPr>
              <w:pStyle w:val="BodyText"/>
              <w:ind w:left="0"/>
            </w:pPr>
            <m:oMathPara>
              <m:oMath>
                <m:r>
                  <w:rPr>
                    <w:rFonts w:ascii="Cambria Math" w:hAnsi="Cambria Math"/>
                  </w:rPr>
                  <m:t>DKI=</m:t>
                </m:r>
                <m:f>
                  <m:fPr>
                    <m:ctrlPr>
                      <w:rPr>
                        <w:rFonts w:ascii="Cambria Math" w:hAnsi="Cambria Math"/>
                      </w:rPr>
                    </m:ctrlPr>
                  </m:fPr>
                  <m:num>
                    <m:r>
                      <w:rPr>
                        <w:rFonts w:ascii="Cambria Math" w:hAnsi="Cambria Math"/>
                      </w:rPr>
                      <m:t>IMPO</m:t>
                    </m:r>
                    <m:ctrlPr>
                      <w:rPr>
                        <w:rFonts w:ascii="Cambria Math" w:hAnsi="Cambria Math"/>
                        <w:i/>
                      </w:rPr>
                    </m:ctrlPr>
                  </m:num>
                  <m:den>
                    <m:r>
                      <w:rPr>
                        <w:rFonts w:ascii="Cambria Math" w:hAnsi="Cambria Math"/>
                      </w:rPr>
                      <m:t>MAPO</m:t>
                    </m:r>
                    <m:r>
                      <m:rPr>
                        <m:sty m:val="p"/>
                      </m:rPr>
                      <w:rPr>
                        <w:rFonts w:ascii="Cambria Math" w:hAnsi="Cambria Math"/>
                      </w:rPr>
                      <m:t>×</m:t>
                    </m:r>
                    <m:r>
                      <w:rPr>
                        <w:rFonts w:ascii="Cambria Math" w:hAnsi="Cambria Math"/>
                      </w:rPr>
                      <m:t>W</m:t>
                    </m:r>
                    <m:ctrlPr>
                      <w:rPr>
                        <w:rFonts w:ascii="Cambria Math" w:hAnsi="Cambria Math"/>
                        <w:i/>
                      </w:rPr>
                    </m:ctrlPr>
                  </m:den>
                </m:f>
              </m:oMath>
            </m:oMathPara>
          </w:p>
        </w:tc>
        <w:tc>
          <w:tcPr>
            <w:tcW w:w="450" w:type="pct"/>
          </w:tcPr>
          <w:p w14:paraId="7292E037" w14:textId="77777777" w:rsidR="00626323" w:rsidRDefault="00626323" w:rsidP="00DC66D1">
            <w:pPr>
              <w:pStyle w:val="BodyText"/>
              <w:ind w:left="0"/>
            </w:pPr>
            <w:r>
              <w:t>Eq: 3</w:t>
            </w:r>
          </w:p>
        </w:tc>
      </w:tr>
    </w:tbl>
    <w:p w14:paraId="1DB70291" w14:textId="77777777" w:rsidR="00AB1CE8" w:rsidRPr="00010C4A" w:rsidRDefault="00AB1CE8" w:rsidP="00626323">
      <w:pPr>
        <w:pStyle w:val="BodyText"/>
        <w:ind w:left="0"/>
      </w:pPr>
    </w:p>
    <w:p w14:paraId="10EA266E" w14:textId="77777777" w:rsidR="00010C4A" w:rsidRDefault="00010C4A" w:rsidP="00DC66D1">
      <w:pPr>
        <w:pStyle w:val="BodyText"/>
      </w:pPr>
      <w:r w:rsidRPr="00010C4A">
        <w:t>Where P</w:t>
      </w:r>
      <w:r w:rsidRPr="00010C4A">
        <w:rPr>
          <w:vertAlign w:val="subscript"/>
        </w:rPr>
        <w:t>hp</w:t>
      </w:r>
      <w:r w:rsidRPr="00010C4A">
        <w:t xml:space="preserve"> is high pass filtered pressure signal and W is the measuring window in crank angle degrees. DKI can be interpreted as ratio of two areas: First, IMPO is the area under high pass filtered pressure signals and the second term, MAPO</w:t>
      </w:r>
      <w:r>
        <w:t xml:space="preserve"> </w:t>
      </w:r>
      <w:r w:rsidR="001E5C75" w:rsidRPr="001E5C75">
        <w:rPr>
          <w:i/>
          <w:iCs/>
        </w:rPr>
        <w:t>times</w:t>
      </w:r>
      <w:r>
        <w:t xml:space="preserve"> </w:t>
      </w:r>
      <w:r w:rsidRPr="00010C4A">
        <w:t xml:space="preserve">W is the area of computational window </w:t>
      </w:r>
      <w:r w:rsidR="006D3E83">
        <w:t>[1</w:t>
      </w:r>
      <w:r w:rsidR="0073063C">
        <w:t>3</w:t>
      </w:r>
      <w:r w:rsidR="006D3E83">
        <w:t>]</w:t>
      </w:r>
      <w:r w:rsidRPr="00010C4A">
        <w:t>. A knocking cycle results in a lower DKI value. By virtue of this definition, DKI has the potential to</w:t>
      </w:r>
      <w:r w:rsidR="00095561">
        <w:t xml:space="preserve"> be more effective</w:t>
      </w:r>
      <w:r w:rsidRPr="00010C4A">
        <w:t xml:space="preserve"> when the signal noise is high. MAPO, IMPO and DKI </w:t>
      </w:r>
      <w:r w:rsidR="00095561">
        <w:t>were</w:t>
      </w:r>
      <w:r w:rsidRPr="00010C4A">
        <w:t xml:space="preserve"> calculated for 100 continu</w:t>
      </w:r>
      <w:r w:rsidR="00095561">
        <w:t>ou</w:t>
      </w:r>
      <w:r w:rsidRPr="00010C4A">
        <w:t>s cycles for a measuring window of 40</w:t>
      </w:r>
      <w:r w:rsidRPr="00010C4A">
        <w:rPr>
          <w:vertAlign w:val="superscript"/>
        </w:rPr>
        <w:t>o</w:t>
      </w:r>
      <w:r w:rsidRPr="00010C4A">
        <w:t xml:space="preserve"> CA for both ignition system</w:t>
      </w:r>
      <w:r w:rsidR="0099287D">
        <w:t>s which is</w:t>
      </w:r>
      <w:r w:rsidRPr="00010C4A">
        <w:t xml:space="preserve"> shown in Fig.</w:t>
      </w:r>
      <w:r w:rsidR="000C42E1">
        <w:t xml:space="preserve"> </w:t>
      </w:r>
      <w:r w:rsidR="00437FEC">
        <w:t>6</w:t>
      </w:r>
      <w:r w:rsidRPr="00010C4A">
        <w:t xml:space="preserve">. The measuring window starts from </w:t>
      </w:r>
      <w:proofErr w:type="spellStart"/>
      <w:r w:rsidRPr="00010C4A">
        <w:t>TDC</w:t>
      </w:r>
      <w:r w:rsidRPr="00010C4A">
        <w:rPr>
          <w:vertAlign w:val="subscript"/>
        </w:rPr>
        <w:t>firing</w:t>
      </w:r>
      <w:proofErr w:type="spellEnd"/>
      <w:r w:rsidRPr="00010C4A">
        <w:t xml:space="preserve"> and this window is same as what was </w:t>
      </w:r>
      <w:r w:rsidR="00095561">
        <w:t>utilized</w:t>
      </w:r>
      <w:r w:rsidRPr="00010C4A">
        <w:t xml:space="preserve"> for the </w:t>
      </w:r>
      <w:r w:rsidR="00095561">
        <w:t xml:space="preserve">acoustic </w:t>
      </w:r>
      <w:r w:rsidRPr="00010C4A">
        <w:t>knock sensor.</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1E5C75" w14:paraId="2F643A8F" w14:textId="77777777" w:rsidTr="006E59AA">
        <w:tc>
          <w:tcPr>
            <w:tcW w:w="5050" w:type="dxa"/>
          </w:tcPr>
          <w:p w14:paraId="01D114D2" w14:textId="77777777" w:rsidR="00430CFA" w:rsidRDefault="001E5C75" w:rsidP="00430CFA">
            <w:pPr>
              <w:pStyle w:val="BodyText"/>
              <w:keepNext/>
              <w:ind w:left="0"/>
            </w:pPr>
            <w:r>
              <w:rPr>
                <w:noProof/>
              </w:rPr>
              <w:lastRenderedPageBreak/>
              <w:drawing>
                <wp:inline distT="0" distB="0" distL="0" distR="0" wp14:anchorId="258B73F9" wp14:editId="71ECDF4F">
                  <wp:extent cx="3031200" cy="343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200" cy="3438000"/>
                          </a:xfrm>
                          <a:prstGeom prst="rect">
                            <a:avLst/>
                          </a:prstGeom>
                          <a:noFill/>
                          <a:ln>
                            <a:noFill/>
                          </a:ln>
                        </pic:spPr>
                      </pic:pic>
                    </a:graphicData>
                  </a:graphic>
                </wp:inline>
              </w:drawing>
            </w:r>
          </w:p>
          <w:p w14:paraId="4D185B02" w14:textId="77777777" w:rsidR="001E5C75" w:rsidRDefault="00430CFA" w:rsidP="00430CFA">
            <w:pPr>
              <w:pStyle w:val="Caption"/>
              <w:jc w:val="center"/>
            </w:pPr>
            <w:r>
              <w:t>(a) SI, 6000 rpm</w:t>
            </w:r>
          </w:p>
        </w:tc>
        <w:tc>
          <w:tcPr>
            <w:tcW w:w="5050" w:type="dxa"/>
          </w:tcPr>
          <w:p w14:paraId="3A6847B4" w14:textId="77777777" w:rsidR="00430CFA" w:rsidRDefault="001E5C75" w:rsidP="00430CFA">
            <w:pPr>
              <w:pStyle w:val="BodyText"/>
              <w:keepNext/>
              <w:ind w:left="0"/>
            </w:pPr>
            <w:r>
              <w:rPr>
                <w:noProof/>
              </w:rPr>
              <w:drawing>
                <wp:inline distT="0" distB="0" distL="0" distR="0" wp14:anchorId="273FE152" wp14:editId="58B3D7EF">
                  <wp:extent cx="3031200" cy="343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1200" cy="3438000"/>
                          </a:xfrm>
                          <a:prstGeom prst="rect">
                            <a:avLst/>
                          </a:prstGeom>
                          <a:noFill/>
                          <a:ln>
                            <a:noFill/>
                          </a:ln>
                        </pic:spPr>
                      </pic:pic>
                    </a:graphicData>
                  </a:graphic>
                </wp:inline>
              </w:drawing>
            </w:r>
          </w:p>
          <w:p w14:paraId="4D93850E" w14:textId="77777777" w:rsidR="001E5C75" w:rsidRDefault="00430CFA" w:rsidP="00430CFA">
            <w:pPr>
              <w:pStyle w:val="Caption"/>
              <w:jc w:val="center"/>
            </w:pPr>
            <w:r w:rsidRPr="002C0728">
              <w:rPr>
                <w:noProof/>
              </w:rPr>
              <w:t xml:space="preserve"> (</w:t>
            </w:r>
            <w:r>
              <w:rPr>
                <w:noProof/>
              </w:rPr>
              <w:t>b</w:t>
            </w:r>
            <w:r w:rsidRPr="002C0728">
              <w:rPr>
                <w:noProof/>
              </w:rPr>
              <w:t xml:space="preserve">) </w:t>
            </w:r>
            <w:r>
              <w:rPr>
                <w:noProof/>
              </w:rPr>
              <w:t>PC</w:t>
            </w:r>
            <w:r w:rsidRPr="002C0728">
              <w:rPr>
                <w:noProof/>
              </w:rPr>
              <w:t>, 6000 rpm</w:t>
            </w:r>
          </w:p>
        </w:tc>
      </w:tr>
      <w:tr w:rsidR="001E5C75" w14:paraId="5D38381C" w14:textId="77777777" w:rsidTr="006E59AA">
        <w:tc>
          <w:tcPr>
            <w:tcW w:w="5050" w:type="dxa"/>
          </w:tcPr>
          <w:p w14:paraId="33275CF0" w14:textId="77777777" w:rsidR="00430CFA" w:rsidRDefault="001E5C75" w:rsidP="00430CFA">
            <w:pPr>
              <w:pStyle w:val="BodyText"/>
              <w:keepNext/>
              <w:ind w:left="0"/>
            </w:pPr>
            <w:r>
              <w:rPr>
                <w:noProof/>
              </w:rPr>
              <w:drawing>
                <wp:inline distT="0" distB="0" distL="0" distR="0" wp14:anchorId="066FE12A" wp14:editId="0D1DCCF8">
                  <wp:extent cx="3031200" cy="343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1200" cy="3438000"/>
                          </a:xfrm>
                          <a:prstGeom prst="rect">
                            <a:avLst/>
                          </a:prstGeom>
                          <a:noFill/>
                          <a:ln>
                            <a:noFill/>
                          </a:ln>
                        </pic:spPr>
                      </pic:pic>
                    </a:graphicData>
                  </a:graphic>
                </wp:inline>
              </w:drawing>
            </w:r>
          </w:p>
          <w:p w14:paraId="082526A0" w14:textId="77777777" w:rsidR="001E5C75" w:rsidRDefault="00430CFA" w:rsidP="00430CFA">
            <w:pPr>
              <w:pStyle w:val="Caption"/>
              <w:jc w:val="center"/>
              <w:rPr>
                <w:noProof/>
              </w:rPr>
            </w:pPr>
            <w:r>
              <w:t xml:space="preserve"> (c) SI, 7500 rpm</w:t>
            </w:r>
          </w:p>
        </w:tc>
        <w:tc>
          <w:tcPr>
            <w:tcW w:w="5050" w:type="dxa"/>
          </w:tcPr>
          <w:p w14:paraId="14478DE3" w14:textId="77777777" w:rsidR="00430CFA" w:rsidRDefault="001E5C75" w:rsidP="00430CFA">
            <w:pPr>
              <w:pStyle w:val="BodyText"/>
              <w:keepNext/>
              <w:ind w:left="0"/>
            </w:pPr>
            <w:r>
              <w:rPr>
                <w:noProof/>
              </w:rPr>
              <w:drawing>
                <wp:inline distT="0" distB="0" distL="0" distR="0" wp14:anchorId="4B4D0F39" wp14:editId="664DE255">
                  <wp:extent cx="3031200" cy="343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1200" cy="3438000"/>
                          </a:xfrm>
                          <a:prstGeom prst="rect">
                            <a:avLst/>
                          </a:prstGeom>
                          <a:noFill/>
                          <a:ln>
                            <a:noFill/>
                          </a:ln>
                        </pic:spPr>
                      </pic:pic>
                    </a:graphicData>
                  </a:graphic>
                </wp:inline>
              </w:drawing>
            </w:r>
          </w:p>
          <w:p w14:paraId="181AF510" w14:textId="77777777" w:rsidR="001E5C75" w:rsidRDefault="00430CFA" w:rsidP="00430CFA">
            <w:pPr>
              <w:pStyle w:val="Caption"/>
              <w:jc w:val="center"/>
              <w:rPr>
                <w:noProof/>
              </w:rPr>
            </w:pPr>
            <w:r w:rsidRPr="003C3C8C">
              <w:t>(</w:t>
            </w:r>
            <w:r>
              <w:t>d</w:t>
            </w:r>
            <w:r w:rsidRPr="003C3C8C">
              <w:t xml:space="preserve">) </w:t>
            </w:r>
            <w:r>
              <w:t>PC</w:t>
            </w:r>
            <w:r w:rsidRPr="003C3C8C">
              <w:t xml:space="preserve">, </w:t>
            </w:r>
            <w:r>
              <w:t>7500</w:t>
            </w:r>
            <w:r w:rsidRPr="003C3C8C">
              <w:t xml:space="preserve"> rpm</w:t>
            </w:r>
          </w:p>
        </w:tc>
      </w:tr>
    </w:tbl>
    <w:p w14:paraId="50CD6715" w14:textId="77777777" w:rsidR="001E5C75" w:rsidRDefault="00430CFA" w:rsidP="00430CFA">
      <w:pPr>
        <w:pStyle w:val="Caption"/>
        <w:jc w:val="center"/>
      </w:pPr>
      <w:r>
        <w:t xml:space="preserve">Figure </w:t>
      </w:r>
      <w:r w:rsidR="00815CE3">
        <w:t>6</w:t>
      </w:r>
      <w:r w:rsidRPr="00652487">
        <w:t>: MAPO, IMPO and DKI</w:t>
      </w:r>
    </w:p>
    <w:p w14:paraId="72F87375" w14:textId="77777777" w:rsidR="00436D2A" w:rsidRDefault="00436D2A" w:rsidP="00DC66D1">
      <w:pPr>
        <w:pStyle w:val="BodyText"/>
      </w:pPr>
    </w:p>
    <w:p w14:paraId="40723FBF" w14:textId="77777777" w:rsidR="000E37C0" w:rsidRPr="00010C4A" w:rsidRDefault="000E37C0" w:rsidP="00DC66D1">
      <w:pPr>
        <w:pStyle w:val="BodyText"/>
      </w:pPr>
      <w:r w:rsidRPr="000E37C0">
        <w:t xml:space="preserve">Both MAPO and IMPO </w:t>
      </w:r>
      <w:r w:rsidR="00AB3A48" w:rsidRPr="000E37C0">
        <w:t>can</w:t>
      </w:r>
      <w:r w:rsidRPr="000E37C0">
        <w:t xml:space="preserve"> distinguish knocking cycles accurately for spark ignition combustion. For pre-chamber ignition, MAPO and IMPO </w:t>
      </w:r>
      <w:r w:rsidR="00596F2A">
        <w:t>were found to be</w:t>
      </w:r>
      <w:r w:rsidRPr="000E37C0">
        <w:t xml:space="preserve"> influenced by the jet oscillations and these indicators </w:t>
      </w:r>
      <w:r w:rsidR="00596F2A">
        <w:t xml:space="preserve">were found to overpredict </w:t>
      </w:r>
      <w:r w:rsidRPr="000E37C0">
        <w:t>knock. It is worth mention</w:t>
      </w:r>
      <w:r w:rsidR="00596F2A">
        <w:t>ing</w:t>
      </w:r>
      <w:r w:rsidRPr="000E37C0">
        <w:t xml:space="preserve"> that with the pre-chamber ignition, KLSA </w:t>
      </w:r>
      <w:r w:rsidR="00596F2A">
        <w:t>wa</w:t>
      </w:r>
      <w:r w:rsidRPr="000E37C0">
        <w:t>s not achieved and</w:t>
      </w:r>
      <w:r w:rsidR="00596F2A">
        <w:t xml:space="preserve"> thus</w:t>
      </w:r>
      <w:r w:rsidRPr="000E37C0">
        <w:t xml:space="preserve"> knock events </w:t>
      </w:r>
      <w:r w:rsidR="00596F2A">
        <w:t>were</w:t>
      </w:r>
      <w:r w:rsidRPr="000E37C0">
        <w:t xml:space="preserve"> not expected. For both ignition systems, DKI </w:t>
      </w:r>
      <w:r w:rsidR="007B243B">
        <w:t>was inaccurate in detecting knocking cycles</w:t>
      </w:r>
      <w:r w:rsidRPr="000E37C0">
        <w:t>.</w:t>
      </w:r>
    </w:p>
    <w:p w14:paraId="7A04601E" w14:textId="77777777" w:rsidR="00AB1CE8" w:rsidRDefault="00C5246E" w:rsidP="00C5246E">
      <w:pPr>
        <w:pStyle w:val="Heading1"/>
      </w:pPr>
      <w:r>
        <w:t>LKI</w:t>
      </w:r>
    </w:p>
    <w:p w14:paraId="14E86805" w14:textId="77777777" w:rsidR="00C5246E" w:rsidRDefault="00C5246E" w:rsidP="00C5246E">
      <w:pPr>
        <w:pStyle w:val="BodyText"/>
      </w:pPr>
      <w:r w:rsidRPr="00C5246E">
        <w:t xml:space="preserve">A logarithmic based knock indicator </w:t>
      </w:r>
      <w:r w:rsidR="007B243B">
        <w:t>wa</w:t>
      </w:r>
      <w:r w:rsidRPr="00C5246E">
        <w:t>s formulated based on the findings by Hudson et al.</w:t>
      </w:r>
      <w:r w:rsidR="00AB75B6">
        <w:t xml:space="preserve"> [1</w:t>
      </w:r>
      <w:r w:rsidR="0073063C">
        <w:t>4</w:t>
      </w:r>
      <w:r w:rsidR="00AB75B6">
        <w:t xml:space="preserve">] </w:t>
      </w:r>
      <w:r w:rsidRPr="00C5246E">
        <w:t>as given in Eq</w:t>
      </w:r>
      <w:r w:rsidR="00AB75B6">
        <w:t>: 4</w:t>
      </w:r>
      <w:r w:rsidRPr="00C5246E">
        <w:t>.</w:t>
      </w:r>
    </w:p>
    <w:p w14:paraId="32EB4AE1" w14:textId="77777777" w:rsidR="000F2208" w:rsidRDefault="000F2208" w:rsidP="000F2208">
      <w:pPr>
        <w:pStyle w:val="Caption"/>
        <w:keepNext/>
      </w:pPr>
    </w:p>
    <w:tbl>
      <w:tblPr>
        <w:tblStyle w:val="TableGrid"/>
        <w:tblW w:w="5000" w:type="pc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492"/>
        <w:gridCol w:w="910"/>
      </w:tblGrid>
      <w:tr w:rsidR="000F2208" w14:paraId="50C9E0AE" w14:textId="77777777" w:rsidTr="000F2208">
        <w:tc>
          <w:tcPr>
            <w:tcW w:w="350" w:type="pct"/>
          </w:tcPr>
          <w:p w14:paraId="07A46306" w14:textId="77777777" w:rsidR="000F2208" w:rsidRDefault="000F2208" w:rsidP="00C5246E">
            <w:pPr>
              <w:pStyle w:val="BodyText"/>
              <w:ind w:left="0"/>
            </w:pPr>
          </w:p>
        </w:tc>
        <w:tc>
          <w:tcPr>
            <w:tcW w:w="4200" w:type="pct"/>
          </w:tcPr>
          <w:p w14:paraId="48778305" w14:textId="77777777" w:rsidR="000F2208" w:rsidRDefault="000F2208" w:rsidP="00C5246E">
            <w:pPr>
              <w:pStyle w:val="BodyText"/>
              <w:ind w:left="0"/>
            </w:pPr>
            <m:oMathPara>
              <m:oMath>
                <m:r>
                  <w:rPr>
                    <w:rFonts w:ascii="Cambria Math" w:hAnsi="Cambria Math"/>
                  </w:rPr>
                  <m:t>LKI=ln</m:t>
                </m:r>
                <m:d>
                  <m:dPr>
                    <m:ctrlPr>
                      <w:rPr>
                        <w:rFonts w:ascii="Cambria Math" w:hAnsi="Cambria Math"/>
                      </w:rPr>
                    </m:ctrlPr>
                  </m:dPr>
                  <m:e>
                    <m:r>
                      <w:rPr>
                        <w:rFonts w:ascii="Cambria Math" w:hAnsi="Cambria Math"/>
                      </w:rPr>
                      <m:t>C</m:t>
                    </m:r>
                    <m:r>
                      <m:rPr>
                        <m:sty m:val="p"/>
                      </m:rPr>
                      <w:rPr>
                        <w:rFonts w:ascii="Cambria Math" w:hAnsi="Cambria Math"/>
                      </w:rPr>
                      <m:t>×</m:t>
                    </m:r>
                    <m:f>
                      <m:fPr>
                        <m:ctrlPr>
                          <w:rPr>
                            <w:rFonts w:ascii="Cambria Math" w:hAnsi="Cambria Math"/>
                          </w:rPr>
                        </m:ctrlPr>
                      </m:fPr>
                      <m:num>
                        <m:nary>
                          <m:naryPr>
                            <m:chr m:val="∑"/>
                            <m:supHide m:val="1"/>
                            <m:ctrlPr>
                              <w:rPr>
                                <w:rFonts w:ascii="Cambria Math" w:hAnsi="Cambria Math"/>
                              </w:rPr>
                            </m:ctrlPr>
                          </m:naryPr>
                          <m:sub>
                            <m:r>
                              <w:rPr>
                                <w:rFonts w:ascii="Cambria Math" w:hAnsi="Cambria Math"/>
                              </w:rPr>
                              <m:t>n</m:t>
                            </m:r>
                            <m:ctrlPr>
                              <w:rPr>
                                <w:rFonts w:ascii="Cambria Math" w:hAnsi="Cambria Math"/>
                                <w:i/>
                              </w:rPr>
                            </m:ctrlPr>
                          </m:sub>
                          <m:sup>
                            <m:ctrlPr>
                              <w:rPr>
                                <w:rFonts w:ascii="Cambria Math" w:hAnsi="Cambria Math"/>
                                <w:i/>
                              </w:rPr>
                            </m:ctrlPr>
                          </m:sup>
                          <m:e>
                            <m:sSubSup>
                              <m:sSubSupPr>
                                <m:ctrlPr>
                                  <w:rPr>
                                    <w:rFonts w:ascii="Cambria Math" w:hAnsi="Cambria Math"/>
                                    <w:i/>
                                  </w:rPr>
                                </m:ctrlPr>
                              </m:sSubSupPr>
                              <m:e>
                                <m:r>
                                  <w:rPr>
                                    <w:rFonts w:ascii="Cambria Math" w:hAnsi="Cambria Math"/>
                                  </w:rPr>
                                  <m:t>P</m:t>
                                </m:r>
                              </m:e>
                              <m:sub>
                                <m:r>
                                  <w:rPr>
                                    <w:rFonts w:ascii="Cambria Math" w:hAnsi="Cambria Math"/>
                                  </w:rPr>
                                  <m:t>hp</m:t>
                                </m:r>
                              </m:sub>
                              <m:sup>
                                <m:r>
                                  <w:rPr>
                                    <w:rFonts w:ascii="Cambria Math" w:hAnsi="Cambria Math"/>
                                  </w:rPr>
                                  <m:t>2</m:t>
                                </m:r>
                              </m:sup>
                            </m:sSubSup>
                            <m:d>
                              <m:dPr>
                                <m:ctrlPr>
                                  <w:rPr>
                                    <w:rFonts w:ascii="Cambria Math" w:hAnsi="Cambria Math"/>
                                    <w:i/>
                                  </w:rPr>
                                </m:ctrlPr>
                              </m:dPr>
                              <m:e>
                                <m:r>
                                  <w:rPr>
                                    <w:rFonts w:ascii="Cambria Math" w:hAnsi="Cambria Math"/>
                                  </w:rPr>
                                  <m:t>n</m:t>
                                </m:r>
                              </m:e>
                            </m:d>
                            <m:ctrlPr>
                              <w:rPr>
                                <w:rFonts w:ascii="Cambria Math" w:hAnsi="Cambria Math"/>
                                <w:i/>
                              </w:rPr>
                            </m:ctrlPr>
                          </m:e>
                        </m:nary>
                        <m:ctrlPr>
                          <w:rPr>
                            <w:rFonts w:ascii="Cambria Math" w:hAnsi="Cambria Math"/>
                            <w:i/>
                          </w:rPr>
                        </m:ctrlPr>
                      </m:num>
                      <m:den>
                        <m:r>
                          <w:rPr>
                            <w:rFonts w:ascii="Cambria Math" w:hAnsi="Cambria Math"/>
                          </w:rPr>
                          <m:t>n</m:t>
                        </m:r>
                        <m:ctrlPr>
                          <w:rPr>
                            <w:rFonts w:ascii="Cambria Math" w:hAnsi="Cambria Math"/>
                            <w:i/>
                          </w:rPr>
                        </m:ctrlPr>
                      </m:den>
                    </m:f>
                    <m:ctrlPr>
                      <w:rPr>
                        <w:rFonts w:ascii="Cambria Math" w:hAnsi="Cambria Math"/>
                        <w:i/>
                      </w:rPr>
                    </m:ctrlPr>
                  </m:e>
                </m:d>
              </m:oMath>
            </m:oMathPara>
          </w:p>
        </w:tc>
        <w:tc>
          <w:tcPr>
            <w:tcW w:w="450" w:type="pct"/>
          </w:tcPr>
          <w:p w14:paraId="2BEA263E" w14:textId="77777777" w:rsidR="000F2208" w:rsidRDefault="000F2208" w:rsidP="00C5246E">
            <w:pPr>
              <w:pStyle w:val="BodyText"/>
              <w:ind w:left="0"/>
            </w:pPr>
            <w:r>
              <w:t>Eq: 4</w:t>
            </w:r>
          </w:p>
        </w:tc>
      </w:tr>
    </w:tbl>
    <w:p w14:paraId="6BBD49FA" w14:textId="77777777" w:rsidR="000F2208" w:rsidRDefault="000F2208" w:rsidP="00C5246E">
      <w:pPr>
        <w:pStyle w:val="BodyText"/>
      </w:pPr>
    </w:p>
    <w:p w14:paraId="57CBE2B2" w14:textId="77777777" w:rsidR="00C5246E" w:rsidRDefault="00C5246E" w:rsidP="00C5246E">
      <w:pPr>
        <w:pStyle w:val="BodyText"/>
      </w:pPr>
      <w:r>
        <w:lastRenderedPageBreak/>
        <w:t xml:space="preserve">The constant C </w:t>
      </w:r>
      <w:r w:rsidR="007B243B">
        <w:t xml:space="preserve">was tuned </w:t>
      </w:r>
      <w:r>
        <w:t>to</w:t>
      </w:r>
      <w:r w:rsidR="007B243B">
        <w:t xml:space="preserve"> read knocking events as a positive value</w:t>
      </w:r>
      <w:r>
        <w:t xml:space="preserve">. The value of mean LKI can be </w:t>
      </w:r>
      <w:r w:rsidR="00B15D21">
        <w:t>utilized</w:t>
      </w:r>
      <w:r>
        <w:t xml:space="preserve"> to advance ignition time to ensure operating point is close to KLSA. n is the number of samples in the measuring window. For </w:t>
      </w:r>
      <w:r w:rsidR="00437FEC">
        <w:t xml:space="preserve">the </w:t>
      </w:r>
      <w:r>
        <w:t xml:space="preserve">same constant C, LKI </w:t>
      </w:r>
      <w:r w:rsidR="0026422D">
        <w:t xml:space="preserve">was found to </w:t>
      </w:r>
      <w:r>
        <w:t>over predict the knock level with the pre-chamber ignition as shown in Fig.</w:t>
      </w:r>
      <w:r w:rsidR="00397AF2">
        <w:t xml:space="preserve"> </w:t>
      </w:r>
      <w:r w:rsidR="00437FEC">
        <w:t>7</w:t>
      </w:r>
      <w:r>
        <w:t>.</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EF0649" w14:paraId="33FC0F7F" w14:textId="77777777" w:rsidTr="00EF0649">
        <w:tc>
          <w:tcPr>
            <w:tcW w:w="5050" w:type="dxa"/>
          </w:tcPr>
          <w:p w14:paraId="43C4AFA4" w14:textId="77777777" w:rsidR="00EF0649" w:rsidRDefault="00EF0649" w:rsidP="00EF0649">
            <w:pPr>
              <w:pStyle w:val="BodyText"/>
              <w:keepNext/>
              <w:ind w:left="0"/>
            </w:pPr>
            <w:r>
              <w:rPr>
                <w:noProof/>
              </w:rPr>
              <w:drawing>
                <wp:inline distT="0" distB="0" distL="0" distR="0" wp14:anchorId="54F0D4E8" wp14:editId="3624B60D">
                  <wp:extent cx="3304800" cy="15876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KSIBase6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4800" cy="1587600"/>
                          </a:xfrm>
                          <a:prstGeom prst="rect">
                            <a:avLst/>
                          </a:prstGeom>
                        </pic:spPr>
                      </pic:pic>
                    </a:graphicData>
                  </a:graphic>
                </wp:inline>
              </w:drawing>
            </w:r>
          </w:p>
          <w:p w14:paraId="6B92EC69" w14:textId="77777777" w:rsidR="00EF0649" w:rsidRDefault="00EF0649" w:rsidP="00EF0649">
            <w:pPr>
              <w:pStyle w:val="Caption"/>
              <w:jc w:val="center"/>
            </w:pPr>
            <w:r>
              <w:t>(a) SI, 6000 rpm</w:t>
            </w:r>
          </w:p>
        </w:tc>
        <w:tc>
          <w:tcPr>
            <w:tcW w:w="5050" w:type="dxa"/>
          </w:tcPr>
          <w:p w14:paraId="7E845D12" w14:textId="77777777" w:rsidR="00EF0649" w:rsidRDefault="00EF0649" w:rsidP="00EF0649">
            <w:pPr>
              <w:pStyle w:val="BodyText"/>
              <w:keepNext/>
              <w:ind w:left="0"/>
            </w:pPr>
            <w:r>
              <w:rPr>
                <w:noProof/>
              </w:rPr>
              <w:drawing>
                <wp:inline distT="0" distB="0" distL="0" distR="0" wp14:anchorId="3968EE89" wp14:editId="0993C122">
                  <wp:extent cx="3304800" cy="1587600"/>
                  <wp:effectExtent l="0" t="0" r="0" b="0"/>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KSIPC6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4800" cy="1587600"/>
                          </a:xfrm>
                          <a:prstGeom prst="rect">
                            <a:avLst/>
                          </a:prstGeom>
                        </pic:spPr>
                      </pic:pic>
                    </a:graphicData>
                  </a:graphic>
                </wp:inline>
              </w:drawing>
            </w:r>
          </w:p>
          <w:p w14:paraId="36F36F28" w14:textId="77777777" w:rsidR="00EF0649" w:rsidRDefault="00EF0649" w:rsidP="00EF0649">
            <w:pPr>
              <w:pStyle w:val="Caption"/>
              <w:jc w:val="center"/>
            </w:pPr>
            <w:r>
              <w:t>(b) PC, 6000 rpm</w:t>
            </w:r>
          </w:p>
        </w:tc>
      </w:tr>
      <w:tr w:rsidR="00EF0649" w14:paraId="12A2A6C3" w14:textId="77777777" w:rsidTr="00EF0649">
        <w:tc>
          <w:tcPr>
            <w:tcW w:w="5050" w:type="dxa"/>
          </w:tcPr>
          <w:p w14:paraId="67EB5D4A" w14:textId="77777777" w:rsidR="00EF0649" w:rsidRDefault="00EF0649" w:rsidP="00EF0649">
            <w:pPr>
              <w:pStyle w:val="BodyText"/>
              <w:keepNext/>
              <w:ind w:left="0"/>
            </w:pPr>
            <w:r>
              <w:rPr>
                <w:noProof/>
              </w:rPr>
              <w:drawing>
                <wp:inline distT="0" distB="0" distL="0" distR="0" wp14:anchorId="0464F425" wp14:editId="2FF6EB29">
                  <wp:extent cx="3301200" cy="1587600"/>
                  <wp:effectExtent l="0" t="0" r="0" b="0"/>
                  <wp:docPr id="7" name="Picture 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KSIBase7p5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1200" cy="1587600"/>
                          </a:xfrm>
                          <a:prstGeom prst="rect">
                            <a:avLst/>
                          </a:prstGeom>
                        </pic:spPr>
                      </pic:pic>
                    </a:graphicData>
                  </a:graphic>
                </wp:inline>
              </w:drawing>
            </w:r>
          </w:p>
          <w:p w14:paraId="4B66DE23" w14:textId="77777777" w:rsidR="00EF0649" w:rsidRDefault="00EF0649" w:rsidP="00EF0649">
            <w:pPr>
              <w:pStyle w:val="Caption"/>
              <w:jc w:val="center"/>
            </w:pPr>
            <w:r>
              <w:t>(c) SI, 7500 rpm</w:t>
            </w:r>
          </w:p>
        </w:tc>
        <w:tc>
          <w:tcPr>
            <w:tcW w:w="5050" w:type="dxa"/>
          </w:tcPr>
          <w:p w14:paraId="4464C107" w14:textId="77777777" w:rsidR="00EF0649" w:rsidRDefault="00EF0649" w:rsidP="00EF0649">
            <w:pPr>
              <w:pStyle w:val="BodyText"/>
              <w:keepNext/>
              <w:ind w:left="0"/>
            </w:pPr>
            <w:r>
              <w:rPr>
                <w:noProof/>
              </w:rPr>
              <w:drawing>
                <wp:inline distT="0" distB="0" distL="0" distR="0" wp14:anchorId="2EA854D2" wp14:editId="0ACAB65D">
                  <wp:extent cx="3301200" cy="15876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KSIPC7p5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1200" cy="1587600"/>
                          </a:xfrm>
                          <a:prstGeom prst="rect">
                            <a:avLst/>
                          </a:prstGeom>
                        </pic:spPr>
                      </pic:pic>
                    </a:graphicData>
                  </a:graphic>
                </wp:inline>
              </w:drawing>
            </w:r>
          </w:p>
          <w:p w14:paraId="684DFAFD" w14:textId="77777777" w:rsidR="00EF0649" w:rsidRDefault="00EF0649" w:rsidP="00EF0649">
            <w:pPr>
              <w:pStyle w:val="Caption"/>
              <w:jc w:val="center"/>
            </w:pPr>
            <w:r>
              <w:t>(d) PC, 7500 rpm</w:t>
            </w:r>
          </w:p>
        </w:tc>
      </w:tr>
    </w:tbl>
    <w:p w14:paraId="04E43B12" w14:textId="77777777" w:rsidR="00EF0649" w:rsidRDefault="00EF0649" w:rsidP="00EF0649">
      <w:pPr>
        <w:pStyle w:val="Caption"/>
        <w:jc w:val="center"/>
      </w:pPr>
      <w:r>
        <w:t xml:space="preserve">Figure </w:t>
      </w:r>
      <w:r w:rsidR="00815CE3">
        <w:t>7</w:t>
      </w:r>
      <w:r>
        <w:t xml:space="preserve">: </w:t>
      </w:r>
      <w:r w:rsidRPr="006A4631">
        <w:t>Logarithmic Knock Index (LKI) results</w:t>
      </w:r>
    </w:p>
    <w:p w14:paraId="42BAC5CE" w14:textId="77777777" w:rsidR="00C5246E" w:rsidRDefault="00C5246E" w:rsidP="00C5246E">
      <w:pPr>
        <w:pStyle w:val="BodyText"/>
      </w:pPr>
    </w:p>
    <w:p w14:paraId="12434662" w14:textId="77777777" w:rsidR="00C5246E" w:rsidRDefault="00C736F5" w:rsidP="00C736F5">
      <w:pPr>
        <w:pStyle w:val="BodyText"/>
      </w:pPr>
      <w:r>
        <w:t xml:space="preserve">Though MAPO, IMPO and LKI methods failed to capture low knock level with pre-chamber ignition system, </w:t>
      </w:r>
      <w:r w:rsidR="007227BD">
        <w:t xml:space="preserve">it is </w:t>
      </w:r>
      <w:r>
        <w:t xml:space="preserve">still </w:t>
      </w:r>
      <w:r w:rsidR="007227BD">
        <w:t>possible</w:t>
      </w:r>
      <w:r>
        <w:t xml:space="preserve"> to use these methods for pre-chamber ignition </w:t>
      </w:r>
      <w:r w:rsidR="00DC33F5">
        <w:t>system b</w:t>
      </w:r>
      <w:r w:rsidR="00035215">
        <w:t>y further tuning</w:t>
      </w:r>
      <w:r>
        <w:t xml:space="preserve"> to keep the threshold level above jet induced pressure oscillations. </w:t>
      </w:r>
      <w:r w:rsidRPr="00C736F5">
        <w:t>It is worth mention</w:t>
      </w:r>
      <w:r w:rsidR="00035215">
        <w:t>ing</w:t>
      </w:r>
      <w:r w:rsidRPr="00C736F5">
        <w:t xml:space="preserve"> that when the jets </w:t>
      </w:r>
      <w:r w:rsidR="00035215">
        <w:t>exit</w:t>
      </w:r>
      <w:r w:rsidRPr="00C736F5">
        <w:t xml:space="preserve"> the pre-chamber, cylinder temperature is much lower compared to end gas auto-ignition state, where cylinder temperature is much higher. Cylinder temperature decides the sound velocity and </w:t>
      </w:r>
      <w:r w:rsidR="00035215">
        <w:t xml:space="preserve">thus, </w:t>
      </w:r>
      <w:r w:rsidRPr="00C736F5">
        <w:t xml:space="preserve">frequency of pressure oscillations. </w:t>
      </w:r>
      <w:r w:rsidR="00035215">
        <w:t>Thus</w:t>
      </w:r>
      <w:r w:rsidRPr="00C736F5">
        <w:t xml:space="preserve">, there is a possibility </w:t>
      </w:r>
      <w:r w:rsidR="00035215">
        <w:t>to</w:t>
      </w:r>
      <w:r w:rsidRPr="00C736F5">
        <w:t xml:space="preserve"> segregat</w:t>
      </w:r>
      <w:r w:rsidR="00035215">
        <w:t>e</w:t>
      </w:r>
      <w:r w:rsidRPr="00C736F5">
        <w:t xml:space="preserve"> pre-chamber jet induced pressure oscillations from end gas auto-ignition. Oscillation frequencies </w:t>
      </w:r>
      <w:r w:rsidR="00035215">
        <w:t xml:space="preserve">which were </w:t>
      </w:r>
      <w:r w:rsidRPr="00C736F5">
        <w:t>calculated based on cylinder temperature before and after combustion and in the radial direction result</w:t>
      </w:r>
      <w:r w:rsidR="00035215">
        <w:t>ed</w:t>
      </w:r>
      <w:r w:rsidRPr="00C736F5">
        <w:t xml:space="preserve"> in difference of 1.5kHz. It requires further analysis to understand whether this difference is </w:t>
      </w:r>
      <w:proofErr w:type="gramStart"/>
      <w:r w:rsidRPr="00C736F5">
        <w:t>sufficient enough</w:t>
      </w:r>
      <w:proofErr w:type="gramEnd"/>
      <w:r w:rsidRPr="00C736F5">
        <w:t xml:space="preserve"> to segregate knock oscillations from jet oscillations in actual testing conditions. But no further work was</w:t>
      </w:r>
      <w:r w:rsidR="00035215">
        <w:t xml:space="preserve"> undertaken</w:t>
      </w:r>
      <w:r w:rsidRPr="00C736F5">
        <w:t xml:space="preserve"> on this </w:t>
      </w:r>
      <w:r w:rsidR="00035215">
        <w:t xml:space="preserve">as </w:t>
      </w:r>
      <w:r w:rsidRPr="00C736F5">
        <w:t>the objective was to u</w:t>
      </w:r>
      <w:r w:rsidR="00035215">
        <w:t>tilize</w:t>
      </w:r>
      <w:r w:rsidRPr="00C736F5">
        <w:t xml:space="preserve"> same knock detection method for both spark ignition and pre-chamber ignition</w:t>
      </w:r>
      <w:r w:rsidR="00C5246E">
        <w:t>.</w:t>
      </w:r>
    </w:p>
    <w:p w14:paraId="39EFC936" w14:textId="77777777" w:rsidR="007523F6" w:rsidRDefault="007523F6" w:rsidP="007523F6">
      <w:pPr>
        <w:pStyle w:val="Heading1"/>
      </w:pPr>
      <w:r w:rsidRPr="007523F6">
        <w:t>KI2</w:t>
      </w:r>
    </w:p>
    <w:p w14:paraId="3F06EB84" w14:textId="77777777" w:rsidR="007523F6" w:rsidRDefault="007523F6" w:rsidP="007523F6">
      <w:pPr>
        <w:pStyle w:val="BodyText"/>
      </w:pPr>
      <w:r w:rsidRPr="007523F6">
        <w:t xml:space="preserve">This dynamic knock detection method proposed by </w:t>
      </w:r>
      <w:proofErr w:type="spellStart"/>
      <w:r w:rsidRPr="007523F6">
        <w:t>Galloni</w:t>
      </w:r>
      <w:proofErr w:type="spellEnd"/>
      <w:r w:rsidRPr="007523F6">
        <w:t xml:space="preserve"> </w:t>
      </w:r>
      <w:r w:rsidR="00472E11">
        <w:t>[1</w:t>
      </w:r>
      <w:r w:rsidR="0073063C">
        <w:t>5</w:t>
      </w:r>
      <w:r w:rsidR="00472E11">
        <w:t>]</w:t>
      </w:r>
      <w:r w:rsidRPr="007523F6">
        <w:t xml:space="preserve"> </w:t>
      </w:r>
      <w:r w:rsidR="00035215">
        <w:t>is able to</w:t>
      </w:r>
      <w:r w:rsidR="008E2E69" w:rsidRPr="007523F6">
        <w:t xml:space="preserve"> resolve</w:t>
      </w:r>
      <w:r w:rsidRPr="007523F6">
        <w:t xml:space="preserve"> knock intensity on a </w:t>
      </w:r>
      <w:proofErr w:type="gramStart"/>
      <w:r w:rsidRPr="007523F6">
        <w:t>cycle by cycle</w:t>
      </w:r>
      <w:proofErr w:type="gramEnd"/>
      <w:r w:rsidRPr="007523F6">
        <w:t xml:space="preserve"> case without defining a pre-determined threshold. This method </w:t>
      </w:r>
      <w:r w:rsidR="00397AF2" w:rsidRPr="007523F6">
        <w:t>benefits</w:t>
      </w:r>
      <w:r w:rsidRPr="007523F6">
        <w:t xml:space="preserve"> from the fact that the fastest combustion cycle results in higher pressure oscillations and knock. In this method, whole combustion event is divided into two phases. A knock threshold (</w:t>
      </w:r>
      <m:oMath>
        <m:r>
          <w:rPr>
            <w:rFonts w:ascii="Cambria Math" w:hAnsi="Cambria Math"/>
          </w:rPr>
          <m:t>Map</m:t>
        </m:r>
        <m:sSub>
          <m:sSubPr>
            <m:ctrlPr>
              <w:rPr>
                <w:rFonts w:ascii="Cambria Math" w:hAnsi="Cambria Math"/>
                <w:i/>
              </w:rPr>
            </m:ctrlPr>
          </m:sSubPr>
          <m:e>
            <m:r>
              <w:rPr>
                <w:rFonts w:ascii="Cambria Math" w:hAnsi="Cambria Math"/>
              </w:rPr>
              <m:t>o</m:t>
            </m:r>
          </m:e>
          <m:sub>
            <m:r>
              <w:rPr>
                <w:rFonts w:ascii="Cambria Math" w:hAnsi="Cambria Math"/>
              </w:rPr>
              <m:t>th,j</m:t>
            </m:r>
          </m:sub>
        </m:sSub>
      </m:oMath>
      <w:r w:rsidRPr="007523F6">
        <w:t>)is defined based on the maximum pressure oscillation in the first phase of combustion.</w:t>
      </w:r>
    </w:p>
    <w:tbl>
      <w:tblPr>
        <w:tblStyle w:val="TableGrid"/>
        <w:tblW w:w="5000" w:type="pc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492"/>
        <w:gridCol w:w="910"/>
      </w:tblGrid>
      <w:tr w:rsidR="00397AF2" w14:paraId="1B91C359" w14:textId="77777777" w:rsidTr="00637924">
        <w:tc>
          <w:tcPr>
            <w:tcW w:w="350" w:type="pct"/>
          </w:tcPr>
          <w:p w14:paraId="07860B10" w14:textId="77777777" w:rsidR="00397AF2" w:rsidRDefault="00397AF2" w:rsidP="00637924">
            <w:pPr>
              <w:pStyle w:val="BodyText"/>
              <w:ind w:left="0"/>
            </w:pPr>
          </w:p>
        </w:tc>
        <w:tc>
          <w:tcPr>
            <w:tcW w:w="4200" w:type="pct"/>
          </w:tcPr>
          <w:p w14:paraId="3C630BB3" w14:textId="77777777" w:rsidR="00397AF2" w:rsidRDefault="00397AF2" w:rsidP="00637924">
            <w:pPr>
              <w:pStyle w:val="BodyText"/>
              <w:ind w:left="0"/>
            </w:pPr>
            <m:oMathPara>
              <m:oMath>
                <m:r>
                  <w:rPr>
                    <w:rFonts w:ascii="Cambria Math" w:hAnsi="Cambria Math"/>
                  </w:rPr>
                  <m:t>Map</m:t>
                </m:r>
                <m:sSub>
                  <m:sSubPr>
                    <m:ctrlPr>
                      <w:rPr>
                        <w:rFonts w:ascii="Cambria Math" w:hAnsi="Cambria Math"/>
                        <w:i/>
                      </w:rPr>
                    </m:ctrlPr>
                  </m:sSubPr>
                  <m:e>
                    <m:r>
                      <w:rPr>
                        <w:rFonts w:ascii="Cambria Math" w:hAnsi="Cambria Math"/>
                      </w:rPr>
                      <m:t>o</m:t>
                    </m:r>
                  </m:e>
                  <m:sub>
                    <m:r>
                      <w:rPr>
                        <w:rFonts w:ascii="Cambria Math" w:hAnsi="Cambria Math"/>
                      </w:rPr>
                      <m:t>th,j</m:t>
                    </m:r>
                  </m:sub>
                </m:sSub>
                <m:r>
                  <w:rPr>
                    <w:rFonts w:ascii="Cambria Math" w:hAnsi="Cambria Math"/>
                  </w:rPr>
                  <m:t>=k.max</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knock,j</m:t>
                        </m:r>
                      </m:sub>
                    </m:sSub>
                    <m:d>
                      <m:dPr>
                        <m:ctrlPr>
                          <w:rPr>
                            <w:rFonts w:ascii="Cambria Math" w:hAnsi="Cambria Math"/>
                            <w:i/>
                          </w:rPr>
                        </m:ctrlPr>
                      </m:dPr>
                      <m:e>
                        <m:r>
                          <m:rPr>
                            <m:sty m:val="p"/>
                          </m:rPr>
                          <w:rPr>
                            <w:rFonts w:ascii="Cambria Math" w:hAnsi="Cambria Math"/>
                          </w:rPr>
                          <m:t>θ</m:t>
                        </m:r>
                      </m:e>
                    </m:d>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m:t>
                            </m:r>
                          </m:e>
                        </m:d>
                      </m:e>
                      <m:sub>
                        <m:r>
                          <w:rPr>
                            <w:rFonts w:ascii="Cambria Math" w:hAnsi="Cambria Math"/>
                          </w:rPr>
                          <m:t>SA</m:t>
                        </m:r>
                      </m:sub>
                      <m:sup>
                        <m:sSub>
                          <m:sSubPr>
                            <m:ctrlPr>
                              <w:rPr>
                                <w:rFonts w:ascii="Cambria Math" w:hAnsi="Cambria Math"/>
                                <w:i/>
                              </w:rPr>
                            </m:ctrlPr>
                          </m:sSubPr>
                          <m:e>
                            <m:r>
                              <m:rPr>
                                <m:sty m:val="p"/>
                              </m:rPr>
                              <w:rPr>
                                <w:rFonts w:ascii="Cambria Math" w:hAnsi="Cambria Math"/>
                              </w:rPr>
                              <m:t>θ</m:t>
                            </m:r>
                          </m:e>
                          <m:sub>
                            <m:r>
                              <w:rPr>
                                <w:rFonts w:ascii="Cambria Math" w:hAnsi="Cambria Math"/>
                              </w:rPr>
                              <m:t>60%</m:t>
                            </m:r>
                          </m:sub>
                        </m:sSub>
                      </m:sup>
                    </m:sSubSup>
                  </m:e>
                </m:d>
              </m:oMath>
            </m:oMathPara>
          </w:p>
        </w:tc>
        <w:tc>
          <w:tcPr>
            <w:tcW w:w="450" w:type="pct"/>
          </w:tcPr>
          <w:p w14:paraId="3EC4B648" w14:textId="77777777" w:rsidR="00397AF2" w:rsidRDefault="00397AF2" w:rsidP="00637924">
            <w:pPr>
              <w:pStyle w:val="BodyText"/>
              <w:ind w:left="0"/>
            </w:pPr>
            <w:r>
              <w:t>Eq: 5</w:t>
            </w:r>
          </w:p>
        </w:tc>
      </w:tr>
    </w:tbl>
    <w:p w14:paraId="41FFE2FB" w14:textId="77777777" w:rsidR="007523F6" w:rsidRPr="007523F6" w:rsidRDefault="007523F6" w:rsidP="00397AF2">
      <w:pPr>
        <w:pStyle w:val="BodyText"/>
        <w:ind w:left="0"/>
      </w:pPr>
    </w:p>
    <w:p w14:paraId="10B39320" w14:textId="77777777" w:rsidR="007523F6" w:rsidRDefault="007523F6" w:rsidP="007523F6">
      <w:pPr>
        <w:pStyle w:val="BodyText"/>
      </w:pPr>
      <w:r w:rsidRPr="007523F6">
        <w:t>Where k is a constant</w:t>
      </w:r>
      <w:r w:rsidR="00035215">
        <w:t xml:space="preserve"> where a value of 2 was utilized</w:t>
      </w:r>
      <w:r w:rsidRPr="007523F6">
        <w:t xml:space="preserve"> for this study. The maximum oscillation in the second phase is compared to the threshold calculated in the first phase to define the knock intensity as follows:</w:t>
      </w:r>
    </w:p>
    <w:tbl>
      <w:tblPr>
        <w:tblStyle w:val="TableGrid"/>
        <w:tblW w:w="5000" w:type="pc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492"/>
        <w:gridCol w:w="910"/>
      </w:tblGrid>
      <w:tr w:rsidR="00397AF2" w14:paraId="6F9EACED" w14:textId="77777777" w:rsidTr="00637924">
        <w:tc>
          <w:tcPr>
            <w:tcW w:w="350" w:type="pct"/>
          </w:tcPr>
          <w:p w14:paraId="541FE13B" w14:textId="77777777" w:rsidR="00397AF2" w:rsidRDefault="00397AF2" w:rsidP="00637924">
            <w:pPr>
              <w:pStyle w:val="BodyText"/>
              <w:ind w:left="0"/>
            </w:pPr>
          </w:p>
        </w:tc>
        <w:tc>
          <w:tcPr>
            <w:tcW w:w="4200" w:type="pct"/>
          </w:tcPr>
          <w:p w14:paraId="66106D85" w14:textId="77777777" w:rsidR="00397AF2" w:rsidRDefault="00397AF2" w:rsidP="00637924">
            <w:pPr>
              <w:pStyle w:val="BodyText"/>
              <w:ind w:left="0"/>
            </w:pPr>
            <m:oMathPara>
              <m:oMath>
                <m:r>
                  <w:rPr>
                    <w:rFonts w:ascii="Cambria Math" w:hAnsi="Cambria Math"/>
                  </w:rPr>
                  <m:t>I</m:t>
                </m:r>
                <m:sSub>
                  <m:sSubPr>
                    <m:ctrlPr>
                      <w:rPr>
                        <w:rFonts w:ascii="Cambria Math" w:hAnsi="Cambria Math"/>
                        <w:i/>
                      </w:rPr>
                    </m:ctrlPr>
                  </m:sSubPr>
                  <m:e>
                    <m:r>
                      <w:rPr>
                        <w:rFonts w:ascii="Cambria Math" w:hAnsi="Cambria Math"/>
                      </w:rPr>
                      <m:t>2</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max</m:t>
                    </m:r>
                    <m:d>
                      <m:dPr>
                        <m:begChr m:val="["/>
                        <m:endChr m:val="]"/>
                        <m:ctrlPr>
                          <w:rPr>
                            <w:rFonts w:ascii="Cambria Math" w:hAnsi="Cambria Math"/>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knock,j</m:t>
                                </m:r>
                              </m:sub>
                            </m:sSub>
                            <m:d>
                              <m:dPr>
                                <m:ctrlPr>
                                  <w:rPr>
                                    <w:rFonts w:ascii="Cambria Math" w:hAnsi="Cambria Math"/>
                                    <w:i/>
                                  </w:rPr>
                                </m:ctrlPr>
                              </m:dPr>
                              <m:e>
                                <m:r>
                                  <m:rPr>
                                    <m:sty m:val="p"/>
                                  </m:rPr>
                                  <w:rPr>
                                    <w:rFonts w:ascii="Cambria Math" w:hAnsi="Cambria Math"/>
                                  </w:rPr>
                                  <m:t>θ</m:t>
                                </m:r>
                              </m:e>
                            </m:d>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m:t>
                                    </m:r>
                                  </m:e>
                                </m:d>
                              </m:e>
                              <m:sub>
                                <m:sSub>
                                  <m:sSubPr>
                                    <m:ctrlPr>
                                      <w:rPr>
                                        <w:rFonts w:ascii="Cambria Math" w:hAnsi="Cambria Math"/>
                                        <w:i/>
                                      </w:rPr>
                                    </m:ctrlPr>
                                  </m:sSubPr>
                                  <m:e>
                                    <m:r>
                                      <m:rPr>
                                        <m:sty m:val="p"/>
                                      </m:rPr>
                                      <w:rPr>
                                        <w:rFonts w:ascii="Cambria Math" w:hAnsi="Cambria Math"/>
                                      </w:rPr>
                                      <m:t>θ</m:t>
                                    </m:r>
                                  </m:e>
                                  <m:sub>
                                    <m:r>
                                      <w:rPr>
                                        <w:rFonts w:ascii="Cambria Math" w:hAnsi="Cambria Math"/>
                                      </w:rPr>
                                      <m:t>60%</m:t>
                                    </m:r>
                                  </m:sub>
                                </m:sSub>
                              </m:sub>
                              <m:sup>
                                <m:sSub>
                                  <m:sSubPr>
                                    <m:ctrlPr>
                                      <w:rPr>
                                        <w:rFonts w:ascii="Cambria Math" w:hAnsi="Cambria Math"/>
                                        <w:i/>
                                      </w:rPr>
                                    </m:ctrlPr>
                                  </m:sSubPr>
                                  <m:e>
                                    <m:r>
                                      <m:rPr>
                                        <m:sty m:val="p"/>
                                      </m:rPr>
                                      <w:rPr>
                                        <w:rFonts w:ascii="Cambria Math" w:hAnsi="Cambria Math"/>
                                      </w:rPr>
                                      <m:t>θ</m:t>
                                    </m:r>
                                  </m:e>
                                  <m:sub>
                                    <m:r>
                                      <w:rPr>
                                        <w:rFonts w:ascii="Cambria Math" w:hAnsi="Cambria Math"/>
                                      </w:rPr>
                                      <m:t>99%</m:t>
                                    </m:r>
                                  </m:sub>
                                </m:sSub>
                              </m:sup>
                            </m:sSubSup>
                            <m:r>
                              <w:rPr>
                                <w:rFonts w:ascii="Cambria Math" w:hAnsi="Cambria Math"/>
                              </w:rPr>
                              <m:t>-Map</m:t>
                            </m:r>
                            <m:sSub>
                              <m:sSubPr>
                                <m:ctrlPr>
                                  <w:rPr>
                                    <w:rFonts w:ascii="Cambria Math" w:hAnsi="Cambria Math"/>
                                    <w:i/>
                                  </w:rPr>
                                </m:ctrlPr>
                              </m:sSubPr>
                              <m:e>
                                <m:r>
                                  <w:rPr>
                                    <w:rFonts w:ascii="Cambria Math" w:hAnsi="Cambria Math"/>
                                  </w:rPr>
                                  <m:t>o</m:t>
                                </m:r>
                              </m:e>
                              <m:sub>
                                <m:r>
                                  <w:rPr>
                                    <w:rFonts w:ascii="Cambria Math" w:hAnsi="Cambria Math"/>
                                  </w:rPr>
                                  <m:t>th,j</m:t>
                                </m:r>
                              </m:sub>
                            </m:sSub>
                          </m:e>
                        </m:d>
                        <m:r>
                          <w:rPr>
                            <w:rFonts w:ascii="Cambria Math" w:hAnsi="Cambria Math"/>
                          </w:rPr>
                          <m:t>,0</m:t>
                        </m:r>
                        <m:ctrlPr>
                          <w:rPr>
                            <w:rFonts w:ascii="Cambria Math" w:hAnsi="Cambria Math"/>
                            <w:i/>
                          </w:rPr>
                        </m:ctrlPr>
                      </m:e>
                    </m:d>
                    <m:ctrlPr>
                      <w:rPr>
                        <w:rFonts w:ascii="Cambria Math" w:hAnsi="Cambria Math"/>
                        <w:i/>
                      </w:rPr>
                    </m:ctrlPr>
                  </m:num>
                  <m:den>
                    <m:r>
                      <w:rPr>
                        <w:rFonts w:ascii="Cambria Math" w:hAnsi="Cambria Math"/>
                      </w:rPr>
                      <m:t>Map</m:t>
                    </m:r>
                    <m:sSub>
                      <m:sSubPr>
                        <m:ctrlPr>
                          <w:rPr>
                            <w:rFonts w:ascii="Cambria Math" w:hAnsi="Cambria Math"/>
                            <w:i/>
                          </w:rPr>
                        </m:ctrlPr>
                      </m:sSubPr>
                      <m:e>
                        <m:r>
                          <w:rPr>
                            <w:rFonts w:ascii="Cambria Math" w:hAnsi="Cambria Math"/>
                          </w:rPr>
                          <m:t>o</m:t>
                        </m:r>
                      </m:e>
                      <m:sub>
                        <m:r>
                          <w:rPr>
                            <w:rFonts w:ascii="Cambria Math" w:hAnsi="Cambria Math"/>
                          </w:rPr>
                          <m:t>th,j</m:t>
                        </m:r>
                      </m:sub>
                    </m:sSub>
                    <m:ctrlPr>
                      <w:rPr>
                        <w:rFonts w:ascii="Cambria Math" w:hAnsi="Cambria Math"/>
                        <w:i/>
                      </w:rPr>
                    </m:ctrlPr>
                  </m:den>
                </m:f>
              </m:oMath>
            </m:oMathPara>
          </w:p>
        </w:tc>
        <w:tc>
          <w:tcPr>
            <w:tcW w:w="450" w:type="pct"/>
          </w:tcPr>
          <w:p w14:paraId="1F468666" w14:textId="77777777" w:rsidR="00397AF2" w:rsidRDefault="00397AF2" w:rsidP="00637924">
            <w:pPr>
              <w:pStyle w:val="BodyText"/>
              <w:ind w:left="0"/>
            </w:pPr>
            <w:r>
              <w:t>Eq: 6</w:t>
            </w:r>
          </w:p>
        </w:tc>
      </w:tr>
    </w:tbl>
    <w:p w14:paraId="355CF0F1" w14:textId="77777777" w:rsidR="00397AF2" w:rsidRDefault="00397AF2" w:rsidP="007523F6">
      <w:pPr>
        <w:pStyle w:val="BodyText"/>
      </w:pPr>
    </w:p>
    <w:p w14:paraId="4994164E" w14:textId="77777777" w:rsidR="00F2018A" w:rsidRDefault="00F2018A" w:rsidP="007523F6">
      <w:pPr>
        <w:pStyle w:val="BodyText"/>
      </w:pPr>
      <w:r w:rsidRPr="00F2018A">
        <w:t xml:space="preserve">This method </w:t>
      </w:r>
      <w:r w:rsidR="00035215">
        <w:t>seeks</w:t>
      </w:r>
      <w:r w:rsidRPr="00F2018A">
        <w:t xml:space="preserve"> a knock event only after 60% </w:t>
      </w:r>
      <w:r w:rsidR="00035215">
        <w:t xml:space="preserve">of </w:t>
      </w:r>
      <w:r w:rsidRPr="00F2018A">
        <w:t xml:space="preserve">charge is burned </w:t>
      </w:r>
      <w:r w:rsidR="00035215">
        <w:t>which is</w:t>
      </w:r>
      <w:r w:rsidRPr="00F2018A">
        <w:t xml:space="preserve"> based on comparing with a dynamic threshold defined for that </w:t>
      </w:r>
      <w:r w:rsidR="0019251D" w:rsidRPr="00F2018A">
        <w:t>cycle</w:t>
      </w:r>
      <w:r w:rsidRPr="00F2018A">
        <w:t>. Heat release calculation</w:t>
      </w:r>
      <w:r w:rsidR="00035215">
        <w:t>s</w:t>
      </w:r>
      <w:r w:rsidRPr="00F2018A">
        <w:t xml:space="preserve"> </w:t>
      </w:r>
      <w:r w:rsidR="00035215">
        <w:t xml:space="preserve">were undertaken with </w:t>
      </w:r>
      <w:r w:rsidRPr="00F2018A">
        <w:t xml:space="preserve">a </w:t>
      </w:r>
      <w:proofErr w:type="gramStart"/>
      <w:r w:rsidRPr="00F2018A">
        <w:t>low-pass</w:t>
      </w:r>
      <w:proofErr w:type="gramEnd"/>
      <w:r w:rsidRPr="00F2018A">
        <w:t xml:space="preserve"> filtered signal and jet oscillation ha</w:t>
      </w:r>
      <w:r w:rsidR="00035215">
        <w:t>d</w:t>
      </w:r>
      <w:r w:rsidRPr="00F2018A">
        <w:t xml:space="preserve"> no influence on this calculation. Amplitude of jet oscillations contribute</w:t>
      </w:r>
      <w:r w:rsidR="00075EBB">
        <w:t>d</w:t>
      </w:r>
      <w:r w:rsidRPr="00F2018A">
        <w:t xml:space="preserve"> to</w:t>
      </w:r>
      <w:r w:rsidR="00075EBB">
        <w:t>wards</w:t>
      </w:r>
      <w:r w:rsidRPr="00F2018A">
        <w:t xml:space="preserve"> defining the dynamic threshold level and otherwise ha</w:t>
      </w:r>
      <w:r w:rsidR="00075EBB">
        <w:t>d</w:t>
      </w:r>
      <w:r w:rsidRPr="00F2018A">
        <w:t xml:space="preserve"> no effect on </w:t>
      </w:r>
      <w:r w:rsidR="00075EBB">
        <w:t>determining</w:t>
      </w:r>
      <w:r w:rsidRPr="00F2018A">
        <w:t xml:space="preserve"> a knocking cycle. As </w:t>
      </w:r>
      <w:r w:rsidR="00075EBB">
        <w:t xml:space="preserve">previously </w:t>
      </w:r>
      <w:r w:rsidRPr="00F2018A">
        <w:t xml:space="preserve">discussed, amplitude of jet oscillations is a function of cylinder loading and it helps in capturing a knock event with varying engine loading, without any tuning. It is worth to </w:t>
      </w:r>
      <w:r w:rsidRPr="00F2018A">
        <w:lastRenderedPageBreak/>
        <w:t>mention</w:t>
      </w:r>
      <w:r w:rsidR="00075EBB">
        <w:t>ing</w:t>
      </w:r>
      <w:r w:rsidRPr="00F2018A">
        <w:t xml:space="preserve"> that amplitude of knock pressure oscillations also increases with cylinder loading. A graphical explanation for how this method works is shown in Fig</w:t>
      </w:r>
      <w:r w:rsidR="0019251D">
        <w:t xml:space="preserve">. </w:t>
      </w:r>
      <w:r w:rsidR="00732784">
        <w:t>8</w:t>
      </w:r>
      <w:r w:rsidR="0019251D">
        <w:t>.</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19251D" w14:paraId="775645E9" w14:textId="77777777" w:rsidTr="00436D2A">
        <w:tc>
          <w:tcPr>
            <w:tcW w:w="5050" w:type="dxa"/>
          </w:tcPr>
          <w:p w14:paraId="5128967C" w14:textId="77777777" w:rsidR="0019251D" w:rsidRDefault="0019251D" w:rsidP="0019251D">
            <w:pPr>
              <w:pStyle w:val="BodyText"/>
              <w:keepNext/>
              <w:ind w:left="0"/>
            </w:pPr>
            <w:r>
              <w:rPr>
                <w:noProof/>
              </w:rPr>
              <w:drawing>
                <wp:inline distT="0" distB="0" distL="0" distR="0" wp14:anchorId="1DC2B87F" wp14:editId="522CA824">
                  <wp:extent cx="2828925" cy="1866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28925" cy="1866900"/>
                          </a:xfrm>
                          <a:prstGeom prst="rect">
                            <a:avLst/>
                          </a:prstGeom>
                          <a:noFill/>
                          <a:ln>
                            <a:noFill/>
                          </a:ln>
                        </pic:spPr>
                      </pic:pic>
                    </a:graphicData>
                  </a:graphic>
                </wp:inline>
              </w:drawing>
            </w:r>
          </w:p>
          <w:p w14:paraId="1D21FF52" w14:textId="77777777" w:rsidR="0019251D" w:rsidRDefault="0019251D" w:rsidP="00436D2A">
            <w:pPr>
              <w:pStyle w:val="Caption"/>
              <w:numPr>
                <w:ilvl w:val="0"/>
                <w:numId w:val="3"/>
              </w:numPr>
              <w:jc w:val="center"/>
            </w:pPr>
            <w:r w:rsidRPr="0098600F">
              <w:t>100 cycles data with average heat release</w:t>
            </w:r>
          </w:p>
        </w:tc>
        <w:tc>
          <w:tcPr>
            <w:tcW w:w="5050" w:type="dxa"/>
          </w:tcPr>
          <w:p w14:paraId="3C4CB253" w14:textId="77777777" w:rsidR="0019251D" w:rsidRDefault="0019251D" w:rsidP="0019251D">
            <w:pPr>
              <w:pStyle w:val="BodyText"/>
              <w:keepNext/>
              <w:ind w:left="0"/>
            </w:pPr>
            <w:r>
              <w:rPr>
                <w:noProof/>
              </w:rPr>
              <w:drawing>
                <wp:inline distT="0" distB="0" distL="0" distR="0" wp14:anchorId="163B5C46" wp14:editId="7E4FB22E">
                  <wp:extent cx="2828925" cy="1866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28925" cy="1866900"/>
                          </a:xfrm>
                          <a:prstGeom prst="rect">
                            <a:avLst/>
                          </a:prstGeom>
                          <a:noFill/>
                          <a:ln>
                            <a:noFill/>
                          </a:ln>
                        </pic:spPr>
                      </pic:pic>
                    </a:graphicData>
                  </a:graphic>
                </wp:inline>
              </w:drawing>
            </w:r>
          </w:p>
          <w:p w14:paraId="6561E335" w14:textId="77777777" w:rsidR="0019251D" w:rsidRDefault="0019251D" w:rsidP="00436D2A">
            <w:pPr>
              <w:pStyle w:val="Caption"/>
              <w:keepNext/>
              <w:numPr>
                <w:ilvl w:val="0"/>
                <w:numId w:val="3"/>
              </w:numPr>
              <w:jc w:val="center"/>
            </w:pPr>
            <w:r w:rsidRPr="00893663">
              <w:t>Knocking cycle, cycle:60</w:t>
            </w:r>
          </w:p>
        </w:tc>
      </w:tr>
    </w:tbl>
    <w:p w14:paraId="43C4FDCC" w14:textId="77777777" w:rsidR="0019251D" w:rsidRDefault="0019251D" w:rsidP="0019251D">
      <w:pPr>
        <w:pStyle w:val="Caption"/>
        <w:jc w:val="center"/>
      </w:pPr>
      <w:r>
        <w:t xml:space="preserve">Figure </w:t>
      </w:r>
      <w:r w:rsidR="00815CE3">
        <w:t>8</w:t>
      </w:r>
      <w:r>
        <w:t xml:space="preserve">: </w:t>
      </w:r>
      <w:r w:rsidRPr="00D64F12">
        <w:t>Heat release and pressure oscillations, PC, 6000 rpm</w:t>
      </w:r>
    </w:p>
    <w:p w14:paraId="77494237" w14:textId="77777777" w:rsidR="0008318B" w:rsidRDefault="0008318B" w:rsidP="00AB71D3">
      <w:pPr>
        <w:pStyle w:val="BodyText"/>
        <w:jc w:val="center"/>
      </w:pPr>
    </w:p>
    <w:p w14:paraId="507E2048" w14:textId="77777777" w:rsidR="0008318B" w:rsidRDefault="0008318B" w:rsidP="007523F6">
      <w:pPr>
        <w:pStyle w:val="BodyText"/>
      </w:pPr>
      <w:r w:rsidRPr="0008318B">
        <w:t xml:space="preserve">The knock intensity at </w:t>
      </w:r>
      <w:r w:rsidR="00C61D24">
        <w:t>the</w:t>
      </w:r>
      <w:r w:rsidRPr="0008318B">
        <w:t xml:space="preserve"> operating point has been calculated using the following equation:</w:t>
      </w:r>
    </w:p>
    <w:tbl>
      <w:tblPr>
        <w:tblStyle w:val="TableGrid"/>
        <w:tblW w:w="5000" w:type="pc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492"/>
        <w:gridCol w:w="910"/>
      </w:tblGrid>
      <w:tr w:rsidR="00397AF2" w14:paraId="62EEB75C" w14:textId="77777777" w:rsidTr="00637924">
        <w:tc>
          <w:tcPr>
            <w:tcW w:w="350" w:type="pct"/>
          </w:tcPr>
          <w:p w14:paraId="11A93E01" w14:textId="77777777" w:rsidR="00397AF2" w:rsidRDefault="00397AF2" w:rsidP="00637924">
            <w:pPr>
              <w:pStyle w:val="BodyText"/>
              <w:ind w:left="0"/>
            </w:pPr>
          </w:p>
        </w:tc>
        <w:tc>
          <w:tcPr>
            <w:tcW w:w="4200" w:type="pct"/>
          </w:tcPr>
          <w:p w14:paraId="24BC69A8" w14:textId="77777777" w:rsidR="00397AF2" w:rsidRDefault="00397AF2" w:rsidP="00637924">
            <w:pPr>
              <w:pStyle w:val="BodyText"/>
              <w:ind w:left="0"/>
            </w:pPr>
            <m:oMathPara>
              <m:oMath>
                <m:r>
                  <w:rPr>
                    <w:rFonts w:ascii="Cambria Math" w:hAnsi="Cambria Math"/>
                  </w:rPr>
                  <m:t>KI2%=</m:t>
                </m:r>
                <m:f>
                  <m:fPr>
                    <m:ctrlPr>
                      <w:rPr>
                        <w:rFonts w:ascii="Cambria Math" w:hAnsi="Cambria Math"/>
                      </w:rPr>
                    </m:ctrlPr>
                  </m:fPr>
                  <m:num>
                    <m:nary>
                      <m:naryPr>
                        <m:chr m:val="∑"/>
                        <m:ctrlPr>
                          <w:rPr>
                            <w:rFonts w:ascii="Cambria Math" w:hAnsi="Cambria Math"/>
                          </w:rPr>
                        </m:ctrlPr>
                      </m:naryPr>
                      <m:sub>
                        <m:r>
                          <w:rPr>
                            <w:rFonts w:ascii="Cambria Math" w:hAnsi="Cambria Math"/>
                          </w:rPr>
                          <m:t>j=1</m:t>
                        </m:r>
                        <m:ctrlPr>
                          <w:rPr>
                            <w:rFonts w:ascii="Cambria Math" w:hAnsi="Cambria Math"/>
                            <w:i/>
                          </w:rPr>
                        </m:ctrlPr>
                      </m:sub>
                      <m:sup>
                        <m:sSub>
                          <m:sSubPr>
                            <m:ctrlPr>
                              <w:rPr>
                                <w:rFonts w:ascii="Cambria Math" w:hAnsi="Cambria Math"/>
                                <w:i/>
                              </w:rPr>
                            </m:ctrlPr>
                          </m:sSubPr>
                          <m:e>
                            <m:r>
                              <w:rPr>
                                <w:rFonts w:ascii="Cambria Math" w:hAnsi="Cambria Math"/>
                              </w:rPr>
                              <m:t>N</m:t>
                            </m:r>
                          </m:e>
                          <m:sub>
                            <m:r>
                              <w:rPr>
                                <w:rFonts w:ascii="Cambria Math" w:hAnsi="Cambria Math"/>
                              </w:rPr>
                              <m:t>cyc</m:t>
                            </m:r>
                          </m:sub>
                        </m:sSub>
                        <m:ctrlPr>
                          <w:rPr>
                            <w:rFonts w:ascii="Cambria Math" w:hAnsi="Cambria Math"/>
                            <w:i/>
                          </w:rPr>
                        </m:ctrlPr>
                      </m:sup>
                      <m:e>
                        <m:r>
                          <w:rPr>
                            <w:rFonts w:ascii="Cambria Math" w:hAnsi="Cambria Math"/>
                          </w:rPr>
                          <m:t>I</m:t>
                        </m:r>
                        <m:sSub>
                          <m:sSubPr>
                            <m:ctrlPr>
                              <w:rPr>
                                <w:rFonts w:ascii="Cambria Math" w:hAnsi="Cambria Math"/>
                                <w:i/>
                              </w:rPr>
                            </m:ctrlPr>
                          </m:sSubPr>
                          <m:e>
                            <m:r>
                              <w:rPr>
                                <w:rFonts w:ascii="Cambria Math" w:hAnsi="Cambria Math"/>
                              </w:rPr>
                              <m:t>2</m:t>
                            </m:r>
                          </m:e>
                          <m:sub>
                            <m:r>
                              <w:rPr>
                                <w:rFonts w:ascii="Cambria Math" w:hAnsi="Cambria Math"/>
                              </w:rPr>
                              <m:t>j</m:t>
                            </m:r>
                          </m:sub>
                        </m:sSub>
                        <m:ctrlPr>
                          <w:rPr>
                            <w:rFonts w:ascii="Cambria Math" w:hAnsi="Cambria Math"/>
                            <w:i/>
                          </w:rPr>
                        </m:ctrlPr>
                      </m:e>
                    </m:nary>
                    <m:ctrlPr>
                      <w:rPr>
                        <w:rFonts w:ascii="Cambria Math" w:hAnsi="Cambria Math"/>
                        <w:i/>
                      </w:rPr>
                    </m:ctrlPr>
                  </m:num>
                  <m:den>
                    <m:sSub>
                      <m:sSubPr>
                        <m:ctrlPr>
                          <w:rPr>
                            <w:rFonts w:ascii="Cambria Math" w:hAnsi="Cambria Math"/>
                            <w:i/>
                          </w:rPr>
                        </m:ctrlPr>
                      </m:sSubPr>
                      <m:e>
                        <m:r>
                          <w:rPr>
                            <w:rFonts w:ascii="Cambria Math" w:hAnsi="Cambria Math"/>
                          </w:rPr>
                          <m:t>N</m:t>
                        </m:r>
                      </m:e>
                      <m:sub>
                        <m:r>
                          <w:rPr>
                            <w:rFonts w:ascii="Cambria Math" w:hAnsi="Cambria Math"/>
                          </w:rPr>
                          <m:t>cyc</m:t>
                        </m:r>
                      </m:sub>
                    </m:sSub>
                    <m:ctrlPr>
                      <w:rPr>
                        <w:rFonts w:ascii="Cambria Math" w:hAnsi="Cambria Math"/>
                        <w:i/>
                      </w:rPr>
                    </m:ctrlPr>
                  </m:den>
                </m:f>
                <m:r>
                  <w:rPr>
                    <w:rFonts w:ascii="Cambria Math" w:hAnsi="Cambria Math"/>
                  </w:rPr>
                  <m:t>.100</m:t>
                </m:r>
              </m:oMath>
            </m:oMathPara>
          </w:p>
        </w:tc>
        <w:tc>
          <w:tcPr>
            <w:tcW w:w="450" w:type="pct"/>
          </w:tcPr>
          <w:p w14:paraId="6B2E1BD5" w14:textId="77777777" w:rsidR="00397AF2" w:rsidRDefault="00397AF2" w:rsidP="00637924">
            <w:pPr>
              <w:pStyle w:val="BodyText"/>
              <w:ind w:left="0"/>
            </w:pPr>
            <w:r>
              <w:t>Eq: 7</w:t>
            </w:r>
          </w:p>
        </w:tc>
      </w:tr>
    </w:tbl>
    <w:p w14:paraId="7AFD1D5C" w14:textId="77777777" w:rsidR="0008318B" w:rsidRPr="0008318B" w:rsidRDefault="0008318B" w:rsidP="00397AF2">
      <w:pPr>
        <w:pStyle w:val="BodyText"/>
        <w:ind w:left="0"/>
      </w:pPr>
    </w:p>
    <w:p w14:paraId="5B5C4390" w14:textId="77777777" w:rsidR="0008318B" w:rsidRDefault="0008318B" w:rsidP="0008318B">
      <w:pPr>
        <w:pStyle w:val="BodyText"/>
      </w:pPr>
      <w:r>
        <w:t>Now KLSA can be achieved by operating within a range of KI2</w:t>
      </w:r>
      <w:r w:rsidR="00CF0057">
        <w:t>%</w:t>
      </w:r>
      <w:r>
        <w:t>, the lower limit representing knock free and higher limit representing maximum allowable knock. Fig.</w:t>
      </w:r>
      <w:r w:rsidR="006B78A3">
        <w:t xml:space="preserve"> </w:t>
      </w:r>
      <w:r w:rsidR="00732784">
        <w:t>9</w:t>
      </w:r>
      <w:r>
        <w:t xml:space="preserve"> shows </w:t>
      </w:r>
      <w:r w:rsidR="00CF0057">
        <w:t>K</w:t>
      </w:r>
      <w:r>
        <w:t xml:space="preserve">I2 results for </w:t>
      </w:r>
      <w:r w:rsidR="00086B38">
        <w:t>the same</w:t>
      </w:r>
      <w:r>
        <w:t xml:space="preserve">100 cycles for both </w:t>
      </w:r>
      <w:r w:rsidR="00732784">
        <w:t xml:space="preserve">SI and pre-chamber </w:t>
      </w:r>
      <w:r>
        <w:t xml:space="preserve">ignition systems and </w:t>
      </w:r>
      <w:r w:rsidR="006B78A3">
        <w:t>with</w:t>
      </w:r>
      <w:r>
        <w:t xml:space="preserve"> this method, pre-chamber results show </w:t>
      </w:r>
      <w:r w:rsidR="006844EA">
        <w:t xml:space="preserve">a </w:t>
      </w:r>
      <w:r>
        <w:t>lower knock level, something all other knock detection methods</w:t>
      </w:r>
      <w:r w:rsidR="006844EA">
        <w:t>, that were</w:t>
      </w:r>
      <w:r>
        <w:t xml:space="preserve"> previously discussed</w:t>
      </w:r>
      <w:r w:rsidR="006844EA">
        <w:t>,</w:t>
      </w:r>
      <w:r>
        <w:t xml:space="preserve"> failed to capture. Fig.</w:t>
      </w:r>
      <w:r w:rsidR="006B78A3">
        <w:t xml:space="preserve"> </w:t>
      </w:r>
      <w:r w:rsidR="00732784">
        <w:t>10</w:t>
      </w:r>
      <w:r>
        <w:t xml:space="preserve"> shows all knocking cycles for both ignition systems predicted as knock by KI2 knock index.</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103F26" w14:paraId="18C5ED75" w14:textId="77777777" w:rsidTr="00103F26">
        <w:tc>
          <w:tcPr>
            <w:tcW w:w="5050" w:type="dxa"/>
          </w:tcPr>
          <w:p w14:paraId="7D98CFF0" w14:textId="77777777" w:rsidR="00103F26" w:rsidRDefault="00103F26" w:rsidP="00103F26">
            <w:pPr>
              <w:pStyle w:val="BodyText"/>
              <w:keepNext/>
              <w:ind w:left="0"/>
            </w:pPr>
            <w:r>
              <w:rPr>
                <w:noProof/>
              </w:rPr>
              <w:drawing>
                <wp:inline distT="0" distB="0" distL="0" distR="0" wp14:anchorId="52739D39" wp14:editId="38638021">
                  <wp:extent cx="3301200" cy="1586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2Base6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1200" cy="1586857"/>
                          </a:xfrm>
                          <a:prstGeom prst="rect">
                            <a:avLst/>
                          </a:prstGeom>
                        </pic:spPr>
                      </pic:pic>
                    </a:graphicData>
                  </a:graphic>
                </wp:inline>
              </w:drawing>
            </w:r>
          </w:p>
          <w:p w14:paraId="6A6E2837" w14:textId="77777777" w:rsidR="00103F26" w:rsidRDefault="00103F26" w:rsidP="00BC6547">
            <w:pPr>
              <w:pStyle w:val="Caption"/>
              <w:numPr>
                <w:ilvl w:val="0"/>
                <w:numId w:val="5"/>
              </w:numPr>
              <w:jc w:val="center"/>
            </w:pPr>
            <w:r>
              <w:t>SI, 6000 rpm</w:t>
            </w:r>
          </w:p>
        </w:tc>
        <w:tc>
          <w:tcPr>
            <w:tcW w:w="5050" w:type="dxa"/>
          </w:tcPr>
          <w:p w14:paraId="1F09B3E7" w14:textId="77777777" w:rsidR="00103F26" w:rsidRDefault="00103F26" w:rsidP="00103F26">
            <w:pPr>
              <w:pStyle w:val="BodyText"/>
              <w:keepNext/>
              <w:ind w:left="0"/>
            </w:pPr>
            <w:r>
              <w:rPr>
                <w:noProof/>
              </w:rPr>
              <w:drawing>
                <wp:inline distT="0" distB="0" distL="0" distR="0" wp14:anchorId="5C374575" wp14:editId="4F7080AE">
                  <wp:extent cx="3301200" cy="1586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2PC6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1200" cy="1586857"/>
                          </a:xfrm>
                          <a:prstGeom prst="rect">
                            <a:avLst/>
                          </a:prstGeom>
                        </pic:spPr>
                      </pic:pic>
                    </a:graphicData>
                  </a:graphic>
                </wp:inline>
              </w:drawing>
            </w:r>
          </w:p>
          <w:p w14:paraId="52476A4D" w14:textId="77777777" w:rsidR="00103F26" w:rsidRDefault="00103F26" w:rsidP="00BC6547">
            <w:pPr>
              <w:pStyle w:val="Caption"/>
              <w:numPr>
                <w:ilvl w:val="0"/>
                <w:numId w:val="5"/>
              </w:numPr>
              <w:jc w:val="center"/>
            </w:pPr>
            <w:r>
              <w:t>PC, 6000 rpm</w:t>
            </w:r>
          </w:p>
        </w:tc>
      </w:tr>
      <w:tr w:rsidR="00103F26" w14:paraId="6BBB88EA" w14:textId="77777777" w:rsidTr="00103F26">
        <w:tc>
          <w:tcPr>
            <w:tcW w:w="5050" w:type="dxa"/>
          </w:tcPr>
          <w:p w14:paraId="7C33610A" w14:textId="77777777" w:rsidR="00103F26" w:rsidRDefault="00103F26" w:rsidP="00103F26">
            <w:pPr>
              <w:pStyle w:val="BodyText"/>
              <w:keepNext/>
              <w:ind w:left="0"/>
            </w:pPr>
            <w:r>
              <w:rPr>
                <w:noProof/>
              </w:rPr>
              <w:drawing>
                <wp:inline distT="0" distB="0" distL="0" distR="0" wp14:anchorId="2A05719F" wp14:editId="2DE4B582">
                  <wp:extent cx="3301200" cy="15868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2Base7p5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1200" cy="1586857"/>
                          </a:xfrm>
                          <a:prstGeom prst="rect">
                            <a:avLst/>
                          </a:prstGeom>
                        </pic:spPr>
                      </pic:pic>
                    </a:graphicData>
                  </a:graphic>
                </wp:inline>
              </w:drawing>
            </w:r>
          </w:p>
          <w:p w14:paraId="5A1EBE08" w14:textId="77777777" w:rsidR="00103F26" w:rsidRDefault="00103F26" w:rsidP="00BC6547">
            <w:pPr>
              <w:pStyle w:val="Caption"/>
              <w:numPr>
                <w:ilvl w:val="0"/>
                <w:numId w:val="3"/>
              </w:numPr>
              <w:jc w:val="center"/>
            </w:pPr>
            <w:r>
              <w:t>SI, 7500 rpm</w:t>
            </w:r>
          </w:p>
        </w:tc>
        <w:tc>
          <w:tcPr>
            <w:tcW w:w="5050" w:type="dxa"/>
          </w:tcPr>
          <w:p w14:paraId="686D2D6B" w14:textId="77777777" w:rsidR="00103F26" w:rsidRDefault="00103F26" w:rsidP="00103F26">
            <w:pPr>
              <w:pStyle w:val="BodyText"/>
              <w:keepNext/>
              <w:ind w:left="0"/>
            </w:pPr>
            <w:r>
              <w:rPr>
                <w:noProof/>
              </w:rPr>
              <w:drawing>
                <wp:inline distT="0" distB="0" distL="0" distR="0" wp14:anchorId="3A140069" wp14:editId="2C60A139">
                  <wp:extent cx="3301200" cy="15868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2PC7p5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1200" cy="1586857"/>
                          </a:xfrm>
                          <a:prstGeom prst="rect">
                            <a:avLst/>
                          </a:prstGeom>
                        </pic:spPr>
                      </pic:pic>
                    </a:graphicData>
                  </a:graphic>
                </wp:inline>
              </w:drawing>
            </w:r>
          </w:p>
          <w:p w14:paraId="3F744D05" w14:textId="77777777" w:rsidR="00103F26" w:rsidRDefault="00103F26" w:rsidP="00BC6547">
            <w:pPr>
              <w:pStyle w:val="Caption"/>
              <w:keepNext/>
              <w:numPr>
                <w:ilvl w:val="0"/>
                <w:numId w:val="3"/>
              </w:numPr>
              <w:jc w:val="center"/>
            </w:pPr>
            <w:r>
              <w:t>PC, 7500 rpm</w:t>
            </w:r>
          </w:p>
        </w:tc>
      </w:tr>
    </w:tbl>
    <w:p w14:paraId="14805985" w14:textId="77777777" w:rsidR="00103F26" w:rsidRDefault="00103F26" w:rsidP="00103F26">
      <w:pPr>
        <w:pStyle w:val="Caption"/>
        <w:jc w:val="center"/>
      </w:pPr>
      <w:r>
        <w:t xml:space="preserve">Figure </w:t>
      </w:r>
      <w:r w:rsidR="00815CE3">
        <w:t>9</w:t>
      </w:r>
      <w:r>
        <w:t xml:space="preserve">: </w:t>
      </w:r>
      <w:r w:rsidRPr="006D5605">
        <w:t>Knock Index (KI2) results</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95"/>
      </w:tblGrid>
      <w:tr w:rsidR="00980DB7" w14:paraId="290B4693" w14:textId="77777777" w:rsidTr="00F37D20">
        <w:tc>
          <w:tcPr>
            <w:tcW w:w="5050" w:type="dxa"/>
          </w:tcPr>
          <w:p w14:paraId="1AF6F4FF" w14:textId="77777777" w:rsidR="00637924" w:rsidRDefault="00980DB7" w:rsidP="00637924">
            <w:pPr>
              <w:pStyle w:val="BodyText"/>
              <w:keepNext/>
              <w:ind w:left="0"/>
            </w:pPr>
            <w:r>
              <w:rPr>
                <w:noProof/>
              </w:rPr>
              <w:lastRenderedPageBreak/>
              <w:drawing>
                <wp:inline distT="0" distB="0" distL="0" distR="0" wp14:anchorId="1215E2D3" wp14:editId="6CAB6755">
                  <wp:extent cx="3006000" cy="2066400"/>
                  <wp:effectExtent l="0" t="0" r="444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CylPressB2Base6kcycle89.jpg"/>
                          <pic:cNvPicPr/>
                        </pic:nvPicPr>
                        <pic:blipFill>
                          <a:blip r:embed="rId33">
                            <a:extLst>
                              <a:ext uri="{28A0092B-C50C-407E-A947-70E740481C1C}">
                                <a14:useLocalDpi xmlns:a14="http://schemas.microsoft.com/office/drawing/2010/main" val="0"/>
                              </a:ext>
                            </a:extLst>
                          </a:blip>
                          <a:stretch>
                            <a:fillRect/>
                          </a:stretch>
                        </pic:blipFill>
                        <pic:spPr>
                          <a:xfrm>
                            <a:off x="0" y="0"/>
                            <a:ext cx="3006000" cy="2066400"/>
                          </a:xfrm>
                          <a:prstGeom prst="rect">
                            <a:avLst/>
                          </a:prstGeom>
                        </pic:spPr>
                      </pic:pic>
                    </a:graphicData>
                  </a:graphic>
                </wp:inline>
              </w:drawing>
            </w:r>
          </w:p>
          <w:p w14:paraId="0F219E86" w14:textId="77777777" w:rsidR="00980DB7" w:rsidRDefault="00637924" w:rsidP="00637924">
            <w:pPr>
              <w:pStyle w:val="Caption"/>
              <w:numPr>
                <w:ilvl w:val="0"/>
                <w:numId w:val="4"/>
              </w:numPr>
              <w:jc w:val="center"/>
            </w:pPr>
            <w:r>
              <w:t xml:space="preserve"> </w:t>
            </w:r>
            <w:r w:rsidR="00086B38">
              <w:t>SI</w:t>
            </w:r>
            <w:r>
              <w:t>,</w:t>
            </w:r>
            <w:r>
              <w:rPr>
                <w:noProof/>
              </w:rPr>
              <w:t xml:space="preserve"> 6000 rpm, cycle:89</w:t>
            </w:r>
          </w:p>
        </w:tc>
        <w:tc>
          <w:tcPr>
            <w:tcW w:w="5050" w:type="dxa"/>
          </w:tcPr>
          <w:p w14:paraId="17CB43E3" w14:textId="77777777" w:rsidR="00637924" w:rsidRDefault="00980DB7" w:rsidP="00637924">
            <w:pPr>
              <w:pStyle w:val="BodyText"/>
              <w:keepNext/>
              <w:ind w:left="0"/>
            </w:pPr>
            <w:r>
              <w:rPr>
                <w:noProof/>
              </w:rPr>
              <w:drawing>
                <wp:inline distT="0" distB="0" distL="0" distR="0" wp14:anchorId="06A807F1" wp14:editId="774556EE">
                  <wp:extent cx="3006000" cy="2066400"/>
                  <wp:effectExtent l="0" t="0" r="4445"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CylPressB2Base7p5kcycle53.jpg"/>
                          <pic:cNvPicPr/>
                        </pic:nvPicPr>
                        <pic:blipFill>
                          <a:blip r:embed="rId34">
                            <a:extLst>
                              <a:ext uri="{28A0092B-C50C-407E-A947-70E740481C1C}">
                                <a14:useLocalDpi xmlns:a14="http://schemas.microsoft.com/office/drawing/2010/main" val="0"/>
                              </a:ext>
                            </a:extLst>
                          </a:blip>
                          <a:stretch>
                            <a:fillRect/>
                          </a:stretch>
                        </pic:blipFill>
                        <pic:spPr>
                          <a:xfrm>
                            <a:off x="0" y="0"/>
                            <a:ext cx="3006000" cy="2066400"/>
                          </a:xfrm>
                          <a:prstGeom prst="rect">
                            <a:avLst/>
                          </a:prstGeom>
                        </pic:spPr>
                      </pic:pic>
                    </a:graphicData>
                  </a:graphic>
                </wp:inline>
              </w:drawing>
            </w:r>
          </w:p>
          <w:p w14:paraId="6BF820B2" w14:textId="77777777" w:rsidR="00980DB7" w:rsidRDefault="00637924" w:rsidP="00637924">
            <w:pPr>
              <w:pStyle w:val="Caption"/>
              <w:numPr>
                <w:ilvl w:val="0"/>
                <w:numId w:val="4"/>
              </w:numPr>
              <w:jc w:val="center"/>
            </w:pPr>
            <w:r w:rsidRPr="00CD6599">
              <w:t xml:space="preserve"> </w:t>
            </w:r>
            <w:r w:rsidR="00086B38">
              <w:t>SI</w:t>
            </w:r>
            <w:r w:rsidRPr="00CD6599">
              <w:t xml:space="preserve">, </w:t>
            </w:r>
            <w:r>
              <w:t>75</w:t>
            </w:r>
            <w:r w:rsidRPr="00CD6599">
              <w:t>00 rpm, cycle:</w:t>
            </w:r>
            <w:r>
              <w:t>53</w:t>
            </w:r>
          </w:p>
        </w:tc>
      </w:tr>
      <w:tr w:rsidR="00980DB7" w14:paraId="0B3C09C2" w14:textId="77777777" w:rsidTr="00F37D20">
        <w:tc>
          <w:tcPr>
            <w:tcW w:w="5050" w:type="dxa"/>
          </w:tcPr>
          <w:p w14:paraId="309F3D43" w14:textId="77777777" w:rsidR="00637924" w:rsidRDefault="00980DB7" w:rsidP="00637924">
            <w:pPr>
              <w:pStyle w:val="BodyText"/>
              <w:keepNext/>
              <w:ind w:left="0"/>
            </w:pPr>
            <w:r>
              <w:rPr>
                <w:noProof/>
              </w:rPr>
              <w:drawing>
                <wp:inline distT="0" distB="0" distL="0" distR="0" wp14:anchorId="3A24D302" wp14:editId="31BFD8F5">
                  <wp:extent cx="3006000" cy="2066400"/>
                  <wp:effectExtent l="0" t="0" r="444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ylPressB2Base7p5kcycle73.jpg"/>
                          <pic:cNvPicPr/>
                        </pic:nvPicPr>
                        <pic:blipFill>
                          <a:blip r:embed="rId35">
                            <a:extLst>
                              <a:ext uri="{28A0092B-C50C-407E-A947-70E740481C1C}">
                                <a14:useLocalDpi xmlns:a14="http://schemas.microsoft.com/office/drawing/2010/main" val="0"/>
                              </a:ext>
                            </a:extLst>
                          </a:blip>
                          <a:stretch>
                            <a:fillRect/>
                          </a:stretch>
                        </pic:blipFill>
                        <pic:spPr>
                          <a:xfrm>
                            <a:off x="0" y="0"/>
                            <a:ext cx="3006000" cy="2066400"/>
                          </a:xfrm>
                          <a:prstGeom prst="rect">
                            <a:avLst/>
                          </a:prstGeom>
                        </pic:spPr>
                      </pic:pic>
                    </a:graphicData>
                  </a:graphic>
                </wp:inline>
              </w:drawing>
            </w:r>
          </w:p>
          <w:p w14:paraId="67FDEE3B" w14:textId="77777777" w:rsidR="00980DB7" w:rsidRDefault="00086B38" w:rsidP="00815CE3">
            <w:pPr>
              <w:pStyle w:val="Caption"/>
              <w:numPr>
                <w:ilvl w:val="0"/>
                <w:numId w:val="4"/>
              </w:numPr>
              <w:jc w:val="center"/>
            </w:pPr>
            <w:r>
              <w:t>SI</w:t>
            </w:r>
            <w:r w:rsidR="00637924">
              <w:t>, 7500 rpm, cycle: 73</w:t>
            </w:r>
          </w:p>
        </w:tc>
        <w:tc>
          <w:tcPr>
            <w:tcW w:w="5050" w:type="dxa"/>
          </w:tcPr>
          <w:p w14:paraId="13A944CC" w14:textId="77777777" w:rsidR="00637924" w:rsidRDefault="00980DB7" w:rsidP="00637924">
            <w:pPr>
              <w:pStyle w:val="BodyText"/>
              <w:keepNext/>
              <w:ind w:left="0"/>
            </w:pPr>
            <w:r>
              <w:rPr>
                <w:noProof/>
              </w:rPr>
              <w:drawing>
                <wp:inline distT="0" distB="0" distL="0" distR="0" wp14:anchorId="27F2F1B1" wp14:editId="2E2EE01B">
                  <wp:extent cx="3006000" cy="2066400"/>
                  <wp:effectExtent l="0" t="0" r="444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CylPressB2PC4H6kcycle60.jpg"/>
                          <pic:cNvPicPr/>
                        </pic:nvPicPr>
                        <pic:blipFill>
                          <a:blip r:embed="rId36">
                            <a:extLst>
                              <a:ext uri="{28A0092B-C50C-407E-A947-70E740481C1C}">
                                <a14:useLocalDpi xmlns:a14="http://schemas.microsoft.com/office/drawing/2010/main" val="0"/>
                              </a:ext>
                            </a:extLst>
                          </a:blip>
                          <a:stretch>
                            <a:fillRect/>
                          </a:stretch>
                        </pic:blipFill>
                        <pic:spPr>
                          <a:xfrm>
                            <a:off x="0" y="0"/>
                            <a:ext cx="3006000" cy="2066400"/>
                          </a:xfrm>
                          <a:prstGeom prst="rect">
                            <a:avLst/>
                          </a:prstGeom>
                        </pic:spPr>
                      </pic:pic>
                    </a:graphicData>
                  </a:graphic>
                </wp:inline>
              </w:drawing>
            </w:r>
          </w:p>
          <w:p w14:paraId="5FC10725" w14:textId="77777777" w:rsidR="00980DB7" w:rsidRDefault="00637924" w:rsidP="00637924">
            <w:pPr>
              <w:pStyle w:val="Caption"/>
              <w:jc w:val="center"/>
            </w:pPr>
            <w:r>
              <w:t>(d)  PC, 6000 rpm, cycle: 60</w:t>
            </w:r>
          </w:p>
        </w:tc>
      </w:tr>
      <w:tr w:rsidR="00980DB7" w14:paraId="090F23DB" w14:textId="77777777" w:rsidTr="00F37D20">
        <w:tc>
          <w:tcPr>
            <w:tcW w:w="5050" w:type="dxa"/>
          </w:tcPr>
          <w:p w14:paraId="194F1FDC" w14:textId="77777777" w:rsidR="00637924" w:rsidRDefault="00980DB7" w:rsidP="00637924">
            <w:pPr>
              <w:pStyle w:val="BodyText"/>
              <w:keepNext/>
              <w:ind w:left="0"/>
            </w:pPr>
            <w:r>
              <w:rPr>
                <w:noProof/>
              </w:rPr>
              <w:drawing>
                <wp:inline distT="0" distB="0" distL="0" distR="0" wp14:anchorId="57582640" wp14:editId="6BC05929">
                  <wp:extent cx="3006000" cy="2066400"/>
                  <wp:effectExtent l="0" t="0" r="4445"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CylPressB2PC4H7p5kcycle4.jpg"/>
                          <pic:cNvPicPr/>
                        </pic:nvPicPr>
                        <pic:blipFill>
                          <a:blip r:embed="rId37">
                            <a:extLst>
                              <a:ext uri="{28A0092B-C50C-407E-A947-70E740481C1C}">
                                <a14:useLocalDpi xmlns:a14="http://schemas.microsoft.com/office/drawing/2010/main" val="0"/>
                              </a:ext>
                            </a:extLst>
                          </a:blip>
                          <a:stretch>
                            <a:fillRect/>
                          </a:stretch>
                        </pic:blipFill>
                        <pic:spPr>
                          <a:xfrm>
                            <a:off x="0" y="0"/>
                            <a:ext cx="3006000" cy="2066400"/>
                          </a:xfrm>
                          <a:prstGeom prst="rect">
                            <a:avLst/>
                          </a:prstGeom>
                        </pic:spPr>
                      </pic:pic>
                    </a:graphicData>
                  </a:graphic>
                </wp:inline>
              </w:drawing>
            </w:r>
          </w:p>
          <w:p w14:paraId="0B86003C" w14:textId="77777777" w:rsidR="00980DB7" w:rsidRDefault="00637924" w:rsidP="00F37D20">
            <w:pPr>
              <w:pStyle w:val="Caption"/>
              <w:numPr>
                <w:ilvl w:val="0"/>
                <w:numId w:val="3"/>
              </w:numPr>
              <w:jc w:val="center"/>
            </w:pPr>
            <w:r>
              <w:t>PC, 7500 rpm,</w:t>
            </w:r>
            <w:r w:rsidR="00F37D20">
              <w:t xml:space="preserve"> cycle: 4</w:t>
            </w:r>
          </w:p>
        </w:tc>
        <w:tc>
          <w:tcPr>
            <w:tcW w:w="5050" w:type="dxa"/>
          </w:tcPr>
          <w:p w14:paraId="2EC3B1F3" w14:textId="77777777" w:rsidR="00F37D20" w:rsidRDefault="00980DB7" w:rsidP="00F37D20">
            <w:pPr>
              <w:pStyle w:val="BodyText"/>
              <w:keepNext/>
              <w:ind w:left="0"/>
            </w:pPr>
            <w:r>
              <w:rPr>
                <w:noProof/>
              </w:rPr>
              <w:drawing>
                <wp:inline distT="0" distB="0" distL="0" distR="0" wp14:anchorId="4D297A05" wp14:editId="4B3B0308">
                  <wp:extent cx="3006000" cy="2066400"/>
                  <wp:effectExtent l="0" t="0" r="4445"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CylPressB2PC4H7p5kcycle51.jpg"/>
                          <pic:cNvPicPr/>
                        </pic:nvPicPr>
                        <pic:blipFill>
                          <a:blip r:embed="rId38">
                            <a:extLst>
                              <a:ext uri="{28A0092B-C50C-407E-A947-70E740481C1C}">
                                <a14:useLocalDpi xmlns:a14="http://schemas.microsoft.com/office/drawing/2010/main" val="0"/>
                              </a:ext>
                            </a:extLst>
                          </a:blip>
                          <a:stretch>
                            <a:fillRect/>
                          </a:stretch>
                        </pic:blipFill>
                        <pic:spPr>
                          <a:xfrm>
                            <a:off x="0" y="0"/>
                            <a:ext cx="3006000" cy="2066400"/>
                          </a:xfrm>
                          <a:prstGeom prst="rect">
                            <a:avLst/>
                          </a:prstGeom>
                        </pic:spPr>
                      </pic:pic>
                    </a:graphicData>
                  </a:graphic>
                </wp:inline>
              </w:drawing>
            </w:r>
          </w:p>
          <w:p w14:paraId="248E7AF1" w14:textId="77777777" w:rsidR="00980DB7" w:rsidRDefault="00F37D20" w:rsidP="00F37D20">
            <w:pPr>
              <w:pStyle w:val="Caption"/>
              <w:jc w:val="center"/>
            </w:pPr>
            <w:r>
              <w:t>(</w:t>
            </w:r>
            <w:r w:rsidR="00815CE3">
              <w:t>f</w:t>
            </w:r>
            <w:r>
              <w:t>)  PC, 7500 rpm, cycle: 51</w:t>
            </w:r>
          </w:p>
        </w:tc>
      </w:tr>
    </w:tbl>
    <w:p w14:paraId="24DF33CB" w14:textId="77777777" w:rsidR="006A6AB4" w:rsidRDefault="00980DB7" w:rsidP="00637924">
      <w:pPr>
        <w:pStyle w:val="Caption"/>
        <w:jc w:val="center"/>
      </w:pPr>
      <w:r>
        <w:t xml:space="preserve">Figure </w:t>
      </w:r>
      <w:r w:rsidR="00815CE3">
        <w:t>10</w:t>
      </w:r>
      <w:r>
        <w:t>: Knocking cycles</w:t>
      </w:r>
    </w:p>
    <w:p w14:paraId="21D2C52B" w14:textId="77777777" w:rsidR="0008318B" w:rsidRDefault="0008318B" w:rsidP="0008318B">
      <w:pPr>
        <w:pStyle w:val="BodyText"/>
      </w:pPr>
    </w:p>
    <w:p w14:paraId="2DE2D4F8" w14:textId="77777777" w:rsidR="00F77D5C" w:rsidRDefault="00F77D5C" w:rsidP="0008318B">
      <w:pPr>
        <w:pStyle w:val="BodyText"/>
      </w:pPr>
      <w:r>
        <w:t>As pre-chamber testing w</w:t>
      </w:r>
      <w:r w:rsidR="004D69C1">
        <w:t>as</w:t>
      </w:r>
      <w:r>
        <w:t xml:space="preserve"> done with ignition timing retarded from KLSA, the pressure oscillations </w:t>
      </w:r>
      <w:r w:rsidR="00D52062">
        <w:t>were</w:t>
      </w:r>
      <w:r>
        <w:t xml:space="preserve"> not </w:t>
      </w:r>
      <w:r w:rsidR="00D52062">
        <w:t>clearly</w:t>
      </w:r>
      <w:r>
        <w:t xml:space="preserve"> visible on the pressure traces shown in Fig. </w:t>
      </w:r>
      <w:r w:rsidR="00732784">
        <w:t>10</w:t>
      </w:r>
      <w:r>
        <w:t xml:space="preserve">. </w:t>
      </w:r>
      <w:r w:rsidRPr="00F77D5C">
        <w:t xml:space="preserve">Test attempts were made to </w:t>
      </w:r>
      <w:r w:rsidR="00D52062">
        <w:t>operate</w:t>
      </w:r>
      <w:r w:rsidRPr="00F77D5C">
        <w:t xml:space="preserve"> closer to KLSA ignition </w:t>
      </w:r>
      <w:r w:rsidR="00124A5C" w:rsidRPr="00F77D5C">
        <w:t>timing</w:t>
      </w:r>
      <w:r w:rsidR="00255ABC">
        <w:t>,</w:t>
      </w:r>
      <w:r w:rsidR="00124A5C" w:rsidRPr="00F77D5C">
        <w:t xml:space="preserve"> but</w:t>
      </w:r>
      <w:r w:rsidRPr="00F77D5C">
        <w:t xml:space="preserve"> </w:t>
      </w:r>
      <w:r w:rsidR="00D52062">
        <w:t xml:space="preserve">this </w:t>
      </w:r>
      <w:r w:rsidRPr="00F77D5C">
        <w:t>resulted in run-away knock and pre-ignition</w:t>
      </w:r>
      <w:r w:rsidR="00D52062">
        <w:t>s</w:t>
      </w:r>
      <w:r w:rsidR="00E84BAC">
        <w:t>, due to absence of a live knock detection system</w:t>
      </w:r>
      <w:r w:rsidRPr="00F77D5C">
        <w:t xml:space="preserve">. For </w:t>
      </w:r>
      <w:r>
        <w:t>pre-chamber</w:t>
      </w:r>
      <w:r w:rsidRPr="00F77D5C">
        <w:t xml:space="preserve"> </w:t>
      </w:r>
      <w:r w:rsidR="00734E24">
        <w:t xml:space="preserve">ignition </w:t>
      </w:r>
      <w:r w:rsidRPr="00F77D5C">
        <w:t>at 6000 rpm, test run with 1</w:t>
      </w:r>
      <w:r w:rsidRPr="00F77D5C">
        <w:rPr>
          <w:vertAlign w:val="superscript"/>
        </w:rPr>
        <w:t>o</w:t>
      </w:r>
      <w:r w:rsidRPr="00F77D5C">
        <w:t xml:space="preserve"> ignition advance from the finalized ignition timing</w:t>
      </w:r>
      <w:r>
        <w:t>,</w:t>
      </w:r>
      <w:r w:rsidRPr="00F77D5C">
        <w:t xml:space="preserve"> resulted in pre-ignition event as shown in Fig.</w:t>
      </w:r>
      <w:r w:rsidR="00124A5C">
        <w:t xml:space="preserve"> 1</w:t>
      </w:r>
      <w:r w:rsidR="00732784">
        <w:t>1</w:t>
      </w:r>
      <w:r w:rsidRPr="00F77D5C">
        <w:t>. A pre-ignition event is identified by earlier heat release and resultant pressure rise, even before the ignition event.</w:t>
      </w:r>
      <w:r w:rsidR="00124A5C">
        <w:t xml:space="preserve"> With pre-chamber</w:t>
      </w:r>
      <w:r w:rsidR="00E84BAC">
        <w:t xml:space="preserve"> ignition</w:t>
      </w:r>
      <w:r w:rsidR="00124A5C">
        <w:t>, heat dissipation from</w:t>
      </w:r>
      <w:r w:rsidR="00AD399A">
        <w:t xml:space="preserve"> the</w:t>
      </w:r>
      <w:r w:rsidR="00124A5C">
        <w:t xml:space="preserve"> pre-chamber tip area </w:t>
      </w:r>
      <w:r w:rsidR="00271E2D">
        <w:t xml:space="preserve">was </w:t>
      </w:r>
      <w:r w:rsidR="00124A5C">
        <w:t xml:space="preserve">observed to be crucial in deciding the knock limit of the engine, as this area takes heat from both </w:t>
      </w:r>
      <w:r w:rsidR="00255ABC">
        <w:t>chambers</w:t>
      </w:r>
      <w:r w:rsidR="00124A5C">
        <w:t xml:space="preserve"> and </w:t>
      </w:r>
      <w:r w:rsidR="00AD399A">
        <w:t xml:space="preserve">pre-chamber tip area can act as a hot-spot </w:t>
      </w:r>
      <w:r w:rsidR="00271E2D">
        <w:t xml:space="preserve">which </w:t>
      </w:r>
      <w:r w:rsidR="00AD399A">
        <w:t>results in pre-ignition</w:t>
      </w:r>
      <w:r w:rsidR="00271E2D">
        <w:t>s</w:t>
      </w:r>
      <w:r w:rsidR="00AD399A">
        <w:t xml:space="preserve">, with </w:t>
      </w:r>
      <w:r w:rsidR="00B5019E">
        <w:t xml:space="preserve">high heat release rate </w:t>
      </w:r>
      <w:r w:rsidR="00734E24">
        <w:t>from</w:t>
      </w:r>
      <w:r w:rsidR="00B5019E">
        <w:t xml:space="preserve"> ignition advance or from a previous knock cycle.</w:t>
      </w:r>
      <w:r w:rsidR="00734E24">
        <w:t xml:space="preserve"> KI2 method is also able to detect this pre-ignition event, characterized by very high I2 value and a calibration strategy can be devised based on this value to protect the engine from damage. </w:t>
      </w:r>
    </w:p>
    <w:p w14:paraId="7210F978" w14:textId="77777777" w:rsidR="00355AD5" w:rsidRDefault="00355AD5" w:rsidP="0008318B">
      <w:pPr>
        <w:pStyle w:val="BodyText"/>
      </w:pPr>
      <w:r>
        <w:t xml:space="preserve">The </w:t>
      </w:r>
      <w:r w:rsidR="00F568AD">
        <w:t>fact that</w:t>
      </w:r>
      <w:r>
        <w:t xml:space="preserve"> KI2 method </w:t>
      </w:r>
      <w:r w:rsidR="007F64F8">
        <w:t>can</w:t>
      </w:r>
      <w:r w:rsidR="00F568AD">
        <w:t xml:space="preserve"> </w:t>
      </w:r>
      <w:r>
        <w:t xml:space="preserve">detect a pre-ignition event is also validating the assumption </w:t>
      </w:r>
      <w:r w:rsidR="00F568AD">
        <w:t>used in this method</w:t>
      </w:r>
      <w:r w:rsidR="004724AC">
        <w:t>:</w:t>
      </w:r>
      <w:r w:rsidR="00F568AD">
        <w:t xml:space="preserve"> </w:t>
      </w:r>
      <w:r w:rsidR="00141B2D">
        <w:t>which is</w:t>
      </w:r>
      <w:r w:rsidR="00F568AD">
        <w:t xml:space="preserve"> </w:t>
      </w:r>
      <w:r>
        <w:t xml:space="preserve">knock occurs only after 60% of charge is burned. </w:t>
      </w:r>
      <w:r w:rsidR="00F568AD">
        <w:t xml:space="preserve">A knocking cycle is characterized by earlier combustion start and shortest burn duration compared to other cycles with same operating parameters including ignition angle. Though not </w:t>
      </w:r>
      <w:r w:rsidR="00141B2D">
        <w:t>initiated</w:t>
      </w:r>
      <w:r w:rsidR="00F568AD">
        <w:t xml:space="preserve"> by </w:t>
      </w:r>
      <w:r w:rsidR="00F568AD">
        <w:lastRenderedPageBreak/>
        <w:t>spark ignition, p</w:t>
      </w:r>
      <w:r>
        <w:t xml:space="preserve">re-ignition results in earliest </w:t>
      </w:r>
      <w:r w:rsidR="00F568AD">
        <w:t>combustion start</w:t>
      </w:r>
      <w:r w:rsidR="00141B2D">
        <w:t xml:space="preserve"> and earliest </w:t>
      </w:r>
      <w:r>
        <w:t xml:space="preserve">knock event </w:t>
      </w:r>
      <w:r w:rsidR="00141B2D">
        <w:t>with respect to what fraction of charge is burned.</w:t>
      </w:r>
      <w:r>
        <w:t xml:space="preserve"> </w:t>
      </w:r>
      <w:r w:rsidR="00141B2D">
        <w:t xml:space="preserve">Pre-ignition also results in </w:t>
      </w:r>
      <w:r>
        <w:t xml:space="preserve">high magnitude of pressure </w:t>
      </w:r>
      <w:r w:rsidR="00D274C9">
        <w:t>oscillations</w:t>
      </w:r>
      <w:r>
        <w:t>, due to increased fraction of unburned gas present at knock onset.</w:t>
      </w:r>
      <w:r w:rsidR="007F64F8">
        <w:t xml:space="preserve"> </w:t>
      </w:r>
      <w:r>
        <w:t xml:space="preserve">Though it is possible to adjust this 60% limit based on </w:t>
      </w:r>
      <w:r w:rsidR="00D274C9">
        <w:t>detailed testing</w:t>
      </w:r>
      <w:r w:rsidR="00732784">
        <w:t>,</w:t>
      </w:r>
      <w:r w:rsidR="00D274C9">
        <w:t xml:space="preserve"> covering all </w:t>
      </w:r>
      <w:r w:rsidR="001E39CE">
        <w:t>speed and</w:t>
      </w:r>
      <w:r w:rsidR="00D274C9">
        <w:t xml:space="preserve"> load </w:t>
      </w:r>
      <w:r w:rsidR="00141B2D">
        <w:t>points</w:t>
      </w:r>
      <w:r>
        <w:t>, it is a good starting point.</w:t>
      </w:r>
    </w:p>
    <w:p w14:paraId="103F6676" w14:textId="77777777" w:rsidR="00F77D5C" w:rsidRDefault="00F77D5C" w:rsidP="00B5019E">
      <w:pPr>
        <w:pStyle w:val="BodyText"/>
        <w:ind w:left="0"/>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415"/>
      </w:tblGrid>
      <w:tr w:rsidR="00F77D5C" w14:paraId="7515F824" w14:textId="77777777" w:rsidTr="00124A5C">
        <w:tc>
          <w:tcPr>
            <w:tcW w:w="5050" w:type="dxa"/>
          </w:tcPr>
          <w:p w14:paraId="6B4A65B3" w14:textId="77777777" w:rsidR="00124A5C" w:rsidRDefault="00F77D5C" w:rsidP="00124A5C">
            <w:pPr>
              <w:pStyle w:val="BodyText"/>
              <w:keepNext/>
              <w:ind w:left="0"/>
            </w:pPr>
            <w:r>
              <w:rPr>
                <w:noProof/>
              </w:rPr>
              <w:drawing>
                <wp:inline distT="0" distB="0" distL="0" distR="0" wp14:anchorId="31F0355B" wp14:editId="673BA9AA">
                  <wp:extent cx="3447947" cy="179929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2PreIgn.png"/>
                          <pic:cNvPicPr/>
                        </pic:nvPicPr>
                        <pic:blipFill>
                          <a:blip r:embed="rId39">
                            <a:extLst>
                              <a:ext uri="{28A0092B-C50C-407E-A947-70E740481C1C}">
                                <a14:useLocalDpi xmlns:a14="http://schemas.microsoft.com/office/drawing/2010/main" val="0"/>
                              </a:ext>
                            </a:extLst>
                          </a:blip>
                          <a:stretch>
                            <a:fillRect/>
                          </a:stretch>
                        </pic:blipFill>
                        <pic:spPr>
                          <a:xfrm>
                            <a:off x="0" y="0"/>
                            <a:ext cx="3447947" cy="1799292"/>
                          </a:xfrm>
                          <a:prstGeom prst="rect">
                            <a:avLst/>
                          </a:prstGeom>
                        </pic:spPr>
                      </pic:pic>
                    </a:graphicData>
                  </a:graphic>
                </wp:inline>
              </w:drawing>
            </w:r>
          </w:p>
          <w:p w14:paraId="202C8402" w14:textId="77777777" w:rsidR="00F77D5C" w:rsidRDefault="00124A5C" w:rsidP="00124A5C">
            <w:pPr>
              <w:pStyle w:val="Caption"/>
              <w:numPr>
                <w:ilvl w:val="0"/>
                <w:numId w:val="6"/>
              </w:numPr>
              <w:jc w:val="center"/>
            </w:pPr>
            <w:r>
              <w:t>KI data for 100 cycles</w:t>
            </w:r>
          </w:p>
        </w:tc>
        <w:tc>
          <w:tcPr>
            <w:tcW w:w="5050" w:type="dxa"/>
          </w:tcPr>
          <w:p w14:paraId="66D0FD7E" w14:textId="77777777" w:rsidR="00124A5C" w:rsidRDefault="00F77D5C" w:rsidP="00124A5C">
            <w:pPr>
              <w:pStyle w:val="BodyText"/>
              <w:keepNext/>
              <w:ind w:left="0"/>
            </w:pPr>
            <w:r>
              <w:rPr>
                <w:noProof/>
              </w:rPr>
              <w:drawing>
                <wp:inline distT="0" distB="0" distL="0" distR="0" wp14:anchorId="76E8D524" wp14:editId="5D45C5FB">
                  <wp:extent cx="2676899" cy="1876687"/>
                  <wp:effectExtent l="0" t="0" r="9525" b="952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ockPressure46.png"/>
                          <pic:cNvPicPr/>
                        </pic:nvPicPr>
                        <pic:blipFill>
                          <a:blip r:embed="rId40">
                            <a:extLst>
                              <a:ext uri="{28A0092B-C50C-407E-A947-70E740481C1C}">
                                <a14:useLocalDpi xmlns:a14="http://schemas.microsoft.com/office/drawing/2010/main" val="0"/>
                              </a:ext>
                            </a:extLst>
                          </a:blip>
                          <a:stretch>
                            <a:fillRect/>
                          </a:stretch>
                        </pic:blipFill>
                        <pic:spPr>
                          <a:xfrm>
                            <a:off x="0" y="0"/>
                            <a:ext cx="2676899" cy="1876687"/>
                          </a:xfrm>
                          <a:prstGeom prst="rect">
                            <a:avLst/>
                          </a:prstGeom>
                        </pic:spPr>
                      </pic:pic>
                    </a:graphicData>
                  </a:graphic>
                </wp:inline>
              </w:drawing>
            </w:r>
          </w:p>
          <w:p w14:paraId="7A99B086" w14:textId="77777777" w:rsidR="00F77D5C" w:rsidRDefault="00124A5C" w:rsidP="00124A5C">
            <w:pPr>
              <w:pStyle w:val="Caption"/>
              <w:numPr>
                <w:ilvl w:val="0"/>
                <w:numId w:val="6"/>
              </w:numPr>
              <w:jc w:val="center"/>
            </w:pPr>
            <w:r>
              <w:t>Pre-ignition cycle and average pressure</w:t>
            </w:r>
          </w:p>
        </w:tc>
      </w:tr>
    </w:tbl>
    <w:p w14:paraId="66DD79D5" w14:textId="77777777" w:rsidR="00F77D5C" w:rsidRPr="00F2018A" w:rsidRDefault="00F77D5C" w:rsidP="00F77D5C">
      <w:pPr>
        <w:pStyle w:val="Caption"/>
        <w:jc w:val="center"/>
      </w:pPr>
      <w:r>
        <w:t>Figure 1</w:t>
      </w:r>
      <w:r w:rsidR="00815CE3">
        <w:t>1</w:t>
      </w:r>
      <w:r w:rsidR="00124A5C">
        <w:t xml:space="preserve">: </w:t>
      </w:r>
      <w:r w:rsidR="00124A5C" w:rsidRPr="006D5605">
        <w:t>Knock Index (KI2) results</w:t>
      </w:r>
      <w:r w:rsidR="00124A5C">
        <w:t xml:space="preserve"> at a KLSA operating point</w:t>
      </w:r>
    </w:p>
    <w:p w14:paraId="5997CADA" w14:textId="77777777" w:rsidR="00F2018A" w:rsidRPr="00F2018A" w:rsidRDefault="00F2018A" w:rsidP="007523F6">
      <w:pPr>
        <w:pStyle w:val="BodyText"/>
      </w:pPr>
    </w:p>
    <w:p w14:paraId="2F4DEB4E" w14:textId="77777777" w:rsidR="00583512" w:rsidRDefault="006B1410" w:rsidP="00733DE9">
      <w:pPr>
        <w:pStyle w:val="Heading1"/>
      </w:pPr>
      <w:bookmarkStart w:id="4" w:name="Conclusion"/>
      <w:bookmarkEnd w:id="4"/>
      <w:r w:rsidRPr="007256BA">
        <w:t>Conclusion</w:t>
      </w:r>
    </w:p>
    <w:p w14:paraId="5B48EE92" w14:textId="77777777" w:rsidR="006A6AB4" w:rsidRPr="006A6AB4" w:rsidRDefault="006A6AB4" w:rsidP="00733DE9">
      <w:pPr>
        <w:pStyle w:val="Heading1"/>
        <w:rPr>
          <w:rFonts w:eastAsia="Times New Roman"/>
          <w:b w:val="0"/>
          <w:bCs w:val="0"/>
          <w:w w:val="100"/>
          <w:sz w:val="20"/>
          <w:szCs w:val="20"/>
        </w:rPr>
      </w:pPr>
      <w:r w:rsidRPr="006A6AB4">
        <w:rPr>
          <w:rFonts w:eastAsia="Times New Roman"/>
          <w:b w:val="0"/>
          <w:bCs w:val="0"/>
          <w:w w:val="100"/>
          <w:sz w:val="20"/>
          <w:szCs w:val="20"/>
        </w:rPr>
        <w:t xml:space="preserve">This </w:t>
      </w:r>
      <w:r w:rsidR="00023B16">
        <w:rPr>
          <w:rFonts w:eastAsia="Times New Roman"/>
          <w:b w:val="0"/>
          <w:bCs w:val="0"/>
          <w:w w:val="100"/>
          <w:sz w:val="20"/>
          <w:szCs w:val="20"/>
        </w:rPr>
        <w:t>article</w:t>
      </w:r>
      <w:r w:rsidRPr="006A6AB4">
        <w:rPr>
          <w:rFonts w:eastAsia="Times New Roman"/>
          <w:b w:val="0"/>
          <w:bCs w:val="0"/>
          <w:w w:val="100"/>
          <w:sz w:val="20"/>
          <w:szCs w:val="20"/>
        </w:rPr>
        <w:t xml:space="preserve"> discussed the difficultly of using a</w:t>
      </w:r>
      <w:r w:rsidR="001D351D">
        <w:rPr>
          <w:rFonts w:eastAsia="Times New Roman"/>
          <w:b w:val="0"/>
          <w:bCs w:val="0"/>
          <w:w w:val="100"/>
          <w:sz w:val="20"/>
          <w:szCs w:val="20"/>
        </w:rPr>
        <w:t>n acoustic</w:t>
      </w:r>
      <w:r w:rsidRPr="006A6AB4">
        <w:rPr>
          <w:rFonts w:eastAsia="Times New Roman"/>
          <w:b w:val="0"/>
          <w:bCs w:val="0"/>
          <w:w w:val="100"/>
          <w:sz w:val="20"/>
          <w:szCs w:val="20"/>
        </w:rPr>
        <w:t xml:space="preserve"> knock detection and </w:t>
      </w:r>
      <w:r w:rsidR="00734E24">
        <w:rPr>
          <w:rFonts w:eastAsia="Times New Roman"/>
          <w:b w:val="0"/>
          <w:bCs w:val="0"/>
          <w:w w:val="100"/>
          <w:sz w:val="20"/>
          <w:szCs w:val="20"/>
        </w:rPr>
        <w:t xml:space="preserve">other </w:t>
      </w:r>
      <w:r w:rsidRPr="006A6AB4">
        <w:rPr>
          <w:rFonts w:eastAsia="Times New Roman"/>
          <w:b w:val="0"/>
          <w:bCs w:val="0"/>
          <w:w w:val="100"/>
          <w:sz w:val="20"/>
          <w:szCs w:val="20"/>
        </w:rPr>
        <w:t xml:space="preserve">conventional cylinder </w:t>
      </w:r>
      <w:r w:rsidR="002B00F4" w:rsidRPr="006A6AB4">
        <w:rPr>
          <w:rFonts w:eastAsia="Times New Roman"/>
          <w:b w:val="0"/>
          <w:bCs w:val="0"/>
          <w:w w:val="100"/>
          <w:sz w:val="20"/>
          <w:szCs w:val="20"/>
        </w:rPr>
        <w:t>pressure-based</w:t>
      </w:r>
      <w:r w:rsidRPr="006A6AB4">
        <w:rPr>
          <w:rFonts w:eastAsia="Times New Roman"/>
          <w:b w:val="0"/>
          <w:bCs w:val="0"/>
          <w:w w:val="100"/>
          <w:sz w:val="20"/>
          <w:szCs w:val="20"/>
        </w:rPr>
        <w:t xml:space="preserve"> knock indicators for an engine with pre-chamber ignition system. KI2 method is identified as a potential </w:t>
      </w:r>
      <w:r w:rsidR="00D10BD9">
        <w:rPr>
          <w:rFonts w:eastAsia="Times New Roman"/>
          <w:b w:val="0"/>
          <w:bCs w:val="0"/>
          <w:w w:val="100"/>
          <w:sz w:val="20"/>
          <w:szCs w:val="20"/>
        </w:rPr>
        <w:t xml:space="preserve">cylinder </w:t>
      </w:r>
      <w:proofErr w:type="gramStart"/>
      <w:r w:rsidR="00D10BD9">
        <w:rPr>
          <w:rFonts w:eastAsia="Times New Roman"/>
          <w:b w:val="0"/>
          <w:bCs w:val="0"/>
          <w:w w:val="100"/>
          <w:sz w:val="20"/>
          <w:szCs w:val="20"/>
        </w:rPr>
        <w:t>pressure based</w:t>
      </w:r>
      <w:proofErr w:type="gramEnd"/>
      <w:r w:rsidR="00D10BD9">
        <w:rPr>
          <w:rFonts w:eastAsia="Times New Roman"/>
          <w:b w:val="0"/>
          <w:bCs w:val="0"/>
          <w:w w:val="100"/>
          <w:sz w:val="20"/>
          <w:szCs w:val="20"/>
        </w:rPr>
        <w:t xml:space="preserve"> </w:t>
      </w:r>
      <w:r w:rsidR="00255ABC">
        <w:rPr>
          <w:rFonts w:eastAsia="Times New Roman"/>
          <w:b w:val="0"/>
          <w:bCs w:val="0"/>
          <w:w w:val="100"/>
          <w:sz w:val="20"/>
          <w:szCs w:val="20"/>
        </w:rPr>
        <w:t>knock detection method for pre-chamber ignition engine</w:t>
      </w:r>
      <w:r w:rsidRPr="006A6AB4">
        <w:rPr>
          <w:rFonts w:eastAsia="Times New Roman"/>
          <w:b w:val="0"/>
          <w:bCs w:val="0"/>
          <w:w w:val="100"/>
          <w:sz w:val="20"/>
          <w:szCs w:val="20"/>
        </w:rPr>
        <w:t xml:space="preserve"> </w:t>
      </w:r>
      <w:r w:rsidR="008C40BF">
        <w:rPr>
          <w:rFonts w:eastAsia="Times New Roman"/>
          <w:b w:val="0"/>
          <w:bCs w:val="0"/>
          <w:w w:val="100"/>
          <w:sz w:val="20"/>
          <w:szCs w:val="20"/>
        </w:rPr>
        <w:t>and this knock index</w:t>
      </w:r>
      <w:r w:rsidRPr="006A6AB4">
        <w:rPr>
          <w:rFonts w:eastAsia="Times New Roman"/>
          <w:b w:val="0"/>
          <w:bCs w:val="0"/>
          <w:w w:val="100"/>
          <w:sz w:val="20"/>
          <w:szCs w:val="20"/>
        </w:rPr>
        <w:t xml:space="preserve"> eliminate</w:t>
      </w:r>
      <w:r w:rsidR="008C40BF">
        <w:rPr>
          <w:rFonts w:eastAsia="Times New Roman"/>
          <w:b w:val="0"/>
          <w:bCs w:val="0"/>
          <w:w w:val="100"/>
          <w:sz w:val="20"/>
          <w:szCs w:val="20"/>
        </w:rPr>
        <w:t>s</w:t>
      </w:r>
      <w:r w:rsidRPr="006A6AB4">
        <w:rPr>
          <w:rFonts w:eastAsia="Times New Roman"/>
          <w:b w:val="0"/>
          <w:bCs w:val="0"/>
          <w:w w:val="100"/>
          <w:sz w:val="20"/>
          <w:szCs w:val="20"/>
        </w:rPr>
        <w:t xml:space="preserve"> influence of pre-chamber jet oscillations on knock </w:t>
      </w:r>
      <w:r w:rsidR="003557F4">
        <w:rPr>
          <w:rFonts w:eastAsia="Times New Roman"/>
          <w:b w:val="0"/>
          <w:bCs w:val="0"/>
          <w:w w:val="100"/>
          <w:sz w:val="20"/>
          <w:szCs w:val="20"/>
        </w:rPr>
        <w:t>detection</w:t>
      </w:r>
      <w:r w:rsidRPr="006A6AB4">
        <w:rPr>
          <w:rFonts w:eastAsia="Times New Roman"/>
          <w:b w:val="0"/>
          <w:bCs w:val="0"/>
          <w:w w:val="100"/>
          <w:sz w:val="20"/>
          <w:szCs w:val="20"/>
        </w:rPr>
        <w:t xml:space="preserve">. </w:t>
      </w:r>
      <w:r w:rsidR="002B00F4">
        <w:rPr>
          <w:rFonts w:eastAsia="Times New Roman"/>
          <w:b w:val="0"/>
          <w:bCs w:val="0"/>
          <w:w w:val="100"/>
          <w:sz w:val="20"/>
          <w:szCs w:val="20"/>
        </w:rPr>
        <w:t>T</w:t>
      </w:r>
      <w:r w:rsidRPr="006A6AB4">
        <w:rPr>
          <w:rFonts w:eastAsia="Times New Roman"/>
          <w:b w:val="0"/>
          <w:bCs w:val="0"/>
          <w:w w:val="100"/>
          <w:sz w:val="20"/>
          <w:szCs w:val="20"/>
        </w:rPr>
        <w:t xml:space="preserve">his knock analysis was done as a </w:t>
      </w:r>
      <w:proofErr w:type="spellStart"/>
      <w:r w:rsidRPr="006A6AB4">
        <w:rPr>
          <w:rFonts w:eastAsia="Times New Roman"/>
          <w:b w:val="0"/>
          <w:bCs w:val="0"/>
          <w:w w:val="100"/>
          <w:sz w:val="20"/>
          <w:szCs w:val="20"/>
        </w:rPr>
        <w:t>post test</w:t>
      </w:r>
      <w:proofErr w:type="spellEnd"/>
      <w:r w:rsidRPr="006A6AB4">
        <w:rPr>
          <w:rFonts w:eastAsia="Times New Roman"/>
          <w:b w:val="0"/>
          <w:bCs w:val="0"/>
          <w:w w:val="100"/>
          <w:sz w:val="20"/>
          <w:szCs w:val="20"/>
        </w:rPr>
        <w:t xml:space="preserve"> analysis and was not implemented as live </w:t>
      </w:r>
      <w:r w:rsidR="00EF30EB">
        <w:rPr>
          <w:rFonts w:eastAsia="Times New Roman"/>
          <w:b w:val="0"/>
          <w:bCs w:val="0"/>
          <w:w w:val="100"/>
          <w:sz w:val="20"/>
          <w:szCs w:val="20"/>
        </w:rPr>
        <w:t xml:space="preserve">a </w:t>
      </w:r>
      <w:r w:rsidRPr="006A6AB4">
        <w:rPr>
          <w:rFonts w:eastAsia="Times New Roman"/>
          <w:b w:val="0"/>
          <w:bCs w:val="0"/>
          <w:w w:val="100"/>
          <w:sz w:val="20"/>
          <w:szCs w:val="20"/>
        </w:rPr>
        <w:t>knock detection strategy. Because</w:t>
      </w:r>
      <w:r w:rsidR="006771C7">
        <w:rPr>
          <w:rFonts w:eastAsia="Times New Roman"/>
          <w:b w:val="0"/>
          <w:bCs w:val="0"/>
          <w:w w:val="100"/>
          <w:sz w:val="20"/>
          <w:szCs w:val="20"/>
        </w:rPr>
        <w:t xml:space="preserve"> </w:t>
      </w:r>
      <w:r w:rsidRPr="006A6AB4">
        <w:rPr>
          <w:rFonts w:eastAsia="Times New Roman"/>
          <w:b w:val="0"/>
          <w:bCs w:val="0"/>
          <w:w w:val="100"/>
          <w:sz w:val="20"/>
          <w:szCs w:val="20"/>
        </w:rPr>
        <w:t xml:space="preserve">cylinder </w:t>
      </w:r>
      <w:r w:rsidR="002B00F4" w:rsidRPr="006A6AB4">
        <w:rPr>
          <w:rFonts w:eastAsia="Times New Roman"/>
          <w:b w:val="0"/>
          <w:bCs w:val="0"/>
          <w:w w:val="100"/>
          <w:sz w:val="20"/>
          <w:szCs w:val="20"/>
        </w:rPr>
        <w:t>pressure-based</w:t>
      </w:r>
      <w:r w:rsidRPr="006A6AB4">
        <w:rPr>
          <w:rFonts w:eastAsia="Times New Roman"/>
          <w:b w:val="0"/>
          <w:bCs w:val="0"/>
          <w:w w:val="100"/>
          <w:sz w:val="20"/>
          <w:szCs w:val="20"/>
        </w:rPr>
        <w:t xml:space="preserve"> knock detection</w:t>
      </w:r>
      <w:r w:rsidR="006771C7">
        <w:rPr>
          <w:rFonts w:eastAsia="Times New Roman"/>
          <w:b w:val="0"/>
          <w:bCs w:val="0"/>
          <w:w w:val="100"/>
          <w:sz w:val="20"/>
          <w:szCs w:val="20"/>
        </w:rPr>
        <w:t xml:space="preserve"> </w:t>
      </w:r>
      <w:r w:rsidRPr="006A6AB4">
        <w:rPr>
          <w:rFonts w:eastAsia="Times New Roman"/>
          <w:b w:val="0"/>
          <w:bCs w:val="0"/>
          <w:w w:val="100"/>
          <w:sz w:val="20"/>
          <w:szCs w:val="20"/>
        </w:rPr>
        <w:t xml:space="preserve">requires ECU </w:t>
      </w:r>
      <w:r w:rsidR="00C514EA">
        <w:rPr>
          <w:rFonts w:eastAsia="Times New Roman"/>
          <w:b w:val="0"/>
          <w:bCs w:val="0"/>
          <w:w w:val="100"/>
          <w:sz w:val="20"/>
          <w:szCs w:val="20"/>
        </w:rPr>
        <w:t>upgrade</w:t>
      </w:r>
      <w:r w:rsidRPr="006A6AB4">
        <w:rPr>
          <w:rFonts w:eastAsia="Times New Roman"/>
          <w:b w:val="0"/>
          <w:bCs w:val="0"/>
          <w:w w:val="100"/>
          <w:sz w:val="20"/>
          <w:szCs w:val="20"/>
        </w:rPr>
        <w:t xml:space="preserve"> to include additional channels for pressure sensors</w:t>
      </w:r>
      <w:r w:rsidR="006771C7">
        <w:rPr>
          <w:rFonts w:eastAsia="Times New Roman"/>
          <w:b w:val="0"/>
          <w:bCs w:val="0"/>
          <w:w w:val="100"/>
          <w:sz w:val="20"/>
          <w:szCs w:val="20"/>
        </w:rPr>
        <w:t xml:space="preserve">. </w:t>
      </w:r>
      <w:r w:rsidR="00A17DC3">
        <w:rPr>
          <w:rFonts w:eastAsia="Times New Roman"/>
          <w:b w:val="0"/>
          <w:bCs w:val="0"/>
          <w:w w:val="100"/>
          <w:sz w:val="20"/>
          <w:szCs w:val="20"/>
        </w:rPr>
        <w:t>The main difficulty</w:t>
      </w:r>
      <w:r w:rsidR="00E61485">
        <w:rPr>
          <w:rFonts w:eastAsia="Times New Roman"/>
          <w:b w:val="0"/>
          <w:bCs w:val="0"/>
          <w:w w:val="100"/>
          <w:sz w:val="20"/>
          <w:szCs w:val="20"/>
        </w:rPr>
        <w:t xml:space="preserve"> is</w:t>
      </w:r>
      <w:r w:rsidR="00A17DC3">
        <w:rPr>
          <w:rFonts w:eastAsia="Times New Roman"/>
          <w:b w:val="0"/>
          <w:bCs w:val="0"/>
          <w:w w:val="100"/>
          <w:sz w:val="20"/>
          <w:szCs w:val="20"/>
        </w:rPr>
        <w:t xml:space="preserve"> </w:t>
      </w:r>
      <w:r w:rsidR="00E61485">
        <w:rPr>
          <w:rFonts w:eastAsia="Times New Roman"/>
          <w:b w:val="0"/>
          <w:bCs w:val="0"/>
          <w:w w:val="100"/>
          <w:sz w:val="20"/>
          <w:szCs w:val="20"/>
        </w:rPr>
        <w:t xml:space="preserve">piezoelectric </w:t>
      </w:r>
      <w:r w:rsidR="00A17DC3">
        <w:rPr>
          <w:rFonts w:eastAsia="Times New Roman"/>
          <w:b w:val="0"/>
          <w:bCs w:val="0"/>
          <w:w w:val="100"/>
          <w:sz w:val="20"/>
          <w:szCs w:val="20"/>
        </w:rPr>
        <w:t>pressure sensor</w:t>
      </w:r>
      <w:r w:rsidR="00E61485">
        <w:rPr>
          <w:rFonts w:eastAsia="Times New Roman"/>
          <w:b w:val="0"/>
          <w:bCs w:val="0"/>
          <w:w w:val="100"/>
          <w:sz w:val="20"/>
          <w:szCs w:val="20"/>
        </w:rPr>
        <w:t xml:space="preserve"> outputs </w:t>
      </w:r>
      <w:r w:rsidR="00EF30EB">
        <w:rPr>
          <w:rFonts w:eastAsia="Times New Roman"/>
          <w:b w:val="0"/>
          <w:bCs w:val="0"/>
          <w:w w:val="100"/>
          <w:sz w:val="20"/>
          <w:szCs w:val="20"/>
        </w:rPr>
        <w:t xml:space="preserve">a </w:t>
      </w:r>
      <w:r w:rsidR="00E61485">
        <w:rPr>
          <w:rFonts w:eastAsia="Times New Roman"/>
          <w:b w:val="0"/>
          <w:bCs w:val="0"/>
          <w:w w:val="100"/>
          <w:sz w:val="20"/>
          <w:szCs w:val="20"/>
        </w:rPr>
        <w:t>very low voltage signal</w:t>
      </w:r>
      <w:r w:rsidR="00A17DC3">
        <w:rPr>
          <w:rFonts w:eastAsia="Times New Roman"/>
          <w:b w:val="0"/>
          <w:bCs w:val="0"/>
          <w:w w:val="100"/>
          <w:sz w:val="20"/>
          <w:szCs w:val="20"/>
        </w:rPr>
        <w:t xml:space="preserve"> and it requires an </w:t>
      </w:r>
      <w:r w:rsidR="00E61485">
        <w:rPr>
          <w:rFonts w:eastAsia="Times New Roman"/>
          <w:b w:val="0"/>
          <w:bCs w:val="0"/>
          <w:w w:val="100"/>
          <w:sz w:val="20"/>
          <w:szCs w:val="20"/>
        </w:rPr>
        <w:t>a</w:t>
      </w:r>
      <w:r w:rsidR="00A17DC3">
        <w:rPr>
          <w:rFonts w:eastAsia="Times New Roman"/>
          <w:b w:val="0"/>
          <w:bCs w:val="0"/>
          <w:w w:val="100"/>
          <w:sz w:val="20"/>
          <w:szCs w:val="20"/>
        </w:rPr>
        <w:t>mplifier to boost signal</w:t>
      </w:r>
      <w:r w:rsidR="00D274C9">
        <w:rPr>
          <w:rFonts w:eastAsia="Times New Roman"/>
          <w:b w:val="0"/>
          <w:bCs w:val="0"/>
          <w:w w:val="100"/>
          <w:sz w:val="20"/>
          <w:szCs w:val="20"/>
        </w:rPr>
        <w:t>s</w:t>
      </w:r>
      <w:r w:rsidR="00A17DC3">
        <w:rPr>
          <w:rFonts w:eastAsia="Times New Roman"/>
          <w:b w:val="0"/>
          <w:bCs w:val="0"/>
          <w:w w:val="100"/>
          <w:sz w:val="20"/>
          <w:szCs w:val="20"/>
        </w:rPr>
        <w:t xml:space="preserve"> prior to </w:t>
      </w:r>
      <w:r w:rsidR="00D274C9">
        <w:rPr>
          <w:rFonts w:eastAsia="Times New Roman"/>
          <w:b w:val="0"/>
          <w:bCs w:val="0"/>
          <w:w w:val="100"/>
          <w:sz w:val="20"/>
          <w:szCs w:val="20"/>
        </w:rPr>
        <w:t>reach</w:t>
      </w:r>
      <w:r w:rsidR="00A17DC3">
        <w:rPr>
          <w:rFonts w:eastAsia="Times New Roman"/>
          <w:b w:val="0"/>
          <w:bCs w:val="0"/>
          <w:w w:val="100"/>
          <w:sz w:val="20"/>
          <w:szCs w:val="20"/>
        </w:rPr>
        <w:t xml:space="preserve"> ECU</w:t>
      </w:r>
      <w:r w:rsidR="0067084A">
        <w:rPr>
          <w:rFonts w:eastAsia="Times New Roman"/>
          <w:b w:val="0"/>
          <w:bCs w:val="0"/>
          <w:w w:val="100"/>
          <w:sz w:val="20"/>
          <w:szCs w:val="20"/>
        </w:rPr>
        <w:t xml:space="preserve">. </w:t>
      </w:r>
      <w:r w:rsidR="00CF4DB6">
        <w:rPr>
          <w:rFonts w:eastAsia="Times New Roman"/>
          <w:b w:val="0"/>
          <w:bCs w:val="0"/>
          <w:w w:val="100"/>
          <w:sz w:val="20"/>
          <w:szCs w:val="20"/>
        </w:rPr>
        <w:t>W</w:t>
      </w:r>
      <w:r w:rsidR="00C514EA">
        <w:rPr>
          <w:rFonts w:eastAsia="Times New Roman"/>
          <w:b w:val="0"/>
          <w:bCs w:val="0"/>
          <w:w w:val="100"/>
          <w:sz w:val="20"/>
          <w:szCs w:val="20"/>
        </w:rPr>
        <w:t xml:space="preserve">ith external amplifiers like AVL </w:t>
      </w:r>
      <w:proofErr w:type="spellStart"/>
      <w:r w:rsidR="00C514EA">
        <w:rPr>
          <w:rFonts w:eastAsia="Times New Roman"/>
          <w:b w:val="0"/>
          <w:bCs w:val="0"/>
          <w:w w:val="100"/>
          <w:sz w:val="20"/>
          <w:szCs w:val="20"/>
        </w:rPr>
        <w:t>Min</w:t>
      </w:r>
      <w:r w:rsidR="00E105E3">
        <w:rPr>
          <w:rFonts w:eastAsia="Times New Roman"/>
          <w:b w:val="0"/>
          <w:bCs w:val="0"/>
          <w:w w:val="100"/>
          <w:sz w:val="20"/>
          <w:szCs w:val="20"/>
        </w:rPr>
        <w:t>i</w:t>
      </w:r>
      <w:r w:rsidR="00C514EA">
        <w:rPr>
          <w:rFonts w:eastAsia="Times New Roman"/>
          <w:b w:val="0"/>
          <w:bCs w:val="0"/>
          <w:w w:val="100"/>
          <w:sz w:val="20"/>
          <w:szCs w:val="20"/>
        </w:rPr>
        <w:t>Amp</w:t>
      </w:r>
      <w:proofErr w:type="spellEnd"/>
      <w:r w:rsidR="00EE4A12">
        <w:rPr>
          <w:rFonts w:eastAsia="Times New Roman"/>
          <w:b w:val="0"/>
          <w:bCs w:val="0"/>
          <w:w w:val="100"/>
          <w:sz w:val="20"/>
          <w:szCs w:val="20"/>
        </w:rPr>
        <w:t xml:space="preserve"> [16]</w:t>
      </w:r>
      <w:r w:rsidR="00C514EA">
        <w:rPr>
          <w:rFonts w:eastAsia="Times New Roman"/>
          <w:b w:val="0"/>
          <w:bCs w:val="0"/>
          <w:w w:val="100"/>
          <w:sz w:val="20"/>
          <w:szCs w:val="20"/>
        </w:rPr>
        <w:t xml:space="preserve">, pressure sensors can be connected to ECU </w:t>
      </w:r>
      <w:r w:rsidR="00CF4DB6">
        <w:rPr>
          <w:rFonts w:eastAsia="Times New Roman"/>
          <w:b w:val="0"/>
          <w:bCs w:val="0"/>
          <w:w w:val="100"/>
          <w:sz w:val="20"/>
          <w:szCs w:val="20"/>
        </w:rPr>
        <w:t>using existing analog input channels</w:t>
      </w:r>
      <w:r w:rsidR="00C514EA">
        <w:rPr>
          <w:rFonts w:eastAsia="Times New Roman"/>
          <w:b w:val="0"/>
          <w:bCs w:val="0"/>
          <w:w w:val="100"/>
          <w:sz w:val="20"/>
          <w:szCs w:val="20"/>
        </w:rPr>
        <w:t xml:space="preserve">. </w:t>
      </w:r>
      <w:r w:rsidRPr="006A6AB4">
        <w:rPr>
          <w:rFonts w:eastAsia="Times New Roman"/>
          <w:b w:val="0"/>
          <w:bCs w:val="0"/>
          <w:w w:val="100"/>
          <w:sz w:val="20"/>
          <w:szCs w:val="20"/>
        </w:rPr>
        <w:t>Implementation of KI2 also require</w:t>
      </w:r>
      <w:r w:rsidR="004724AC">
        <w:rPr>
          <w:rFonts w:eastAsia="Times New Roman"/>
          <w:b w:val="0"/>
          <w:bCs w:val="0"/>
          <w:w w:val="100"/>
          <w:sz w:val="20"/>
          <w:szCs w:val="20"/>
        </w:rPr>
        <w:t>s</w:t>
      </w:r>
      <w:r w:rsidRPr="006A6AB4">
        <w:rPr>
          <w:rFonts w:eastAsia="Times New Roman"/>
          <w:b w:val="0"/>
          <w:bCs w:val="0"/>
          <w:w w:val="100"/>
          <w:sz w:val="20"/>
          <w:szCs w:val="20"/>
        </w:rPr>
        <w:t xml:space="preserve"> simultaneous heat release calculation</w:t>
      </w:r>
      <w:r w:rsidR="004724AC">
        <w:rPr>
          <w:rFonts w:eastAsia="Times New Roman"/>
          <w:b w:val="0"/>
          <w:bCs w:val="0"/>
          <w:w w:val="100"/>
          <w:sz w:val="20"/>
          <w:szCs w:val="20"/>
        </w:rPr>
        <w:t>s which</w:t>
      </w:r>
      <w:r w:rsidRPr="006A6AB4">
        <w:rPr>
          <w:rFonts w:eastAsia="Times New Roman"/>
          <w:b w:val="0"/>
          <w:bCs w:val="0"/>
          <w:w w:val="100"/>
          <w:sz w:val="20"/>
          <w:szCs w:val="20"/>
        </w:rPr>
        <w:t xml:space="preserve"> results in more calculation per cycle.</w:t>
      </w:r>
      <w:r w:rsidR="006771C7" w:rsidRPr="006771C7">
        <w:rPr>
          <w:rFonts w:eastAsia="Times New Roman"/>
          <w:b w:val="0"/>
          <w:bCs w:val="0"/>
          <w:w w:val="100"/>
          <w:sz w:val="20"/>
          <w:szCs w:val="20"/>
        </w:rPr>
        <w:t xml:space="preserve"> </w:t>
      </w:r>
      <w:r w:rsidR="0067084A">
        <w:rPr>
          <w:rFonts w:eastAsia="Times New Roman"/>
          <w:b w:val="0"/>
          <w:bCs w:val="0"/>
          <w:w w:val="100"/>
          <w:sz w:val="20"/>
          <w:szCs w:val="20"/>
        </w:rPr>
        <w:t>I</w:t>
      </w:r>
      <w:r w:rsidR="00734E24">
        <w:rPr>
          <w:rFonts w:eastAsia="Times New Roman"/>
          <w:b w:val="0"/>
          <w:bCs w:val="0"/>
          <w:w w:val="100"/>
          <w:sz w:val="20"/>
          <w:szCs w:val="20"/>
        </w:rPr>
        <w:t xml:space="preserve">mplementation of KI2 for live knock detection is planned as </w:t>
      </w:r>
      <w:r w:rsidR="006771C7">
        <w:rPr>
          <w:rFonts w:eastAsia="Times New Roman"/>
          <w:b w:val="0"/>
          <w:bCs w:val="0"/>
          <w:w w:val="100"/>
          <w:sz w:val="20"/>
          <w:szCs w:val="20"/>
        </w:rPr>
        <w:t xml:space="preserve">a </w:t>
      </w:r>
      <w:r w:rsidR="00734E24">
        <w:rPr>
          <w:rFonts w:eastAsia="Times New Roman"/>
          <w:b w:val="0"/>
          <w:bCs w:val="0"/>
          <w:w w:val="100"/>
          <w:sz w:val="20"/>
          <w:szCs w:val="20"/>
        </w:rPr>
        <w:t xml:space="preserve">future work with the required hardware </w:t>
      </w:r>
      <w:r w:rsidR="00EE4A12">
        <w:rPr>
          <w:rFonts w:eastAsia="Times New Roman"/>
          <w:b w:val="0"/>
          <w:bCs w:val="0"/>
          <w:w w:val="100"/>
          <w:sz w:val="20"/>
          <w:szCs w:val="20"/>
        </w:rPr>
        <w:t>upgradation</w:t>
      </w:r>
      <w:r w:rsidR="00734E24">
        <w:rPr>
          <w:rFonts w:eastAsia="Times New Roman"/>
          <w:b w:val="0"/>
          <w:bCs w:val="0"/>
          <w:w w:val="100"/>
          <w:sz w:val="20"/>
          <w:szCs w:val="20"/>
        </w:rPr>
        <w:t xml:space="preserve">. </w:t>
      </w:r>
    </w:p>
    <w:p w14:paraId="17F52BB6" w14:textId="77777777" w:rsidR="00583512" w:rsidRDefault="00583512" w:rsidP="00733DE9">
      <w:pPr>
        <w:pStyle w:val="BodyText"/>
      </w:pPr>
    </w:p>
    <w:p w14:paraId="339AA256" w14:textId="77777777" w:rsidR="00583512" w:rsidRDefault="006B1410">
      <w:pPr>
        <w:spacing w:before="130"/>
        <w:ind w:left="120"/>
        <w:jc w:val="both"/>
        <w:rPr>
          <w:rFonts w:ascii="Arial"/>
          <w:b/>
          <w:sz w:val="19"/>
        </w:rPr>
      </w:pPr>
      <w:bookmarkStart w:id="5" w:name="_bookmark1"/>
      <w:bookmarkEnd w:id="5"/>
      <w:r>
        <w:rPr>
          <w:rFonts w:ascii="Arial"/>
          <w:b/>
          <w:sz w:val="19"/>
        </w:rPr>
        <w:t>References</w:t>
      </w:r>
    </w:p>
    <w:p w14:paraId="4E528014" w14:textId="77777777" w:rsidR="00583512" w:rsidRDefault="006B1410"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733DE9">
        <w:rPr>
          <w:sz w:val="20"/>
          <w:szCs w:val="20"/>
        </w:rPr>
        <w:t xml:space="preserve">FIA </w:t>
      </w:r>
      <w:r w:rsidRPr="00733DE9">
        <w:rPr>
          <w:spacing w:val="-3"/>
          <w:sz w:val="20"/>
          <w:szCs w:val="20"/>
        </w:rPr>
        <w:t xml:space="preserve">Formula </w:t>
      </w:r>
      <w:r w:rsidRPr="00733DE9">
        <w:rPr>
          <w:sz w:val="20"/>
          <w:szCs w:val="20"/>
        </w:rPr>
        <w:t xml:space="preserve">one world championship regulations, 2018, </w:t>
      </w:r>
      <w:hyperlink r:id="rId41">
        <w:r w:rsidRPr="00BB69C2">
          <w:rPr>
            <w:color w:val="000000" w:themeColor="text1"/>
            <w:sz w:val="20"/>
            <w:szCs w:val="20"/>
          </w:rPr>
          <w:t>https://www.fia.com/regulation/category/</w:t>
        </w:r>
      </w:hyperlink>
      <w:bookmarkStart w:id="6" w:name="_bookmark3"/>
      <w:bookmarkEnd w:id="6"/>
      <w:r w:rsidRPr="00BB69C2">
        <w:rPr>
          <w:color w:val="000000" w:themeColor="text1"/>
          <w:sz w:val="20"/>
          <w:szCs w:val="20"/>
        </w:rPr>
        <w:fldChar w:fldCharType="begin"/>
      </w:r>
      <w:r w:rsidRPr="00BB69C2">
        <w:rPr>
          <w:color w:val="000000" w:themeColor="text1"/>
          <w:sz w:val="20"/>
          <w:szCs w:val="20"/>
        </w:rPr>
        <w:instrText xml:space="preserve"> HYPERLINK "https://www.fia.com/regulation/category/110" \h </w:instrText>
      </w:r>
      <w:r w:rsidRPr="00BB69C2">
        <w:rPr>
          <w:color w:val="000000" w:themeColor="text1"/>
          <w:sz w:val="20"/>
          <w:szCs w:val="20"/>
        </w:rPr>
        <w:fldChar w:fldCharType="separate"/>
      </w:r>
      <w:r w:rsidRPr="00BB69C2">
        <w:rPr>
          <w:color w:val="000000" w:themeColor="text1"/>
          <w:sz w:val="20"/>
          <w:szCs w:val="20"/>
        </w:rPr>
        <w:t>110</w:t>
      </w:r>
      <w:r w:rsidRPr="00BB69C2">
        <w:rPr>
          <w:color w:val="000000" w:themeColor="text1"/>
          <w:sz w:val="20"/>
          <w:szCs w:val="20"/>
        </w:rPr>
        <w:fldChar w:fldCharType="end"/>
      </w:r>
      <w:r w:rsidRPr="00BB69C2">
        <w:rPr>
          <w:color w:val="000000" w:themeColor="text1"/>
          <w:sz w:val="20"/>
          <w:szCs w:val="20"/>
        </w:rPr>
        <w:t>.</w:t>
      </w:r>
    </w:p>
    <w:p w14:paraId="4E085A01" w14:textId="77777777" w:rsidR="0071316F" w:rsidRDefault="0071316F"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71316F">
        <w:rPr>
          <w:color w:val="000000" w:themeColor="text1"/>
          <w:sz w:val="20"/>
          <w:szCs w:val="20"/>
        </w:rPr>
        <w:t xml:space="preserve">Toulson, E., </w:t>
      </w:r>
      <w:proofErr w:type="spellStart"/>
      <w:r w:rsidRPr="0071316F">
        <w:rPr>
          <w:color w:val="000000" w:themeColor="text1"/>
          <w:sz w:val="20"/>
          <w:szCs w:val="20"/>
        </w:rPr>
        <w:t>Schock</w:t>
      </w:r>
      <w:proofErr w:type="spellEnd"/>
      <w:r w:rsidRPr="0071316F">
        <w:rPr>
          <w:color w:val="000000" w:themeColor="text1"/>
          <w:sz w:val="20"/>
          <w:szCs w:val="20"/>
        </w:rPr>
        <w:t xml:space="preserve">, H., and Attard, W., "A Review of Pre-Chamber Initiated Jet Ignition Combustion Systems," SAE Technical Paper 2010-01-2263, 2010, </w:t>
      </w:r>
      <w:r w:rsidRPr="0071316F">
        <w:rPr>
          <w:rStyle w:val="Hyperlink"/>
          <w:sz w:val="20"/>
          <w:szCs w:val="20"/>
        </w:rPr>
        <w:t>https://doi.org/10.4271/2010-01-2263</w:t>
      </w:r>
      <w:r w:rsidRPr="0071316F">
        <w:rPr>
          <w:color w:val="000000" w:themeColor="text1"/>
          <w:sz w:val="20"/>
          <w:szCs w:val="20"/>
        </w:rPr>
        <w:t>.</w:t>
      </w:r>
    </w:p>
    <w:p w14:paraId="3171B0EE" w14:textId="77777777" w:rsidR="0041756E" w:rsidRPr="000F0E69" w:rsidRDefault="0041756E" w:rsidP="00BB69C2">
      <w:pPr>
        <w:pStyle w:val="ListParagraph"/>
        <w:numPr>
          <w:ilvl w:val="0"/>
          <w:numId w:val="1"/>
        </w:numPr>
        <w:tabs>
          <w:tab w:val="left" w:pos="445"/>
        </w:tabs>
        <w:spacing w:before="129" w:line="360" w:lineRule="auto"/>
        <w:ind w:right="0" w:hanging="234"/>
        <w:jc w:val="left"/>
        <w:rPr>
          <w:rStyle w:val="Hyperlink"/>
          <w:color w:val="000000" w:themeColor="text1"/>
          <w:sz w:val="20"/>
          <w:szCs w:val="20"/>
          <w:u w:val="none"/>
        </w:rPr>
      </w:pPr>
      <w:proofErr w:type="spellStart"/>
      <w:r w:rsidRPr="0041756E">
        <w:rPr>
          <w:color w:val="000000" w:themeColor="text1"/>
          <w:sz w:val="20"/>
          <w:szCs w:val="20"/>
        </w:rPr>
        <w:t>Palakunnummal</w:t>
      </w:r>
      <w:proofErr w:type="spellEnd"/>
      <w:r w:rsidRPr="0041756E">
        <w:rPr>
          <w:color w:val="000000" w:themeColor="text1"/>
          <w:sz w:val="20"/>
          <w:szCs w:val="20"/>
        </w:rPr>
        <w:t>, M. F., Sahu, P., Ellis, M., and Nazha, M. (July 9, 2020). "Simulation Aided Development of Pre-Chamber Ignition System for a Lean-Burn Gasoline Direct Injection Motor-Sport Engine." ASME. </w:t>
      </w:r>
      <w:r w:rsidRPr="0041756E">
        <w:rPr>
          <w:i/>
          <w:iCs/>
          <w:color w:val="000000" w:themeColor="text1"/>
          <w:sz w:val="20"/>
          <w:szCs w:val="20"/>
        </w:rPr>
        <w:t>J. Eng. Gas Turbines Power</w:t>
      </w:r>
      <w:r w:rsidRPr="0041756E">
        <w:rPr>
          <w:color w:val="000000" w:themeColor="text1"/>
          <w:sz w:val="20"/>
          <w:szCs w:val="20"/>
        </w:rPr>
        <w:t xml:space="preserve">. </w:t>
      </w:r>
      <w:proofErr w:type="spellStart"/>
      <w:r w:rsidRPr="0041756E">
        <w:rPr>
          <w:color w:val="000000" w:themeColor="text1"/>
          <w:sz w:val="20"/>
          <w:szCs w:val="20"/>
        </w:rPr>
        <w:t>doi</w:t>
      </w:r>
      <w:proofErr w:type="spellEnd"/>
      <w:r w:rsidRPr="0041756E">
        <w:rPr>
          <w:color w:val="000000" w:themeColor="text1"/>
          <w:sz w:val="20"/>
          <w:szCs w:val="20"/>
        </w:rPr>
        <w:t>: </w:t>
      </w:r>
      <w:hyperlink r:id="rId42" w:tgtFrame="_blank" w:history="1">
        <w:r w:rsidRPr="0041756E">
          <w:rPr>
            <w:rStyle w:val="Hyperlink"/>
            <w:sz w:val="20"/>
            <w:szCs w:val="20"/>
          </w:rPr>
          <w:t>https://doi.org/10.1115/1.4047767</w:t>
        </w:r>
      </w:hyperlink>
      <w:r w:rsidR="000F0E69">
        <w:rPr>
          <w:rStyle w:val="Hyperlink"/>
          <w:sz w:val="20"/>
          <w:szCs w:val="20"/>
        </w:rPr>
        <w:t>.</w:t>
      </w:r>
    </w:p>
    <w:p w14:paraId="719D68C2" w14:textId="77777777" w:rsidR="000F0E69" w:rsidRPr="000F0E69" w:rsidRDefault="000F0E69" w:rsidP="00BB69C2">
      <w:pPr>
        <w:pStyle w:val="ListParagraph"/>
        <w:numPr>
          <w:ilvl w:val="0"/>
          <w:numId w:val="1"/>
        </w:numPr>
        <w:tabs>
          <w:tab w:val="left" w:pos="445"/>
        </w:tabs>
        <w:spacing w:before="129" w:line="360" w:lineRule="auto"/>
        <w:ind w:right="0" w:hanging="234"/>
        <w:jc w:val="left"/>
        <w:rPr>
          <w:rStyle w:val="Hyperlink"/>
          <w:color w:val="000000" w:themeColor="text1"/>
          <w:sz w:val="20"/>
          <w:szCs w:val="20"/>
          <w:u w:val="none"/>
        </w:rPr>
      </w:pPr>
      <w:proofErr w:type="spellStart"/>
      <w:r w:rsidRPr="000F0E69">
        <w:rPr>
          <w:color w:val="000000" w:themeColor="text1"/>
          <w:sz w:val="20"/>
          <w:szCs w:val="20"/>
        </w:rPr>
        <w:t>Couet</w:t>
      </w:r>
      <w:proofErr w:type="spellEnd"/>
      <w:r w:rsidRPr="000F0E69">
        <w:rPr>
          <w:color w:val="000000" w:themeColor="text1"/>
          <w:sz w:val="20"/>
          <w:szCs w:val="20"/>
        </w:rPr>
        <w:t xml:space="preserve">, S., </w:t>
      </w:r>
      <w:proofErr w:type="spellStart"/>
      <w:r w:rsidRPr="000F0E69">
        <w:rPr>
          <w:color w:val="000000" w:themeColor="text1"/>
          <w:sz w:val="20"/>
          <w:szCs w:val="20"/>
        </w:rPr>
        <w:t>Higelin</w:t>
      </w:r>
      <w:proofErr w:type="spellEnd"/>
      <w:r w:rsidRPr="000F0E69">
        <w:rPr>
          <w:color w:val="000000" w:themeColor="text1"/>
          <w:sz w:val="20"/>
          <w:szCs w:val="20"/>
        </w:rPr>
        <w:t xml:space="preserve">, P., and Moreau, B., "APIR: A New Firing Concept for the Internal Combustion Engines - sensitivity to knock and in-cylinder aerodynamics," SAE Technical Paper 2001-01-1954, 2001, </w:t>
      </w:r>
      <w:hyperlink r:id="rId43" w:history="1">
        <w:r w:rsidRPr="000C1D23">
          <w:rPr>
            <w:rStyle w:val="Hyperlink"/>
            <w:sz w:val="20"/>
            <w:szCs w:val="20"/>
          </w:rPr>
          <w:t>https://doi.org/10.4271/2001-01-1954</w:t>
        </w:r>
      </w:hyperlink>
      <w:r w:rsidRPr="000F0E69">
        <w:rPr>
          <w:rStyle w:val="Hyperlink"/>
          <w:sz w:val="20"/>
          <w:szCs w:val="20"/>
        </w:rPr>
        <w:t>.</w:t>
      </w:r>
    </w:p>
    <w:p w14:paraId="3EC8D390" w14:textId="77777777" w:rsidR="000F0E69" w:rsidRDefault="000F0E69"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0F0E69">
        <w:rPr>
          <w:color w:val="000000" w:themeColor="text1"/>
          <w:sz w:val="20"/>
          <w:szCs w:val="20"/>
        </w:rPr>
        <w:t xml:space="preserve">Attard, W., </w:t>
      </w:r>
      <w:proofErr w:type="spellStart"/>
      <w:r w:rsidRPr="000F0E69">
        <w:rPr>
          <w:color w:val="000000" w:themeColor="text1"/>
          <w:sz w:val="20"/>
          <w:szCs w:val="20"/>
        </w:rPr>
        <w:t>Blaxill</w:t>
      </w:r>
      <w:proofErr w:type="spellEnd"/>
      <w:r w:rsidRPr="000F0E69">
        <w:rPr>
          <w:color w:val="000000" w:themeColor="text1"/>
          <w:sz w:val="20"/>
          <w:szCs w:val="20"/>
        </w:rPr>
        <w:t xml:space="preserve">, H., Anderson, E., and </w:t>
      </w:r>
      <w:proofErr w:type="spellStart"/>
      <w:r w:rsidRPr="000F0E69">
        <w:rPr>
          <w:color w:val="000000" w:themeColor="text1"/>
          <w:sz w:val="20"/>
          <w:szCs w:val="20"/>
        </w:rPr>
        <w:t>Litke</w:t>
      </w:r>
      <w:proofErr w:type="spellEnd"/>
      <w:r w:rsidRPr="000F0E69">
        <w:rPr>
          <w:color w:val="000000" w:themeColor="text1"/>
          <w:sz w:val="20"/>
          <w:szCs w:val="20"/>
        </w:rPr>
        <w:t xml:space="preserve">, P., "Knock Limit Extension with a Gasoline Fueled Pre-Chamber Jet Igniter in a Modern Vehicle Powertrain," SAE Int. J. Engines 5(3):1201-1215, 2012, </w:t>
      </w:r>
      <w:r w:rsidRPr="000F0E69">
        <w:rPr>
          <w:rStyle w:val="Hyperlink"/>
        </w:rPr>
        <w:t>https://doi.org/10.4271/2012-01-1143.</w:t>
      </w:r>
    </w:p>
    <w:p w14:paraId="3969032B" w14:textId="77777777" w:rsidR="00264C24" w:rsidRDefault="00264C24"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264C24">
        <w:rPr>
          <w:color w:val="000000" w:themeColor="text1"/>
          <w:sz w:val="20"/>
          <w:szCs w:val="20"/>
        </w:rPr>
        <w:t xml:space="preserve">Chun, K. M., &amp; Heywood, J. B. (1989). Characterization of knock in a spark-ignition engine. In SAE Technical Papers. </w:t>
      </w:r>
      <w:hyperlink r:id="rId44" w:history="1">
        <w:r w:rsidR="00522697" w:rsidRPr="00794BA9">
          <w:rPr>
            <w:rStyle w:val="Hyperlink"/>
            <w:sz w:val="20"/>
            <w:szCs w:val="20"/>
          </w:rPr>
          <w:t>https://doi.org/10.4271/890156</w:t>
        </w:r>
      </w:hyperlink>
      <w:r w:rsidR="00225A33">
        <w:rPr>
          <w:rStyle w:val="Hyperlink"/>
          <w:sz w:val="20"/>
          <w:szCs w:val="20"/>
        </w:rPr>
        <w:t>.</w:t>
      </w:r>
    </w:p>
    <w:p w14:paraId="0CAB69E2" w14:textId="77777777" w:rsidR="00522697" w:rsidRDefault="00522697"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522697">
        <w:rPr>
          <w:color w:val="000000" w:themeColor="text1"/>
          <w:sz w:val="20"/>
          <w:szCs w:val="20"/>
        </w:rPr>
        <w:t>Biehl, M., &amp; Meister, M. (2017). Model Based Knock Detection. In 5th International Conference on Knocking in Gasoline Engines. Springer.</w:t>
      </w:r>
    </w:p>
    <w:p w14:paraId="2709ADBD" w14:textId="77777777" w:rsidR="00D10A94" w:rsidRDefault="00D10A94"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D10A94">
        <w:rPr>
          <w:color w:val="000000" w:themeColor="text1"/>
          <w:sz w:val="20"/>
          <w:szCs w:val="20"/>
        </w:rPr>
        <w:t xml:space="preserve">Neo, G. H., &amp; Collings, N. (1997). Pressure data analysis of formula one racing engines. SAE Technical Papers, </w:t>
      </w:r>
      <w:r w:rsidRPr="00D10A94">
        <w:rPr>
          <w:color w:val="000000" w:themeColor="text1"/>
          <w:sz w:val="20"/>
          <w:szCs w:val="20"/>
        </w:rPr>
        <w:lastRenderedPageBreak/>
        <w:t xml:space="preserve">970061(412). </w:t>
      </w:r>
      <w:hyperlink r:id="rId45" w:history="1">
        <w:r w:rsidRPr="00794BA9">
          <w:rPr>
            <w:rStyle w:val="Hyperlink"/>
            <w:sz w:val="20"/>
            <w:szCs w:val="20"/>
          </w:rPr>
          <w:t>https://doi.org/10.4271/970061</w:t>
        </w:r>
      </w:hyperlink>
      <w:r>
        <w:rPr>
          <w:color w:val="000000" w:themeColor="text1"/>
          <w:sz w:val="20"/>
          <w:szCs w:val="20"/>
        </w:rPr>
        <w:t>.</w:t>
      </w:r>
    </w:p>
    <w:p w14:paraId="395AECB3" w14:textId="77777777" w:rsidR="00D10A94" w:rsidRDefault="00D10A94"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D10A94">
        <w:rPr>
          <w:color w:val="000000" w:themeColor="text1"/>
          <w:sz w:val="20"/>
          <w:szCs w:val="20"/>
        </w:rPr>
        <w:t>Randolph, A. (1994). Cylinder Pressure Based Combustion Analysis in Race Engines. SAE Technical Paper, 942487.</w:t>
      </w:r>
    </w:p>
    <w:p w14:paraId="70375BFA" w14:textId="77777777" w:rsidR="00D10A94" w:rsidRDefault="00A242B3"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A242B3">
        <w:rPr>
          <w:color w:val="000000" w:themeColor="text1"/>
          <w:sz w:val="20"/>
          <w:szCs w:val="20"/>
        </w:rPr>
        <w:t>Leppard, W. R. (1982). Individual-cylinder knock occurrence and intensity in multi</w:t>
      </w:r>
      <w:r>
        <w:rPr>
          <w:color w:val="000000" w:themeColor="text1"/>
          <w:sz w:val="20"/>
          <w:szCs w:val="20"/>
        </w:rPr>
        <w:t>-</w:t>
      </w:r>
      <w:r w:rsidRPr="00A242B3">
        <w:rPr>
          <w:color w:val="000000" w:themeColor="text1"/>
          <w:sz w:val="20"/>
          <w:szCs w:val="20"/>
        </w:rPr>
        <w:t xml:space="preserve">cylinder engines. SAE Technical Papers, 820074. </w:t>
      </w:r>
      <w:hyperlink r:id="rId46" w:history="1">
        <w:r w:rsidRPr="00794BA9">
          <w:rPr>
            <w:rStyle w:val="Hyperlink"/>
            <w:sz w:val="20"/>
            <w:szCs w:val="20"/>
          </w:rPr>
          <w:t>https://doi.org/10.4271/820074</w:t>
        </w:r>
      </w:hyperlink>
    </w:p>
    <w:p w14:paraId="16D07491" w14:textId="77777777" w:rsidR="00A242B3" w:rsidRDefault="00A242B3" w:rsidP="00BB69C2">
      <w:pPr>
        <w:pStyle w:val="ListParagraph"/>
        <w:numPr>
          <w:ilvl w:val="0"/>
          <w:numId w:val="1"/>
        </w:numPr>
        <w:tabs>
          <w:tab w:val="left" w:pos="445"/>
        </w:tabs>
        <w:spacing w:before="129" w:line="360" w:lineRule="auto"/>
        <w:ind w:right="0" w:hanging="234"/>
        <w:jc w:val="left"/>
        <w:rPr>
          <w:color w:val="000000" w:themeColor="text1"/>
          <w:sz w:val="20"/>
          <w:szCs w:val="20"/>
        </w:rPr>
      </w:pPr>
      <w:r w:rsidRPr="00A242B3">
        <w:rPr>
          <w:color w:val="000000" w:themeColor="text1"/>
          <w:sz w:val="20"/>
          <w:szCs w:val="20"/>
        </w:rPr>
        <w:t xml:space="preserve">Benson, G., Fletcher, E. A., Murphy, T. E., &amp; Scherrer, H. C. (1983). Knock (Detonation) Control by Engine Combustion Chamber Shape. In SAE International Congress and Exposition. SAE International. </w:t>
      </w:r>
      <w:hyperlink r:id="rId47" w:history="1">
        <w:r w:rsidRPr="00794BA9">
          <w:rPr>
            <w:rStyle w:val="Hyperlink"/>
            <w:sz w:val="20"/>
            <w:szCs w:val="20"/>
          </w:rPr>
          <w:t>https://doi.org/https://doi.org/10.4271/830509</w:t>
        </w:r>
      </w:hyperlink>
    </w:p>
    <w:p w14:paraId="5614A422" w14:textId="77777777" w:rsidR="00A242B3" w:rsidRDefault="00A242B3" w:rsidP="00637924">
      <w:pPr>
        <w:pStyle w:val="ListParagraph"/>
        <w:numPr>
          <w:ilvl w:val="0"/>
          <w:numId w:val="1"/>
        </w:numPr>
        <w:tabs>
          <w:tab w:val="left" w:pos="445"/>
        </w:tabs>
        <w:spacing w:before="129" w:line="360" w:lineRule="auto"/>
        <w:ind w:right="0" w:hanging="234"/>
        <w:jc w:val="left"/>
        <w:rPr>
          <w:color w:val="000000" w:themeColor="text1"/>
          <w:sz w:val="20"/>
          <w:szCs w:val="20"/>
        </w:rPr>
      </w:pPr>
      <w:r w:rsidRPr="00A242B3">
        <w:rPr>
          <w:color w:val="000000" w:themeColor="text1"/>
          <w:sz w:val="20"/>
          <w:szCs w:val="20"/>
        </w:rPr>
        <w:t xml:space="preserve">Arrigoni, V., </w:t>
      </w:r>
      <w:proofErr w:type="spellStart"/>
      <w:r w:rsidRPr="00A242B3">
        <w:rPr>
          <w:color w:val="000000" w:themeColor="text1"/>
          <w:sz w:val="20"/>
          <w:szCs w:val="20"/>
        </w:rPr>
        <w:t>Cornetti</w:t>
      </w:r>
      <w:proofErr w:type="spellEnd"/>
      <w:r w:rsidRPr="00A242B3">
        <w:rPr>
          <w:color w:val="000000" w:themeColor="text1"/>
          <w:sz w:val="20"/>
          <w:szCs w:val="20"/>
        </w:rPr>
        <w:t xml:space="preserve">, G., Gaetani, B., &amp; </w:t>
      </w:r>
      <w:proofErr w:type="spellStart"/>
      <w:r w:rsidRPr="00A242B3">
        <w:rPr>
          <w:color w:val="000000" w:themeColor="text1"/>
          <w:sz w:val="20"/>
          <w:szCs w:val="20"/>
        </w:rPr>
        <w:t>Ghezzi</w:t>
      </w:r>
      <w:proofErr w:type="spellEnd"/>
      <w:r w:rsidRPr="00A242B3">
        <w:rPr>
          <w:color w:val="000000" w:themeColor="text1"/>
          <w:sz w:val="20"/>
          <w:szCs w:val="20"/>
        </w:rPr>
        <w:t xml:space="preserve">, P. (1972). Quantitative systems for measuring knock. In Proceedings of the Institution of Mechanical Engineers. </w:t>
      </w:r>
    </w:p>
    <w:p w14:paraId="70E994CD" w14:textId="77777777" w:rsidR="00A242B3" w:rsidRDefault="00A242B3" w:rsidP="00637924">
      <w:pPr>
        <w:pStyle w:val="ListParagraph"/>
        <w:numPr>
          <w:ilvl w:val="0"/>
          <w:numId w:val="1"/>
        </w:numPr>
        <w:tabs>
          <w:tab w:val="left" w:pos="445"/>
        </w:tabs>
        <w:spacing w:before="129" w:line="360" w:lineRule="auto"/>
        <w:ind w:right="0" w:hanging="234"/>
        <w:jc w:val="left"/>
        <w:rPr>
          <w:color w:val="000000" w:themeColor="text1"/>
          <w:sz w:val="20"/>
          <w:szCs w:val="20"/>
        </w:rPr>
      </w:pPr>
      <w:proofErr w:type="spellStart"/>
      <w:r w:rsidRPr="00A242B3">
        <w:rPr>
          <w:color w:val="000000" w:themeColor="text1"/>
          <w:sz w:val="20"/>
          <w:szCs w:val="20"/>
        </w:rPr>
        <w:t>Brecq</w:t>
      </w:r>
      <w:proofErr w:type="spellEnd"/>
      <w:r w:rsidRPr="00A242B3">
        <w:rPr>
          <w:color w:val="000000" w:themeColor="text1"/>
          <w:sz w:val="20"/>
          <w:szCs w:val="20"/>
        </w:rPr>
        <w:t xml:space="preserve">, G., </w:t>
      </w:r>
      <w:proofErr w:type="spellStart"/>
      <w:r w:rsidRPr="00A242B3">
        <w:rPr>
          <w:color w:val="000000" w:themeColor="text1"/>
          <w:sz w:val="20"/>
          <w:szCs w:val="20"/>
        </w:rPr>
        <w:t>Bellettre</w:t>
      </w:r>
      <w:proofErr w:type="spellEnd"/>
      <w:r w:rsidRPr="00A242B3">
        <w:rPr>
          <w:color w:val="000000" w:themeColor="text1"/>
          <w:sz w:val="20"/>
          <w:szCs w:val="20"/>
        </w:rPr>
        <w:t xml:space="preserve">, J., &amp; </w:t>
      </w:r>
      <w:proofErr w:type="spellStart"/>
      <w:r w:rsidRPr="00A242B3">
        <w:rPr>
          <w:color w:val="000000" w:themeColor="text1"/>
          <w:sz w:val="20"/>
          <w:szCs w:val="20"/>
        </w:rPr>
        <w:t>Tazerout</w:t>
      </w:r>
      <w:proofErr w:type="spellEnd"/>
      <w:r w:rsidRPr="00A242B3">
        <w:rPr>
          <w:color w:val="000000" w:themeColor="text1"/>
          <w:sz w:val="20"/>
          <w:szCs w:val="20"/>
        </w:rPr>
        <w:t xml:space="preserve">, M. (2003). A new indicator for knock detection in gas SI engines. International Journal of Thermal Sciences, 42(5), 523–532. </w:t>
      </w:r>
      <w:hyperlink r:id="rId48" w:history="1">
        <w:r w:rsidR="000F2208" w:rsidRPr="00794BA9">
          <w:rPr>
            <w:rStyle w:val="Hyperlink"/>
            <w:sz w:val="20"/>
            <w:szCs w:val="20"/>
          </w:rPr>
          <w:t>https://doi.org/10.1016/S1290-0729(02)00052-2</w:t>
        </w:r>
      </w:hyperlink>
    </w:p>
    <w:p w14:paraId="4BFE5E41" w14:textId="77777777" w:rsidR="000F2208" w:rsidRDefault="000F2208" w:rsidP="00637924">
      <w:pPr>
        <w:pStyle w:val="ListParagraph"/>
        <w:numPr>
          <w:ilvl w:val="0"/>
          <w:numId w:val="1"/>
        </w:numPr>
        <w:tabs>
          <w:tab w:val="left" w:pos="445"/>
        </w:tabs>
        <w:spacing w:before="129" w:line="360" w:lineRule="auto"/>
        <w:ind w:right="0" w:hanging="234"/>
        <w:jc w:val="left"/>
        <w:rPr>
          <w:color w:val="000000" w:themeColor="text1"/>
          <w:sz w:val="20"/>
          <w:szCs w:val="20"/>
        </w:rPr>
      </w:pPr>
      <w:r w:rsidRPr="000F2208">
        <w:rPr>
          <w:color w:val="000000" w:themeColor="text1"/>
          <w:sz w:val="20"/>
          <w:szCs w:val="20"/>
        </w:rPr>
        <w:t xml:space="preserve">Hudson, C., Gao, X., &amp; Stone, R. (2001). Knock measurement for fuel evaluation in spark ignition engines. Fuel, 80(3), 395–407. </w:t>
      </w:r>
      <w:hyperlink r:id="rId49" w:history="1">
        <w:r w:rsidR="00472E11" w:rsidRPr="00794BA9">
          <w:rPr>
            <w:rStyle w:val="Hyperlink"/>
            <w:sz w:val="20"/>
            <w:szCs w:val="20"/>
          </w:rPr>
          <w:t>https://doi.org/10.1016/S0016-2361(00)00080-6</w:t>
        </w:r>
      </w:hyperlink>
    </w:p>
    <w:p w14:paraId="7872BF19" w14:textId="77777777" w:rsidR="00472E11" w:rsidRDefault="00472E11" w:rsidP="00637924">
      <w:pPr>
        <w:pStyle w:val="ListParagraph"/>
        <w:numPr>
          <w:ilvl w:val="0"/>
          <w:numId w:val="1"/>
        </w:numPr>
        <w:tabs>
          <w:tab w:val="left" w:pos="445"/>
        </w:tabs>
        <w:spacing w:before="129" w:line="360" w:lineRule="auto"/>
        <w:ind w:right="0" w:hanging="234"/>
        <w:jc w:val="left"/>
        <w:rPr>
          <w:color w:val="000000" w:themeColor="text1"/>
          <w:sz w:val="20"/>
          <w:szCs w:val="20"/>
        </w:rPr>
      </w:pPr>
      <w:proofErr w:type="spellStart"/>
      <w:r w:rsidRPr="00472E11">
        <w:rPr>
          <w:color w:val="000000" w:themeColor="text1"/>
          <w:sz w:val="20"/>
          <w:szCs w:val="20"/>
        </w:rPr>
        <w:t>Galloni</w:t>
      </w:r>
      <w:proofErr w:type="spellEnd"/>
      <w:r w:rsidRPr="00472E11">
        <w:rPr>
          <w:color w:val="000000" w:themeColor="text1"/>
          <w:sz w:val="20"/>
          <w:szCs w:val="20"/>
        </w:rPr>
        <w:t xml:space="preserve">, E. (2012). Dynamic knock detection and quantification in a spark ignition engine by means of a </w:t>
      </w:r>
      <w:proofErr w:type="gramStart"/>
      <w:r w:rsidRPr="00472E11">
        <w:rPr>
          <w:color w:val="000000" w:themeColor="text1"/>
          <w:sz w:val="20"/>
          <w:szCs w:val="20"/>
        </w:rPr>
        <w:t>pressure based</w:t>
      </w:r>
      <w:proofErr w:type="gramEnd"/>
      <w:r w:rsidRPr="00472E11">
        <w:rPr>
          <w:color w:val="000000" w:themeColor="text1"/>
          <w:sz w:val="20"/>
          <w:szCs w:val="20"/>
        </w:rPr>
        <w:t xml:space="preserve"> method. Energy Conversion and Management, 64, 256–262. </w:t>
      </w:r>
      <w:hyperlink r:id="rId50" w:history="1">
        <w:r w:rsidR="00C514EA" w:rsidRPr="00D42F01">
          <w:rPr>
            <w:rStyle w:val="Hyperlink"/>
            <w:sz w:val="20"/>
            <w:szCs w:val="20"/>
          </w:rPr>
          <w:t>https://doi.org/10.1016/j.enconman.2012.05.015</w:t>
        </w:r>
      </w:hyperlink>
      <w:r w:rsidR="00C514EA">
        <w:rPr>
          <w:color w:val="000000" w:themeColor="text1"/>
          <w:sz w:val="20"/>
          <w:szCs w:val="20"/>
        </w:rPr>
        <w:t>.</w:t>
      </w:r>
    </w:p>
    <w:p w14:paraId="651A19F7" w14:textId="77777777" w:rsidR="00C514EA" w:rsidRPr="00A242B3" w:rsidRDefault="00CF4DB6" w:rsidP="00637924">
      <w:pPr>
        <w:pStyle w:val="ListParagraph"/>
        <w:numPr>
          <w:ilvl w:val="0"/>
          <w:numId w:val="1"/>
        </w:numPr>
        <w:tabs>
          <w:tab w:val="left" w:pos="445"/>
        </w:tabs>
        <w:spacing w:before="129" w:line="360" w:lineRule="auto"/>
        <w:ind w:right="0" w:hanging="234"/>
        <w:jc w:val="left"/>
        <w:rPr>
          <w:color w:val="000000" w:themeColor="text1"/>
          <w:sz w:val="20"/>
          <w:szCs w:val="20"/>
        </w:rPr>
      </w:pPr>
      <w:r>
        <w:t>AVL</w:t>
      </w:r>
      <w:r w:rsidR="00C514EA">
        <w:t>, “</w:t>
      </w:r>
      <w:r>
        <w:t>Product catalog: Sensors for combustion analysis”,</w:t>
      </w:r>
      <w:r w:rsidR="00C514EA">
        <w:t xml:space="preserve"> 20</w:t>
      </w:r>
      <w:r>
        <w:t>1</w:t>
      </w:r>
      <w:r w:rsidR="00C514EA">
        <w:t>9,</w:t>
      </w:r>
      <w:r>
        <w:t xml:space="preserve"> </w:t>
      </w:r>
      <w:r w:rsidRPr="00CF4DB6">
        <w:t>https://www.avl.com/documents/10138/0/Sensorenkatalog2018_web.pdf/4453ec83-b818-42e4-8218-f02bb91f5943</w:t>
      </w:r>
    </w:p>
    <w:p w14:paraId="35630A8C" w14:textId="77777777" w:rsidR="00A242B3" w:rsidRPr="00BB69C2" w:rsidRDefault="00A242B3" w:rsidP="00A242B3">
      <w:pPr>
        <w:pStyle w:val="ListParagraph"/>
        <w:tabs>
          <w:tab w:val="left" w:pos="445"/>
        </w:tabs>
        <w:spacing w:before="129" w:line="360" w:lineRule="auto"/>
        <w:ind w:right="0" w:firstLine="0"/>
        <w:jc w:val="right"/>
        <w:rPr>
          <w:color w:val="000000" w:themeColor="text1"/>
          <w:sz w:val="20"/>
          <w:szCs w:val="20"/>
        </w:rPr>
      </w:pPr>
    </w:p>
    <w:p w14:paraId="33987354" w14:textId="77777777" w:rsidR="00733DE9" w:rsidRDefault="00733DE9" w:rsidP="00733DE9">
      <w:pPr>
        <w:spacing w:before="130"/>
        <w:ind w:left="120"/>
        <w:jc w:val="both"/>
        <w:rPr>
          <w:rFonts w:ascii="Arial"/>
          <w:b/>
          <w:sz w:val="19"/>
        </w:rPr>
      </w:pPr>
      <w:bookmarkStart w:id="7" w:name="_bookmark4"/>
      <w:bookmarkEnd w:id="7"/>
      <w:r w:rsidRPr="00733DE9">
        <w:rPr>
          <w:rFonts w:ascii="Arial"/>
          <w:b/>
          <w:sz w:val="19"/>
        </w:rPr>
        <w:t>Abbreviations</w:t>
      </w:r>
    </w:p>
    <w:p w14:paraId="7A8D2884" w14:textId="77777777" w:rsidR="00733DE9" w:rsidRDefault="00733DE9" w:rsidP="00733DE9">
      <w:pPr>
        <w:tabs>
          <w:tab w:val="left" w:pos="445"/>
        </w:tabs>
        <w:spacing w:before="9" w:line="278" w:lineRule="auto"/>
      </w:pPr>
    </w:p>
    <w:p w14:paraId="14584957" w14:textId="77777777" w:rsidR="003557F4" w:rsidRDefault="003557F4" w:rsidP="00BB69C2">
      <w:pPr>
        <w:tabs>
          <w:tab w:val="left" w:pos="445"/>
        </w:tabs>
        <w:spacing w:before="9" w:line="360" w:lineRule="auto"/>
        <w:rPr>
          <w:sz w:val="20"/>
          <w:szCs w:val="20"/>
        </w:rPr>
      </w:pPr>
      <w:r>
        <w:rPr>
          <w:sz w:val="20"/>
          <w:szCs w:val="20"/>
        </w:rPr>
        <w:t xml:space="preserve">ATDC </w:t>
      </w:r>
      <w:r w:rsidR="00B37516">
        <w:rPr>
          <w:sz w:val="20"/>
          <w:szCs w:val="20"/>
        </w:rPr>
        <w:t>-</w:t>
      </w:r>
      <w:r>
        <w:rPr>
          <w:sz w:val="20"/>
          <w:szCs w:val="20"/>
        </w:rPr>
        <w:t xml:space="preserve"> After top dead center</w:t>
      </w:r>
    </w:p>
    <w:p w14:paraId="1A024BF9" w14:textId="77777777" w:rsidR="003557F4" w:rsidRDefault="003557F4" w:rsidP="00BB69C2">
      <w:pPr>
        <w:tabs>
          <w:tab w:val="left" w:pos="445"/>
        </w:tabs>
        <w:spacing w:before="9" w:line="360" w:lineRule="auto"/>
        <w:rPr>
          <w:sz w:val="20"/>
          <w:szCs w:val="20"/>
        </w:rPr>
      </w:pPr>
      <w:r>
        <w:rPr>
          <w:sz w:val="20"/>
          <w:szCs w:val="20"/>
        </w:rPr>
        <w:t xml:space="preserve">BTDC </w:t>
      </w:r>
      <w:r w:rsidR="00B37516">
        <w:rPr>
          <w:sz w:val="20"/>
          <w:szCs w:val="20"/>
        </w:rPr>
        <w:t>-</w:t>
      </w:r>
      <w:r>
        <w:rPr>
          <w:sz w:val="20"/>
          <w:szCs w:val="20"/>
        </w:rPr>
        <w:t xml:space="preserve"> Before top dead center</w:t>
      </w:r>
    </w:p>
    <w:p w14:paraId="6529603A" w14:textId="77777777" w:rsidR="00C06EC1" w:rsidRPr="00BB69C2" w:rsidRDefault="00C06EC1" w:rsidP="00C06EC1">
      <w:pPr>
        <w:tabs>
          <w:tab w:val="left" w:pos="445"/>
        </w:tabs>
        <w:spacing w:before="9" w:line="360" w:lineRule="auto"/>
        <w:rPr>
          <w:sz w:val="20"/>
          <w:szCs w:val="20"/>
        </w:rPr>
      </w:pPr>
      <w:r w:rsidRPr="00BB69C2">
        <w:rPr>
          <w:sz w:val="20"/>
          <w:szCs w:val="20"/>
        </w:rPr>
        <w:t xml:space="preserve">BSFC </w:t>
      </w:r>
      <w:r>
        <w:rPr>
          <w:sz w:val="20"/>
          <w:szCs w:val="20"/>
        </w:rPr>
        <w:t>-</w:t>
      </w:r>
      <w:r w:rsidRPr="00BB69C2">
        <w:rPr>
          <w:sz w:val="20"/>
          <w:szCs w:val="20"/>
        </w:rPr>
        <w:t xml:space="preserve"> Brake specific fuel consumption</w:t>
      </w:r>
    </w:p>
    <w:p w14:paraId="7F5D89ED" w14:textId="77777777" w:rsidR="00EF48B0" w:rsidRDefault="00EF48B0" w:rsidP="00BB69C2">
      <w:pPr>
        <w:tabs>
          <w:tab w:val="left" w:pos="445"/>
        </w:tabs>
        <w:spacing w:before="9" w:line="360" w:lineRule="auto"/>
        <w:rPr>
          <w:sz w:val="20"/>
          <w:szCs w:val="20"/>
        </w:rPr>
      </w:pPr>
      <w:r>
        <w:rPr>
          <w:sz w:val="20"/>
          <w:szCs w:val="20"/>
        </w:rPr>
        <w:t xml:space="preserve">CA </w:t>
      </w:r>
      <w:r w:rsidR="00B37516">
        <w:rPr>
          <w:sz w:val="20"/>
          <w:szCs w:val="20"/>
        </w:rPr>
        <w:t>-</w:t>
      </w:r>
      <w:r>
        <w:rPr>
          <w:sz w:val="20"/>
          <w:szCs w:val="20"/>
        </w:rPr>
        <w:t xml:space="preserve"> Crank angle in degrees</w:t>
      </w:r>
    </w:p>
    <w:p w14:paraId="428148C7" w14:textId="77777777" w:rsidR="00733DE9" w:rsidRDefault="00733DE9" w:rsidP="00BB69C2">
      <w:pPr>
        <w:tabs>
          <w:tab w:val="left" w:pos="445"/>
        </w:tabs>
        <w:spacing w:before="9" w:line="360" w:lineRule="auto"/>
        <w:rPr>
          <w:sz w:val="20"/>
          <w:szCs w:val="20"/>
        </w:rPr>
      </w:pPr>
      <w:r w:rsidRPr="00BB69C2">
        <w:rPr>
          <w:sz w:val="20"/>
          <w:szCs w:val="20"/>
        </w:rPr>
        <w:t xml:space="preserve">CFD </w:t>
      </w:r>
      <w:r w:rsidR="00B37516">
        <w:rPr>
          <w:sz w:val="20"/>
          <w:szCs w:val="20"/>
        </w:rPr>
        <w:t>-</w:t>
      </w:r>
      <w:r w:rsidR="00023B16" w:rsidRPr="00BB69C2">
        <w:rPr>
          <w:sz w:val="20"/>
          <w:szCs w:val="20"/>
        </w:rPr>
        <w:t xml:space="preserve"> Computational</w:t>
      </w:r>
      <w:r w:rsidRPr="00BB69C2">
        <w:rPr>
          <w:sz w:val="20"/>
          <w:szCs w:val="20"/>
        </w:rPr>
        <w:t xml:space="preserve"> fluid dynamics</w:t>
      </w:r>
    </w:p>
    <w:p w14:paraId="74D1C18C" w14:textId="77777777" w:rsidR="00C06EC1" w:rsidRDefault="00C06EC1" w:rsidP="00BB69C2">
      <w:pPr>
        <w:tabs>
          <w:tab w:val="left" w:pos="445"/>
        </w:tabs>
        <w:spacing w:before="9" w:line="360" w:lineRule="auto"/>
      </w:pPr>
      <w:r>
        <w:t>DKI - dimensionless knock indicator</w:t>
      </w:r>
    </w:p>
    <w:p w14:paraId="2DFB0E19" w14:textId="77777777" w:rsidR="00B52AC1" w:rsidRPr="00BB69C2" w:rsidRDefault="00B52AC1" w:rsidP="00BB69C2">
      <w:pPr>
        <w:tabs>
          <w:tab w:val="left" w:pos="445"/>
        </w:tabs>
        <w:spacing w:before="9" w:line="360" w:lineRule="auto"/>
        <w:rPr>
          <w:sz w:val="20"/>
          <w:szCs w:val="20"/>
        </w:rPr>
      </w:pPr>
      <w:r>
        <w:t>ECU – Engine Control Unit</w:t>
      </w:r>
    </w:p>
    <w:p w14:paraId="1358A0D6" w14:textId="77777777" w:rsidR="00733DE9" w:rsidRPr="00BB69C2" w:rsidRDefault="00733DE9" w:rsidP="00BB69C2">
      <w:pPr>
        <w:tabs>
          <w:tab w:val="left" w:pos="445"/>
        </w:tabs>
        <w:spacing w:before="9" w:line="360" w:lineRule="auto"/>
        <w:rPr>
          <w:sz w:val="20"/>
          <w:szCs w:val="20"/>
        </w:rPr>
      </w:pPr>
      <w:r w:rsidRPr="00BB69C2">
        <w:rPr>
          <w:sz w:val="20"/>
          <w:szCs w:val="20"/>
        </w:rPr>
        <w:t xml:space="preserve">GDI </w:t>
      </w:r>
      <w:r w:rsidR="00B37516">
        <w:rPr>
          <w:sz w:val="20"/>
          <w:szCs w:val="20"/>
        </w:rPr>
        <w:t>-</w:t>
      </w:r>
      <w:r w:rsidR="00023B16" w:rsidRPr="00BB69C2">
        <w:rPr>
          <w:sz w:val="20"/>
          <w:szCs w:val="20"/>
        </w:rPr>
        <w:t xml:space="preserve"> Gasoline</w:t>
      </w:r>
      <w:r w:rsidRPr="00BB69C2">
        <w:rPr>
          <w:sz w:val="20"/>
          <w:szCs w:val="20"/>
        </w:rPr>
        <w:t xml:space="preserve"> direct injection</w:t>
      </w:r>
    </w:p>
    <w:p w14:paraId="4A1EFDB8" w14:textId="77777777" w:rsidR="00733DE9" w:rsidRDefault="000717BB" w:rsidP="00BB69C2">
      <w:pPr>
        <w:tabs>
          <w:tab w:val="left" w:pos="445"/>
        </w:tabs>
        <w:spacing w:before="9" w:line="360" w:lineRule="auto"/>
      </w:pPr>
      <w:r>
        <w:t>IMPO</w:t>
      </w:r>
      <w:r w:rsidR="00733DE9" w:rsidRPr="00BB69C2">
        <w:rPr>
          <w:sz w:val="20"/>
          <w:szCs w:val="20"/>
        </w:rPr>
        <w:t xml:space="preserve"> </w:t>
      </w:r>
      <w:r w:rsidR="00B37516">
        <w:rPr>
          <w:sz w:val="20"/>
          <w:szCs w:val="20"/>
        </w:rPr>
        <w:t>-</w:t>
      </w:r>
      <w:r w:rsidR="00023B16" w:rsidRPr="00BB69C2">
        <w:rPr>
          <w:sz w:val="20"/>
          <w:szCs w:val="20"/>
        </w:rPr>
        <w:t xml:space="preserve"> </w:t>
      </w:r>
      <w:r>
        <w:t>Integral of modulus of pressure oscillations</w:t>
      </w:r>
    </w:p>
    <w:p w14:paraId="21F85CBA" w14:textId="77777777" w:rsidR="005302D1" w:rsidRDefault="005302D1" w:rsidP="00BB69C2">
      <w:pPr>
        <w:tabs>
          <w:tab w:val="left" w:pos="445"/>
        </w:tabs>
        <w:spacing w:before="9" w:line="360" w:lineRule="auto"/>
      </w:pPr>
      <w:r>
        <w:t>LKI – Logarithmic knock indicator</w:t>
      </w:r>
    </w:p>
    <w:p w14:paraId="500A2017" w14:textId="77777777" w:rsidR="00B37516" w:rsidRPr="00BB69C2" w:rsidRDefault="00B37516" w:rsidP="00BB69C2">
      <w:pPr>
        <w:tabs>
          <w:tab w:val="left" w:pos="445"/>
        </w:tabs>
        <w:spacing w:before="9" w:line="360" w:lineRule="auto"/>
        <w:rPr>
          <w:sz w:val="20"/>
          <w:szCs w:val="20"/>
        </w:rPr>
      </w:pPr>
      <w:r>
        <w:t>MAPO - Maximum amplitude of pressure oscillations</w:t>
      </w:r>
    </w:p>
    <w:p w14:paraId="2F7DE800" w14:textId="77777777" w:rsidR="00733DE9" w:rsidRDefault="00733DE9" w:rsidP="00BB69C2">
      <w:pPr>
        <w:tabs>
          <w:tab w:val="left" w:pos="445"/>
        </w:tabs>
        <w:spacing w:before="9" w:line="360" w:lineRule="auto"/>
        <w:rPr>
          <w:sz w:val="20"/>
          <w:szCs w:val="20"/>
        </w:rPr>
      </w:pPr>
      <w:r w:rsidRPr="00BB69C2">
        <w:rPr>
          <w:sz w:val="20"/>
          <w:szCs w:val="20"/>
        </w:rPr>
        <w:t>MF</w:t>
      </w:r>
      <w:r w:rsidR="00973CF6">
        <w:rPr>
          <w:sz w:val="20"/>
          <w:szCs w:val="20"/>
        </w:rPr>
        <w:t>B</w:t>
      </w:r>
      <w:r w:rsidRPr="00BB69C2">
        <w:rPr>
          <w:sz w:val="20"/>
          <w:szCs w:val="20"/>
        </w:rPr>
        <w:t xml:space="preserve"> </w:t>
      </w:r>
      <w:r w:rsidR="00B37516">
        <w:rPr>
          <w:sz w:val="20"/>
          <w:szCs w:val="20"/>
        </w:rPr>
        <w:t>-</w:t>
      </w:r>
      <w:r w:rsidRPr="00BB69C2">
        <w:rPr>
          <w:sz w:val="20"/>
          <w:szCs w:val="20"/>
        </w:rPr>
        <w:t xml:space="preserve"> Mass fraction</w:t>
      </w:r>
      <w:r w:rsidR="00973CF6">
        <w:rPr>
          <w:sz w:val="20"/>
          <w:szCs w:val="20"/>
        </w:rPr>
        <w:t xml:space="preserve"> burnt</w:t>
      </w:r>
    </w:p>
    <w:p w14:paraId="0C3A1315" w14:textId="77777777" w:rsidR="00023B16" w:rsidRDefault="00023B16" w:rsidP="00023B16">
      <w:pPr>
        <w:tabs>
          <w:tab w:val="left" w:pos="445"/>
        </w:tabs>
        <w:spacing w:before="9" w:line="360" w:lineRule="auto"/>
        <w:rPr>
          <w:sz w:val="20"/>
          <w:szCs w:val="20"/>
        </w:rPr>
      </w:pPr>
      <w:r>
        <w:t xml:space="preserve">SCRE </w:t>
      </w:r>
      <w:r w:rsidR="00B37516">
        <w:rPr>
          <w:sz w:val="20"/>
          <w:szCs w:val="20"/>
        </w:rPr>
        <w:t>-</w:t>
      </w:r>
      <w:r>
        <w:rPr>
          <w:sz w:val="20"/>
          <w:szCs w:val="20"/>
        </w:rPr>
        <w:t xml:space="preserve"> Single cylinder research engine</w:t>
      </w:r>
    </w:p>
    <w:p w14:paraId="2AFAC042" w14:textId="77777777" w:rsidR="00F97CDD" w:rsidRDefault="00F97CDD" w:rsidP="00023B16">
      <w:pPr>
        <w:tabs>
          <w:tab w:val="left" w:pos="445"/>
        </w:tabs>
        <w:spacing w:before="9" w:line="360" w:lineRule="auto"/>
        <w:rPr>
          <w:sz w:val="20"/>
          <w:szCs w:val="20"/>
        </w:rPr>
      </w:pPr>
      <w:r>
        <w:rPr>
          <w:sz w:val="20"/>
          <w:szCs w:val="20"/>
        </w:rPr>
        <w:t>SI – Spark ignition</w:t>
      </w:r>
    </w:p>
    <w:p w14:paraId="70AE5D38" w14:textId="77777777" w:rsidR="00733DE9" w:rsidRPr="00733DE9" w:rsidRDefault="003557F4" w:rsidP="00050001">
      <w:pPr>
        <w:tabs>
          <w:tab w:val="left" w:pos="445"/>
        </w:tabs>
        <w:spacing w:before="9" w:line="360" w:lineRule="auto"/>
        <w:rPr>
          <w:sz w:val="20"/>
          <w:szCs w:val="20"/>
        </w:rPr>
      </w:pPr>
      <w:r>
        <w:rPr>
          <w:sz w:val="20"/>
          <w:szCs w:val="20"/>
        </w:rPr>
        <w:t xml:space="preserve">TDC </w:t>
      </w:r>
      <w:r w:rsidR="00B37516">
        <w:rPr>
          <w:sz w:val="20"/>
          <w:szCs w:val="20"/>
        </w:rPr>
        <w:t>-</w:t>
      </w:r>
      <w:r>
        <w:rPr>
          <w:sz w:val="20"/>
          <w:szCs w:val="20"/>
        </w:rPr>
        <w:t xml:space="preserve"> Top dead center </w:t>
      </w:r>
    </w:p>
    <w:sectPr w:rsidR="00733DE9" w:rsidRPr="00733DE9" w:rsidSect="00282D8C">
      <w:headerReference w:type="even" r:id="rId51"/>
      <w:headerReference w:type="default" r:id="rId52"/>
      <w:pgSz w:w="11910" w:h="16840"/>
      <w:pgMar w:top="760" w:right="900" w:bottom="280" w:left="900" w:header="4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3EAFF" w14:textId="77777777" w:rsidR="002B4E3A" w:rsidRDefault="002B4E3A">
      <w:r>
        <w:separator/>
      </w:r>
    </w:p>
  </w:endnote>
  <w:endnote w:type="continuationSeparator" w:id="0">
    <w:p w14:paraId="2C2FED73" w14:textId="77777777" w:rsidR="002B4E3A" w:rsidRDefault="002B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2FB50" w14:textId="77777777" w:rsidR="002B4E3A" w:rsidRDefault="002B4E3A">
      <w:r>
        <w:separator/>
      </w:r>
    </w:p>
  </w:footnote>
  <w:footnote w:type="continuationSeparator" w:id="0">
    <w:p w14:paraId="2062D8E8" w14:textId="77777777" w:rsidR="002B4E3A" w:rsidRDefault="002B4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CE9EE" w14:textId="77777777" w:rsidR="001E39CE" w:rsidRDefault="001E39CE" w:rsidP="00733DE9">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6AA79" w14:textId="77777777" w:rsidR="001E39CE" w:rsidRDefault="001E39CE" w:rsidP="00733DE9">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E00F1"/>
    <w:multiLevelType w:val="hybridMultilevel"/>
    <w:tmpl w:val="1A6AAA4A"/>
    <w:lvl w:ilvl="0" w:tplc="85EAE6D8">
      <w:start w:val="1"/>
      <w:numFmt w:val="decimal"/>
      <w:lvlText w:val="%1."/>
      <w:lvlJc w:val="left"/>
      <w:pPr>
        <w:ind w:left="444" w:hanging="235"/>
        <w:jc w:val="right"/>
      </w:pPr>
      <w:rPr>
        <w:rFonts w:ascii="Times New Roman" w:eastAsia="Times New Roman" w:hAnsi="Times New Roman" w:cs="Times New Roman" w:hint="default"/>
        <w:w w:val="99"/>
        <w:sz w:val="20"/>
        <w:szCs w:val="20"/>
      </w:rPr>
    </w:lvl>
    <w:lvl w:ilvl="1" w:tplc="CDC69AFA">
      <w:numFmt w:val="bullet"/>
      <w:lvlText w:val="•"/>
      <w:lvlJc w:val="left"/>
      <w:pPr>
        <w:ind w:left="889" w:hanging="235"/>
      </w:pPr>
      <w:rPr>
        <w:rFonts w:hint="default"/>
      </w:rPr>
    </w:lvl>
    <w:lvl w:ilvl="2" w:tplc="E1BEB600">
      <w:numFmt w:val="bullet"/>
      <w:lvlText w:val="•"/>
      <w:lvlJc w:val="left"/>
      <w:pPr>
        <w:ind w:left="1338" w:hanging="235"/>
      </w:pPr>
      <w:rPr>
        <w:rFonts w:hint="default"/>
      </w:rPr>
    </w:lvl>
    <w:lvl w:ilvl="3" w:tplc="8EA26BE6">
      <w:numFmt w:val="bullet"/>
      <w:lvlText w:val="•"/>
      <w:lvlJc w:val="left"/>
      <w:pPr>
        <w:ind w:left="1788" w:hanging="235"/>
      </w:pPr>
      <w:rPr>
        <w:rFonts w:hint="default"/>
      </w:rPr>
    </w:lvl>
    <w:lvl w:ilvl="4" w:tplc="AF90A9D0">
      <w:numFmt w:val="bullet"/>
      <w:lvlText w:val="•"/>
      <w:lvlJc w:val="left"/>
      <w:pPr>
        <w:ind w:left="2237" w:hanging="235"/>
      </w:pPr>
      <w:rPr>
        <w:rFonts w:hint="default"/>
      </w:rPr>
    </w:lvl>
    <w:lvl w:ilvl="5" w:tplc="0B7C119C">
      <w:numFmt w:val="bullet"/>
      <w:lvlText w:val="•"/>
      <w:lvlJc w:val="left"/>
      <w:pPr>
        <w:ind w:left="2686" w:hanging="235"/>
      </w:pPr>
      <w:rPr>
        <w:rFonts w:hint="default"/>
      </w:rPr>
    </w:lvl>
    <w:lvl w:ilvl="6" w:tplc="D4126E72">
      <w:numFmt w:val="bullet"/>
      <w:lvlText w:val="•"/>
      <w:lvlJc w:val="left"/>
      <w:pPr>
        <w:ind w:left="3135" w:hanging="235"/>
      </w:pPr>
      <w:rPr>
        <w:rFonts w:hint="default"/>
      </w:rPr>
    </w:lvl>
    <w:lvl w:ilvl="7" w:tplc="69241B08">
      <w:numFmt w:val="bullet"/>
      <w:lvlText w:val="•"/>
      <w:lvlJc w:val="left"/>
      <w:pPr>
        <w:ind w:left="3585" w:hanging="235"/>
      </w:pPr>
      <w:rPr>
        <w:rFonts w:hint="default"/>
      </w:rPr>
    </w:lvl>
    <w:lvl w:ilvl="8" w:tplc="509E46B6">
      <w:numFmt w:val="bullet"/>
      <w:lvlText w:val="•"/>
      <w:lvlJc w:val="left"/>
      <w:pPr>
        <w:ind w:left="4034" w:hanging="235"/>
      </w:pPr>
      <w:rPr>
        <w:rFonts w:hint="default"/>
      </w:rPr>
    </w:lvl>
  </w:abstractNum>
  <w:abstractNum w:abstractNumId="1" w15:restartNumberingAfterBreak="0">
    <w:nsid w:val="180954A8"/>
    <w:multiLevelType w:val="hybridMultilevel"/>
    <w:tmpl w:val="A04CFC2E"/>
    <w:lvl w:ilvl="0" w:tplc="41FE07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9355B"/>
    <w:multiLevelType w:val="hybridMultilevel"/>
    <w:tmpl w:val="E194A074"/>
    <w:lvl w:ilvl="0" w:tplc="DBD4E6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10C7B"/>
    <w:multiLevelType w:val="hybridMultilevel"/>
    <w:tmpl w:val="6DC46BF0"/>
    <w:lvl w:ilvl="0" w:tplc="9EB625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A154FA"/>
    <w:multiLevelType w:val="hybridMultilevel"/>
    <w:tmpl w:val="F306AFDE"/>
    <w:lvl w:ilvl="0" w:tplc="064C14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2D5BF6"/>
    <w:multiLevelType w:val="hybridMultilevel"/>
    <w:tmpl w:val="69F0B16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12"/>
    <w:rsid w:val="00010C4A"/>
    <w:rsid w:val="00013C50"/>
    <w:rsid w:val="00014FB6"/>
    <w:rsid w:val="00017145"/>
    <w:rsid w:val="00023B16"/>
    <w:rsid w:val="00035215"/>
    <w:rsid w:val="00050001"/>
    <w:rsid w:val="00052268"/>
    <w:rsid w:val="000537EA"/>
    <w:rsid w:val="00054D61"/>
    <w:rsid w:val="00056DD1"/>
    <w:rsid w:val="000717BB"/>
    <w:rsid w:val="00075EBB"/>
    <w:rsid w:val="0008318B"/>
    <w:rsid w:val="00086B38"/>
    <w:rsid w:val="00095561"/>
    <w:rsid w:val="00097AD8"/>
    <w:rsid w:val="00097E1B"/>
    <w:rsid w:val="000B6A0C"/>
    <w:rsid w:val="000C1910"/>
    <w:rsid w:val="000C42E1"/>
    <w:rsid w:val="000C51C6"/>
    <w:rsid w:val="000E37C0"/>
    <w:rsid w:val="000F0E69"/>
    <w:rsid w:val="000F2208"/>
    <w:rsid w:val="001020DC"/>
    <w:rsid w:val="00103F26"/>
    <w:rsid w:val="0012285F"/>
    <w:rsid w:val="00124A5C"/>
    <w:rsid w:val="00125AAF"/>
    <w:rsid w:val="00141B2D"/>
    <w:rsid w:val="0019251D"/>
    <w:rsid w:val="001B7579"/>
    <w:rsid w:val="001C5FDF"/>
    <w:rsid w:val="001D351D"/>
    <w:rsid w:val="001D72FA"/>
    <w:rsid w:val="001E39CE"/>
    <w:rsid w:val="001E5C75"/>
    <w:rsid w:val="001E6A14"/>
    <w:rsid w:val="001F45B4"/>
    <w:rsid w:val="002157CA"/>
    <w:rsid w:val="00225A33"/>
    <w:rsid w:val="00255ABC"/>
    <w:rsid w:val="002623CE"/>
    <w:rsid w:val="0026422D"/>
    <w:rsid w:val="00264C24"/>
    <w:rsid w:val="00271E2D"/>
    <w:rsid w:val="00275347"/>
    <w:rsid w:val="00280785"/>
    <w:rsid w:val="00282D8C"/>
    <w:rsid w:val="002B00F4"/>
    <w:rsid w:val="002B4E3A"/>
    <w:rsid w:val="002B63B3"/>
    <w:rsid w:val="002D7CD6"/>
    <w:rsid w:val="00323A3D"/>
    <w:rsid w:val="00331673"/>
    <w:rsid w:val="0033722C"/>
    <w:rsid w:val="00342249"/>
    <w:rsid w:val="00353B13"/>
    <w:rsid w:val="00354544"/>
    <w:rsid w:val="003557F4"/>
    <w:rsid w:val="00355AD5"/>
    <w:rsid w:val="003574C7"/>
    <w:rsid w:val="0038507D"/>
    <w:rsid w:val="00396083"/>
    <w:rsid w:val="00397AF2"/>
    <w:rsid w:val="003B201D"/>
    <w:rsid w:val="003C6F03"/>
    <w:rsid w:val="003D279B"/>
    <w:rsid w:val="003D78D8"/>
    <w:rsid w:val="003E30DB"/>
    <w:rsid w:val="003F0D2C"/>
    <w:rsid w:val="004033C2"/>
    <w:rsid w:val="004043B6"/>
    <w:rsid w:val="0041756E"/>
    <w:rsid w:val="00430CFA"/>
    <w:rsid w:val="00436D2A"/>
    <w:rsid w:val="00437FEC"/>
    <w:rsid w:val="00455188"/>
    <w:rsid w:val="0046179B"/>
    <w:rsid w:val="00464FA0"/>
    <w:rsid w:val="004724AC"/>
    <w:rsid w:val="00472E11"/>
    <w:rsid w:val="004C4447"/>
    <w:rsid w:val="004C46EC"/>
    <w:rsid w:val="004C5845"/>
    <w:rsid w:val="004D1048"/>
    <w:rsid w:val="004D61C0"/>
    <w:rsid w:val="004D69C1"/>
    <w:rsid w:val="004E00D1"/>
    <w:rsid w:val="004E35DA"/>
    <w:rsid w:val="004F41F3"/>
    <w:rsid w:val="0051374D"/>
    <w:rsid w:val="00517751"/>
    <w:rsid w:val="005203E0"/>
    <w:rsid w:val="00522697"/>
    <w:rsid w:val="005302D1"/>
    <w:rsid w:val="00534FAE"/>
    <w:rsid w:val="00541D13"/>
    <w:rsid w:val="00573A0E"/>
    <w:rsid w:val="00583512"/>
    <w:rsid w:val="00583D3B"/>
    <w:rsid w:val="00596F2A"/>
    <w:rsid w:val="005C3065"/>
    <w:rsid w:val="005D3B1F"/>
    <w:rsid w:val="005F5512"/>
    <w:rsid w:val="00611B9C"/>
    <w:rsid w:val="00626323"/>
    <w:rsid w:val="00637924"/>
    <w:rsid w:val="00654824"/>
    <w:rsid w:val="00656270"/>
    <w:rsid w:val="0067084A"/>
    <w:rsid w:val="006711C2"/>
    <w:rsid w:val="00673E1F"/>
    <w:rsid w:val="006771C7"/>
    <w:rsid w:val="006843FF"/>
    <w:rsid w:val="006844EA"/>
    <w:rsid w:val="00686FEF"/>
    <w:rsid w:val="006A6AB4"/>
    <w:rsid w:val="006B1410"/>
    <w:rsid w:val="006B78A3"/>
    <w:rsid w:val="006D3E83"/>
    <w:rsid w:val="006E2AB5"/>
    <w:rsid w:val="006E59AA"/>
    <w:rsid w:val="006F6846"/>
    <w:rsid w:val="00702CBB"/>
    <w:rsid w:val="0071316F"/>
    <w:rsid w:val="00716F37"/>
    <w:rsid w:val="007227BD"/>
    <w:rsid w:val="007256BA"/>
    <w:rsid w:val="0073063C"/>
    <w:rsid w:val="00732784"/>
    <w:rsid w:val="00733DE9"/>
    <w:rsid w:val="00734E24"/>
    <w:rsid w:val="007523F6"/>
    <w:rsid w:val="007833E1"/>
    <w:rsid w:val="00794BF5"/>
    <w:rsid w:val="007A6EAB"/>
    <w:rsid w:val="007B243B"/>
    <w:rsid w:val="007B36D0"/>
    <w:rsid w:val="007C2FB8"/>
    <w:rsid w:val="007D19CD"/>
    <w:rsid w:val="007D4D56"/>
    <w:rsid w:val="007F64F8"/>
    <w:rsid w:val="00800CAB"/>
    <w:rsid w:val="008157B1"/>
    <w:rsid w:val="00815CE3"/>
    <w:rsid w:val="00816D1F"/>
    <w:rsid w:val="00821FFC"/>
    <w:rsid w:val="008508D9"/>
    <w:rsid w:val="00855E08"/>
    <w:rsid w:val="008564E5"/>
    <w:rsid w:val="008B1F0E"/>
    <w:rsid w:val="008C0097"/>
    <w:rsid w:val="008C40BF"/>
    <w:rsid w:val="008D1F27"/>
    <w:rsid w:val="008E24E7"/>
    <w:rsid w:val="008E2E69"/>
    <w:rsid w:val="0091334F"/>
    <w:rsid w:val="00923CDD"/>
    <w:rsid w:val="00941410"/>
    <w:rsid w:val="00941D68"/>
    <w:rsid w:val="009427BA"/>
    <w:rsid w:val="00946043"/>
    <w:rsid w:val="00946D63"/>
    <w:rsid w:val="00973CF6"/>
    <w:rsid w:val="00976608"/>
    <w:rsid w:val="00980DB7"/>
    <w:rsid w:val="00981E20"/>
    <w:rsid w:val="00982A34"/>
    <w:rsid w:val="0098584F"/>
    <w:rsid w:val="0099287D"/>
    <w:rsid w:val="009A23C4"/>
    <w:rsid w:val="009A4D0D"/>
    <w:rsid w:val="009A6A50"/>
    <w:rsid w:val="009B222E"/>
    <w:rsid w:val="009C4FED"/>
    <w:rsid w:val="009D56BC"/>
    <w:rsid w:val="009D5F7D"/>
    <w:rsid w:val="009E2E7D"/>
    <w:rsid w:val="009E6D99"/>
    <w:rsid w:val="00A14928"/>
    <w:rsid w:val="00A17DC3"/>
    <w:rsid w:val="00A22F64"/>
    <w:rsid w:val="00A242B3"/>
    <w:rsid w:val="00A27DC7"/>
    <w:rsid w:val="00A34F31"/>
    <w:rsid w:val="00A44104"/>
    <w:rsid w:val="00A445C6"/>
    <w:rsid w:val="00A54C1E"/>
    <w:rsid w:val="00A73387"/>
    <w:rsid w:val="00A74399"/>
    <w:rsid w:val="00A74BAE"/>
    <w:rsid w:val="00A9048A"/>
    <w:rsid w:val="00AB1CE8"/>
    <w:rsid w:val="00AB3A48"/>
    <w:rsid w:val="00AB71D3"/>
    <w:rsid w:val="00AB75B6"/>
    <w:rsid w:val="00AD1C69"/>
    <w:rsid w:val="00AD3279"/>
    <w:rsid w:val="00AD399A"/>
    <w:rsid w:val="00AD60E9"/>
    <w:rsid w:val="00AF623A"/>
    <w:rsid w:val="00B00434"/>
    <w:rsid w:val="00B105AC"/>
    <w:rsid w:val="00B15D21"/>
    <w:rsid w:val="00B26A28"/>
    <w:rsid w:val="00B30708"/>
    <w:rsid w:val="00B35381"/>
    <w:rsid w:val="00B37516"/>
    <w:rsid w:val="00B466D7"/>
    <w:rsid w:val="00B5019E"/>
    <w:rsid w:val="00B52AC1"/>
    <w:rsid w:val="00B83237"/>
    <w:rsid w:val="00B854C1"/>
    <w:rsid w:val="00B86627"/>
    <w:rsid w:val="00BB69C2"/>
    <w:rsid w:val="00BC6547"/>
    <w:rsid w:val="00BD0518"/>
    <w:rsid w:val="00C00327"/>
    <w:rsid w:val="00C00A44"/>
    <w:rsid w:val="00C05AFA"/>
    <w:rsid w:val="00C06EC1"/>
    <w:rsid w:val="00C24106"/>
    <w:rsid w:val="00C34918"/>
    <w:rsid w:val="00C478AC"/>
    <w:rsid w:val="00C501CC"/>
    <w:rsid w:val="00C50789"/>
    <w:rsid w:val="00C514EA"/>
    <w:rsid w:val="00C5246E"/>
    <w:rsid w:val="00C61106"/>
    <w:rsid w:val="00C61D24"/>
    <w:rsid w:val="00C736F5"/>
    <w:rsid w:val="00CD0C3A"/>
    <w:rsid w:val="00CF0057"/>
    <w:rsid w:val="00CF0809"/>
    <w:rsid w:val="00CF4DB6"/>
    <w:rsid w:val="00D0123A"/>
    <w:rsid w:val="00D0497C"/>
    <w:rsid w:val="00D10A94"/>
    <w:rsid w:val="00D10BD9"/>
    <w:rsid w:val="00D2255F"/>
    <w:rsid w:val="00D24884"/>
    <w:rsid w:val="00D25579"/>
    <w:rsid w:val="00D274C9"/>
    <w:rsid w:val="00D2786F"/>
    <w:rsid w:val="00D3669A"/>
    <w:rsid w:val="00D50FCB"/>
    <w:rsid w:val="00D52062"/>
    <w:rsid w:val="00D54F62"/>
    <w:rsid w:val="00D56838"/>
    <w:rsid w:val="00D6036D"/>
    <w:rsid w:val="00D63D5F"/>
    <w:rsid w:val="00D75E43"/>
    <w:rsid w:val="00DA3439"/>
    <w:rsid w:val="00DB66FE"/>
    <w:rsid w:val="00DC33F5"/>
    <w:rsid w:val="00DC56A3"/>
    <w:rsid w:val="00DC66D1"/>
    <w:rsid w:val="00DE20AB"/>
    <w:rsid w:val="00E0731D"/>
    <w:rsid w:val="00E105E3"/>
    <w:rsid w:val="00E1302B"/>
    <w:rsid w:val="00E22D55"/>
    <w:rsid w:val="00E24147"/>
    <w:rsid w:val="00E3736D"/>
    <w:rsid w:val="00E61485"/>
    <w:rsid w:val="00E74F70"/>
    <w:rsid w:val="00E77AFE"/>
    <w:rsid w:val="00E84BAC"/>
    <w:rsid w:val="00E861B3"/>
    <w:rsid w:val="00E9678F"/>
    <w:rsid w:val="00ED32CE"/>
    <w:rsid w:val="00EE399A"/>
    <w:rsid w:val="00EE4A12"/>
    <w:rsid w:val="00EE729D"/>
    <w:rsid w:val="00EF0649"/>
    <w:rsid w:val="00EF30EB"/>
    <w:rsid w:val="00EF48B0"/>
    <w:rsid w:val="00EF4DF6"/>
    <w:rsid w:val="00F0196C"/>
    <w:rsid w:val="00F06A1C"/>
    <w:rsid w:val="00F139AE"/>
    <w:rsid w:val="00F15215"/>
    <w:rsid w:val="00F2018A"/>
    <w:rsid w:val="00F33749"/>
    <w:rsid w:val="00F33C2D"/>
    <w:rsid w:val="00F37D20"/>
    <w:rsid w:val="00F51819"/>
    <w:rsid w:val="00F568AD"/>
    <w:rsid w:val="00F70F3A"/>
    <w:rsid w:val="00F77958"/>
    <w:rsid w:val="00F77D5C"/>
    <w:rsid w:val="00F80F33"/>
    <w:rsid w:val="00F85E47"/>
    <w:rsid w:val="00F95213"/>
    <w:rsid w:val="00F97CDD"/>
    <w:rsid w:val="00FA7B72"/>
    <w:rsid w:val="00FB669A"/>
    <w:rsid w:val="00FC0D0D"/>
    <w:rsid w:val="00FC4EBE"/>
    <w:rsid w:val="00FD0C86"/>
    <w:rsid w:val="00FE4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D8891"/>
  <w15:docId w15:val="{8D088848-E336-4175-827A-61FA14F8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733DE9"/>
    <w:pPr>
      <w:ind w:left="120"/>
      <w:jc w:val="both"/>
      <w:outlineLvl w:val="0"/>
    </w:pPr>
    <w:rPr>
      <w:rFonts w:eastAsia="Arial"/>
      <w:b/>
      <w:bCs/>
      <w:w w:val="105"/>
    </w:rPr>
  </w:style>
  <w:style w:type="paragraph" w:styleId="Heading2">
    <w:name w:val="heading 2"/>
    <w:basedOn w:val="Normal"/>
    <w:uiPriority w:val="1"/>
    <w:qFormat/>
    <w:rsid w:val="00733DE9"/>
    <w:pPr>
      <w:spacing w:before="215"/>
      <w:ind w:left="120"/>
      <w:jc w:val="both"/>
      <w:outlineLvl w:val="1"/>
    </w:pPr>
    <w:rPr>
      <w:rFonts w:eastAsia="Arial"/>
      <w:i/>
      <w:w w:val="1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33DE9"/>
    <w:pPr>
      <w:spacing w:before="88" w:line="276" w:lineRule="auto"/>
      <w:ind w:left="120" w:right="118"/>
      <w:jc w:val="both"/>
    </w:pPr>
    <w:rPr>
      <w:sz w:val="20"/>
      <w:szCs w:val="20"/>
    </w:rPr>
  </w:style>
  <w:style w:type="paragraph" w:styleId="ListParagraph">
    <w:name w:val="List Paragraph"/>
    <w:basedOn w:val="Normal"/>
    <w:uiPriority w:val="1"/>
    <w:qFormat/>
    <w:pPr>
      <w:ind w:left="444" w:right="118" w:hanging="32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82D8C"/>
    <w:pPr>
      <w:tabs>
        <w:tab w:val="center" w:pos="4513"/>
        <w:tab w:val="right" w:pos="9026"/>
      </w:tabs>
    </w:pPr>
  </w:style>
  <w:style w:type="character" w:customStyle="1" w:styleId="HeaderChar">
    <w:name w:val="Header Char"/>
    <w:basedOn w:val="DefaultParagraphFont"/>
    <w:link w:val="Header"/>
    <w:uiPriority w:val="99"/>
    <w:rsid w:val="00282D8C"/>
    <w:rPr>
      <w:rFonts w:ascii="Times New Roman" w:eastAsia="Times New Roman" w:hAnsi="Times New Roman" w:cs="Times New Roman"/>
    </w:rPr>
  </w:style>
  <w:style w:type="paragraph" w:styleId="Footer">
    <w:name w:val="footer"/>
    <w:basedOn w:val="Normal"/>
    <w:link w:val="FooterChar"/>
    <w:uiPriority w:val="99"/>
    <w:unhideWhenUsed/>
    <w:rsid w:val="00282D8C"/>
    <w:pPr>
      <w:tabs>
        <w:tab w:val="center" w:pos="4513"/>
        <w:tab w:val="right" w:pos="9026"/>
      </w:tabs>
    </w:pPr>
  </w:style>
  <w:style w:type="character" w:customStyle="1" w:styleId="FooterChar">
    <w:name w:val="Footer Char"/>
    <w:basedOn w:val="DefaultParagraphFont"/>
    <w:link w:val="Footer"/>
    <w:uiPriority w:val="99"/>
    <w:rsid w:val="00282D8C"/>
    <w:rPr>
      <w:rFonts w:ascii="Times New Roman" w:eastAsia="Times New Roman" w:hAnsi="Times New Roman" w:cs="Times New Roman"/>
    </w:rPr>
  </w:style>
  <w:style w:type="character" w:styleId="PlaceholderText">
    <w:name w:val="Placeholder Text"/>
    <w:basedOn w:val="DefaultParagraphFont"/>
    <w:uiPriority w:val="99"/>
    <w:semiHidden/>
    <w:rsid w:val="00AB1CE8"/>
    <w:rPr>
      <w:color w:val="808080"/>
    </w:rPr>
  </w:style>
  <w:style w:type="paragraph" w:styleId="TableofFigures">
    <w:name w:val="table of figures"/>
    <w:basedOn w:val="Normal"/>
    <w:next w:val="Normal"/>
    <w:uiPriority w:val="99"/>
    <w:semiHidden/>
    <w:unhideWhenUsed/>
    <w:rsid w:val="003F0D2C"/>
  </w:style>
  <w:style w:type="character" w:styleId="Hyperlink">
    <w:name w:val="Hyperlink"/>
    <w:basedOn w:val="DefaultParagraphFont"/>
    <w:uiPriority w:val="99"/>
    <w:unhideWhenUsed/>
    <w:rsid w:val="0041756E"/>
    <w:rPr>
      <w:color w:val="0000FF" w:themeColor="hyperlink"/>
      <w:u w:val="single"/>
    </w:rPr>
  </w:style>
  <w:style w:type="character" w:styleId="UnresolvedMention">
    <w:name w:val="Unresolved Mention"/>
    <w:basedOn w:val="DefaultParagraphFont"/>
    <w:uiPriority w:val="99"/>
    <w:semiHidden/>
    <w:unhideWhenUsed/>
    <w:rsid w:val="0041756E"/>
    <w:rPr>
      <w:color w:val="605E5C"/>
      <w:shd w:val="clear" w:color="auto" w:fill="E1DFDD"/>
    </w:rPr>
  </w:style>
  <w:style w:type="paragraph" w:styleId="Caption">
    <w:name w:val="caption"/>
    <w:basedOn w:val="Normal"/>
    <w:next w:val="Normal"/>
    <w:uiPriority w:val="35"/>
    <w:unhideWhenUsed/>
    <w:qFormat/>
    <w:rsid w:val="00522697"/>
    <w:pPr>
      <w:spacing w:after="200"/>
    </w:pPr>
    <w:rPr>
      <w:i/>
      <w:iCs/>
      <w:color w:val="1F497D" w:themeColor="text2"/>
      <w:sz w:val="18"/>
      <w:szCs w:val="18"/>
    </w:rPr>
  </w:style>
  <w:style w:type="table" w:styleId="TableGrid">
    <w:name w:val="Table Grid"/>
    <w:basedOn w:val="TableNormal"/>
    <w:uiPriority w:val="39"/>
    <w:rsid w:val="00F15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42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512126">
      <w:bodyDiv w:val="1"/>
      <w:marLeft w:val="0"/>
      <w:marRight w:val="0"/>
      <w:marTop w:val="0"/>
      <w:marBottom w:val="0"/>
      <w:divBdr>
        <w:top w:val="none" w:sz="0" w:space="0" w:color="auto"/>
        <w:left w:val="none" w:sz="0" w:space="0" w:color="auto"/>
        <w:bottom w:val="none" w:sz="0" w:space="0" w:color="auto"/>
        <w:right w:val="none" w:sz="0" w:space="0" w:color="auto"/>
      </w:divBdr>
    </w:div>
    <w:div w:id="528681747">
      <w:bodyDiv w:val="1"/>
      <w:marLeft w:val="0"/>
      <w:marRight w:val="0"/>
      <w:marTop w:val="0"/>
      <w:marBottom w:val="0"/>
      <w:divBdr>
        <w:top w:val="none" w:sz="0" w:space="0" w:color="auto"/>
        <w:left w:val="none" w:sz="0" w:space="0" w:color="auto"/>
        <w:bottom w:val="none" w:sz="0" w:space="0" w:color="auto"/>
        <w:right w:val="none" w:sz="0" w:space="0" w:color="auto"/>
      </w:divBdr>
    </w:div>
    <w:div w:id="609120334">
      <w:bodyDiv w:val="1"/>
      <w:marLeft w:val="0"/>
      <w:marRight w:val="0"/>
      <w:marTop w:val="0"/>
      <w:marBottom w:val="0"/>
      <w:divBdr>
        <w:top w:val="none" w:sz="0" w:space="0" w:color="auto"/>
        <w:left w:val="none" w:sz="0" w:space="0" w:color="auto"/>
        <w:bottom w:val="none" w:sz="0" w:space="0" w:color="auto"/>
        <w:right w:val="none" w:sz="0" w:space="0" w:color="auto"/>
      </w:divBdr>
    </w:div>
    <w:div w:id="639698362">
      <w:bodyDiv w:val="1"/>
      <w:marLeft w:val="0"/>
      <w:marRight w:val="0"/>
      <w:marTop w:val="0"/>
      <w:marBottom w:val="0"/>
      <w:divBdr>
        <w:top w:val="none" w:sz="0" w:space="0" w:color="auto"/>
        <w:left w:val="none" w:sz="0" w:space="0" w:color="auto"/>
        <w:bottom w:val="none" w:sz="0" w:space="0" w:color="auto"/>
        <w:right w:val="none" w:sz="0" w:space="0" w:color="auto"/>
      </w:divBdr>
    </w:div>
    <w:div w:id="964123492">
      <w:bodyDiv w:val="1"/>
      <w:marLeft w:val="0"/>
      <w:marRight w:val="0"/>
      <w:marTop w:val="0"/>
      <w:marBottom w:val="0"/>
      <w:divBdr>
        <w:top w:val="none" w:sz="0" w:space="0" w:color="auto"/>
        <w:left w:val="none" w:sz="0" w:space="0" w:color="auto"/>
        <w:bottom w:val="none" w:sz="0" w:space="0" w:color="auto"/>
        <w:right w:val="none" w:sz="0" w:space="0" w:color="auto"/>
      </w:divBdr>
    </w:div>
    <w:div w:id="976911982">
      <w:bodyDiv w:val="1"/>
      <w:marLeft w:val="0"/>
      <w:marRight w:val="0"/>
      <w:marTop w:val="0"/>
      <w:marBottom w:val="0"/>
      <w:divBdr>
        <w:top w:val="none" w:sz="0" w:space="0" w:color="auto"/>
        <w:left w:val="none" w:sz="0" w:space="0" w:color="auto"/>
        <w:bottom w:val="none" w:sz="0" w:space="0" w:color="auto"/>
        <w:right w:val="none" w:sz="0" w:space="0" w:color="auto"/>
      </w:divBdr>
    </w:div>
    <w:div w:id="987321154">
      <w:bodyDiv w:val="1"/>
      <w:marLeft w:val="0"/>
      <w:marRight w:val="0"/>
      <w:marTop w:val="0"/>
      <w:marBottom w:val="0"/>
      <w:divBdr>
        <w:top w:val="none" w:sz="0" w:space="0" w:color="auto"/>
        <w:left w:val="none" w:sz="0" w:space="0" w:color="auto"/>
        <w:bottom w:val="none" w:sz="0" w:space="0" w:color="auto"/>
        <w:right w:val="none" w:sz="0" w:space="0" w:color="auto"/>
      </w:divBdr>
    </w:div>
    <w:div w:id="1064109358">
      <w:bodyDiv w:val="1"/>
      <w:marLeft w:val="0"/>
      <w:marRight w:val="0"/>
      <w:marTop w:val="0"/>
      <w:marBottom w:val="0"/>
      <w:divBdr>
        <w:top w:val="none" w:sz="0" w:space="0" w:color="auto"/>
        <w:left w:val="none" w:sz="0" w:space="0" w:color="auto"/>
        <w:bottom w:val="none" w:sz="0" w:space="0" w:color="auto"/>
        <w:right w:val="none" w:sz="0" w:space="0" w:color="auto"/>
      </w:divBdr>
    </w:div>
    <w:div w:id="1172795775">
      <w:bodyDiv w:val="1"/>
      <w:marLeft w:val="0"/>
      <w:marRight w:val="0"/>
      <w:marTop w:val="0"/>
      <w:marBottom w:val="0"/>
      <w:divBdr>
        <w:top w:val="none" w:sz="0" w:space="0" w:color="auto"/>
        <w:left w:val="none" w:sz="0" w:space="0" w:color="auto"/>
        <w:bottom w:val="none" w:sz="0" w:space="0" w:color="auto"/>
        <w:right w:val="none" w:sz="0" w:space="0" w:color="auto"/>
      </w:divBdr>
    </w:div>
    <w:div w:id="1297494188">
      <w:bodyDiv w:val="1"/>
      <w:marLeft w:val="0"/>
      <w:marRight w:val="0"/>
      <w:marTop w:val="0"/>
      <w:marBottom w:val="0"/>
      <w:divBdr>
        <w:top w:val="none" w:sz="0" w:space="0" w:color="auto"/>
        <w:left w:val="none" w:sz="0" w:space="0" w:color="auto"/>
        <w:bottom w:val="none" w:sz="0" w:space="0" w:color="auto"/>
        <w:right w:val="none" w:sz="0" w:space="0" w:color="auto"/>
      </w:divBdr>
    </w:div>
    <w:div w:id="1573393117">
      <w:bodyDiv w:val="1"/>
      <w:marLeft w:val="0"/>
      <w:marRight w:val="0"/>
      <w:marTop w:val="0"/>
      <w:marBottom w:val="0"/>
      <w:divBdr>
        <w:top w:val="none" w:sz="0" w:space="0" w:color="auto"/>
        <w:left w:val="none" w:sz="0" w:space="0" w:color="auto"/>
        <w:bottom w:val="none" w:sz="0" w:space="0" w:color="auto"/>
        <w:right w:val="none" w:sz="0" w:space="0" w:color="auto"/>
      </w:divBdr>
    </w:div>
    <w:div w:id="1734740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hyperlink" Target="https://doi.org/10.1115/1.4047767" TargetMode="External"/><Relationship Id="rId47" Type="http://schemas.openxmlformats.org/officeDocument/2006/relationships/hyperlink" Target="https://doi.org/https://doi.org/10.4271/830509" TargetMode="External"/><Relationship Id="rId50" Type="http://schemas.openxmlformats.org/officeDocument/2006/relationships/hyperlink" Target="https://doi.org/10.1016/j.enconman.2012.05.01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yperlink" Target="https://doi.org/10.4271/82007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fia.com/regulation/category/11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hyperlink" Target="https://doi.org/10.4271/97006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hyperlink" Target="https://doi.org/10.1016/S0016-2361(00)00080-6"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oi.org/10.4271/890156"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doi.org/10.4271/2001-01-1954" TargetMode="External"/><Relationship Id="rId48" Type="http://schemas.openxmlformats.org/officeDocument/2006/relationships/hyperlink" Target="https://doi.org/10.1016/S1290-0729(02)00052-2" TargetMode="External"/><Relationship Id="rId8" Type="http://schemas.openxmlformats.org/officeDocument/2006/relationships/image" Target="media/image1.jp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BA496-19C5-48B3-A615-02B704D00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4016</Words>
  <Characters>22894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26857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fayaz</dc:creator>
  <cp:keywords/>
  <dc:description/>
  <cp:lastModifiedBy>FrouFrou Mackintosh</cp:lastModifiedBy>
  <cp:revision>2</cp:revision>
  <dcterms:created xsi:type="dcterms:W3CDTF">2020-12-07T13:42:00Z</dcterms:created>
  <dcterms:modified xsi:type="dcterms:W3CDTF">2020-12-07T13:42:00Z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2019-10-18T00:00:00Z</vt:filetime>
  </property>
  <property fmtid="{D5CDD505-2E9C-101B-9397-08002B2CF9AE}" pid="3" name="Creator">
    <vt:lpwstr>LaTeX with hyperref package</vt:lpwstr>
  </property>
  <property fmtid="{D5CDD505-2E9C-101B-9397-08002B2CF9AE}" pid="4" name="LastSaved">
    <vt:filetime>2019-10-18T00:00:00Z</vt:filetime>
  </property>
</Properties>
</file>