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1181" w14:textId="77777777" w:rsidR="00C96875" w:rsidRDefault="00C96875" w:rsidP="0054291A">
      <w:pPr>
        <w:pStyle w:val="Title"/>
        <w:rPr>
          <w:b/>
        </w:rPr>
      </w:pPr>
    </w:p>
    <w:p w14:paraId="5DCE61EB" w14:textId="77777777" w:rsidR="00C96875" w:rsidRDefault="00C96875" w:rsidP="0054291A">
      <w:pPr>
        <w:pStyle w:val="Title"/>
        <w:rPr>
          <w:b/>
        </w:rPr>
      </w:pPr>
    </w:p>
    <w:p w14:paraId="518F6F54" w14:textId="77777777" w:rsidR="00C96875" w:rsidRDefault="00C96875" w:rsidP="0054291A">
      <w:pPr>
        <w:pStyle w:val="Title"/>
        <w:rPr>
          <w:b/>
        </w:rPr>
      </w:pPr>
    </w:p>
    <w:p w14:paraId="309ECB20" w14:textId="24752EC2" w:rsidR="0054291A" w:rsidRPr="00BF4981" w:rsidRDefault="00D91A7A" w:rsidP="0054291A">
      <w:pPr>
        <w:pStyle w:val="Title"/>
        <w:rPr>
          <w:rFonts w:ascii="Century Gothic" w:hAnsi="Century Gothic"/>
          <w:b/>
          <w:sz w:val="96"/>
        </w:rPr>
      </w:pPr>
      <w:r w:rsidRPr="00BF4981">
        <w:rPr>
          <w:rFonts w:ascii="Century Gothic" w:hAnsi="Century Gothic"/>
          <w:b/>
          <w:sz w:val="96"/>
        </w:rPr>
        <w:t>Verdictive Foreseeability</w:t>
      </w:r>
    </w:p>
    <w:p w14:paraId="06AEC621" w14:textId="77777777" w:rsidR="00C96875" w:rsidRDefault="00C96875" w:rsidP="005334C8">
      <w:pPr>
        <w:pStyle w:val="Heading1"/>
      </w:pPr>
    </w:p>
    <w:p w14:paraId="79F3A6F1" w14:textId="77777777" w:rsidR="00C96875" w:rsidRDefault="00C96875" w:rsidP="005334C8">
      <w:pPr>
        <w:pStyle w:val="Heading1"/>
      </w:pPr>
    </w:p>
    <w:p w14:paraId="0AEB8EE2" w14:textId="77777777" w:rsidR="00C96875" w:rsidRDefault="00C96875" w:rsidP="00C96875"/>
    <w:p w14:paraId="09D51E4A" w14:textId="77777777" w:rsidR="00C96875" w:rsidRPr="00C96875" w:rsidRDefault="00C96875" w:rsidP="00C96875"/>
    <w:p w14:paraId="349C40A2" w14:textId="0C35DE83" w:rsidR="005334C8" w:rsidRDefault="005334C8" w:rsidP="005334C8">
      <w:pPr>
        <w:pStyle w:val="Heading1"/>
      </w:pPr>
      <w:bookmarkStart w:id="0" w:name="_Toc428515785"/>
      <w:r>
        <w:t>Max Weaver</w:t>
      </w:r>
      <w:bookmarkEnd w:id="0"/>
    </w:p>
    <w:p w14:paraId="360FE8F0" w14:textId="25C2BAEE" w:rsidR="005334C8" w:rsidRPr="00D1260D" w:rsidRDefault="00C96875" w:rsidP="005334C8">
      <w:pPr>
        <w:contextualSpacing/>
        <w:rPr>
          <w:i/>
        </w:rPr>
      </w:pPr>
      <w:r w:rsidRPr="00D1260D">
        <w:rPr>
          <w:i/>
        </w:rPr>
        <w:t xml:space="preserve">Visiting Professor, </w:t>
      </w:r>
      <w:r w:rsidR="005334C8" w:rsidRPr="00D1260D">
        <w:rPr>
          <w:i/>
        </w:rPr>
        <w:t>London South Bank University</w:t>
      </w:r>
    </w:p>
    <w:p w14:paraId="13586C48" w14:textId="581FF675" w:rsidR="00C96875" w:rsidRPr="00D1260D" w:rsidRDefault="00D1260D" w:rsidP="00C96875">
      <w:pPr>
        <w:rPr>
          <w:i/>
        </w:rPr>
      </w:pPr>
      <w:r w:rsidRPr="00D1260D">
        <w:rPr>
          <w:i/>
        </w:rPr>
        <w:t>weaver</w:t>
      </w:r>
      <w:r w:rsidR="00F02F11">
        <w:rPr>
          <w:i/>
        </w:rPr>
        <w:t>m</w:t>
      </w:r>
      <w:r w:rsidRPr="00D1260D">
        <w:rPr>
          <w:i/>
        </w:rPr>
        <w:t>@lsbu.ac.uk</w:t>
      </w:r>
    </w:p>
    <w:p w14:paraId="423EBC08" w14:textId="77777777" w:rsidR="00C96875" w:rsidRDefault="00C96875" w:rsidP="00C96875"/>
    <w:p w14:paraId="7BC04962" w14:textId="77777777" w:rsidR="00C96875" w:rsidRDefault="00C96875" w:rsidP="00C96875"/>
    <w:p w14:paraId="1ACC2393" w14:textId="77777777" w:rsidR="00C96875" w:rsidRDefault="00C96875" w:rsidP="00C96875"/>
    <w:p w14:paraId="247D7254" w14:textId="77777777" w:rsidR="00C96875" w:rsidRDefault="00C96875" w:rsidP="00C96875"/>
    <w:p w14:paraId="7B97D5A1" w14:textId="77777777" w:rsidR="00C96875" w:rsidRPr="00C96875" w:rsidRDefault="00C96875" w:rsidP="00C96875"/>
    <w:p w14:paraId="72B41B21" w14:textId="77777777" w:rsidR="00C96875" w:rsidRDefault="00C96875" w:rsidP="005334C8">
      <w:pPr>
        <w:pStyle w:val="Heading1"/>
      </w:pPr>
    </w:p>
    <w:p w14:paraId="7885D4F5" w14:textId="687B16DA" w:rsidR="005334C8" w:rsidRDefault="005334C8" w:rsidP="005334C8">
      <w:pPr>
        <w:pStyle w:val="Heading1"/>
      </w:pPr>
      <w:bookmarkStart w:id="1" w:name="_Toc428515786"/>
      <w:r>
        <w:t>Abstract</w:t>
      </w:r>
      <w:bookmarkEnd w:id="1"/>
    </w:p>
    <w:p w14:paraId="4A216622" w14:textId="01A91A53" w:rsidR="003958E4" w:rsidRDefault="00C96875" w:rsidP="00F86ECE">
      <w:pPr>
        <w:pStyle w:val="Quote"/>
        <w:ind w:left="0"/>
        <w:rPr>
          <w:i/>
          <w:szCs w:val="20"/>
        </w:rPr>
      </w:pPr>
      <w:r>
        <w:rPr>
          <w:i/>
          <w:szCs w:val="20"/>
        </w:rPr>
        <w:t>V</w:t>
      </w:r>
      <w:r w:rsidR="00F609CC">
        <w:rPr>
          <w:i/>
          <w:szCs w:val="20"/>
        </w:rPr>
        <w:t xml:space="preserve">erdicts </w:t>
      </w:r>
      <w:r w:rsidR="00AD65E8">
        <w:rPr>
          <w:i/>
          <w:szCs w:val="20"/>
        </w:rPr>
        <w:t xml:space="preserve">state conclusions rather than </w:t>
      </w:r>
      <w:r w:rsidR="00F609CC">
        <w:rPr>
          <w:i/>
          <w:szCs w:val="20"/>
        </w:rPr>
        <w:t>reasons</w:t>
      </w:r>
      <w:r w:rsidR="00AD65E8">
        <w:rPr>
          <w:i/>
          <w:szCs w:val="20"/>
        </w:rPr>
        <w:t xml:space="preserve">. Official verdicts can </w:t>
      </w:r>
      <w:r w:rsidR="00940A15">
        <w:rPr>
          <w:i/>
          <w:szCs w:val="20"/>
        </w:rPr>
        <w:t>‘</w:t>
      </w:r>
      <w:r w:rsidR="00F609CC">
        <w:rPr>
          <w:i/>
          <w:szCs w:val="20"/>
        </w:rPr>
        <w:t>make something so</w:t>
      </w:r>
      <w:r w:rsidR="00940A15">
        <w:rPr>
          <w:i/>
          <w:szCs w:val="20"/>
        </w:rPr>
        <w:t>’</w:t>
      </w:r>
      <w:r w:rsidR="00F609CC">
        <w:rPr>
          <w:i/>
          <w:szCs w:val="20"/>
        </w:rPr>
        <w:t xml:space="preserve">. </w:t>
      </w:r>
      <w:r w:rsidR="00940A15">
        <w:rPr>
          <w:i/>
          <w:szCs w:val="20"/>
        </w:rPr>
        <w:t>In h</w:t>
      </w:r>
      <w:r w:rsidR="00AD65E8">
        <w:rPr>
          <w:i/>
          <w:szCs w:val="20"/>
        </w:rPr>
        <w:t>olding individuals responsible, f</w:t>
      </w:r>
      <w:r w:rsidR="005334C8" w:rsidRPr="00F86ECE">
        <w:rPr>
          <w:i/>
          <w:szCs w:val="20"/>
        </w:rPr>
        <w:t xml:space="preserve">oreseeability </w:t>
      </w:r>
      <w:r w:rsidR="00F609CC">
        <w:rPr>
          <w:i/>
          <w:szCs w:val="20"/>
        </w:rPr>
        <w:t>verdicts reflect folk morality</w:t>
      </w:r>
      <w:r w:rsidR="00AD65E8">
        <w:rPr>
          <w:i/>
          <w:szCs w:val="20"/>
        </w:rPr>
        <w:t xml:space="preserve">. In factive mode they can be true or false. In attributive mode they are normative. Many other legal concepts exhibit similar ambivalence. Status, context and Austinian illocutionary force are needed to distinguish </w:t>
      </w:r>
      <w:r>
        <w:rPr>
          <w:i/>
          <w:szCs w:val="20"/>
        </w:rPr>
        <w:t xml:space="preserve">these </w:t>
      </w:r>
      <w:r w:rsidR="00AD65E8">
        <w:rPr>
          <w:i/>
          <w:szCs w:val="20"/>
        </w:rPr>
        <w:t>mode</w:t>
      </w:r>
      <w:r>
        <w:rPr>
          <w:i/>
          <w:szCs w:val="20"/>
        </w:rPr>
        <w:t>s</w:t>
      </w:r>
      <w:r w:rsidR="00AD65E8">
        <w:rPr>
          <w:i/>
          <w:szCs w:val="20"/>
        </w:rPr>
        <w:t>. Verdicts could appear at each stage of algorithmic reasoning but reasons contributing to one verdict should not reappear at a later stage. But neither folk morality nor legal reasoning are algorithmic.</w:t>
      </w:r>
    </w:p>
    <w:p w14:paraId="0BD8BA77" w14:textId="77777777" w:rsidR="003958E4" w:rsidRDefault="003958E4" w:rsidP="003958E4">
      <w:pPr>
        <w:rPr>
          <w:sz w:val="20"/>
        </w:rPr>
      </w:pPr>
      <w:r>
        <w:br w:type="page"/>
      </w:r>
    </w:p>
    <w:p w14:paraId="06D0E939" w14:textId="77777777" w:rsidR="00E6327C" w:rsidRDefault="00E6327C" w:rsidP="005334C8"/>
    <w:sdt>
      <w:sdtPr>
        <w:id w:val="630832736"/>
        <w:docPartObj>
          <w:docPartGallery w:val="Table of Contents"/>
          <w:docPartUnique/>
        </w:docPartObj>
      </w:sdtPr>
      <w:sdtEndPr>
        <w:rPr>
          <w:rFonts w:ascii="Chaparral Pro" w:eastAsiaTheme="minorEastAsia" w:hAnsi="Chaparral Pro" w:cstheme="minorBidi"/>
          <w:noProof/>
          <w:sz w:val="24"/>
          <w:szCs w:val="22"/>
          <w:lang w:bidi="ar-SA"/>
        </w:rPr>
      </w:sdtEndPr>
      <w:sdtContent>
        <w:p w14:paraId="20AC49C6" w14:textId="7CEB1958" w:rsidR="00B85818" w:rsidRDefault="00B85818">
          <w:pPr>
            <w:pStyle w:val="TOCHeading"/>
          </w:pPr>
          <w:r>
            <w:t>Contents</w:t>
          </w:r>
        </w:p>
        <w:p w14:paraId="7555C5E9" w14:textId="77777777" w:rsidR="00B85818" w:rsidRDefault="00B85818">
          <w:pPr>
            <w:pStyle w:val="TOC1"/>
            <w:tabs>
              <w:tab w:val="right" w:leader="dot" w:pos="9016"/>
            </w:tabs>
            <w:rPr>
              <w:noProof/>
            </w:rPr>
          </w:pPr>
          <w:r>
            <w:fldChar w:fldCharType="begin"/>
          </w:r>
          <w:r>
            <w:instrText xml:space="preserve"> TOC \o "1-3" \h \z \u </w:instrText>
          </w:r>
          <w:r>
            <w:fldChar w:fldCharType="separate"/>
          </w:r>
          <w:hyperlink w:anchor="_Toc428515785" w:history="1">
            <w:r w:rsidRPr="009018AB">
              <w:rPr>
                <w:rStyle w:val="Hyperlink"/>
                <w:noProof/>
              </w:rPr>
              <w:t>Max Weaver</w:t>
            </w:r>
            <w:r>
              <w:rPr>
                <w:noProof/>
                <w:webHidden/>
              </w:rPr>
              <w:tab/>
            </w:r>
            <w:r>
              <w:rPr>
                <w:noProof/>
                <w:webHidden/>
              </w:rPr>
              <w:fldChar w:fldCharType="begin"/>
            </w:r>
            <w:r>
              <w:rPr>
                <w:noProof/>
                <w:webHidden/>
              </w:rPr>
              <w:instrText xml:space="preserve"> PAGEREF _Toc428515785 \h </w:instrText>
            </w:r>
            <w:r>
              <w:rPr>
                <w:noProof/>
                <w:webHidden/>
              </w:rPr>
            </w:r>
            <w:r>
              <w:rPr>
                <w:noProof/>
                <w:webHidden/>
              </w:rPr>
              <w:fldChar w:fldCharType="separate"/>
            </w:r>
            <w:r>
              <w:rPr>
                <w:noProof/>
                <w:webHidden/>
              </w:rPr>
              <w:t>1</w:t>
            </w:r>
            <w:r>
              <w:rPr>
                <w:noProof/>
                <w:webHidden/>
              </w:rPr>
              <w:fldChar w:fldCharType="end"/>
            </w:r>
          </w:hyperlink>
        </w:p>
        <w:p w14:paraId="76968356" w14:textId="77777777" w:rsidR="00B85818" w:rsidRDefault="00B85818">
          <w:pPr>
            <w:pStyle w:val="TOC1"/>
            <w:tabs>
              <w:tab w:val="right" w:leader="dot" w:pos="9016"/>
            </w:tabs>
            <w:rPr>
              <w:noProof/>
            </w:rPr>
          </w:pPr>
          <w:hyperlink w:anchor="_Toc428515786" w:history="1">
            <w:r w:rsidRPr="009018AB">
              <w:rPr>
                <w:rStyle w:val="Hyperlink"/>
                <w:noProof/>
              </w:rPr>
              <w:t>Abstract</w:t>
            </w:r>
            <w:r>
              <w:rPr>
                <w:noProof/>
                <w:webHidden/>
              </w:rPr>
              <w:tab/>
            </w:r>
            <w:r>
              <w:rPr>
                <w:noProof/>
                <w:webHidden/>
              </w:rPr>
              <w:fldChar w:fldCharType="begin"/>
            </w:r>
            <w:r>
              <w:rPr>
                <w:noProof/>
                <w:webHidden/>
              </w:rPr>
              <w:instrText xml:space="preserve"> PAGEREF _Toc428515786 \h </w:instrText>
            </w:r>
            <w:r>
              <w:rPr>
                <w:noProof/>
                <w:webHidden/>
              </w:rPr>
            </w:r>
            <w:r>
              <w:rPr>
                <w:noProof/>
                <w:webHidden/>
              </w:rPr>
              <w:fldChar w:fldCharType="separate"/>
            </w:r>
            <w:r>
              <w:rPr>
                <w:noProof/>
                <w:webHidden/>
              </w:rPr>
              <w:t>1</w:t>
            </w:r>
            <w:r>
              <w:rPr>
                <w:noProof/>
                <w:webHidden/>
              </w:rPr>
              <w:fldChar w:fldCharType="end"/>
            </w:r>
          </w:hyperlink>
        </w:p>
        <w:p w14:paraId="073978A6" w14:textId="77777777" w:rsidR="00B85818" w:rsidRDefault="00B85818">
          <w:pPr>
            <w:pStyle w:val="TOC1"/>
            <w:tabs>
              <w:tab w:val="right" w:leader="dot" w:pos="9016"/>
            </w:tabs>
            <w:rPr>
              <w:noProof/>
            </w:rPr>
          </w:pPr>
          <w:hyperlink w:anchor="_Toc428515787" w:history="1">
            <w:r w:rsidRPr="009018AB">
              <w:rPr>
                <w:rStyle w:val="Hyperlink"/>
                <w:noProof/>
              </w:rPr>
              <w:t>Foreseeability’s Pervasiveness</w:t>
            </w:r>
            <w:r>
              <w:rPr>
                <w:noProof/>
                <w:webHidden/>
              </w:rPr>
              <w:tab/>
            </w:r>
            <w:r>
              <w:rPr>
                <w:noProof/>
                <w:webHidden/>
              </w:rPr>
              <w:fldChar w:fldCharType="begin"/>
            </w:r>
            <w:r>
              <w:rPr>
                <w:noProof/>
                <w:webHidden/>
              </w:rPr>
              <w:instrText xml:space="preserve"> PAGEREF _Toc428515787 \h </w:instrText>
            </w:r>
            <w:r>
              <w:rPr>
                <w:noProof/>
                <w:webHidden/>
              </w:rPr>
            </w:r>
            <w:r>
              <w:rPr>
                <w:noProof/>
                <w:webHidden/>
              </w:rPr>
              <w:fldChar w:fldCharType="separate"/>
            </w:r>
            <w:r>
              <w:rPr>
                <w:noProof/>
                <w:webHidden/>
              </w:rPr>
              <w:t>1</w:t>
            </w:r>
            <w:r>
              <w:rPr>
                <w:noProof/>
                <w:webHidden/>
              </w:rPr>
              <w:fldChar w:fldCharType="end"/>
            </w:r>
          </w:hyperlink>
        </w:p>
        <w:p w14:paraId="42D63C44" w14:textId="77777777" w:rsidR="00B85818" w:rsidRDefault="00B85818">
          <w:pPr>
            <w:pStyle w:val="TOC1"/>
            <w:tabs>
              <w:tab w:val="right" w:leader="dot" w:pos="9016"/>
            </w:tabs>
            <w:rPr>
              <w:noProof/>
            </w:rPr>
          </w:pPr>
          <w:hyperlink w:anchor="_Toc428515788" w:history="1">
            <w:r w:rsidRPr="009018AB">
              <w:rPr>
                <w:rStyle w:val="Hyperlink"/>
                <w:noProof/>
              </w:rPr>
              <w:t>Foreseeability’s Ambivalence</w:t>
            </w:r>
            <w:r>
              <w:rPr>
                <w:noProof/>
                <w:webHidden/>
              </w:rPr>
              <w:tab/>
            </w:r>
            <w:r>
              <w:rPr>
                <w:noProof/>
                <w:webHidden/>
              </w:rPr>
              <w:fldChar w:fldCharType="begin"/>
            </w:r>
            <w:r>
              <w:rPr>
                <w:noProof/>
                <w:webHidden/>
              </w:rPr>
              <w:instrText xml:space="preserve"> PAGEREF _Toc428515788 \h </w:instrText>
            </w:r>
            <w:r>
              <w:rPr>
                <w:noProof/>
                <w:webHidden/>
              </w:rPr>
            </w:r>
            <w:r>
              <w:rPr>
                <w:noProof/>
                <w:webHidden/>
              </w:rPr>
              <w:fldChar w:fldCharType="separate"/>
            </w:r>
            <w:r>
              <w:rPr>
                <w:noProof/>
                <w:webHidden/>
              </w:rPr>
              <w:t>3</w:t>
            </w:r>
            <w:r>
              <w:rPr>
                <w:noProof/>
                <w:webHidden/>
              </w:rPr>
              <w:fldChar w:fldCharType="end"/>
            </w:r>
          </w:hyperlink>
        </w:p>
        <w:p w14:paraId="2FD2CCE1" w14:textId="77777777" w:rsidR="00B85818" w:rsidRDefault="00B85818">
          <w:pPr>
            <w:pStyle w:val="TOC2"/>
            <w:tabs>
              <w:tab w:val="right" w:leader="dot" w:pos="9016"/>
            </w:tabs>
            <w:rPr>
              <w:noProof/>
            </w:rPr>
          </w:pPr>
          <w:hyperlink w:anchor="_Toc428515789" w:history="1">
            <w:r w:rsidRPr="009018AB">
              <w:rPr>
                <w:rStyle w:val="Hyperlink"/>
                <w:noProof/>
              </w:rPr>
              <w:t>Factive Foresight</w:t>
            </w:r>
            <w:r>
              <w:rPr>
                <w:noProof/>
                <w:webHidden/>
              </w:rPr>
              <w:tab/>
            </w:r>
            <w:r>
              <w:rPr>
                <w:noProof/>
                <w:webHidden/>
              </w:rPr>
              <w:fldChar w:fldCharType="begin"/>
            </w:r>
            <w:r>
              <w:rPr>
                <w:noProof/>
                <w:webHidden/>
              </w:rPr>
              <w:instrText xml:space="preserve"> PAGEREF _Toc428515789 \h </w:instrText>
            </w:r>
            <w:r>
              <w:rPr>
                <w:noProof/>
                <w:webHidden/>
              </w:rPr>
            </w:r>
            <w:r>
              <w:rPr>
                <w:noProof/>
                <w:webHidden/>
              </w:rPr>
              <w:fldChar w:fldCharType="separate"/>
            </w:r>
            <w:r>
              <w:rPr>
                <w:noProof/>
                <w:webHidden/>
              </w:rPr>
              <w:t>3</w:t>
            </w:r>
            <w:r>
              <w:rPr>
                <w:noProof/>
                <w:webHidden/>
              </w:rPr>
              <w:fldChar w:fldCharType="end"/>
            </w:r>
          </w:hyperlink>
        </w:p>
        <w:p w14:paraId="450A94DA" w14:textId="77777777" w:rsidR="00B85818" w:rsidRDefault="00B85818">
          <w:pPr>
            <w:pStyle w:val="TOC2"/>
            <w:tabs>
              <w:tab w:val="right" w:leader="dot" w:pos="9016"/>
            </w:tabs>
            <w:rPr>
              <w:noProof/>
            </w:rPr>
          </w:pPr>
          <w:hyperlink w:anchor="_Toc428515790" w:history="1">
            <w:r w:rsidRPr="009018AB">
              <w:rPr>
                <w:rStyle w:val="Hyperlink"/>
                <w:noProof/>
              </w:rPr>
              <w:t>Factive Foreseeability</w:t>
            </w:r>
            <w:r>
              <w:rPr>
                <w:noProof/>
                <w:webHidden/>
              </w:rPr>
              <w:tab/>
            </w:r>
            <w:r>
              <w:rPr>
                <w:noProof/>
                <w:webHidden/>
              </w:rPr>
              <w:fldChar w:fldCharType="begin"/>
            </w:r>
            <w:r>
              <w:rPr>
                <w:noProof/>
                <w:webHidden/>
              </w:rPr>
              <w:instrText xml:space="preserve"> PAGEREF _Toc428515790 \h </w:instrText>
            </w:r>
            <w:r>
              <w:rPr>
                <w:noProof/>
                <w:webHidden/>
              </w:rPr>
            </w:r>
            <w:r>
              <w:rPr>
                <w:noProof/>
                <w:webHidden/>
              </w:rPr>
              <w:fldChar w:fldCharType="separate"/>
            </w:r>
            <w:r>
              <w:rPr>
                <w:noProof/>
                <w:webHidden/>
              </w:rPr>
              <w:t>4</w:t>
            </w:r>
            <w:r>
              <w:rPr>
                <w:noProof/>
                <w:webHidden/>
              </w:rPr>
              <w:fldChar w:fldCharType="end"/>
            </w:r>
          </w:hyperlink>
        </w:p>
        <w:p w14:paraId="41FD431D" w14:textId="77777777" w:rsidR="00B85818" w:rsidRDefault="00B85818">
          <w:pPr>
            <w:pStyle w:val="TOC2"/>
            <w:tabs>
              <w:tab w:val="right" w:leader="dot" w:pos="9016"/>
            </w:tabs>
            <w:rPr>
              <w:noProof/>
            </w:rPr>
          </w:pPr>
          <w:hyperlink w:anchor="_Toc428515791" w:history="1">
            <w:r w:rsidRPr="009018AB">
              <w:rPr>
                <w:rStyle w:val="Hyperlink"/>
                <w:noProof/>
              </w:rPr>
              <w:t>Attributional Foreseeability</w:t>
            </w:r>
            <w:r>
              <w:rPr>
                <w:noProof/>
                <w:webHidden/>
              </w:rPr>
              <w:tab/>
            </w:r>
            <w:r>
              <w:rPr>
                <w:noProof/>
                <w:webHidden/>
              </w:rPr>
              <w:fldChar w:fldCharType="begin"/>
            </w:r>
            <w:r>
              <w:rPr>
                <w:noProof/>
                <w:webHidden/>
              </w:rPr>
              <w:instrText xml:space="preserve"> PAGEREF _Toc428515791 \h </w:instrText>
            </w:r>
            <w:r>
              <w:rPr>
                <w:noProof/>
                <w:webHidden/>
              </w:rPr>
            </w:r>
            <w:r>
              <w:rPr>
                <w:noProof/>
                <w:webHidden/>
              </w:rPr>
              <w:fldChar w:fldCharType="separate"/>
            </w:r>
            <w:r>
              <w:rPr>
                <w:noProof/>
                <w:webHidden/>
              </w:rPr>
              <w:t>4</w:t>
            </w:r>
            <w:r>
              <w:rPr>
                <w:noProof/>
                <w:webHidden/>
              </w:rPr>
              <w:fldChar w:fldCharType="end"/>
            </w:r>
          </w:hyperlink>
        </w:p>
        <w:p w14:paraId="2C049A29" w14:textId="77777777" w:rsidR="00B85818" w:rsidRDefault="00B85818">
          <w:pPr>
            <w:pStyle w:val="TOC2"/>
            <w:tabs>
              <w:tab w:val="right" w:leader="dot" w:pos="9016"/>
            </w:tabs>
            <w:rPr>
              <w:noProof/>
            </w:rPr>
          </w:pPr>
          <w:hyperlink w:anchor="_Toc428515792" w:history="1">
            <w:r w:rsidRPr="009018AB">
              <w:rPr>
                <w:rStyle w:val="Hyperlink"/>
                <w:noProof/>
              </w:rPr>
              <w:t>Factive-Attributive Ambivalence</w:t>
            </w:r>
            <w:r>
              <w:rPr>
                <w:noProof/>
                <w:webHidden/>
              </w:rPr>
              <w:tab/>
            </w:r>
            <w:r>
              <w:rPr>
                <w:noProof/>
                <w:webHidden/>
              </w:rPr>
              <w:fldChar w:fldCharType="begin"/>
            </w:r>
            <w:r>
              <w:rPr>
                <w:noProof/>
                <w:webHidden/>
              </w:rPr>
              <w:instrText xml:space="preserve"> PAGEREF _Toc428515792 \h </w:instrText>
            </w:r>
            <w:r>
              <w:rPr>
                <w:noProof/>
                <w:webHidden/>
              </w:rPr>
            </w:r>
            <w:r>
              <w:rPr>
                <w:noProof/>
                <w:webHidden/>
              </w:rPr>
              <w:fldChar w:fldCharType="separate"/>
            </w:r>
            <w:r>
              <w:rPr>
                <w:noProof/>
                <w:webHidden/>
              </w:rPr>
              <w:t>4</w:t>
            </w:r>
            <w:r>
              <w:rPr>
                <w:noProof/>
                <w:webHidden/>
              </w:rPr>
              <w:fldChar w:fldCharType="end"/>
            </w:r>
          </w:hyperlink>
        </w:p>
        <w:p w14:paraId="479ADC94" w14:textId="77777777" w:rsidR="00B85818" w:rsidRDefault="00B85818">
          <w:pPr>
            <w:pStyle w:val="TOC1"/>
            <w:tabs>
              <w:tab w:val="right" w:leader="dot" w:pos="9016"/>
            </w:tabs>
            <w:rPr>
              <w:noProof/>
            </w:rPr>
          </w:pPr>
          <w:hyperlink w:anchor="_Toc428515793" w:history="1">
            <w:r w:rsidRPr="009018AB">
              <w:rPr>
                <w:rStyle w:val="Hyperlink"/>
                <w:noProof/>
              </w:rPr>
              <w:t>Verdictiveness and Illocutionary Force</w:t>
            </w:r>
            <w:r>
              <w:rPr>
                <w:noProof/>
                <w:webHidden/>
              </w:rPr>
              <w:tab/>
            </w:r>
            <w:r>
              <w:rPr>
                <w:noProof/>
                <w:webHidden/>
              </w:rPr>
              <w:fldChar w:fldCharType="begin"/>
            </w:r>
            <w:r>
              <w:rPr>
                <w:noProof/>
                <w:webHidden/>
              </w:rPr>
              <w:instrText xml:space="preserve"> PAGEREF _Toc428515793 \h </w:instrText>
            </w:r>
            <w:r>
              <w:rPr>
                <w:noProof/>
                <w:webHidden/>
              </w:rPr>
            </w:r>
            <w:r>
              <w:rPr>
                <w:noProof/>
                <w:webHidden/>
              </w:rPr>
              <w:fldChar w:fldCharType="separate"/>
            </w:r>
            <w:r>
              <w:rPr>
                <w:noProof/>
                <w:webHidden/>
              </w:rPr>
              <w:t>5</w:t>
            </w:r>
            <w:r>
              <w:rPr>
                <w:noProof/>
                <w:webHidden/>
              </w:rPr>
              <w:fldChar w:fldCharType="end"/>
            </w:r>
          </w:hyperlink>
        </w:p>
        <w:p w14:paraId="1B0CF0C3" w14:textId="77777777" w:rsidR="00B85818" w:rsidRDefault="00B85818">
          <w:pPr>
            <w:pStyle w:val="TOC1"/>
            <w:tabs>
              <w:tab w:val="right" w:leader="dot" w:pos="9016"/>
            </w:tabs>
            <w:rPr>
              <w:noProof/>
            </w:rPr>
          </w:pPr>
          <w:hyperlink w:anchor="_Toc428515794" w:history="1">
            <w:r w:rsidRPr="009018AB">
              <w:rPr>
                <w:rStyle w:val="Hyperlink"/>
                <w:noProof/>
              </w:rPr>
              <w:t>Tackling Foreseeability’s Ambivalence</w:t>
            </w:r>
            <w:r>
              <w:rPr>
                <w:noProof/>
                <w:webHidden/>
              </w:rPr>
              <w:tab/>
            </w:r>
            <w:r>
              <w:rPr>
                <w:noProof/>
                <w:webHidden/>
              </w:rPr>
              <w:fldChar w:fldCharType="begin"/>
            </w:r>
            <w:r>
              <w:rPr>
                <w:noProof/>
                <w:webHidden/>
              </w:rPr>
              <w:instrText xml:space="preserve"> PAGEREF _Toc428515794 \h </w:instrText>
            </w:r>
            <w:r>
              <w:rPr>
                <w:noProof/>
                <w:webHidden/>
              </w:rPr>
            </w:r>
            <w:r>
              <w:rPr>
                <w:noProof/>
                <w:webHidden/>
              </w:rPr>
              <w:fldChar w:fldCharType="separate"/>
            </w:r>
            <w:r>
              <w:rPr>
                <w:noProof/>
                <w:webHidden/>
              </w:rPr>
              <w:t>7</w:t>
            </w:r>
            <w:r>
              <w:rPr>
                <w:noProof/>
                <w:webHidden/>
              </w:rPr>
              <w:fldChar w:fldCharType="end"/>
            </w:r>
          </w:hyperlink>
        </w:p>
        <w:p w14:paraId="5A7D17E5" w14:textId="77777777" w:rsidR="00B85818" w:rsidRDefault="00B85818">
          <w:pPr>
            <w:pStyle w:val="TOC2"/>
            <w:tabs>
              <w:tab w:val="left" w:pos="660"/>
              <w:tab w:val="right" w:leader="dot" w:pos="9016"/>
            </w:tabs>
            <w:rPr>
              <w:noProof/>
            </w:rPr>
          </w:pPr>
          <w:hyperlink w:anchor="_Toc428515795" w:history="1">
            <w:r w:rsidRPr="009018AB">
              <w:rPr>
                <w:rStyle w:val="Hyperlink"/>
                <w:noProof/>
              </w:rPr>
              <w:t>A</w:t>
            </w:r>
            <w:r>
              <w:rPr>
                <w:noProof/>
              </w:rPr>
              <w:tab/>
            </w:r>
            <w:r w:rsidRPr="009018AB">
              <w:rPr>
                <w:rStyle w:val="Hyperlink"/>
                <w:noProof/>
              </w:rPr>
              <w:t>Differentiation between foresight, and foreseeability</w:t>
            </w:r>
            <w:r>
              <w:rPr>
                <w:noProof/>
                <w:webHidden/>
              </w:rPr>
              <w:tab/>
            </w:r>
            <w:r>
              <w:rPr>
                <w:noProof/>
                <w:webHidden/>
              </w:rPr>
              <w:fldChar w:fldCharType="begin"/>
            </w:r>
            <w:r>
              <w:rPr>
                <w:noProof/>
                <w:webHidden/>
              </w:rPr>
              <w:instrText xml:space="preserve"> PAGEREF _Toc428515795 \h </w:instrText>
            </w:r>
            <w:r>
              <w:rPr>
                <w:noProof/>
                <w:webHidden/>
              </w:rPr>
            </w:r>
            <w:r>
              <w:rPr>
                <w:noProof/>
                <w:webHidden/>
              </w:rPr>
              <w:fldChar w:fldCharType="separate"/>
            </w:r>
            <w:r>
              <w:rPr>
                <w:noProof/>
                <w:webHidden/>
              </w:rPr>
              <w:t>7</w:t>
            </w:r>
            <w:r>
              <w:rPr>
                <w:noProof/>
                <w:webHidden/>
              </w:rPr>
              <w:fldChar w:fldCharType="end"/>
            </w:r>
          </w:hyperlink>
        </w:p>
        <w:p w14:paraId="0C0A88BB" w14:textId="77777777" w:rsidR="00B85818" w:rsidRDefault="00B85818">
          <w:pPr>
            <w:pStyle w:val="TOC2"/>
            <w:tabs>
              <w:tab w:val="left" w:pos="660"/>
              <w:tab w:val="right" w:leader="dot" w:pos="9016"/>
            </w:tabs>
            <w:rPr>
              <w:noProof/>
            </w:rPr>
          </w:pPr>
          <w:hyperlink w:anchor="_Toc428515796" w:history="1">
            <w:r w:rsidRPr="009018AB">
              <w:rPr>
                <w:rStyle w:val="Hyperlink"/>
                <w:noProof/>
              </w:rPr>
              <w:t>B</w:t>
            </w:r>
            <w:r>
              <w:rPr>
                <w:noProof/>
              </w:rPr>
              <w:tab/>
            </w:r>
            <w:r w:rsidRPr="009018AB">
              <w:rPr>
                <w:rStyle w:val="Hyperlink"/>
                <w:noProof/>
              </w:rPr>
              <w:t>Differentiation between factive and attributive foreseeability.</w:t>
            </w:r>
            <w:r>
              <w:rPr>
                <w:noProof/>
                <w:webHidden/>
              </w:rPr>
              <w:tab/>
            </w:r>
            <w:r>
              <w:rPr>
                <w:noProof/>
                <w:webHidden/>
              </w:rPr>
              <w:fldChar w:fldCharType="begin"/>
            </w:r>
            <w:r>
              <w:rPr>
                <w:noProof/>
                <w:webHidden/>
              </w:rPr>
              <w:instrText xml:space="preserve"> PAGEREF _Toc428515796 \h </w:instrText>
            </w:r>
            <w:r>
              <w:rPr>
                <w:noProof/>
                <w:webHidden/>
              </w:rPr>
            </w:r>
            <w:r>
              <w:rPr>
                <w:noProof/>
                <w:webHidden/>
              </w:rPr>
              <w:fldChar w:fldCharType="separate"/>
            </w:r>
            <w:r>
              <w:rPr>
                <w:noProof/>
                <w:webHidden/>
              </w:rPr>
              <w:t>7</w:t>
            </w:r>
            <w:r>
              <w:rPr>
                <w:noProof/>
                <w:webHidden/>
              </w:rPr>
              <w:fldChar w:fldCharType="end"/>
            </w:r>
          </w:hyperlink>
        </w:p>
        <w:p w14:paraId="0B2C2DED" w14:textId="77777777" w:rsidR="00B85818" w:rsidRDefault="00B85818">
          <w:pPr>
            <w:pStyle w:val="TOC2"/>
            <w:tabs>
              <w:tab w:val="left" w:pos="660"/>
              <w:tab w:val="right" w:leader="dot" w:pos="9016"/>
            </w:tabs>
            <w:rPr>
              <w:noProof/>
            </w:rPr>
          </w:pPr>
          <w:hyperlink w:anchor="_Toc428515797" w:history="1">
            <w:r w:rsidRPr="009018AB">
              <w:rPr>
                <w:rStyle w:val="Hyperlink"/>
                <w:noProof/>
              </w:rPr>
              <w:t>C</w:t>
            </w:r>
            <w:r>
              <w:rPr>
                <w:noProof/>
              </w:rPr>
              <w:tab/>
            </w:r>
            <w:r w:rsidRPr="009018AB">
              <w:rPr>
                <w:rStyle w:val="Hyperlink"/>
                <w:noProof/>
              </w:rPr>
              <w:t>The factive foreseeability filter</w:t>
            </w:r>
            <w:r>
              <w:rPr>
                <w:noProof/>
                <w:webHidden/>
              </w:rPr>
              <w:tab/>
            </w:r>
            <w:r>
              <w:rPr>
                <w:noProof/>
                <w:webHidden/>
              </w:rPr>
              <w:fldChar w:fldCharType="begin"/>
            </w:r>
            <w:r>
              <w:rPr>
                <w:noProof/>
                <w:webHidden/>
              </w:rPr>
              <w:instrText xml:space="preserve"> PAGEREF _Toc428515797 \h </w:instrText>
            </w:r>
            <w:r>
              <w:rPr>
                <w:noProof/>
                <w:webHidden/>
              </w:rPr>
            </w:r>
            <w:r>
              <w:rPr>
                <w:noProof/>
                <w:webHidden/>
              </w:rPr>
              <w:fldChar w:fldCharType="separate"/>
            </w:r>
            <w:r>
              <w:rPr>
                <w:noProof/>
                <w:webHidden/>
              </w:rPr>
              <w:t>8</w:t>
            </w:r>
            <w:r>
              <w:rPr>
                <w:noProof/>
                <w:webHidden/>
              </w:rPr>
              <w:fldChar w:fldCharType="end"/>
            </w:r>
          </w:hyperlink>
        </w:p>
        <w:p w14:paraId="38EA9538" w14:textId="77777777" w:rsidR="00B85818" w:rsidRDefault="00B85818">
          <w:pPr>
            <w:pStyle w:val="TOC2"/>
            <w:tabs>
              <w:tab w:val="left" w:pos="660"/>
              <w:tab w:val="right" w:leader="dot" w:pos="9016"/>
            </w:tabs>
            <w:rPr>
              <w:noProof/>
            </w:rPr>
          </w:pPr>
          <w:hyperlink w:anchor="_Toc428515798" w:history="1">
            <w:r w:rsidRPr="009018AB">
              <w:rPr>
                <w:rStyle w:val="Hyperlink"/>
                <w:noProof/>
              </w:rPr>
              <w:t>D</w:t>
            </w:r>
            <w:r>
              <w:rPr>
                <w:noProof/>
              </w:rPr>
              <w:tab/>
            </w:r>
            <w:r w:rsidRPr="009018AB">
              <w:rPr>
                <w:rStyle w:val="Hyperlink"/>
                <w:noProof/>
              </w:rPr>
              <w:t>Algorithmic discipline</w:t>
            </w:r>
            <w:r>
              <w:rPr>
                <w:noProof/>
                <w:webHidden/>
              </w:rPr>
              <w:tab/>
            </w:r>
            <w:r>
              <w:rPr>
                <w:noProof/>
                <w:webHidden/>
              </w:rPr>
              <w:fldChar w:fldCharType="begin"/>
            </w:r>
            <w:r>
              <w:rPr>
                <w:noProof/>
                <w:webHidden/>
              </w:rPr>
              <w:instrText xml:space="preserve"> PAGEREF _Toc428515798 \h </w:instrText>
            </w:r>
            <w:r>
              <w:rPr>
                <w:noProof/>
                <w:webHidden/>
              </w:rPr>
            </w:r>
            <w:r>
              <w:rPr>
                <w:noProof/>
                <w:webHidden/>
              </w:rPr>
              <w:fldChar w:fldCharType="separate"/>
            </w:r>
            <w:r>
              <w:rPr>
                <w:noProof/>
                <w:webHidden/>
              </w:rPr>
              <w:t>9</w:t>
            </w:r>
            <w:r>
              <w:rPr>
                <w:noProof/>
                <w:webHidden/>
              </w:rPr>
              <w:fldChar w:fldCharType="end"/>
            </w:r>
          </w:hyperlink>
        </w:p>
        <w:p w14:paraId="1A6B610F" w14:textId="77777777" w:rsidR="00B85818" w:rsidRDefault="00B85818">
          <w:pPr>
            <w:pStyle w:val="TOC2"/>
            <w:tabs>
              <w:tab w:val="left" w:pos="660"/>
              <w:tab w:val="right" w:leader="dot" w:pos="9016"/>
            </w:tabs>
            <w:rPr>
              <w:noProof/>
            </w:rPr>
          </w:pPr>
          <w:hyperlink w:anchor="_Toc428515799" w:history="1">
            <w:r w:rsidRPr="009018AB">
              <w:rPr>
                <w:rStyle w:val="Hyperlink"/>
                <w:noProof/>
              </w:rPr>
              <w:t>E</w:t>
            </w:r>
            <w:r>
              <w:rPr>
                <w:noProof/>
              </w:rPr>
              <w:tab/>
            </w:r>
            <w:r w:rsidRPr="009018AB">
              <w:rPr>
                <w:rStyle w:val="Hyperlink"/>
                <w:noProof/>
              </w:rPr>
              <w:t>Overlapping Concepts</w:t>
            </w:r>
            <w:r>
              <w:rPr>
                <w:noProof/>
                <w:webHidden/>
              </w:rPr>
              <w:tab/>
            </w:r>
            <w:r>
              <w:rPr>
                <w:noProof/>
                <w:webHidden/>
              </w:rPr>
              <w:fldChar w:fldCharType="begin"/>
            </w:r>
            <w:r>
              <w:rPr>
                <w:noProof/>
                <w:webHidden/>
              </w:rPr>
              <w:instrText xml:space="preserve"> PAGEREF _Toc428515799 \h </w:instrText>
            </w:r>
            <w:r>
              <w:rPr>
                <w:noProof/>
                <w:webHidden/>
              </w:rPr>
            </w:r>
            <w:r>
              <w:rPr>
                <w:noProof/>
                <w:webHidden/>
              </w:rPr>
              <w:fldChar w:fldCharType="separate"/>
            </w:r>
            <w:r>
              <w:rPr>
                <w:noProof/>
                <w:webHidden/>
              </w:rPr>
              <w:t>10</w:t>
            </w:r>
            <w:r>
              <w:rPr>
                <w:noProof/>
                <w:webHidden/>
              </w:rPr>
              <w:fldChar w:fldCharType="end"/>
            </w:r>
          </w:hyperlink>
        </w:p>
        <w:p w14:paraId="24773C84" w14:textId="77777777" w:rsidR="00B85818" w:rsidRDefault="00B85818">
          <w:pPr>
            <w:pStyle w:val="TOC3"/>
            <w:tabs>
              <w:tab w:val="right" w:leader="dot" w:pos="9016"/>
            </w:tabs>
            <w:rPr>
              <w:noProof/>
            </w:rPr>
          </w:pPr>
          <w:hyperlink w:anchor="_Toc428515800" w:history="1">
            <w:r w:rsidRPr="009018AB">
              <w:rPr>
                <w:rStyle w:val="Hyperlink"/>
                <w:noProof/>
              </w:rPr>
              <w:t>Functioning ex post</w:t>
            </w:r>
            <w:r>
              <w:rPr>
                <w:noProof/>
                <w:webHidden/>
              </w:rPr>
              <w:tab/>
            </w:r>
            <w:r>
              <w:rPr>
                <w:noProof/>
                <w:webHidden/>
              </w:rPr>
              <w:fldChar w:fldCharType="begin"/>
            </w:r>
            <w:r>
              <w:rPr>
                <w:noProof/>
                <w:webHidden/>
              </w:rPr>
              <w:instrText xml:space="preserve"> PAGEREF _Toc428515800 \h </w:instrText>
            </w:r>
            <w:r>
              <w:rPr>
                <w:noProof/>
                <w:webHidden/>
              </w:rPr>
            </w:r>
            <w:r>
              <w:rPr>
                <w:noProof/>
                <w:webHidden/>
              </w:rPr>
              <w:fldChar w:fldCharType="separate"/>
            </w:r>
            <w:r>
              <w:rPr>
                <w:noProof/>
                <w:webHidden/>
              </w:rPr>
              <w:t>10</w:t>
            </w:r>
            <w:r>
              <w:rPr>
                <w:noProof/>
                <w:webHidden/>
              </w:rPr>
              <w:fldChar w:fldCharType="end"/>
            </w:r>
          </w:hyperlink>
        </w:p>
        <w:p w14:paraId="0D59530C" w14:textId="77777777" w:rsidR="00B85818" w:rsidRDefault="00B85818">
          <w:pPr>
            <w:pStyle w:val="TOC3"/>
            <w:tabs>
              <w:tab w:val="right" w:leader="dot" w:pos="9016"/>
            </w:tabs>
            <w:rPr>
              <w:noProof/>
            </w:rPr>
          </w:pPr>
          <w:hyperlink w:anchor="_Toc428515801" w:history="1">
            <w:r w:rsidRPr="009018AB">
              <w:rPr>
                <w:rStyle w:val="Hyperlink"/>
                <w:noProof/>
              </w:rPr>
              <w:t>Circularity</w:t>
            </w:r>
            <w:r>
              <w:rPr>
                <w:noProof/>
                <w:webHidden/>
              </w:rPr>
              <w:tab/>
            </w:r>
            <w:r>
              <w:rPr>
                <w:noProof/>
                <w:webHidden/>
              </w:rPr>
              <w:fldChar w:fldCharType="begin"/>
            </w:r>
            <w:r>
              <w:rPr>
                <w:noProof/>
                <w:webHidden/>
              </w:rPr>
              <w:instrText xml:space="preserve"> PAGEREF _Toc428515801 \h </w:instrText>
            </w:r>
            <w:r>
              <w:rPr>
                <w:noProof/>
                <w:webHidden/>
              </w:rPr>
            </w:r>
            <w:r>
              <w:rPr>
                <w:noProof/>
                <w:webHidden/>
              </w:rPr>
              <w:fldChar w:fldCharType="separate"/>
            </w:r>
            <w:r>
              <w:rPr>
                <w:noProof/>
                <w:webHidden/>
              </w:rPr>
              <w:t>10</w:t>
            </w:r>
            <w:r>
              <w:rPr>
                <w:noProof/>
                <w:webHidden/>
              </w:rPr>
              <w:fldChar w:fldCharType="end"/>
            </w:r>
          </w:hyperlink>
        </w:p>
        <w:p w14:paraId="36D3A497" w14:textId="77777777" w:rsidR="00B85818" w:rsidRDefault="00B85818">
          <w:pPr>
            <w:pStyle w:val="TOC3"/>
            <w:tabs>
              <w:tab w:val="right" w:leader="dot" w:pos="9016"/>
            </w:tabs>
            <w:rPr>
              <w:noProof/>
            </w:rPr>
          </w:pPr>
          <w:hyperlink w:anchor="_Toc428515802" w:history="1">
            <w:r w:rsidRPr="009018AB">
              <w:rPr>
                <w:rStyle w:val="Hyperlink"/>
                <w:noProof/>
              </w:rPr>
              <w:t>Factive-attributive ambivalence and open-texture</w:t>
            </w:r>
            <w:r>
              <w:rPr>
                <w:noProof/>
                <w:webHidden/>
              </w:rPr>
              <w:tab/>
            </w:r>
            <w:r>
              <w:rPr>
                <w:noProof/>
                <w:webHidden/>
              </w:rPr>
              <w:fldChar w:fldCharType="begin"/>
            </w:r>
            <w:r>
              <w:rPr>
                <w:noProof/>
                <w:webHidden/>
              </w:rPr>
              <w:instrText xml:space="preserve"> PAGEREF _Toc428515802 \h </w:instrText>
            </w:r>
            <w:r>
              <w:rPr>
                <w:noProof/>
                <w:webHidden/>
              </w:rPr>
            </w:r>
            <w:r>
              <w:rPr>
                <w:noProof/>
                <w:webHidden/>
              </w:rPr>
              <w:fldChar w:fldCharType="separate"/>
            </w:r>
            <w:r>
              <w:rPr>
                <w:noProof/>
                <w:webHidden/>
              </w:rPr>
              <w:t>11</w:t>
            </w:r>
            <w:r>
              <w:rPr>
                <w:noProof/>
                <w:webHidden/>
              </w:rPr>
              <w:fldChar w:fldCharType="end"/>
            </w:r>
          </w:hyperlink>
        </w:p>
        <w:p w14:paraId="705DF54B" w14:textId="77777777" w:rsidR="00B85818" w:rsidRDefault="00B85818">
          <w:pPr>
            <w:pStyle w:val="TOC3"/>
            <w:tabs>
              <w:tab w:val="right" w:leader="dot" w:pos="9016"/>
            </w:tabs>
            <w:rPr>
              <w:noProof/>
            </w:rPr>
          </w:pPr>
          <w:hyperlink w:anchor="_Toc428515803" w:history="1">
            <w:r w:rsidRPr="009018AB">
              <w:rPr>
                <w:rStyle w:val="Hyperlink"/>
                <w:noProof/>
              </w:rPr>
              <w:t>Risk, Relationality and Cause</w:t>
            </w:r>
            <w:r>
              <w:rPr>
                <w:noProof/>
                <w:webHidden/>
              </w:rPr>
              <w:tab/>
            </w:r>
            <w:r>
              <w:rPr>
                <w:noProof/>
                <w:webHidden/>
              </w:rPr>
              <w:fldChar w:fldCharType="begin"/>
            </w:r>
            <w:r>
              <w:rPr>
                <w:noProof/>
                <w:webHidden/>
              </w:rPr>
              <w:instrText xml:space="preserve"> PAGEREF _Toc428515803 \h </w:instrText>
            </w:r>
            <w:r>
              <w:rPr>
                <w:noProof/>
                <w:webHidden/>
              </w:rPr>
            </w:r>
            <w:r>
              <w:rPr>
                <w:noProof/>
                <w:webHidden/>
              </w:rPr>
              <w:fldChar w:fldCharType="separate"/>
            </w:r>
            <w:r>
              <w:rPr>
                <w:noProof/>
                <w:webHidden/>
              </w:rPr>
              <w:t>11</w:t>
            </w:r>
            <w:r>
              <w:rPr>
                <w:noProof/>
                <w:webHidden/>
              </w:rPr>
              <w:fldChar w:fldCharType="end"/>
            </w:r>
          </w:hyperlink>
        </w:p>
        <w:p w14:paraId="5F98202D" w14:textId="77777777" w:rsidR="00B85818" w:rsidRDefault="00B85818">
          <w:pPr>
            <w:pStyle w:val="TOC1"/>
            <w:tabs>
              <w:tab w:val="right" w:leader="dot" w:pos="9016"/>
            </w:tabs>
            <w:rPr>
              <w:noProof/>
            </w:rPr>
          </w:pPr>
          <w:hyperlink w:anchor="_Toc428515804" w:history="1">
            <w:r w:rsidRPr="009018AB">
              <w:rPr>
                <w:rStyle w:val="Hyperlink"/>
                <w:noProof/>
              </w:rPr>
              <w:t>Case Studies</w:t>
            </w:r>
            <w:r>
              <w:rPr>
                <w:noProof/>
                <w:webHidden/>
              </w:rPr>
              <w:tab/>
            </w:r>
            <w:r>
              <w:rPr>
                <w:noProof/>
                <w:webHidden/>
              </w:rPr>
              <w:fldChar w:fldCharType="begin"/>
            </w:r>
            <w:r>
              <w:rPr>
                <w:noProof/>
                <w:webHidden/>
              </w:rPr>
              <w:instrText xml:space="preserve"> PAGEREF _Toc428515804 \h </w:instrText>
            </w:r>
            <w:r>
              <w:rPr>
                <w:noProof/>
                <w:webHidden/>
              </w:rPr>
            </w:r>
            <w:r>
              <w:rPr>
                <w:noProof/>
                <w:webHidden/>
              </w:rPr>
              <w:fldChar w:fldCharType="separate"/>
            </w:r>
            <w:r>
              <w:rPr>
                <w:noProof/>
                <w:webHidden/>
              </w:rPr>
              <w:t>11</w:t>
            </w:r>
            <w:r>
              <w:rPr>
                <w:noProof/>
                <w:webHidden/>
              </w:rPr>
              <w:fldChar w:fldCharType="end"/>
            </w:r>
          </w:hyperlink>
        </w:p>
        <w:p w14:paraId="6A1747C5" w14:textId="77777777" w:rsidR="00B85818" w:rsidRDefault="00B85818">
          <w:pPr>
            <w:pStyle w:val="TOC2"/>
            <w:tabs>
              <w:tab w:val="right" w:leader="dot" w:pos="9016"/>
            </w:tabs>
            <w:rPr>
              <w:noProof/>
            </w:rPr>
          </w:pPr>
          <w:hyperlink w:anchor="_Toc428515805" w:history="1">
            <w:r w:rsidRPr="009018AB">
              <w:rPr>
                <w:rStyle w:val="Hyperlink"/>
                <w:noProof/>
              </w:rPr>
              <w:t>Rhodes v OPO</w:t>
            </w:r>
            <w:r>
              <w:rPr>
                <w:noProof/>
                <w:webHidden/>
              </w:rPr>
              <w:tab/>
            </w:r>
            <w:r>
              <w:rPr>
                <w:noProof/>
                <w:webHidden/>
              </w:rPr>
              <w:fldChar w:fldCharType="begin"/>
            </w:r>
            <w:r>
              <w:rPr>
                <w:noProof/>
                <w:webHidden/>
              </w:rPr>
              <w:instrText xml:space="preserve"> PAGEREF _Toc428515805 \h </w:instrText>
            </w:r>
            <w:r>
              <w:rPr>
                <w:noProof/>
                <w:webHidden/>
              </w:rPr>
            </w:r>
            <w:r>
              <w:rPr>
                <w:noProof/>
                <w:webHidden/>
              </w:rPr>
              <w:fldChar w:fldCharType="separate"/>
            </w:r>
            <w:r>
              <w:rPr>
                <w:noProof/>
                <w:webHidden/>
              </w:rPr>
              <w:t>11</w:t>
            </w:r>
            <w:r>
              <w:rPr>
                <w:noProof/>
                <w:webHidden/>
              </w:rPr>
              <w:fldChar w:fldCharType="end"/>
            </w:r>
          </w:hyperlink>
        </w:p>
        <w:p w14:paraId="1A294036" w14:textId="77777777" w:rsidR="00B85818" w:rsidRDefault="00B85818">
          <w:pPr>
            <w:pStyle w:val="TOC2"/>
            <w:tabs>
              <w:tab w:val="right" w:leader="dot" w:pos="9016"/>
            </w:tabs>
            <w:rPr>
              <w:noProof/>
            </w:rPr>
          </w:pPr>
          <w:hyperlink w:anchor="_Toc428515806" w:history="1">
            <w:r w:rsidRPr="009018AB">
              <w:rPr>
                <w:rStyle w:val="Hyperlink"/>
                <w:noProof/>
              </w:rPr>
              <w:t>Page v Smith</w:t>
            </w:r>
            <w:r>
              <w:rPr>
                <w:noProof/>
                <w:webHidden/>
              </w:rPr>
              <w:tab/>
            </w:r>
            <w:r>
              <w:rPr>
                <w:noProof/>
                <w:webHidden/>
              </w:rPr>
              <w:fldChar w:fldCharType="begin"/>
            </w:r>
            <w:r>
              <w:rPr>
                <w:noProof/>
                <w:webHidden/>
              </w:rPr>
              <w:instrText xml:space="preserve"> PAGEREF _Toc428515806 \h </w:instrText>
            </w:r>
            <w:r>
              <w:rPr>
                <w:noProof/>
                <w:webHidden/>
              </w:rPr>
            </w:r>
            <w:r>
              <w:rPr>
                <w:noProof/>
                <w:webHidden/>
              </w:rPr>
              <w:fldChar w:fldCharType="separate"/>
            </w:r>
            <w:r>
              <w:rPr>
                <w:noProof/>
                <w:webHidden/>
              </w:rPr>
              <w:t>12</w:t>
            </w:r>
            <w:r>
              <w:rPr>
                <w:noProof/>
                <w:webHidden/>
              </w:rPr>
              <w:fldChar w:fldCharType="end"/>
            </w:r>
          </w:hyperlink>
        </w:p>
        <w:p w14:paraId="3B9123D2" w14:textId="77777777" w:rsidR="00B85818" w:rsidRDefault="00B85818">
          <w:pPr>
            <w:pStyle w:val="TOC3"/>
            <w:tabs>
              <w:tab w:val="right" w:leader="dot" w:pos="9016"/>
            </w:tabs>
            <w:rPr>
              <w:noProof/>
            </w:rPr>
          </w:pPr>
          <w:hyperlink w:anchor="_Toc428515807" w:history="1">
            <w:r w:rsidRPr="009018AB">
              <w:rPr>
                <w:rStyle w:val="Hyperlink"/>
                <w:noProof/>
              </w:rPr>
              <w:t>Ex post ‘foreseeability’</w:t>
            </w:r>
            <w:r>
              <w:rPr>
                <w:noProof/>
                <w:webHidden/>
              </w:rPr>
              <w:tab/>
            </w:r>
            <w:r>
              <w:rPr>
                <w:noProof/>
                <w:webHidden/>
              </w:rPr>
              <w:fldChar w:fldCharType="begin"/>
            </w:r>
            <w:r>
              <w:rPr>
                <w:noProof/>
                <w:webHidden/>
              </w:rPr>
              <w:instrText xml:space="preserve"> PAGEREF _Toc428515807 \h </w:instrText>
            </w:r>
            <w:r>
              <w:rPr>
                <w:noProof/>
                <w:webHidden/>
              </w:rPr>
            </w:r>
            <w:r>
              <w:rPr>
                <w:noProof/>
                <w:webHidden/>
              </w:rPr>
              <w:fldChar w:fldCharType="separate"/>
            </w:r>
            <w:r>
              <w:rPr>
                <w:noProof/>
                <w:webHidden/>
              </w:rPr>
              <w:t>13</w:t>
            </w:r>
            <w:r>
              <w:rPr>
                <w:noProof/>
                <w:webHidden/>
              </w:rPr>
              <w:fldChar w:fldCharType="end"/>
            </w:r>
          </w:hyperlink>
        </w:p>
        <w:p w14:paraId="4A17FEB6" w14:textId="77777777" w:rsidR="00B85818" w:rsidRDefault="00B85818">
          <w:pPr>
            <w:pStyle w:val="TOC2"/>
            <w:tabs>
              <w:tab w:val="right" w:leader="dot" w:pos="9016"/>
            </w:tabs>
            <w:rPr>
              <w:noProof/>
            </w:rPr>
          </w:pPr>
          <w:hyperlink w:anchor="_Toc428515808" w:history="1">
            <w:r w:rsidRPr="009018AB">
              <w:rPr>
                <w:rStyle w:val="Hyperlink"/>
                <w:noProof/>
              </w:rPr>
              <w:t>Yapp v Foreign and Commonwealth Office</w:t>
            </w:r>
            <w:r>
              <w:rPr>
                <w:noProof/>
                <w:webHidden/>
              </w:rPr>
              <w:tab/>
            </w:r>
            <w:r>
              <w:rPr>
                <w:noProof/>
                <w:webHidden/>
              </w:rPr>
              <w:fldChar w:fldCharType="begin"/>
            </w:r>
            <w:r>
              <w:rPr>
                <w:noProof/>
                <w:webHidden/>
              </w:rPr>
              <w:instrText xml:space="preserve"> PAGEREF _Toc428515808 \h </w:instrText>
            </w:r>
            <w:r>
              <w:rPr>
                <w:noProof/>
                <w:webHidden/>
              </w:rPr>
            </w:r>
            <w:r>
              <w:rPr>
                <w:noProof/>
                <w:webHidden/>
              </w:rPr>
              <w:fldChar w:fldCharType="separate"/>
            </w:r>
            <w:r>
              <w:rPr>
                <w:noProof/>
                <w:webHidden/>
              </w:rPr>
              <w:t>15</w:t>
            </w:r>
            <w:r>
              <w:rPr>
                <w:noProof/>
                <w:webHidden/>
              </w:rPr>
              <w:fldChar w:fldCharType="end"/>
            </w:r>
          </w:hyperlink>
        </w:p>
        <w:p w14:paraId="15937AA4" w14:textId="77777777" w:rsidR="00B85818" w:rsidRDefault="00B85818">
          <w:pPr>
            <w:pStyle w:val="TOC2"/>
            <w:tabs>
              <w:tab w:val="right" w:leader="dot" w:pos="9016"/>
            </w:tabs>
            <w:rPr>
              <w:noProof/>
            </w:rPr>
          </w:pPr>
          <w:hyperlink w:anchor="_Toc428515809" w:history="1">
            <w:r w:rsidRPr="009018AB">
              <w:rPr>
                <w:rStyle w:val="Hyperlink"/>
                <w:noProof/>
              </w:rPr>
              <w:t>The Wagon Mound litigation</w:t>
            </w:r>
            <w:r>
              <w:rPr>
                <w:noProof/>
                <w:webHidden/>
              </w:rPr>
              <w:tab/>
            </w:r>
            <w:r>
              <w:rPr>
                <w:noProof/>
                <w:webHidden/>
              </w:rPr>
              <w:fldChar w:fldCharType="begin"/>
            </w:r>
            <w:r>
              <w:rPr>
                <w:noProof/>
                <w:webHidden/>
              </w:rPr>
              <w:instrText xml:space="preserve"> PAGEREF _Toc428515809 \h </w:instrText>
            </w:r>
            <w:r>
              <w:rPr>
                <w:noProof/>
                <w:webHidden/>
              </w:rPr>
            </w:r>
            <w:r>
              <w:rPr>
                <w:noProof/>
                <w:webHidden/>
              </w:rPr>
              <w:fldChar w:fldCharType="separate"/>
            </w:r>
            <w:r>
              <w:rPr>
                <w:noProof/>
                <w:webHidden/>
              </w:rPr>
              <w:t>16</w:t>
            </w:r>
            <w:r>
              <w:rPr>
                <w:noProof/>
                <w:webHidden/>
              </w:rPr>
              <w:fldChar w:fldCharType="end"/>
            </w:r>
          </w:hyperlink>
        </w:p>
        <w:p w14:paraId="55D495FB" w14:textId="77777777" w:rsidR="00B85818" w:rsidRDefault="00B85818">
          <w:pPr>
            <w:pStyle w:val="TOC1"/>
            <w:tabs>
              <w:tab w:val="right" w:leader="dot" w:pos="9016"/>
            </w:tabs>
            <w:rPr>
              <w:noProof/>
            </w:rPr>
          </w:pPr>
          <w:hyperlink w:anchor="_Toc428515810" w:history="1">
            <w:r w:rsidRPr="009018AB">
              <w:rPr>
                <w:rStyle w:val="Hyperlink"/>
                <w:noProof/>
              </w:rPr>
              <w:t>Conclusions</w:t>
            </w:r>
            <w:r>
              <w:rPr>
                <w:noProof/>
                <w:webHidden/>
              </w:rPr>
              <w:tab/>
            </w:r>
            <w:r>
              <w:rPr>
                <w:noProof/>
                <w:webHidden/>
              </w:rPr>
              <w:fldChar w:fldCharType="begin"/>
            </w:r>
            <w:r>
              <w:rPr>
                <w:noProof/>
                <w:webHidden/>
              </w:rPr>
              <w:instrText xml:space="preserve"> PAGEREF _Toc428515810 \h </w:instrText>
            </w:r>
            <w:r>
              <w:rPr>
                <w:noProof/>
                <w:webHidden/>
              </w:rPr>
            </w:r>
            <w:r>
              <w:rPr>
                <w:noProof/>
                <w:webHidden/>
              </w:rPr>
              <w:fldChar w:fldCharType="separate"/>
            </w:r>
            <w:r>
              <w:rPr>
                <w:noProof/>
                <w:webHidden/>
              </w:rPr>
              <w:t>20</w:t>
            </w:r>
            <w:r>
              <w:rPr>
                <w:noProof/>
                <w:webHidden/>
              </w:rPr>
              <w:fldChar w:fldCharType="end"/>
            </w:r>
          </w:hyperlink>
        </w:p>
        <w:p w14:paraId="0C96ED07" w14:textId="578AA50F" w:rsidR="00B85818" w:rsidRDefault="00B85818">
          <w:r>
            <w:rPr>
              <w:b/>
              <w:bCs/>
              <w:noProof/>
            </w:rPr>
            <w:fldChar w:fldCharType="end"/>
          </w:r>
        </w:p>
      </w:sdtContent>
    </w:sdt>
    <w:p w14:paraId="661FA655" w14:textId="77777777" w:rsidR="005334C8" w:rsidRPr="005334C8" w:rsidRDefault="005334C8" w:rsidP="005334C8">
      <w:pPr>
        <w:sectPr w:rsidR="005334C8" w:rsidRPr="005334C8">
          <w:headerReference w:type="first" r:id="rId9"/>
          <w:pgSz w:w="11906" w:h="16838"/>
          <w:pgMar w:top="1440" w:right="1440" w:bottom="1440" w:left="1440" w:header="708" w:footer="708" w:gutter="0"/>
          <w:cols w:space="708"/>
          <w:docGrid w:linePitch="360"/>
        </w:sectPr>
      </w:pPr>
    </w:p>
    <w:p w14:paraId="2827C845" w14:textId="60679CD7" w:rsidR="001F0483" w:rsidRDefault="00F86ECE" w:rsidP="001F0483">
      <w:pPr>
        <w:pStyle w:val="Heading1"/>
      </w:pPr>
      <w:bookmarkStart w:id="2" w:name="_Toc428515787"/>
      <w:r>
        <w:lastRenderedPageBreak/>
        <w:t>F</w:t>
      </w:r>
      <w:r w:rsidR="00063921">
        <w:t>oreseeability</w:t>
      </w:r>
      <w:r w:rsidR="005C7C14">
        <w:t>’s Pervasiveness</w:t>
      </w:r>
      <w:bookmarkEnd w:id="2"/>
    </w:p>
    <w:p w14:paraId="7D4FA1BB" w14:textId="30874A2B" w:rsidR="0089696B" w:rsidRDefault="00C34A08" w:rsidP="0089696B">
      <w:r w:rsidRPr="00C34A08">
        <w:t>Lord Bingham held that ‘</w:t>
      </w:r>
      <w:r w:rsidR="0033235D" w:rsidRPr="00C34A08">
        <w:t>legal rights and liabilities ‘should ordinarily be resolved by application of law and not the exercise of discretion’</w:t>
      </w:r>
      <w:r w:rsidR="0033235D">
        <w:t xml:space="preserve"> </w:t>
      </w:r>
      <w:r w:rsidR="0033235D" w:rsidRPr="00C34A08">
        <w:t xml:space="preserve">and that </w:t>
      </w:r>
      <w:r w:rsidR="0033235D">
        <w:t xml:space="preserve">‘law </w:t>
      </w:r>
      <w:r w:rsidRPr="00C34A08">
        <w:t>must be accessible and so far as possible intelligible, clear and predictable’.</w:t>
      </w:r>
      <w:r w:rsidRPr="00C34A08">
        <w:rPr>
          <w:vertAlign w:val="superscript"/>
        </w:rPr>
        <w:footnoteReference w:id="1"/>
      </w:r>
      <w:r>
        <w:t xml:space="preserve"> </w:t>
      </w:r>
      <w:r w:rsidR="0033235D">
        <w:t>However, t</w:t>
      </w:r>
      <w:r w:rsidRPr="001F0483">
        <w:t xml:space="preserve">he enforcement system would be overwhelmed </w:t>
      </w:r>
      <w:r>
        <w:t>w</w:t>
      </w:r>
      <w:r w:rsidR="001F0483" w:rsidRPr="001F0483">
        <w:t>ere law not</w:t>
      </w:r>
      <w:r>
        <w:t>,</w:t>
      </w:r>
      <w:r w:rsidR="001F0483" w:rsidRPr="001F0483">
        <w:t xml:space="preserve"> to a </w:t>
      </w:r>
      <w:r>
        <w:t>significant</w:t>
      </w:r>
      <w:r w:rsidR="001F0483" w:rsidRPr="001F0483">
        <w:t xml:space="preserve"> extent</w:t>
      </w:r>
      <w:r>
        <w:t>, self-ap</w:t>
      </w:r>
      <w:r w:rsidR="0033235D">
        <w:t>plying—</w:t>
      </w:r>
      <w:r w:rsidR="009E2EAC">
        <w:t>which</w:t>
      </w:r>
      <w:r w:rsidR="001F0483" w:rsidRPr="001F0483">
        <w:t xml:space="preserve"> is possible only when a </w:t>
      </w:r>
      <w:r w:rsidR="009E2EAC">
        <w:t>considerable</w:t>
      </w:r>
      <w:r w:rsidR="001F0483" w:rsidRPr="001F0483">
        <w:t xml:space="preserve"> proportion of legal norms </w:t>
      </w:r>
      <w:r w:rsidR="009E2EAC">
        <w:t xml:space="preserve">are perceived to </w:t>
      </w:r>
      <w:r w:rsidR="001F0483" w:rsidRPr="001F0483">
        <w:t>go with the grain of popular</w:t>
      </w:r>
      <w:r w:rsidR="007C0A0B">
        <w:t xml:space="preserve"> expectations or folk morality. In Alexander Pope’s words,</w:t>
      </w:r>
    </w:p>
    <w:p w14:paraId="26985F20" w14:textId="72FC8934" w:rsidR="0089696B" w:rsidRDefault="0089696B" w:rsidP="0089696B">
      <w:pPr>
        <w:pStyle w:val="Quote"/>
      </w:pPr>
      <w:r w:rsidRPr="001F0483">
        <w:t>‘Men must be taught as if you taught them not, and things unknown proposed as things forgot.’</w:t>
      </w:r>
      <w:r w:rsidRPr="005334C8">
        <w:rPr>
          <w:vertAlign w:val="superscript"/>
        </w:rPr>
        <w:footnoteReference w:id="2"/>
      </w:r>
    </w:p>
    <w:p w14:paraId="7B1BEF7B" w14:textId="0DF2C348" w:rsidR="00550B56" w:rsidRDefault="00C34A08" w:rsidP="001F0483">
      <w:r w:rsidRPr="00C34A08">
        <w:t>Where legal norms and popular expectations diverge too much and too often, systemic legitimacy is imperilled and, because the system comes to rely too heavily on coercive force, human dignity is compromised.</w:t>
      </w:r>
      <w:r w:rsidRPr="00C34A08">
        <w:rPr>
          <w:vertAlign w:val="superscript"/>
        </w:rPr>
        <w:footnoteReference w:id="3"/>
      </w:r>
      <w:r w:rsidRPr="00C34A08">
        <w:t xml:space="preserve"> </w:t>
      </w:r>
      <w:r w:rsidRPr="001F0483">
        <w:t>To the extent that law conforms to 'expectations'</w:t>
      </w:r>
      <w:r w:rsidR="009E2EAC">
        <w:t>,</w:t>
      </w:r>
      <w:r w:rsidRPr="001F0483">
        <w:t xml:space="preserve"> the burden of ensuring sufficient predictability is lightened. </w:t>
      </w:r>
      <w:r w:rsidR="001F0483" w:rsidRPr="001F0483">
        <w:t>These e</w:t>
      </w:r>
      <w:r w:rsidR="00C265F0">
        <w:t xml:space="preserve">xpectations are not always </w:t>
      </w:r>
      <w:r w:rsidR="001F0483" w:rsidRPr="001F0483">
        <w:t>coherent</w:t>
      </w:r>
      <w:r w:rsidR="00556D09" w:rsidRPr="001F0483">
        <w:rPr>
          <w:vertAlign w:val="superscript"/>
        </w:rPr>
        <w:footnoteReference w:id="4"/>
      </w:r>
      <w:r w:rsidR="001F0483" w:rsidRPr="001F0483">
        <w:t xml:space="preserve"> but there are </w:t>
      </w:r>
      <w:r w:rsidR="0027754B" w:rsidRPr="001F0483">
        <w:t>common or domina</w:t>
      </w:r>
      <w:r w:rsidR="0027754B">
        <w:t xml:space="preserve">nt </w:t>
      </w:r>
      <w:r w:rsidR="001F0483" w:rsidRPr="001F0483">
        <w:t xml:space="preserve">threads </w:t>
      </w:r>
      <w:r>
        <w:t>manifest</w:t>
      </w:r>
      <w:r w:rsidR="0027754B">
        <w:t>ed</w:t>
      </w:r>
      <w:r>
        <w:t xml:space="preserve"> in our ‘common’ law. As </w:t>
      </w:r>
      <w:r w:rsidR="00556D09">
        <w:t xml:space="preserve">Lon Fuller </w:t>
      </w:r>
      <w:r>
        <w:t>put it</w:t>
      </w:r>
      <w:r w:rsidR="00556D09">
        <w:t xml:space="preserve">, </w:t>
      </w:r>
    </w:p>
    <w:p w14:paraId="4DDCB972" w14:textId="79BF2C31" w:rsidR="00556D09" w:rsidRDefault="00556D09" w:rsidP="0096016F">
      <w:pPr>
        <w:pStyle w:val="Quote"/>
      </w:pPr>
      <w:r>
        <w:t>‘Over much of its history the common law has been largely engaged in working out the implications of conceptions that</w:t>
      </w:r>
      <w:r w:rsidR="00590B6E">
        <w:t xml:space="preserve"> w</w:t>
      </w:r>
      <w:r>
        <w:t xml:space="preserve">ere </w:t>
      </w:r>
      <w:r w:rsidR="00590B6E">
        <w:t>generally held in the society of the time. This large measure of coincidence reduced greatly the force of the objection that the rules of the common law were, in contrast with those of a code, difficult to access’.</w:t>
      </w:r>
      <w:r w:rsidR="00590B6E">
        <w:rPr>
          <w:rStyle w:val="FootnoteReference"/>
        </w:rPr>
        <w:footnoteReference w:id="5"/>
      </w:r>
    </w:p>
    <w:p w14:paraId="6CAE5EC3" w14:textId="7ED9CF14" w:rsidR="000D670F" w:rsidRDefault="001F0483" w:rsidP="001F0483">
      <w:r w:rsidRPr="001F0483">
        <w:t>Whatever the challenges from modern neuroscience, assumptions about free will, choice, self-control and responsibility for our conduct pervade our moral and legal cultures.</w:t>
      </w:r>
      <w:r w:rsidR="00F86ECE" w:rsidRPr="001F0483">
        <w:rPr>
          <w:vertAlign w:val="superscript"/>
        </w:rPr>
        <w:footnoteReference w:id="6"/>
      </w:r>
      <w:r w:rsidR="00F86ECE" w:rsidRPr="001F0483">
        <w:t xml:space="preserve"> </w:t>
      </w:r>
      <w:r w:rsidRPr="001F0483">
        <w:t xml:space="preserve">Although we might want to blame our satnavs for making us late, we do not blame a stone for tripping us up or a jelly fish for stinging. We might blame a dog for biting but </w:t>
      </w:r>
      <w:r w:rsidR="00332A61">
        <w:t>we</w:t>
      </w:r>
      <w:r w:rsidR="006E56C9">
        <w:t xml:space="preserve"> </w:t>
      </w:r>
      <w:r w:rsidR="000112A3">
        <w:t xml:space="preserve">like to </w:t>
      </w:r>
      <w:r w:rsidR="006E56C9">
        <w:t xml:space="preserve">regard the free will of </w:t>
      </w:r>
      <w:r w:rsidR="0007722E">
        <w:t>mature humans as unique amongst living things</w:t>
      </w:r>
      <w:r w:rsidR="009A7340">
        <w:t>.</w:t>
      </w:r>
      <w:r w:rsidR="0033235D" w:rsidRPr="001F0483">
        <w:rPr>
          <w:vertAlign w:val="superscript"/>
        </w:rPr>
        <w:footnoteReference w:id="7"/>
      </w:r>
    </w:p>
    <w:p w14:paraId="39C70002" w14:textId="12417B34" w:rsidR="000D670F" w:rsidRDefault="0039554B" w:rsidP="0033235D">
      <w:pPr>
        <w:keepNext/>
      </w:pPr>
      <w:r>
        <w:t>Bertram</w:t>
      </w:r>
      <w:r w:rsidR="000D670F">
        <w:t xml:space="preserve"> </w:t>
      </w:r>
      <w:r w:rsidR="000D670F" w:rsidRPr="000D670F">
        <w:t xml:space="preserve">Malle and colleagues </w:t>
      </w:r>
      <w:r w:rsidR="007C24BE">
        <w:t xml:space="preserve">and Fiery Cushman, </w:t>
      </w:r>
      <w:r w:rsidR="000D670F">
        <w:t>suggest that blaming follows a path.</w:t>
      </w:r>
    </w:p>
    <w:p w14:paraId="1B9362B9" w14:textId="007FB0FF" w:rsidR="000D670F" w:rsidRPr="000D670F" w:rsidRDefault="000D670F" w:rsidP="000D670F">
      <w:pPr>
        <w:pStyle w:val="Quote"/>
      </w:pPr>
      <w:r>
        <w:t>‘</w:t>
      </w:r>
      <w:r w:rsidR="00A9708B">
        <w:t>[B]</w:t>
      </w:r>
      <w:r w:rsidRPr="000D670F">
        <w:t xml:space="preserve">lame reads like a detective novel. We begin with a body on the ground, the first </w:t>
      </w:r>
      <w:r w:rsidR="00A9708B">
        <w:t>question we</w:t>
      </w:r>
      <w:r w:rsidRPr="000D670F">
        <w:t xml:space="preserve"> ask is “Whodunnit?” and as soon as we’ve answered that question, w</w:t>
      </w:r>
      <w:r>
        <w:t>e want to know why they did it...[T]</w:t>
      </w:r>
      <w:r w:rsidRPr="000D670F">
        <w:t xml:space="preserve">his stands in contrast to other categories of moral judgment, such as judgments of “wrongness.” The object of a wrongness judgment is the action that a person performs, not their relation to an event. Wrongness </w:t>
      </w:r>
      <w:r w:rsidRPr="000D670F">
        <w:lastRenderedPageBreak/>
        <w:t>judgments begin with that action and then proceed to consider the mental states that gave rise to that action. Consider people who string a wire across the sidew</w:t>
      </w:r>
      <w:r>
        <w:t>alk in order to trip old ladies.</w:t>
      </w:r>
      <w:r w:rsidRPr="000D670F">
        <w:t xml:space="preserve"> The </w:t>
      </w:r>
      <w:r w:rsidRPr="00A9708B">
        <w:rPr>
          <w:i/>
        </w:rPr>
        <w:t xml:space="preserve">action </w:t>
      </w:r>
      <w:r w:rsidRPr="000D670F">
        <w:t xml:space="preserve">they perform is </w:t>
      </w:r>
      <w:r w:rsidRPr="00A9708B">
        <w:rPr>
          <w:i/>
        </w:rPr>
        <w:t>wrong</w:t>
      </w:r>
      <w:r w:rsidRPr="000D670F">
        <w:t xml:space="preserve">, but they will be blamed for the </w:t>
      </w:r>
      <w:r w:rsidRPr="00A9708B">
        <w:rPr>
          <w:i/>
        </w:rPr>
        <w:t>outcome</w:t>
      </w:r>
      <w:r w:rsidRPr="000D670F">
        <w:t>.</w:t>
      </w:r>
      <w:r>
        <w:t>’</w:t>
      </w:r>
      <w:bookmarkStart w:id="3" w:name="_Ref427240039"/>
      <w:r>
        <w:rPr>
          <w:rStyle w:val="FootnoteReference"/>
        </w:rPr>
        <w:footnoteReference w:id="8"/>
      </w:r>
      <w:bookmarkEnd w:id="3"/>
    </w:p>
    <w:p w14:paraId="62B42853" w14:textId="3AA9AB92" w:rsidR="003007E8" w:rsidRDefault="003007E8" w:rsidP="001F0483">
      <w:r>
        <w:t xml:space="preserve">Like blame, foresight and foreseeability </w:t>
      </w:r>
      <w:r w:rsidR="00775FE2">
        <w:t>focus on outcome</w:t>
      </w:r>
      <w:r w:rsidR="009A7340">
        <w:t xml:space="preserve">s or </w:t>
      </w:r>
      <w:r w:rsidR="00775FE2">
        <w:t>consequences</w:t>
      </w:r>
      <w:r w:rsidR="00627CA2">
        <w:t xml:space="preserve"> </w:t>
      </w:r>
      <w:r w:rsidR="00775FE2">
        <w:t>rather than</w:t>
      </w:r>
      <w:r w:rsidR="00627CA2">
        <w:t xml:space="preserve"> </w:t>
      </w:r>
      <w:r w:rsidR="009A7340">
        <w:t xml:space="preserve">on </w:t>
      </w:r>
      <w:r w:rsidR="00627CA2">
        <w:t>deontic notions of acts wrongful in themselves.</w:t>
      </w:r>
      <w:bookmarkStart w:id="4" w:name="_Ref427215972"/>
      <w:r w:rsidR="00627CA2">
        <w:rPr>
          <w:rStyle w:val="FootnoteReference"/>
        </w:rPr>
        <w:footnoteReference w:id="9"/>
      </w:r>
      <w:bookmarkEnd w:id="4"/>
      <w:r w:rsidR="00627CA2">
        <w:t xml:space="preserve"> As Viscount Simonds said in </w:t>
      </w:r>
      <w:r w:rsidR="00627CA2" w:rsidRPr="00627CA2">
        <w:rPr>
          <w:i/>
        </w:rPr>
        <w:t>Wagon Mound No</w:t>
      </w:r>
      <w:r w:rsidR="00627CA2">
        <w:rPr>
          <w:i/>
        </w:rPr>
        <w:t xml:space="preserve"> </w:t>
      </w:r>
      <w:r w:rsidR="00627CA2" w:rsidRPr="00627CA2">
        <w:rPr>
          <w:i/>
        </w:rPr>
        <w:t>1</w:t>
      </w:r>
      <w:r w:rsidR="00714AD7">
        <w:rPr>
          <w:i/>
        </w:rPr>
        <w:t xml:space="preserve"> </w:t>
      </w:r>
      <w:r w:rsidR="00714AD7">
        <w:t>(hereinafter ‘</w:t>
      </w:r>
      <w:r w:rsidR="00714AD7" w:rsidRPr="00714AD7">
        <w:rPr>
          <w:i/>
        </w:rPr>
        <w:t>WM1</w:t>
      </w:r>
      <w:r w:rsidR="00714AD7">
        <w:t>’)</w:t>
      </w:r>
      <w:r w:rsidR="00627CA2">
        <w:t>,</w:t>
      </w:r>
    </w:p>
    <w:p w14:paraId="250FD884" w14:textId="1E7BDE40" w:rsidR="00627CA2" w:rsidRDefault="00627CA2" w:rsidP="00627CA2">
      <w:pPr>
        <w:pStyle w:val="Quote"/>
      </w:pPr>
      <w:r>
        <w:t>‘It is not the act but the consequences on which tortious liability is founded.’</w:t>
      </w:r>
      <w:bookmarkStart w:id="5" w:name="_Ref427059852"/>
      <w:r>
        <w:rPr>
          <w:rStyle w:val="FootnoteReference"/>
        </w:rPr>
        <w:footnoteReference w:id="10"/>
      </w:r>
      <w:bookmarkEnd w:id="5"/>
    </w:p>
    <w:p w14:paraId="4D12D30C" w14:textId="637FC43F" w:rsidR="00714AD7" w:rsidRDefault="0039554B" w:rsidP="001F0483">
      <w:r>
        <w:t>D</w:t>
      </w:r>
      <w:r w:rsidR="001F0483" w:rsidRPr="001F0483">
        <w:t>eeply</w:t>
      </w:r>
      <w:r>
        <w:t xml:space="preserve"> embedded in folk morality,</w:t>
      </w:r>
      <w:bookmarkStart w:id="6" w:name="_Ref426815724"/>
      <w:r w:rsidR="001F0483" w:rsidRPr="001F0483">
        <w:rPr>
          <w:vertAlign w:val="superscript"/>
        </w:rPr>
        <w:footnoteReference w:id="11"/>
      </w:r>
      <w:bookmarkEnd w:id="6"/>
      <w:r w:rsidR="001F0483" w:rsidRPr="001F0483">
        <w:t xml:space="preserve"> </w:t>
      </w:r>
      <w:r>
        <w:t>f</w:t>
      </w:r>
      <w:r w:rsidRPr="001F0483">
        <w:t xml:space="preserve">oresight and foreseeability </w:t>
      </w:r>
      <w:r w:rsidR="00C10C17">
        <w:t>provide the language in which we ration</w:t>
      </w:r>
      <w:r w:rsidR="00AB2A38">
        <w:t>alise our outcome</w:t>
      </w:r>
      <w:r w:rsidR="0027754B">
        <w:t>-biased</w:t>
      </w:r>
      <w:r w:rsidR="00AB2A38">
        <w:t xml:space="preserve"> and hindsight-</w:t>
      </w:r>
      <w:r w:rsidR="00C10C17">
        <w:t xml:space="preserve">biased </w:t>
      </w:r>
      <w:r w:rsidR="00954326">
        <w:t>blaming</w:t>
      </w:r>
      <w:r w:rsidR="00EC3E57">
        <w:t xml:space="preserve"> intuitions and </w:t>
      </w:r>
      <w:r w:rsidR="00C10C17">
        <w:t xml:space="preserve">accommodate </w:t>
      </w:r>
      <w:r w:rsidR="00EC3E57">
        <w:t>the arb</w:t>
      </w:r>
      <w:r w:rsidR="00320D55">
        <w:t>itrary unfairness of moral luck—‘liability grossly in excess of the only moral shortcoming that is thought to be its predicate’.</w:t>
      </w:r>
      <w:r w:rsidR="00320D55">
        <w:rPr>
          <w:rStyle w:val="FootnoteReference"/>
        </w:rPr>
        <w:footnoteReference w:id="12"/>
      </w:r>
      <w:r w:rsidR="00EC3E57">
        <w:t xml:space="preserve"> </w:t>
      </w:r>
      <w:r w:rsidR="009A7340">
        <w:t>In e</w:t>
      </w:r>
      <w:r w:rsidR="009B7B9B" w:rsidRPr="009B7B9B">
        <w:rPr>
          <w:i/>
        </w:rPr>
        <w:t>x post</w:t>
      </w:r>
      <w:r w:rsidR="009A7340">
        <w:t xml:space="preserve"> judgements of behaviour, the worse the known outcome </w:t>
      </w:r>
      <w:r w:rsidR="0027754B">
        <w:t xml:space="preserve">the greater the blame and </w:t>
      </w:r>
      <w:r w:rsidR="009A7340">
        <w:t xml:space="preserve">the higher the </w:t>
      </w:r>
      <w:r w:rsidR="0033235D">
        <w:t>standards of care</w:t>
      </w:r>
      <w:r w:rsidR="009A7340" w:rsidRPr="009A7340">
        <w:t xml:space="preserve"> </w:t>
      </w:r>
      <w:r w:rsidR="009A7340">
        <w:t xml:space="preserve">we set—and </w:t>
      </w:r>
      <w:r w:rsidR="009A7340" w:rsidRPr="009A7340">
        <w:rPr>
          <w:i/>
        </w:rPr>
        <w:t xml:space="preserve">say </w:t>
      </w:r>
      <w:r w:rsidR="009A7340">
        <w:t>we ‘expect’</w:t>
      </w:r>
      <w:r w:rsidR="0033235D">
        <w:t>.</w:t>
      </w:r>
      <w:bookmarkStart w:id="7" w:name="_Ref427587494"/>
      <w:r w:rsidR="0033235D">
        <w:rPr>
          <w:rStyle w:val="FootnoteReference"/>
        </w:rPr>
        <w:footnoteReference w:id="13"/>
      </w:r>
      <w:bookmarkEnd w:id="7"/>
      <w:r w:rsidR="0033235D">
        <w:t xml:space="preserve"> </w:t>
      </w:r>
    </w:p>
    <w:p w14:paraId="71549DCF" w14:textId="77777777" w:rsidR="00714AD7" w:rsidRDefault="00F0217C" w:rsidP="00714AD7">
      <w:pPr>
        <w:pStyle w:val="Quote"/>
      </w:pPr>
      <w:r>
        <w:t>‘</w:t>
      </w:r>
      <w:r w:rsidR="0033235D">
        <w:t>[O]</w:t>
      </w:r>
      <w:r w:rsidRPr="00F0217C">
        <w:t>utcomes are viewed as more predictable in retrospect</w:t>
      </w:r>
      <w:r>
        <w:t xml:space="preserve"> </w:t>
      </w:r>
      <w:r w:rsidRPr="00F0217C">
        <w:t>(“a reasonable person should have expected that”), which leads to greater condemnation when the outcome is bad</w:t>
      </w:r>
      <w:r>
        <w:t>.’</w:t>
      </w:r>
      <w:r>
        <w:rPr>
          <w:rStyle w:val="FootnoteReference"/>
        </w:rPr>
        <w:footnoteReference w:id="14"/>
      </w:r>
      <w:r w:rsidRPr="00F0217C">
        <w:t xml:space="preserve"> </w:t>
      </w:r>
    </w:p>
    <w:p w14:paraId="750FAF60" w14:textId="38DD4B81" w:rsidR="003E6E02" w:rsidRDefault="001F0483" w:rsidP="003E6E02">
      <w:r w:rsidRPr="001F0483">
        <w:t>When a risk [R] results in harm, we ask ‘</w:t>
      </w:r>
      <w:r w:rsidRPr="009E2EAC">
        <w:rPr>
          <w:i/>
        </w:rPr>
        <w:t xml:space="preserve">did </w:t>
      </w:r>
      <w:r w:rsidRPr="001F0483">
        <w:t>A foresee R?’ and ‘</w:t>
      </w:r>
      <w:r w:rsidRPr="009E2EAC">
        <w:rPr>
          <w:i/>
        </w:rPr>
        <w:t xml:space="preserve">could </w:t>
      </w:r>
      <w:r w:rsidRPr="009E2EAC">
        <w:t>A</w:t>
      </w:r>
      <w:r w:rsidRPr="001F0483">
        <w:t xml:space="preserve"> have foreseen R’. </w:t>
      </w:r>
      <w:r w:rsidR="00C34A08">
        <w:t>I</w:t>
      </w:r>
      <w:r w:rsidR="00C34A08" w:rsidRPr="001F0483">
        <w:t>ntuitively</w:t>
      </w:r>
      <w:r w:rsidR="00C34A08">
        <w:t>,</w:t>
      </w:r>
      <w:r w:rsidR="00C34A08" w:rsidRPr="001F0483">
        <w:t xml:space="preserve"> </w:t>
      </w:r>
      <w:r w:rsidR="00C34A08">
        <w:t>w</w:t>
      </w:r>
      <w:r w:rsidRPr="001F0483">
        <w:t xml:space="preserve">e might say ‘A </w:t>
      </w:r>
      <w:r w:rsidRPr="009E2EAC">
        <w:rPr>
          <w:i/>
        </w:rPr>
        <w:t>should have</w:t>
      </w:r>
      <w:r w:rsidRPr="001F0483">
        <w:t xml:space="preserve"> foreseen R’. </w:t>
      </w:r>
      <w:r w:rsidR="00C34A08">
        <w:t>M</w:t>
      </w:r>
      <w:r w:rsidR="00C34A08" w:rsidRPr="001F0483">
        <w:t>ore reflectively</w:t>
      </w:r>
      <w:r w:rsidR="00C34A08">
        <w:t>,</w:t>
      </w:r>
      <w:r w:rsidR="00C34A08" w:rsidRPr="001F0483">
        <w:t xml:space="preserve"> </w:t>
      </w:r>
      <w:r w:rsidR="00C34A08">
        <w:t>w</w:t>
      </w:r>
      <w:r w:rsidRPr="001F0483">
        <w:t>e might ask ‘</w:t>
      </w:r>
      <w:r w:rsidRPr="009E2EAC">
        <w:rPr>
          <w:i/>
        </w:rPr>
        <w:t>ought</w:t>
      </w:r>
      <w:r w:rsidRPr="001F0483">
        <w:t xml:space="preserve"> A to </w:t>
      </w:r>
      <w:r w:rsidRPr="009E2EAC">
        <w:rPr>
          <w:i/>
        </w:rPr>
        <w:t>have</w:t>
      </w:r>
      <w:r w:rsidRPr="001F0483">
        <w:t xml:space="preserve"> foreseen R?’</w:t>
      </w:r>
      <w:r w:rsidR="00BC7439">
        <w:t xml:space="preserve"> </w:t>
      </w:r>
      <w:r w:rsidR="0027754B">
        <w:t xml:space="preserve">By imposing, after judicial reflection, foreseeability rather than causation as the test of remoteness, the Privy Council in </w:t>
      </w:r>
      <w:r w:rsidR="0027754B">
        <w:rPr>
          <w:i/>
        </w:rPr>
        <w:t>WM</w:t>
      </w:r>
      <w:r w:rsidR="0027754B" w:rsidRPr="00BC7439">
        <w:rPr>
          <w:i/>
        </w:rPr>
        <w:t>1</w:t>
      </w:r>
      <w:r w:rsidR="0027754B">
        <w:rPr>
          <w:rStyle w:val="FootnoteReference"/>
        </w:rPr>
        <w:footnoteReference w:id="15"/>
      </w:r>
      <w:r w:rsidR="0027754B">
        <w:rPr>
          <w:i/>
        </w:rPr>
        <w:t xml:space="preserve"> </w:t>
      </w:r>
      <w:r w:rsidR="0027754B">
        <w:t xml:space="preserve">was able to temper the outcome and hindsight biases. </w:t>
      </w:r>
      <w:r w:rsidR="0023438F">
        <w:t>B</w:t>
      </w:r>
      <w:r w:rsidR="0027754B">
        <w:t xml:space="preserve">y </w:t>
      </w:r>
      <w:r w:rsidR="0027754B">
        <w:lastRenderedPageBreak/>
        <w:t xml:space="preserve">way of justification, </w:t>
      </w:r>
      <w:r w:rsidR="003E6E02">
        <w:t xml:space="preserve">Viscount Simonds </w:t>
      </w:r>
      <w:r w:rsidR="00714AD7">
        <w:t xml:space="preserve">invoked </w:t>
      </w:r>
      <w:r w:rsidR="00D70A93" w:rsidRPr="00D70A93">
        <w:t>Lord Atkin</w:t>
      </w:r>
      <w:r w:rsidR="00714AD7">
        <w:t>’s</w:t>
      </w:r>
      <w:r w:rsidR="00914F71">
        <w:t xml:space="preserve"> reference </w:t>
      </w:r>
      <w:r w:rsidR="00914F71" w:rsidRPr="00D70A93">
        <w:t xml:space="preserve">in </w:t>
      </w:r>
      <w:r w:rsidR="00914F71" w:rsidRPr="003E6E02">
        <w:rPr>
          <w:i/>
        </w:rPr>
        <w:t xml:space="preserve">Donoghue </w:t>
      </w:r>
      <w:r w:rsidR="00914F71" w:rsidRPr="00D70A93">
        <w:t xml:space="preserve">v </w:t>
      </w:r>
      <w:r w:rsidR="00914F71" w:rsidRPr="003E6E02">
        <w:rPr>
          <w:i/>
        </w:rPr>
        <w:t>Stevenson</w:t>
      </w:r>
      <w:r w:rsidR="00914F71">
        <w:t xml:space="preserve"> to</w:t>
      </w:r>
      <w:r w:rsidR="0023438F">
        <w:t xml:space="preserve"> </w:t>
      </w:r>
      <w:r w:rsidR="00691462">
        <w:t>‘</w:t>
      </w:r>
      <w:r w:rsidR="00914F71">
        <w:t xml:space="preserve">a </w:t>
      </w:r>
      <w:r w:rsidR="00914F71" w:rsidRPr="00D70A93">
        <w:t xml:space="preserve">general public sentiment of moral wrongdoing </w:t>
      </w:r>
      <w:r w:rsidR="00914F71">
        <w:t>for which the offender must pay’</w:t>
      </w:r>
      <w:bookmarkStart w:id="8" w:name="_Ref427168730"/>
      <w:r w:rsidR="00D70A93">
        <w:rPr>
          <w:rStyle w:val="FootnoteReference"/>
        </w:rPr>
        <w:footnoteReference w:id="16"/>
      </w:r>
      <w:bookmarkEnd w:id="8"/>
      <w:r w:rsidR="00ED2DA8">
        <w:t>—</w:t>
      </w:r>
      <w:r w:rsidR="0023438F">
        <w:t xml:space="preserve">itself </w:t>
      </w:r>
      <w:r w:rsidR="00ED2DA8">
        <w:t>an appeal</w:t>
      </w:r>
      <w:r w:rsidR="0023438F">
        <w:t xml:space="preserve"> to folk morality. </w:t>
      </w:r>
      <w:r w:rsidR="00D056E5">
        <w:t>S</w:t>
      </w:r>
      <w:r w:rsidR="00CD13FE">
        <w:t>uspicious of causal concepts,</w:t>
      </w:r>
      <w:r w:rsidR="003E6E02">
        <w:t xml:space="preserve"> </w:t>
      </w:r>
      <w:r w:rsidR="00A04138">
        <w:t>V</w:t>
      </w:r>
      <w:r w:rsidR="00ED2DA8">
        <w:t>iscount Simonds</w:t>
      </w:r>
      <w:r w:rsidR="00D056E5">
        <w:t xml:space="preserve"> </w:t>
      </w:r>
      <w:r w:rsidR="003E6E02">
        <w:t xml:space="preserve">added, </w:t>
      </w:r>
    </w:p>
    <w:p w14:paraId="0CEE0EF7" w14:textId="0FABD7E2" w:rsidR="001F0483" w:rsidRDefault="003E6E02" w:rsidP="003E6E02">
      <w:pPr>
        <w:pStyle w:val="Quote"/>
      </w:pPr>
      <w:r>
        <w:t>‘</w:t>
      </w:r>
      <w:r w:rsidRPr="003E6E02">
        <w:t>It is a departure from this sovereign principle if liability is made to depend solely on the damage being the "direct" or "natural" consequence of the precedent act. Who knows or can be assumed to know all the processes of nature</w:t>
      </w:r>
      <w:r>
        <w:t>?’</w:t>
      </w:r>
      <w:r>
        <w:rPr>
          <w:rStyle w:val="FootnoteReference"/>
        </w:rPr>
        <w:footnoteReference w:id="17"/>
      </w:r>
    </w:p>
    <w:p w14:paraId="7FCE034B" w14:textId="629588CC" w:rsidR="00E15F47" w:rsidRDefault="00C10C17" w:rsidP="001F0483">
      <w:r>
        <w:t xml:space="preserve">System 1 </w:t>
      </w:r>
      <w:r w:rsidR="00490E77" w:rsidRPr="00490E77">
        <w:rPr>
          <w:i/>
        </w:rPr>
        <w:t>ex post</w:t>
      </w:r>
      <w:r w:rsidR="00490E77">
        <w:t xml:space="preserve"> </w:t>
      </w:r>
      <w:r>
        <w:t xml:space="preserve">blaming for bad outcomes can </w:t>
      </w:r>
      <w:r w:rsidRPr="00C10C17">
        <w:t>be rationalised by the System 2 consequentialist notion that fault might deter</w:t>
      </w:r>
      <w:r>
        <w:t>. B</w:t>
      </w:r>
      <w:r w:rsidR="00A72C26">
        <w:t>ut, b</w:t>
      </w:r>
      <w:r>
        <w:t>y contrast</w:t>
      </w:r>
      <w:r w:rsidR="00BA25F0">
        <w:t xml:space="preserve"> with the folksiness of fault</w:t>
      </w:r>
      <w:r>
        <w:t>,</w:t>
      </w:r>
      <w:r w:rsidR="00E15F47">
        <w:t xml:space="preserve"> business morality holds </w:t>
      </w:r>
      <w:r w:rsidR="00775FE2">
        <w:t xml:space="preserve">responsible </w:t>
      </w:r>
      <w:r w:rsidR="00E15F47">
        <w:t>th</w:t>
      </w:r>
      <w:r w:rsidR="00775FE2">
        <w:t>os</w:t>
      </w:r>
      <w:r w:rsidR="00E15F47">
        <w:t>e best placed to manage and/or insure</w:t>
      </w:r>
      <w:r w:rsidR="00E15F47" w:rsidRPr="00E15F47">
        <w:t xml:space="preserve"> </w:t>
      </w:r>
      <w:r w:rsidR="00E15F47">
        <w:t>risk</w:t>
      </w:r>
      <w:r w:rsidR="00775FE2">
        <w:t>s</w:t>
      </w:r>
      <w:r>
        <w:t>—a</w:t>
      </w:r>
      <w:r w:rsidR="00E15F47">
        <w:t xml:space="preserve"> </w:t>
      </w:r>
      <w:r w:rsidR="0062332E">
        <w:t xml:space="preserve">System 1 consequentialism that is </w:t>
      </w:r>
      <w:r w:rsidR="00E15F47">
        <w:t>cultu</w:t>
      </w:r>
      <w:r w:rsidR="00775FE2">
        <w:t>rally-acquired</w:t>
      </w:r>
      <w:r w:rsidR="00E15F47">
        <w:t xml:space="preserve"> </w:t>
      </w:r>
      <w:r w:rsidR="0062332E">
        <w:t>and</w:t>
      </w:r>
      <w:r>
        <w:t xml:space="preserve"> can</w:t>
      </w:r>
      <w:r w:rsidR="00E15F47">
        <w:t xml:space="preserve"> </w:t>
      </w:r>
      <w:r w:rsidR="0062332E">
        <w:t>rationalised</w:t>
      </w:r>
      <w:r w:rsidR="00E15F47">
        <w:t xml:space="preserve"> with System 2 </w:t>
      </w:r>
      <w:r w:rsidR="0062332E">
        <w:t>reflections on</w:t>
      </w:r>
      <w:r w:rsidR="00E15F47">
        <w:t xml:space="preserve"> the inevitability of accidents and the marginality of deterrent effects.</w:t>
      </w:r>
    </w:p>
    <w:p w14:paraId="114218C6" w14:textId="6757B288" w:rsidR="00590B6E" w:rsidRPr="001F0483" w:rsidRDefault="005C7C14" w:rsidP="005C7C14">
      <w:pPr>
        <w:pStyle w:val="Heading1"/>
      </w:pPr>
      <w:bookmarkStart w:id="9" w:name="_Toc428515788"/>
      <w:r>
        <w:t>Foreseeability’s Ambivalence</w:t>
      </w:r>
      <w:bookmarkEnd w:id="9"/>
    </w:p>
    <w:p w14:paraId="1FE27AE9" w14:textId="4E91FC1C" w:rsidR="009E3B42" w:rsidRDefault="009E3B42" w:rsidP="00E425A2">
      <w:pPr>
        <w:pStyle w:val="Heading2"/>
      </w:pPr>
      <w:bookmarkStart w:id="10" w:name="_Toc428515789"/>
      <w:r>
        <w:t>Factive Foresight</w:t>
      </w:r>
      <w:bookmarkEnd w:id="10"/>
    </w:p>
    <w:p w14:paraId="4B53F7D4" w14:textId="5B2CE051" w:rsidR="004B207C" w:rsidRDefault="005C7C14" w:rsidP="005C7C14">
      <w:r>
        <w:t>We cannot expect, predict or plan without foreseeing</w:t>
      </w:r>
      <w:r w:rsidR="009E3B42">
        <w:t xml:space="preserve"> some object</w:t>
      </w:r>
      <w:r>
        <w:t xml:space="preserve">. A cannot intend to kill X, contract with Y or settle money on Z without foreseeing some particular consequences. Neither can A be reckless about a consequence without foreseeing it as a risk and pressing on regardless. But this is ‘foresight talk’ not ‘foreseeability talk’. </w:t>
      </w:r>
      <w:r w:rsidR="00BE0DAB">
        <w:t>U</w:t>
      </w:r>
      <w:r w:rsidR="00024632">
        <w:t xml:space="preserve">nless </w:t>
      </w:r>
      <w:r>
        <w:t>A</w:t>
      </w:r>
      <w:r w:rsidR="00024632">
        <w:t xml:space="preserve"> confesses to having foreseen</w:t>
      </w:r>
      <w:r w:rsidR="009E2EAC">
        <w:t xml:space="preserve"> R</w:t>
      </w:r>
      <w:r w:rsidR="00024632">
        <w:t xml:space="preserve">, </w:t>
      </w:r>
      <w:r>
        <w:t xml:space="preserve">the foresight problem is </w:t>
      </w:r>
      <w:r w:rsidR="00024632">
        <w:t xml:space="preserve">not conceptual but </w:t>
      </w:r>
      <w:r>
        <w:t>evidential—how to discover what A actually foresaw</w:t>
      </w:r>
      <w:r w:rsidR="00BA25F0">
        <w:t xml:space="preserve">, thus confronting factual </w:t>
      </w:r>
      <w:r w:rsidR="00BA25F0" w:rsidRPr="0020217D">
        <w:rPr>
          <w:i/>
        </w:rPr>
        <w:t>inference</w:t>
      </w:r>
      <w:r w:rsidR="00BA25F0">
        <w:t xml:space="preserve"> and its limits</w:t>
      </w:r>
      <w:r>
        <w:t>.</w:t>
      </w:r>
      <w:r>
        <w:rPr>
          <w:rStyle w:val="FootnoteReference"/>
        </w:rPr>
        <w:footnoteReference w:id="18"/>
      </w:r>
      <w:r>
        <w:t xml:space="preserve"> Thus, ‘A foresaw R’ and ‘R was foreseen by A’ are </w:t>
      </w:r>
      <w:r w:rsidR="000E284A">
        <w:t>statements</w:t>
      </w:r>
      <w:r w:rsidR="009E2EAC">
        <w:t xml:space="preserve"> </w:t>
      </w:r>
      <w:r>
        <w:t>that are, in principle, either true or false. Call this ‘</w:t>
      </w:r>
      <w:r w:rsidRPr="00BE0DAB">
        <w:rPr>
          <w:i/>
        </w:rPr>
        <w:t>fact</w:t>
      </w:r>
      <w:r w:rsidR="00550B56" w:rsidRPr="00BE0DAB">
        <w:rPr>
          <w:i/>
        </w:rPr>
        <w:t xml:space="preserve">ive </w:t>
      </w:r>
      <w:r w:rsidRPr="00BE0DAB">
        <w:rPr>
          <w:i/>
        </w:rPr>
        <w:t>foresight</w:t>
      </w:r>
      <w:r>
        <w:t>’.</w:t>
      </w:r>
      <w:r w:rsidR="00BE0DAB">
        <w:rPr>
          <w:rStyle w:val="FootnoteReference"/>
        </w:rPr>
        <w:footnoteReference w:id="19"/>
      </w:r>
      <w:r w:rsidR="000E284A">
        <w:t xml:space="preserve"> The</w:t>
      </w:r>
      <w:r>
        <w:t xml:space="preserve"> ‘direction</w:t>
      </w:r>
      <w:r w:rsidR="000E284A">
        <w:t xml:space="preserve"> of fit’ of</w:t>
      </w:r>
      <w:r w:rsidR="007B7140">
        <w:t xml:space="preserve"> </w:t>
      </w:r>
      <w:r w:rsidR="000E284A">
        <w:t xml:space="preserve">factive propositions is </w:t>
      </w:r>
      <w:r w:rsidR="007B7140">
        <w:t>from world-to-word.</w:t>
      </w:r>
      <w:bookmarkStart w:id="11" w:name="_Ref425865378"/>
      <w:r w:rsidR="007B7140">
        <w:rPr>
          <w:rStyle w:val="FootnoteReference"/>
        </w:rPr>
        <w:footnoteReference w:id="20"/>
      </w:r>
      <w:bookmarkEnd w:id="11"/>
      <w:r>
        <w:t xml:space="preserve"> </w:t>
      </w:r>
    </w:p>
    <w:p w14:paraId="1128EA89" w14:textId="44451E6B" w:rsidR="00591ABE" w:rsidRDefault="004B207C" w:rsidP="005C7C14">
      <w:r w:rsidRPr="004B207C">
        <w:t>To ‘prove’ factive fores</w:t>
      </w:r>
      <w:r w:rsidR="00CD13FE">
        <w:t>ight</w:t>
      </w:r>
      <w:r w:rsidRPr="004B207C">
        <w:t xml:space="preserve">, two approaches are possible: scientific method, </w:t>
      </w:r>
      <w:r w:rsidR="0023438F">
        <w:t>test</w:t>
      </w:r>
      <w:r w:rsidRPr="004B207C">
        <w:t xml:space="preserve">ing </w:t>
      </w:r>
      <w:r w:rsidR="0027754B" w:rsidRPr="004B207C">
        <w:t>falsifiable</w:t>
      </w:r>
      <w:r w:rsidR="00BE0DAB">
        <w:t xml:space="preserve"> </w:t>
      </w:r>
      <w:r w:rsidRPr="004B207C">
        <w:t xml:space="preserve">propositions; and reliance on personal </w:t>
      </w:r>
      <w:r w:rsidR="002F197A">
        <w:t xml:space="preserve">or </w:t>
      </w:r>
      <w:r w:rsidR="00C7216C">
        <w:t xml:space="preserve">vicarious </w:t>
      </w:r>
      <w:r w:rsidRPr="004B207C">
        <w:t>general experience, whilst wondering whether D’s position might differ in any material respect. The former approach is unusual. It might involve psychiatric experiments or social surveys. The latter</w:t>
      </w:r>
      <w:r w:rsidR="0023438F">
        <w:t>, though</w:t>
      </w:r>
      <w:r w:rsidRPr="004B207C">
        <w:t xml:space="preserve"> </w:t>
      </w:r>
      <w:r w:rsidR="0023438F">
        <w:t xml:space="preserve">more common and </w:t>
      </w:r>
      <w:r w:rsidRPr="004B207C">
        <w:t>less cumbersome</w:t>
      </w:r>
      <w:r w:rsidR="0023438F">
        <w:t>, is</w:t>
      </w:r>
      <w:r w:rsidRPr="004B207C">
        <w:t xml:space="preserve"> less valid. </w:t>
      </w:r>
      <w:r w:rsidR="00591ABE" w:rsidRPr="00591ABE">
        <w:t xml:space="preserve">Absent D’s confession, judges have only the available evidence and their own experiences from which to construct their verdicts. </w:t>
      </w:r>
      <w:r w:rsidR="00591ABE">
        <w:t xml:space="preserve">Some subjectivity is inevitable. </w:t>
      </w:r>
      <w:r w:rsidR="00591ABE" w:rsidRPr="00591ABE">
        <w:t xml:space="preserve">Causal </w:t>
      </w:r>
      <w:r w:rsidR="00591ABE" w:rsidRPr="0029501F">
        <w:rPr>
          <w:i/>
        </w:rPr>
        <w:t>inference</w:t>
      </w:r>
      <w:r w:rsidR="00591ABE" w:rsidRPr="00591ABE">
        <w:t xml:space="preserve">—as distinct from </w:t>
      </w:r>
      <w:r w:rsidR="00591ABE" w:rsidRPr="0029501F">
        <w:rPr>
          <w:i/>
        </w:rPr>
        <w:t>imputation</w:t>
      </w:r>
      <w:r w:rsidR="00591ABE" w:rsidRPr="00591ABE">
        <w:t xml:space="preserve">—provides the theoretical limit but, if a judge thinks that she would herself have foreseen R, she will be inclined to hold that D must have foreseen R. However, note the ambiguity of ‘must’. ‘It </w:t>
      </w:r>
      <w:r w:rsidR="00591ABE" w:rsidRPr="006232A3">
        <w:rPr>
          <w:i/>
        </w:rPr>
        <w:t>must</w:t>
      </w:r>
      <w:r w:rsidR="00591ABE" w:rsidRPr="00591ABE">
        <w:t xml:space="preserve"> have been the case’ shades into ‘D </w:t>
      </w:r>
      <w:r w:rsidR="00591ABE" w:rsidRPr="006232A3">
        <w:rPr>
          <w:i/>
        </w:rPr>
        <w:t>should</w:t>
      </w:r>
      <w:r w:rsidR="00591ABE" w:rsidRPr="00591ABE">
        <w:t xml:space="preserve"> have’—the </w:t>
      </w:r>
      <w:r w:rsidR="0023438F">
        <w:t>fac</w:t>
      </w:r>
      <w:r w:rsidR="00591ABE" w:rsidRPr="00591ABE">
        <w:t xml:space="preserve">tive and </w:t>
      </w:r>
      <w:r w:rsidR="0023438F">
        <w:t xml:space="preserve">causally </w:t>
      </w:r>
      <w:r w:rsidR="00591ABE" w:rsidRPr="00591ABE">
        <w:t xml:space="preserve">explanatory shade into </w:t>
      </w:r>
      <w:r w:rsidR="009E3B42">
        <w:t xml:space="preserve">what </w:t>
      </w:r>
      <w:r w:rsidR="00CD13FE">
        <w:t>is</w:t>
      </w:r>
      <w:r w:rsidR="009E3B42">
        <w:t xml:space="preserve"> call</w:t>
      </w:r>
      <w:r w:rsidR="00CD13FE">
        <w:t>ed</w:t>
      </w:r>
      <w:r w:rsidR="006232A3">
        <w:t>, in this paper,</w:t>
      </w:r>
      <w:r w:rsidR="00CD13FE">
        <w:t xml:space="preserve"> </w:t>
      </w:r>
      <w:r w:rsidR="0089696B">
        <w:t>‘attributive’</w:t>
      </w:r>
      <w:r w:rsidR="00591ABE" w:rsidRPr="00591ABE">
        <w:t>.</w:t>
      </w:r>
    </w:p>
    <w:p w14:paraId="5181923E" w14:textId="72D426B8" w:rsidR="009E3B42" w:rsidRDefault="009E3B42" w:rsidP="00E425A2">
      <w:pPr>
        <w:pStyle w:val="Heading2"/>
      </w:pPr>
      <w:bookmarkStart w:id="12" w:name="_Toc428515790"/>
      <w:r>
        <w:lastRenderedPageBreak/>
        <w:t>Factive Foreseeability</w:t>
      </w:r>
      <w:bookmarkEnd w:id="12"/>
    </w:p>
    <w:p w14:paraId="4F3F0655" w14:textId="6A7E8493" w:rsidR="005C7C14" w:rsidRDefault="004B207C" w:rsidP="005C7C14">
      <w:r>
        <w:t>T</w:t>
      </w:r>
      <w:r w:rsidR="005C7C14">
        <w:t xml:space="preserve">he </w:t>
      </w:r>
      <w:r w:rsidR="00024632">
        <w:t>direction of</w:t>
      </w:r>
      <w:r w:rsidR="0023438F">
        <w:t xml:space="preserve"> fit of</w:t>
      </w:r>
      <w:r w:rsidR="005C7C14">
        <w:t xml:space="preserve"> ‘all human beings </w:t>
      </w:r>
      <w:r w:rsidR="005C7C14" w:rsidRPr="00024632">
        <w:rPr>
          <w:i/>
        </w:rPr>
        <w:t xml:space="preserve">can </w:t>
      </w:r>
      <w:r w:rsidR="005C7C14" w:rsidRPr="00BE0DAB">
        <w:rPr>
          <w:i/>
        </w:rPr>
        <w:t xml:space="preserve">foresee </w:t>
      </w:r>
      <w:r w:rsidR="005C7C14">
        <w:t xml:space="preserve">R’ and ‘some human beings </w:t>
      </w:r>
      <w:r w:rsidR="005C7C14" w:rsidRPr="00024632">
        <w:rPr>
          <w:i/>
        </w:rPr>
        <w:t>can</w:t>
      </w:r>
      <w:r w:rsidR="005C7C14">
        <w:t xml:space="preserve"> foresee R’</w:t>
      </w:r>
      <w:r w:rsidRPr="004B207C">
        <w:t xml:space="preserve"> </w:t>
      </w:r>
      <w:r>
        <w:t>is also</w:t>
      </w:r>
      <w:r w:rsidRPr="004B207C">
        <w:t xml:space="preserve"> </w:t>
      </w:r>
      <w:r>
        <w:t>w</w:t>
      </w:r>
      <w:r w:rsidRPr="00024632">
        <w:t>orld-to-word</w:t>
      </w:r>
      <w:r>
        <w:t>. Whilst tho</w:t>
      </w:r>
      <w:r w:rsidR="005C7C14">
        <w:t xml:space="preserve">se propositions can be </w:t>
      </w:r>
      <w:r>
        <w:t xml:space="preserve">similarly </w:t>
      </w:r>
      <w:r w:rsidR="005C7C14">
        <w:t>true or fals</w:t>
      </w:r>
      <w:r>
        <w:t>e,</w:t>
      </w:r>
      <w:r w:rsidR="005C7C14">
        <w:t xml:space="preserve"> they are propositions not of </w:t>
      </w:r>
      <w:r w:rsidR="005C7C14" w:rsidRPr="000E284A">
        <w:rPr>
          <w:i/>
        </w:rPr>
        <w:t>foresight</w:t>
      </w:r>
      <w:r w:rsidR="005C7C14">
        <w:t xml:space="preserve"> but of </w:t>
      </w:r>
      <w:r w:rsidR="005C7C14" w:rsidRPr="000E284A">
        <w:rPr>
          <w:i/>
        </w:rPr>
        <w:t>foreseeability</w:t>
      </w:r>
      <w:r w:rsidR="000E284A">
        <w:t>—that s</w:t>
      </w:r>
      <w:r w:rsidR="003962BD">
        <w:t>ome indeterminate number of persons</w:t>
      </w:r>
      <w:r w:rsidR="003962BD">
        <w:rPr>
          <w:rStyle w:val="FootnoteReference"/>
        </w:rPr>
        <w:footnoteReference w:id="21"/>
      </w:r>
      <w:r w:rsidR="003962BD">
        <w:t xml:space="preserve"> has the ability to foresee R. </w:t>
      </w:r>
      <w:r w:rsidR="005C7C14">
        <w:t>Call this ‘</w:t>
      </w:r>
      <w:r w:rsidR="005C7C14" w:rsidRPr="002970DF">
        <w:rPr>
          <w:i/>
        </w:rPr>
        <w:t>factive foreseeability</w:t>
      </w:r>
      <w:r w:rsidR="005C7C14">
        <w:t>’.</w:t>
      </w:r>
    </w:p>
    <w:p w14:paraId="6A717768" w14:textId="1DFED302" w:rsidR="009E3B42" w:rsidRDefault="009E3B42" w:rsidP="00E425A2">
      <w:pPr>
        <w:pStyle w:val="Heading2"/>
      </w:pPr>
      <w:bookmarkStart w:id="13" w:name="_Toc428515791"/>
      <w:r>
        <w:t>Attributional Foreseeability</w:t>
      </w:r>
      <w:bookmarkEnd w:id="13"/>
    </w:p>
    <w:p w14:paraId="19F38AC4" w14:textId="1EF826C6" w:rsidR="003A6F5C" w:rsidRDefault="005A0454" w:rsidP="005C7C14">
      <w:r>
        <w:t xml:space="preserve">‘A </w:t>
      </w:r>
      <w:r w:rsidRPr="009E3B42">
        <w:rPr>
          <w:i/>
        </w:rPr>
        <w:t>should have foreseen</w:t>
      </w:r>
      <w:r w:rsidR="00C37B22">
        <w:t xml:space="preserve"> R’ </w:t>
      </w:r>
      <w:r>
        <w:t>ha</w:t>
      </w:r>
      <w:r w:rsidR="00772510">
        <w:t xml:space="preserve">s </w:t>
      </w:r>
      <w:r w:rsidR="00CD13FE">
        <w:t>the</w:t>
      </w:r>
      <w:r w:rsidR="005C7C14">
        <w:t xml:space="preserve"> opposite direction of</w:t>
      </w:r>
      <w:r w:rsidR="00C37B22">
        <w:t xml:space="preserve"> fi</w:t>
      </w:r>
      <w:r w:rsidR="00A15B6E">
        <w:t>t—</w:t>
      </w:r>
      <w:r w:rsidR="00C37B22">
        <w:t xml:space="preserve">from word-to-world. </w:t>
      </w:r>
      <w:r w:rsidR="00F34392">
        <w:t xml:space="preserve">It is </w:t>
      </w:r>
      <w:r w:rsidR="0089696B">
        <w:t>attributive</w:t>
      </w:r>
      <w:r w:rsidR="00F34392">
        <w:t xml:space="preserve">, not </w:t>
      </w:r>
      <w:r w:rsidR="00772510">
        <w:t>fact</w:t>
      </w:r>
      <w:r w:rsidR="002970DF">
        <w:t>ive</w:t>
      </w:r>
      <w:r w:rsidR="00D05A06">
        <w:t xml:space="preserve">. </w:t>
      </w:r>
      <w:r w:rsidR="008942D3">
        <w:rPr>
          <w:i/>
        </w:rPr>
        <w:t>E</w:t>
      </w:r>
      <w:r w:rsidR="008942D3" w:rsidRPr="00B92F91">
        <w:rPr>
          <w:i/>
        </w:rPr>
        <w:t>x post</w:t>
      </w:r>
      <w:r w:rsidR="008942D3">
        <w:t xml:space="preserve"> it</w:t>
      </w:r>
      <w:r w:rsidR="00D05A06">
        <w:t xml:space="preserve"> is</w:t>
      </w:r>
      <w:r w:rsidR="005C7C14">
        <w:t xml:space="preserve"> used to </w:t>
      </w:r>
      <w:r w:rsidR="005C7C14" w:rsidRPr="0062332E">
        <w:rPr>
          <w:i/>
        </w:rPr>
        <w:t>attribute</w:t>
      </w:r>
      <w:r w:rsidR="000E284A">
        <w:t xml:space="preserve"> or </w:t>
      </w:r>
      <w:r w:rsidR="000E284A" w:rsidRPr="0062332E">
        <w:rPr>
          <w:i/>
        </w:rPr>
        <w:t>impute</w:t>
      </w:r>
      <w:r w:rsidR="005C7C14">
        <w:t xml:space="preserve"> responsibility </w:t>
      </w:r>
      <w:r w:rsidR="001231C7">
        <w:t>for outcomes</w:t>
      </w:r>
      <w:r w:rsidR="005E753B">
        <w:rPr>
          <w:i/>
        </w:rPr>
        <w:t>.</w:t>
      </w:r>
      <w:r w:rsidR="006B2C0F">
        <w:rPr>
          <w:rStyle w:val="FootnoteReference"/>
        </w:rPr>
        <w:footnoteReference w:id="22"/>
      </w:r>
      <w:r w:rsidR="00F34392">
        <w:t xml:space="preserve"> </w:t>
      </w:r>
      <w:r w:rsidR="0023438F">
        <w:t>T</w:t>
      </w:r>
      <w:r w:rsidR="0040347B">
        <w:t xml:space="preserve">he adjective </w:t>
      </w:r>
      <w:r w:rsidR="004B06F5">
        <w:t>does more work than the noun</w:t>
      </w:r>
      <w:r w:rsidR="00F34392">
        <w:t xml:space="preserve"> but, in deference to the ubiquity of the term </w:t>
      </w:r>
      <w:r w:rsidR="00CD13FE">
        <w:t>‘</w:t>
      </w:r>
      <w:r w:rsidR="00F34392">
        <w:t>foreseeability’,</w:t>
      </w:r>
      <w:r w:rsidR="0040347B">
        <w:t xml:space="preserve"> </w:t>
      </w:r>
      <w:r w:rsidR="00F34392">
        <w:t>call this</w:t>
      </w:r>
      <w:r w:rsidR="00F34392" w:rsidRPr="00811C2E">
        <w:t xml:space="preserve"> </w:t>
      </w:r>
      <w:r w:rsidR="00F34392">
        <w:t>‘</w:t>
      </w:r>
      <w:r w:rsidR="0089696B">
        <w:rPr>
          <w:i/>
        </w:rPr>
        <w:t>attributive</w:t>
      </w:r>
      <w:r w:rsidR="00F34392" w:rsidRPr="002970DF">
        <w:rPr>
          <w:i/>
        </w:rPr>
        <w:t xml:space="preserve"> foreseeability</w:t>
      </w:r>
      <w:r w:rsidR="00F34392">
        <w:t>’.</w:t>
      </w:r>
    </w:p>
    <w:p w14:paraId="53F1C1BA" w14:textId="362328E0" w:rsidR="009E3B42" w:rsidRDefault="009E3B42" w:rsidP="00E425A2">
      <w:pPr>
        <w:pStyle w:val="Heading2"/>
      </w:pPr>
      <w:bookmarkStart w:id="14" w:name="_Toc428515792"/>
      <w:r>
        <w:t>Factive-</w:t>
      </w:r>
      <w:r w:rsidR="007634EA">
        <w:t>A</w:t>
      </w:r>
      <w:r w:rsidR="0089696B">
        <w:t>ttributive</w:t>
      </w:r>
      <w:r>
        <w:t xml:space="preserve"> Ambivalence</w:t>
      </w:r>
      <w:bookmarkEnd w:id="14"/>
      <w:r>
        <w:t xml:space="preserve"> </w:t>
      </w:r>
    </w:p>
    <w:p w14:paraId="50E74DA9" w14:textId="3FCD9A6A" w:rsidR="005C7C14" w:rsidRDefault="002970DF" w:rsidP="005C7C14">
      <w:r>
        <w:t>W</w:t>
      </w:r>
      <w:r w:rsidR="005C7C14">
        <w:t xml:space="preserve">hilst the very idea of a norm is rooted in practices and regularities that give rise to </w:t>
      </w:r>
      <w:r w:rsidR="005C7C14" w:rsidRPr="002970DF">
        <w:rPr>
          <w:i/>
        </w:rPr>
        <w:t>expectations</w:t>
      </w:r>
      <w:r w:rsidR="005C7C14">
        <w:t xml:space="preserve">, expectations can be </w:t>
      </w:r>
      <w:r w:rsidR="005C7C14" w:rsidRPr="002970DF">
        <w:rPr>
          <w:i/>
        </w:rPr>
        <w:t>predictive</w:t>
      </w:r>
      <w:r w:rsidR="005C7C14">
        <w:t xml:space="preserve"> (world-to-word) or </w:t>
      </w:r>
      <w:r w:rsidR="005C7C14" w:rsidRPr="002970DF">
        <w:rPr>
          <w:i/>
        </w:rPr>
        <w:t>normative</w:t>
      </w:r>
      <w:r w:rsidR="005C7C14">
        <w:t xml:space="preserve"> (word-to-world). Consider, ‘I expect my children to </w:t>
      </w:r>
      <w:r w:rsidR="005C7C14" w:rsidRPr="00CD13FE">
        <w:t>behave’</w:t>
      </w:r>
      <w:r w:rsidR="005C7C14">
        <w:t xml:space="preserve">. The bare words of such utterances do not tell us whether the speaker means to </w:t>
      </w:r>
      <w:r w:rsidR="005C7C14" w:rsidRPr="00CD13FE">
        <w:rPr>
          <w:i/>
        </w:rPr>
        <w:t>predict</w:t>
      </w:r>
      <w:r w:rsidR="005C7C14">
        <w:t xml:space="preserve"> or </w:t>
      </w:r>
      <w:r w:rsidR="000E284A">
        <w:t xml:space="preserve">to </w:t>
      </w:r>
      <w:r w:rsidR="005C7C14" w:rsidRPr="00CD13FE">
        <w:rPr>
          <w:i/>
        </w:rPr>
        <w:t>regulate</w:t>
      </w:r>
      <w:r w:rsidR="005C7C14">
        <w:t>.</w:t>
      </w:r>
      <w:r w:rsidR="003A6F5C">
        <w:t xml:space="preserve"> </w:t>
      </w:r>
      <w:r>
        <w:t>A</w:t>
      </w:r>
      <w:r w:rsidR="005C7C14">
        <w:t xml:space="preserve"> parent might seek to raise the children’s </w:t>
      </w:r>
      <w:r w:rsidR="005C7C14" w:rsidRPr="0023438F">
        <w:rPr>
          <w:i/>
        </w:rPr>
        <w:t xml:space="preserve">regular </w:t>
      </w:r>
      <w:r w:rsidR="005C7C14">
        <w:t xml:space="preserve">standard of behaviour. ‘I expect you to stay seated quietly at the table </w:t>
      </w:r>
      <w:r w:rsidR="003A6F5C">
        <w:t>until</w:t>
      </w:r>
      <w:r w:rsidR="005C7C14">
        <w:t xml:space="preserve"> everyone has finished eating (word-to-world) and not to rush off as soon as you’ve finished as you usually do (world-to-word)’.</w:t>
      </w:r>
    </w:p>
    <w:p w14:paraId="549B37C4" w14:textId="05B1B481" w:rsidR="005C7C14" w:rsidRDefault="002970DF" w:rsidP="005C7C14">
      <w:r>
        <w:t>A</w:t>
      </w:r>
      <w:r w:rsidR="0023438F">
        <w:t>n</w:t>
      </w:r>
      <w:r w:rsidR="005C7C14">
        <w:t xml:space="preserve"> </w:t>
      </w:r>
      <w:r w:rsidR="009B7B9B" w:rsidRPr="009B7B9B">
        <w:rPr>
          <w:i/>
        </w:rPr>
        <w:t>ex post</w:t>
      </w:r>
      <w:r w:rsidR="005C7C14">
        <w:t xml:space="preserve"> judgement that ‘A should have foreseen R’ (attributing responsibility fo</w:t>
      </w:r>
      <w:r w:rsidR="0023438F">
        <w:t xml:space="preserve">r R to A) might be grounded in </w:t>
      </w:r>
      <w:r w:rsidR="0023438F">
        <w:rPr>
          <w:i/>
        </w:rPr>
        <w:t>normal</w:t>
      </w:r>
      <w:r w:rsidR="005C7C14">
        <w:t xml:space="preserve"> </w:t>
      </w:r>
      <w:r w:rsidR="0023438F">
        <w:t xml:space="preserve">or </w:t>
      </w:r>
      <w:r w:rsidR="0023438F" w:rsidRPr="0023438F">
        <w:rPr>
          <w:i/>
        </w:rPr>
        <w:t>regular</w:t>
      </w:r>
      <w:r w:rsidR="0023438F">
        <w:t xml:space="preserve"> </w:t>
      </w:r>
      <w:r w:rsidR="005C7C14">
        <w:t xml:space="preserve">practice. Most people will look before crossing the road and will think that they </w:t>
      </w:r>
      <w:r w:rsidR="005C7C14" w:rsidRPr="0023438F">
        <w:rPr>
          <w:i/>
        </w:rPr>
        <w:t>ought</w:t>
      </w:r>
      <w:r w:rsidR="005C7C14">
        <w:t xml:space="preserve"> to do so. But the speaker might think first of attributing responsibility and express that attribution by saying ‘A </w:t>
      </w:r>
      <w:r w:rsidR="005C7C14" w:rsidRPr="002970DF">
        <w:rPr>
          <w:i/>
        </w:rPr>
        <w:t>should have</w:t>
      </w:r>
      <w:r w:rsidR="005C7C14">
        <w:t xml:space="preserve"> foreseen R’. </w:t>
      </w:r>
      <w:r w:rsidR="0023438F">
        <w:t>C</w:t>
      </w:r>
      <w:r w:rsidR="003A6F5C">
        <w:t>rossing</w:t>
      </w:r>
      <w:r w:rsidR="005C7C14">
        <w:t xml:space="preserve"> </w:t>
      </w:r>
      <w:r w:rsidR="0023438F">
        <w:t xml:space="preserve">roads </w:t>
      </w:r>
      <w:r w:rsidR="005C7C14">
        <w:t xml:space="preserve">whilst </w:t>
      </w:r>
      <w:r w:rsidR="00CD13FE">
        <w:t xml:space="preserve">distractively </w:t>
      </w:r>
      <w:r w:rsidR="0023438F">
        <w:t>engaged with a smart</w:t>
      </w:r>
      <w:r w:rsidR="005C7C14">
        <w:t xml:space="preserve">phone is commonplace but </w:t>
      </w:r>
      <w:r w:rsidR="00F77330">
        <w:t>a</w:t>
      </w:r>
      <w:r w:rsidR="005C7C14">
        <w:t xml:space="preserve"> speaker wants to attribute responsibility for it. The speaker is concerned not to reflect but to</w:t>
      </w:r>
      <w:r>
        <w:t xml:space="preserve"> criticise or</w:t>
      </w:r>
      <w:r w:rsidR="005C7C14">
        <w:t xml:space="preserve"> </w:t>
      </w:r>
      <w:r w:rsidR="00CD13FE">
        <w:t xml:space="preserve">improve </w:t>
      </w:r>
      <w:r w:rsidR="005C7C14">
        <w:t xml:space="preserve">current behaviour. Because </w:t>
      </w:r>
      <w:r w:rsidR="005C7C14" w:rsidRPr="000E284A">
        <w:rPr>
          <w:i/>
        </w:rPr>
        <w:t>ought</w:t>
      </w:r>
      <w:r w:rsidR="005C7C14">
        <w:t xml:space="preserve"> implies </w:t>
      </w:r>
      <w:r w:rsidR="005C7C14" w:rsidRPr="000E284A">
        <w:rPr>
          <w:i/>
        </w:rPr>
        <w:t>can</w:t>
      </w:r>
      <w:r w:rsidR="005C7C14">
        <w:t xml:space="preserve">, </w:t>
      </w:r>
      <w:r w:rsidR="00F77330">
        <w:t>a</w:t>
      </w:r>
      <w:r w:rsidR="005C7C14">
        <w:t xml:space="preserve"> speaker will probably not use foreseeability language to attribute responsibility for risks that no-one could have foreseen. Instead, strict liability language</w:t>
      </w:r>
      <w:r w:rsidR="00512E7E">
        <w:t xml:space="preserve"> </w:t>
      </w:r>
      <w:r w:rsidR="005C7C14">
        <w:t>might be used.</w:t>
      </w:r>
      <w:bookmarkStart w:id="15" w:name="_Ref426530884"/>
      <w:r w:rsidR="00512E7E">
        <w:rPr>
          <w:rStyle w:val="FootnoteReference"/>
        </w:rPr>
        <w:footnoteReference w:id="23"/>
      </w:r>
      <w:bookmarkEnd w:id="15"/>
    </w:p>
    <w:p w14:paraId="05613615" w14:textId="302E568F" w:rsidR="005C7C14" w:rsidRDefault="002970DF" w:rsidP="005C7C14">
      <w:r>
        <w:t>T</w:t>
      </w:r>
      <w:r w:rsidR="005C7C14">
        <w:t xml:space="preserve">his </w:t>
      </w:r>
      <w:r>
        <w:t>factive-</w:t>
      </w:r>
      <w:r w:rsidR="0089696B">
        <w:t>attributive</w:t>
      </w:r>
      <w:r>
        <w:t xml:space="preserve"> </w:t>
      </w:r>
      <w:r w:rsidR="005C7C14">
        <w:t>ambivalence</w:t>
      </w:r>
      <w:r w:rsidR="00F77330">
        <w:t>:</w:t>
      </w:r>
      <w:r w:rsidR="005C7C14">
        <w:t xml:space="preserve"> allows </w:t>
      </w:r>
      <w:r w:rsidR="0089696B">
        <w:t>attributive</w:t>
      </w:r>
      <w:r w:rsidR="005C7C14">
        <w:t xml:space="preserve"> foreseeability to draw rhetorical power from the hard ‘propositional attraction’ of factive foreseeability and foresight</w:t>
      </w:r>
      <w:r w:rsidR="00F77330">
        <w:t>;</w:t>
      </w:r>
      <w:r w:rsidR="002E0F5A">
        <w:t xml:space="preserve"> and masks the way in which </w:t>
      </w:r>
      <w:r w:rsidR="0089696B">
        <w:t>attributive</w:t>
      </w:r>
      <w:r w:rsidR="002E0F5A">
        <w:t xml:space="preserve"> foreseeability’s open-texture can—at the price of reduced predictability—increase law’s flexibility.</w:t>
      </w:r>
      <w:r w:rsidR="00CA1295">
        <w:rPr>
          <w:rStyle w:val="FootnoteReference"/>
        </w:rPr>
        <w:footnoteReference w:id="24"/>
      </w:r>
    </w:p>
    <w:p w14:paraId="1FE9600A" w14:textId="149102B6" w:rsidR="00063921" w:rsidRDefault="00063921" w:rsidP="00063921">
      <w:pPr>
        <w:pStyle w:val="Heading1"/>
      </w:pPr>
      <w:bookmarkStart w:id="16" w:name="_Toc428515793"/>
      <w:r>
        <w:lastRenderedPageBreak/>
        <w:t>Verdictiveness and Illocutionary Force</w:t>
      </w:r>
      <w:bookmarkEnd w:id="16"/>
    </w:p>
    <w:p w14:paraId="50B353C1" w14:textId="2CD9DD44" w:rsidR="00766762" w:rsidRDefault="00A1504E" w:rsidP="00D5313F">
      <w:r>
        <w:t xml:space="preserve">Verdicts can be: knee-jerk reactions to a tragedy; an unreasoned gesture of Nero’s thumb; a view of the most probable scientific explanation; or the conclusion of a reasoning process. </w:t>
      </w:r>
      <w:r w:rsidR="00D3253A">
        <w:t>Whilst</w:t>
      </w:r>
      <w:r w:rsidR="00766762" w:rsidRPr="00766762">
        <w:t xml:space="preserve"> verdicts—cause, foreseeability, proximity, reasonableness, intention, negligence—</w:t>
      </w:r>
      <w:r w:rsidR="00D3253A">
        <w:t>are ubiquitous in law</w:t>
      </w:r>
      <w:r w:rsidR="00766762" w:rsidRPr="00766762">
        <w:t xml:space="preserve">, the concept of a </w:t>
      </w:r>
      <w:r w:rsidR="00766762" w:rsidRPr="00766762">
        <w:rPr>
          <w:i/>
        </w:rPr>
        <w:t>verdict</w:t>
      </w:r>
      <w:r w:rsidR="00766762" w:rsidRPr="00766762">
        <w:t xml:space="preserve"> is </w:t>
      </w:r>
      <w:r w:rsidR="00D3253A">
        <w:t>large</w:t>
      </w:r>
      <w:r w:rsidR="00766762" w:rsidRPr="00766762">
        <w:t xml:space="preserve">ly uncontested. </w:t>
      </w:r>
      <w:r w:rsidR="00D3253A">
        <w:t>Nevertheless,</w:t>
      </w:r>
      <w:r w:rsidR="00766762" w:rsidRPr="00766762">
        <w:t xml:space="preserve"> </w:t>
      </w:r>
      <w:r w:rsidR="00766762" w:rsidRPr="00766762">
        <w:rPr>
          <w:i/>
        </w:rPr>
        <w:t>verdictiveness</w:t>
      </w:r>
      <w:r w:rsidRPr="00A1504E">
        <w:rPr>
          <w:rStyle w:val="FootnoteReference"/>
        </w:rPr>
        <w:footnoteReference w:id="25"/>
      </w:r>
      <w:r w:rsidR="00766762" w:rsidRPr="00A1504E">
        <w:t xml:space="preserve"> </w:t>
      </w:r>
      <w:r w:rsidR="005E0EC8">
        <w:t xml:space="preserve">is a provocative concept. </w:t>
      </w:r>
      <w:r w:rsidR="00D3253A">
        <w:t>When engaged, i</w:t>
      </w:r>
      <w:r w:rsidR="005E0EC8">
        <w:t>t</w:t>
      </w:r>
      <w:r w:rsidR="00766762" w:rsidRPr="00766762">
        <w:t xml:space="preserve"> challenges us to look beneath a verdict’s rhetorical surface at its evidential and rational provenance and at its functions.</w:t>
      </w:r>
    </w:p>
    <w:p w14:paraId="1F71DCC0" w14:textId="09F17DDF" w:rsidR="007E536F" w:rsidRPr="00893D6A" w:rsidRDefault="004048E1" w:rsidP="004048E1">
      <w:pPr>
        <w:keepNext/>
      </w:pPr>
      <w:r>
        <w:t>Our main problem is to</w:t>
      </w:r>
      <w:r w:rsidR="00F734C1">
        <w:t xml:space="preserve"> distinguish </w:t>
      </w:r>
      <w:r>
        <w:t xml:space="preserve">in legal judgements </w:t>
      </w:r>
      <w:r w:rsidR="00F734C1">
        <w:t xml:space="preserve">the </w:t>
      </w:r>
      <w:r w:rsidRPr="005A76F5">
        <w:rPr>
          <w:i/>
        </w:rPr>
        <w:t xml:space="preserve">factive </w:t>
      </w:r>
      <w:r w:rsidR="00F734C1">
        <w:t xml:space="preserve">world-to-word from the </w:t>
      </w:r>
      <w:r w:rsidR="0089696B" w:rsidRPr="009D03D3">
        <w:rPr>
          <w:i/>
        </w:rPr>
        <w:t>attributive</w:t>
      </w:r>
      <w:r w:rsidRPr="009D03D3">
        <w:rPr>
          <w:i/>
        </w:rPr>
        <w:t xml:space="preserve"> </w:t>
      </w:r>
      <w:r w:rsidR="00F734C1">
        <w:t>word-to-world</w:t>
      </w:r>
      <w:r>
        <w:t>.</w:t>
      </w:r>
      <w:r w:rsidR="00B76F15">
        <w:t xml:space="preserve"> J</w:t>
      </w:r>
      <w:r w:rsidR="00515769">
        <w:t>.</w:t>
      </w:r>
      <w:r w:rsidR="00B76F15">
        <w:t>L</w:t>
      </w:r>
      <w:r w:rsidR="00515769">
        <w:t>.</w:t>
      </w:r>
      <w:r w:rsidR="00766762">
        <w:t xml:space="preserve"> Austin’s work—</w:t>
      </w:r>
      <w:r w:rsidR="00B76F15">
        <w:t>and some of the developments from it</w:t>
      </w:r>
      <w:r w:rsidR="00383C54">
        <w:t>—</w:t>
      </w:r>
      <w:r w:rsidR="00B76F15">
        <w:t>suggest</w:t>
      </w:r>
      <w:r w:rsidR="00766762">
        <w:t>s</w:t>
      </w:r>
      <w:r w:rsidR="00B76F15">
        <w:t xml:space="preserve"> a way forward. </w:t>
      </w:r>
      <w:r w:rsidR="00B76F15" w:rsidRPr="00893D6A">
        <w:t>Austinian</w:t>
      </w:r>
      <w:r w:rsidR="00B76F15" w:rsidRPr="00893D6A">
        <w:rPr>
          <w:i/>
        </w:rPr>
        <w:t xml:space="preserve"> </w:t>
      </w:r>
      <w:r w:rsidR="00B76F15">
        <w:rPr>
          <w:i/>
        </w:rPr>
        <w:t>v</w:t>
      </w:r>
      <w:r w:rsidR="00737A74" w:rsidRPr="00893D6A">
        <w:rPr>
          <w:i/>
        </w:rPr>
        <w:t xml:space="preserve">erdictives </w:t>
      </w:r>
      <w:r w:rsidR="00737A74" w:rsidRPr="00893D6A">
        <w:t xml:space="preserve">are </w:t>
      </w:r>
      <w:r w:rsidR="00B76F15">
        <w:t xml:space="preserve">speech acts or other communications </w:t>
      </w:r>
      <w:r w:rsidR="00737A74" w:rsidRPr="00893D6A">
        <w:t>that articulate conclusions.</w:t>
      </w:r>
      <w:r w:rsidR="00737A74" w:rsidRPr="00893D6A">
        <w:rPr>
          <w:vertAlign w:val="superscript"/>
        </w:rPr>
        <w:footnoteReference w:id="26"/>
      </w:r>
    </w:p>
    <w:p w14:paraId="6E2E8272" w14:textId="77777777" w:rsidR="007E536F" w:rsidRPr="00893D6A" w:rsidRDefault="00737A74" w:rsidP="0096016F">
      <w:pPr>
        <w:pStyle w:val="Quote"/>
      </w:pPr>
      <w:r w:rsidRPr="00893D6A">
        <w:t xml:space="preserve">‘A verdict </w:t>
      </w:r>
      <w:r w:rsidRPr="00893D6A">
        <w:rPr>
          <w:lang w:val="en-US"/>
        </w:rPr>
        <w:t>is essentially giving a finding as to something</w:t>
      </w:r>
      <w:r w:rsidRPr="00893D6A">
        <w:t>—</w:t>
      </w:r>
      <w:r w:rsidRPr="00893D6A">
        <w:rPr>
          <w:lang w:val="en-US"/>
        </w:rPr>
        <w:t>fact, or value—which is for different reasons hard to be certain about.</w:t>
      </w:r>
      <w:r w:rsidRPr="00893D6A">
        <w:t>’</w:t>
      </w:r>
      <w:r w:rsidRPr="00893D6A">
        <w:rPr>
          <w:vertAlign w:val="superscript"/>
          <w:lang w:val="en-US"/>
        </w:rPr>
        <w:footnoteReference w:id="27"/>
      </w:r>
    </w:p>
    <w:p w14:paraId="3EA2D98F" w14:textId="5515A97F" w:rsidR="002353D8" w:rsidRDefault="002353D8" w:rsidP="00893D6A">
      <w:r>
        <w:t>I</w:t>
      </w:r>
      <w:r w:rsidRPr="00893D6A">
        <w:t>n their purest</w:t>
      </w:r>
      <w:r>
        <w:t xml:space="preserve"> form</w:t>
      </w:r>
      <w:r w:rsidR="000E284A">
        <w:t>,</w:t>
      </w:r>
      <w:r w:rsidR="000E284A" w:rsidRPr="000E284A">
        <w:t xml:space="preserve"> </w:t>
      </w:r>
      <w:r w:rsidR="000E284A">
        <w:t xml:space="preserve">such verdicts </w:t>
      </w:r>
      <w:r w:rsidR="00383C54">
        <w:t>as</w:t>
      </w:r>
      <w:r w:rsidR="004B43E5">
        <w:t xml:space="preserve"> </w:t>
      </w:r>
      <w:r w:rsidR="000E284A">
        <w:t>‘l</w:t>
      </w:r>
      <w:r w:rsidR="00C95C5D">
        <w:t>iable’,</w:t>
      </w:r>
      <w:r w:rsidR="00405760">
        <w:t xml:space="preserve"> </w:t>
      </w:r>
      <w:r w:rsidR="00383C54">
        <w:t>‘guilty’ and ‘not out’</w:t>
      </w:r>
      <w:r w:rsidR="000E284A">
        <w:t xml:space="preserve"> </w:t>
      </w:r>
      <w:r w:rsidRPr="00893D6A">
        <w:t>do no</w:t>
      </w:r>
      <w:bookmarkStart w:id="17" w:name="_Ref421784582"/>
      <w:r w:rsidR="008C254D">
        <w:t>t articulate lines of reasoning</w:t>
      </w:r>
      <w:bookmarkEnd w:id="17"/>
      <w:r w:rsidRPr="00893D6A">
        <w:t xml:space="preserve"> </w:t>
      </w:r>
      <w:r w:rsidR="008C254D">
        <w:t>but</w:t>
      </w:r>
      <w:r w:rsidR="000E284A">
        <w:t>,</w:t>
      </w:r>
      <w:r w:rsidR="008C254D">
        <w:t xml:space="preserve"> when spoken by an appropriate authority</w:t>
      </w:r>
      <w:r w:rsidR="000E284A">
        <w:t>,</w:t>
      </w:r>
      <w:r w:rsidR="008C254D">
        <w:t xml:space="preserve"> they ‘make it so’</w:t>
      </w:r>
      <w:r w:rsidR="00551C2A">
        <w:rPr>
          <w:rStyle w:val="FootnoteReference"/>
        </w:rPr>
        <w:footnoteReference w:id="28"/>
      </w:r>
      <w:r w:rsidR="00383C54">
        <w:t xml:space="preserve"> </w:t>
      </w:r>
      <w:r w:rsidR="000E284A">
        <w:t>that</w:t>
      </w:r>
      <w:r w:rsidR="00383C54">
        <w:t xml:space="preserve"> D is liable, guilty or not out</w:t>
      </w:r>
      <w:r w:rsidR="008C254D">
        <w:t xml:space="preserve">. </w:t>
      </w:r>
      <w:r w:rsidR="00CF79C6">
        <w:t xml:space="preserve">A </w:t>
      </w:r>
      <w:r w:rsidR="00737A74" w:rsidRPr="00893D6A">
        <w:t xml:space="preserve">verdict is logically distinct from </w:t>
      </w:r>
      <w:r w:rsidR="008C254D">
        <w:t>the act of speaking it</w:t>
      </w:r>
      <w:r w:rsidR="008C254D">
        <w:rPr>
          <w:rStyle w:val="FootnoteReference"/>
        </w:rPr>
        <w:footnoteReference w:id="29"/>
      </w:r>
      <w:r w:rsidR="008C254D">
        <w:t xml:space="preserve"> and from </w:t>
      </w:r>
      <w:r w:rsidR="00737A74" w:rsidRPr="00893D6A">
        <w:t xml:space="preserve">any reasons or supporting evidence that might </w:t>
      </w:r>
      <w:r w:rsidR="00CF79C6">
        <w:t xml:space="preserve">be </w:t>
      </w:r>
      <w:r w:rsidR="00737A74" w:rsidRPr="00893D6A">
        <w:t>give</w:t>
      </w:r>
      <w:r w:rsidR="00CF79C6">
        <w:t>n</w:t>
      </w:r>
      <w:r w:rsidR="00737A74" w:rsidRPr="00893D6A">
        <w:t xml:space="preserve"> in explanation or justification</w:t>
      </w:r>
      <w:r w:rsidR="00876EA6">
        <w:t xml:space="preserve"> of it</w:t>
      </w:r>
      <w:r w:rsidR="00737A74" w:rsidRPr="00893D6A">
        <w:t xml:space="preserve">. </w:t>
      </w:r>
      <w:r w:rsidR="00A15324">
        <w:t>Th</w:t>
      </w:r>
      <w:r w:rsidR="00E425A2">
        <w:t>e latter</w:t>
      </w:r>
      <w:r w:rsidR="00737A74" w:rsidRPr="00893D6A">
        <w:t xml:space="preserve"> distinction is readily apparent </w:t>
      </w:r>
      <w:r w:rsidR="00A15324">
        <w:t xml:space="preserve">when, </w:t>
      </w:r>
      <w:r w:rsidR="00254A2C">
        <w:t xml:space="preserve">after </w:t>
      </w:r>
      <w:r w:rsidR="00A15324">
        <w:t>reviewing numerous car magazines, you</w:t>
      </w:r>
      <w:r w:rsidR="00405760">
        <w:t>r verdict is</w:t>
      </w:r>
      <w:r w:rsidR="00254A2C">
        <w:t>,</w:t>
      </w:r>
      <w:r w:rsidR="00405760">
        <w:t xml:space="preserve"> </w:t>
      </w:r>
      <w:r w:rsidR="00254A2C">
        <w:t>‘The</w:t>
      </w:r>
      <w:r w:rsidR="00A15324">
        <w:t xml:space="preserve"> </w:t>
      </w:r>
      <w:r w:rsidR="00254A2C">
        <w:t>Ford Fiesta is the one.’</w:t>
      </w:r>
      <w:r w:rsidR="00A15324">
        <w:t xml:space="preserve"> By contrast, when you hear evidence from C, D and W</w:t>
      </w:r>
      <w:r w:rsidR="00310331" w:rsidRPr="00310331">
        <w:rPr>
          <w:vertAlign w:val="subscript"/>
        </w:rPr>
        <w:t>n</w:t>
      </w:r>
      <w:r w:rsidR="00A15324">
        <w:t xml:space="preserve"> and conclude that </w:t>
      </w:r>
      <w:r w:rsidR="00974810">
        <w:t>‘</w:t>
      </w:r>
      <w:r w:rsidR="00A15324">
        <w:t xml:space="preserve">D </w:t>
      </w:r>
      <w:r>
        <w:t>is</w:t>
      </w:r>
      <w:r w:rsidR="00A15324">
        <w:t xml:space="preserve"> responsible for C’s injuries</w:t>
      </w:r>
      <w:r w:rsidR="00974810">
        <w:t>’</w:t>
      </w:r>
      <w:r w:rsidR="00A15324">
        <w:t xml:space="preserve">, factive and </w:t>
      </w:r>
      <w:r w:rsidR="0089696B">
        <w:t>attributive</w:t>
      </w:r>
      <w:r w:rsidR="00A15324">
        <w:t xml:space="preserve"> </w:t>
      </w:r>
      <w:r w:rsidR="00737A74" w:rsidRPr="00893D6A">
        <w:t>verdict</w:t>
      </w:r>
      <w:r w:rsidR="00A15324">
        <w:t>s</w:t>
      </w:r>
      <w:r w:rsidR="00737A74" w:rsidRPr="00893D6A">
        <w:t xml:space="preserve"> and reasoning are </w:t>
      </w:r>
      <w:r w:rsidR="00974810">
        <w:t>involved</w:t>
      </w:r>
      <w:r w:rsidR="00E425A2">
        <w:t xml:space="preserve">, albeit </w:t>
      </w:r>
      <w:r w:rsidR="00C96875">
        <w:t>implicitly</w:t>
      </w:r>
      <w:r w:rsidR="00DE1B16">
        <w:t>. But</w:t>
      </w:r>
      <w:r w:rsidR="00737A74" w:rsidRPr="00893D6A">
        <w:t xml:space="preserve"> </w:t>
      </w:r>
      <w:r w:rsidR="008E0A9C">
        <w:t xml:space="preserve">the </w:t>
      </w:r>
      <w:r w:rsidR="00383C54">
        <w:t>verdict</w:t>
      </w:r>
      <w:r w:rsidR="00737A74" w:rsidRPr="00893D6A">
        <w:t xml:space="preserve"> </w:t>
      </w:r>
      <w:r w:rsidR="008E0A9C" w:rsidRPr="00DE1B16">
        <w:rPr>
          <w:i/>
        </w:rPr>
        <w:t>simpliciter</w:t>
      </w:r>
      <w:r w:rsidR="008E0A9C">
        <w:t xml:space="preserve"> </w:t>
      </w:r>
      <w:r w:rsidR="00737A74" w:rsidRPr="00893D6A">
        <w:t>obscure</w:t>
      </w:r>
      <w:r w:rsidR="00383C54">
        <w:t>s</w:t>
      </w:r>
      <w:r w:rsidR="00737A74" w:rsidRPr="00893D6A">
        <w:t xml:space="preserve"> rather than elucidate</w:t>
      </w:r>
      <w:r w:rsidR="00383C54">
        <w:t>s</w:t>
      </w:r>
      <w:r w:rsidR="00737A74" w:rsidRPr="00893D6A">
        <w:t xml:space="preserve"> the factors considered and th</w:t>
      </w:r>
      <w:r w:rsidR="004B43E5">
        <w:t>e method</w:t>
      </w:r>
      <w:r w:rsidR="00233B04">
        <w:t>s</w:t>
      </w:r>
      <w:r w:rsidR="004B43E5">
        <w:t xml:space="preserve"> used in: finding facts, considering reasons; and deciding what verdict to issue.</w:t>
      </w:r>
      <w:r>
        <w:t xml:space="preserve"> </w:t>
      </w:r>
    </w:p>
    <w:p w14:paraId="12C04677" w14:textId="77777777" w:rsidR="00425BC9" w:rsidRDefault="002353D8" w:rsidP="00893D6A">
      <w:r>
        <w:t xml:space="preserve">There are issues of </w:t>
      </w:r>
      <w:r w:rsidR="00CF79C6" w:rsidRPr="00233B04">
        <w:rPr>
          <w:i/>
        </w:rPr>
        <w:t>context</w:t>
      </w:r>
      <w:r w:rsidR="00CF79C6">
        <w:t xml:space="preserve"> </w:t>
      </w:r>
      <w:r>
        <w:t xml:space="preserve">and </w:t>
      </w:r>
      <w:r w:rsidR="00CF79C6" w:rsidRPr="00233B04">
        <w:rPr>
          <w:i/>
        </w:rPr>
        <w:t>status</w:t>
      </w:r>
      <w:r w:rsidR="00CF79C6">
        <w:t xml:space="preserve"> </w:t>
      </w:r>
      <w:r>
        <w:t>her</w:t>
      </w:r>
      <w:r w:rsidR="00190B43">
        <w:t xml:space="preserve">e—‘what we have to study is </w:t>
      </w:r>
      <w:r w:rsidR="00190B43" w:rsidRPr="00190B43">
        <w:rPr>
          <w:i/>
        </w:rPr>
        <w:t>not</w:t>
      </w:r>
      <w:r w:rsidR="00190B43">
        <w:t xml:space="preserve"> the sentence but the issuing of an utterance in a speech situation</w:t>
      </w:r>
      <w:r w:rsidR="002E2C26">
        <w:t>.</w:t>
      </w:r>
      <w:r w:rsidR="00190B43">
        <w:t>’</w:t>
      </w:r>
      <w:bookmarkStart w:id="18" w:name="_Ref426993928"/>
      <w:r w:rsidR="00651062">
        <w:rPr>
          <w:rStyle w:val="FootnoteReference"/>
        </w:rPr>
        <w:footnoteReference w:id="30"/>
      </w:r>
      <w:bookmarkEnd w:id="18"/>
      <w:r>
        <w:t xml:space="preserve"> Y</w:t>
      </w:r>
      <w:r w:rsidR="00737A74" w:rsidRPr="00893D6A">
        <w:t xml:space="preserve">our </w:t>
      </w:r>
      <w:r w:rsidR="00C95C5D">
        <w:t>choice</w:t>
      </w:r>
      <w:r w:rsidR="00737A74" w:rsidRPr="00893D6A">
        <w:t xml:space="preserve"> of </w:t>
      </w:r>
      <w:r>
        <w:t>automobile has</w:t>
      </w:r>
      <w:r w:rsidR="00737A74" w:rsidRPr="00893D6A">
        <w:t xml:space="preserve"> validity for you and, </w:t>
      </w:r>
      <w:r w:rsidR="00737A74" w:rsidRPr="00893D6A">
        <w:lastRenderedPageBreak/>
        <w:t>perhaps, for those who re</w:t>
      </w:r>
      <w:r>
        <w:t xml:space="preserve">spect </w:t>
      </w:r>
      <w:r w:rsidR="00425BC9">
        <w:t>your judgement,</w:t>
      </w:r>
      <w:r w:rsidR="00737A74" w:rsidRPr="00893D6A">
        <w:rPr>
          <w:vertAlign w:val="superscript"/>
        </w:rPr>
        <w:footnoteReference w:id="31"/>
      </w:r>
      <w:r w:rsidR="00737A74" w:rsidRPr="00893D6A">
        <w:t xml:space="preserve"> </w:t>
      </w:r>
      <w:r w:rsidR="00425BC9">
        <w:t>but, u</w:t>
      </w:r>
      <w:r w:rsidR="00CF79C6" w:rsidRPr="00893D6A">
        <w:t>nless you are a judge or a jury member</w:t>
      </w:r>
      <w:r w:rsidR="00CF79C6">
        <w:t>,</w:t>
      </w:r>
      <w:r w:rsidR="00CF79C6" w:rsidRPr="00893D6A">
        <w:t xml:space="preserve"> </w:t>
      </w:r>
      <w:r w:rsidR="00737A74" w:rsidRPr="00893D6A">
        <w:t xml:space="preserve">your verdict </w:t>
      </w:r>
      <w:r w:rsidR="00C95C5D">
        <w:t>that D is</w:t>
      </w:r>
      <w:r w:rsidR="00737A74" w:rsidRPr="00893D6A">
        <w:t xml:space="preserve"> responsibl</w:t>
      </w:r>
      <w:r w:rsidR="00C95C5D">
        <w:t>e for C’s injuries</w:t>
      </w:r>
      <w:r w:rsidR="00737A74" w:rsidRPr="00893D6A">
        <w:t xml:space="preserve"> </w:t>
      </w:r>
      <w:r w:rsidR="00C95C5D">
        <w:t>has</w:t>
      </w:r>
      <w:r w:rsidR="00737A74" w:rsidRPr="00893D6A">
        <w:t xml:space="preserve"> no more legal effect than </w:t>
      </w:r>
      <w:r w:rsidR="00CF79C6">
        <w:t xml:space="preserve">my </w:t>
      </w:r>
      <w:r w:rsidR="00737A74" w:rsidRPr="00893D6A">
        <w:t xml:space="preserve">announcement that </w:t>
      </w:r>
      <w:r w:rsidR="00CF79C6">
        <w:t xml:space="preserve">I </w:t>
      </w:r>
      <w:r w:rsidR="00737A74" w:rsidRPr="00893D6A">
        <w:t>have re-named Tony Blair, ‘Tony Liar’</w:t>
      </w:r>
      <w:r w:rsidR="00425BC9">
        <w:t>. By contrast, t</w:t>
      </w:r>
      <w:r w:rsidR="00425BC9" w:rsidRPr="00425BC9">
        <w:t>he Queen</w:t>
      </w:r>
      <w:r w:rsidR="00425BC9">
        <w:t xml:space="preserve"> can</w:t>
      </w:r>
      <w:r w:rsidR="00425BC9" w:rsidRPr="00425BC9">
        <w:t xml:space="preserve"> </w:t>
      </w:r>
      <w:r w:rsidR="00425BC9" w:rsidRPr="00425BC9">
        <w:rPr>
          <w:i/>
        </w:rPr>
        <w:t>nam</w:t>
      </w:r>
      <w:r w:rsidR="00425BC9">
        <w:rPr>
          <w:i/>
        </w:rPr>
        <w:t>e</w:t>
      </w:r>
      <w:r w:rsidR="00425BC9" w:rsidRPr="00425BC9">
        <w:t xml:space="preserve"> a ship</w:t>
      </w:r>
      <w:r w:rsidR="00425BC9">
        <w:t xml:space="preserve"> or grant a Royal Charter to a livery company.</w:t>
      </w:r>
      <w:r w:rsidR="00254A2C">
        <w:rPr>
          <w:rStyle w:val="FootnoteReference"/>
        </w:rPr>
        <w:footnoteReference w:id="32"/>
      </w:r>
      <w:r w:rsidR="00C95C5D">
        <w:t xml:space="preserve"> </w:t>
      </w:r>
    </w:p>
    <w:p w14:paraId="693AB4CF" w14:textId="6FA330A0" w:rsidR="007E536F" w:rsidRDefault="00CF26F3" w:rsidP="00893D6A">
      <w:r>
        <w:t xml:space="preserve">Given their nature, </w:t>
      </w:r>
      <w:r w:rsidR="00DA08E9" w:rsidRPr="00893D6A">
        <w:t xml:space="preserve">it makes no sense to challenge </w:t>
      </w:r>
      <w:r w:rsidR="00E425A2">
        <w:t>a verdict’s</w:t>
      </w:r>
      <w:r w:rsidR="00DA08E9" w:rsidRPr="00893D6A">
        <w:t xml:space="preserve"> </w:t>
      </w:r>
      <w:r w:rsidR="00DA08E9" w:rsidRPr="00893D6A">
        <w:rPr>
          <w:i/>
        </w:rPr>
        <w:t xml:space="preserve">accuracy </w:t>
      </w:r>
      <w:r w:rsidR="00DA08E9" w:rsidRPr="002353D8">
        <w:rPr>
          <w:i/>
        </w:rPr>
        <w:t xml:space="preserve">qua </w:t>
      </w:r>
      <w:r w:rsidR="00DA08E9" w:rsidRPr="00893D6A">
        <w:t>verdict</w:t>
      </w:r>
      <w:r>
        <w:t xml:space="preserve">. But the </w:t>
      </w:r>
      <w:r w:rsidRPr="00893D6A">
        <w:rPr>
          <w:i/>
        </w:rPr>
        <w:t>sincerity</w:t>
      </w:r>
      <w:r>
        <w:t xml:space="preserve"> of J’s verdict </w:t>
      </w:r>
      <w:r w:rsidR="00DA08E9">
        <w:t>can sensibly be challenged</w:t>
      </w:r>
      <w:r>
        <w:t>. J</w:t>
      </w:r>
      <w:r w:rsidR="00737A74" w:rsidRPr="00893D6A">
        <w:t xml:space="preserve"> might </w:t>
      </w:r>
      <w:r w:rsidR="00AA7EBB">
        <w:t xml:space="preserve">have </w:t>
      </w:r>
      <w:r w:rsidR="00C95C5D">
        <w:t>be</w:t>
      </w:r>
      <w:r w:rsidR="00AA7EBB">
        <w:t>en</w:t>
      </w:r>
      <w:r w:rsidR="00C95C5D">
        <w:t xml:space="preserve"> more concerned to compensate C than to treat D fairly</w:t>
      </w:r>
      <w:r w:rsidR="004B43E5">
        <w:t>.</w:t>
      </w:r>
      <w:r w:rsidR="00DA08E9">
        <w:t xml:space="preserve"> Furthermore,</w:t>
      </w:r>
      <w:r w:rsidR="00C95C5D">
        <w:t xml:space="preserve"> </w:t>
      </w:r>
      <w:r>
        <w:t>J’s</w:t>
      </w:r>
      <w:r w:rsidR="00737A74" w:rsidRPr="00893D6A">
        <w:t xml:space="preserve"> impli</w:t>
      </w:r>
      <w:r w:rsidR="00DA08E9">
        <w:t>ed factive verdict—</w:t>
      </w:r>
      <w:r w:rsidR="00C95C5D">
        <w:t xml:space="preserve">that </w:t>
      </w:r>
      <w:r w:rsidR="00737A74" w:rsidRPr="00893D6A">
        <w:t>D cause</w:t>
      </w:r>
      <w:r w:rsidR="00C95C5D">
        <w:t>d C’s injuries</w:t>
      </w:r>
      <w:r w:rsidR="00DA08E9">
        <w:t>—</w:t>
      </w:r>
      <w:r w:rsidR="00737A74" w:rsidRPr="00E425A2">
        <w:rPr>
          <w:i/>
        </w:rPr>
        <w:t xml:space="preserve">can </w:t>
      </w:r>
      <w:r w:rsidR="00737A74" w:rsidRPr="00893D6A">
        <w:t>be challenged on accuracy grounds</w:t>
      </w:r>
      <w:r w:rsidR="00C95C5D">
        <w:t>. D might claim that he</w:t>
      </w:r>
      <w:r w:rsidR="00737A74" w:rsidRPr="00893D6A">
        <w:t xml:space="preserve"> was </w:t>
      </w:r>
      <w:r w:rsidR="00E425A2">
        <w:t>under general anaesthetic</w:t>
      </w:r>
      <w:r w:rsidR="00737A74" w:rsidRPr="00893D6A">
        <w:t xml:space="preserve"> pr</w:t>
      </w:r>
      <w:r>
        <w:t xml:space="preserve">ison at the </w:t>
      </w:r>
      <w:r w:rsidR="00E425A2">
        <w:t>material</w:t>
      </w:r>
      <w:r>
        <w:t xml:space="preserve"> time, but J’s verdict is still J’s</w:t>
      </w:r>
      <w:r w:rsidR="00737A74" w:rsidRPr="00893D6A">
        <w:t xml:space="preserve"> verdict.</w:t>
      </w:r>
      <w:r w:rsidR="00737A74" w:rsidRPr="00893D6A">
        <w:rPr>
          <w:vertAlign w:val="superscript"/>
        </w:rPr>
        <w:footnoteReference w:id="33"/>
      </w:r>
      <w:r w:rsidR="00737A74" w:rsidRPr="00893D6A">
        <w:t xml:space="preserve"> </w:t>
      </w:r>
      <w:r>
        <w:t>Errors</w:t>
      </w:r>
      <w:r w:rsidR="00E425A2">
        <w:t>,</w:t>
      </w:r>
      <w:r>
        <w:t xml:space="preserve"> if there be any</w:t>
      </w:r>
      <w:r w:rsidR="00E425A2">
        <w:t>,</w:t>
      </w:r>
      <w:r w:rsidR="00737A74" w:rsidRPr="00893D6A">
        <w:t xml:space="preserve"> </w:t>
      </w:r>
      <w:r>
        <w:t xml:space="preserve">will lie </w:t>
      </w:r>
      <w:r w:rsidR="00737A74" w:rsidRPr="00893D6A">
        <w:t xml:space="preserve">in the evidential and evaluative processes (including </w:t>
      </w:r>
      <w:r>
        <w:t xml:space="preserve">the </w:t>
      </w:r>
      <w:r w:rsidR="00737A74" w:rsidRPr="00893D6A">
        <w:t xml:space="preserve">approach to determining cause-in-fact) that </w:t>
      </w:r>
      <w:r w:rsidR="008D191B">
        <w:t>underlie</w:t>
      </w:r>
      <w:r w:rsidR="00543A6D">
        <w:t>,</w:t>
      </w:r>
      <w:r w:rsidR="008D191B">
        <w:t xml:space="preserve"> </w:t>
      </w:r>
      <w:r>
        <w:t>and might be obscured by</w:t>
      </w:r>
      <w:r w:rsidR="00543A6D">
        <w:t>,</w:t>
      </w:r>
      <w:r>
        <w:t xml:space="preserve"> the </w:t>
      </w:r>
      <w:r w:rsidR="008D191B">
        <w:t>verdict</w:t>
      </w:r>
      <w:r w:rsidR="00737A74" w:rsidRPr="00893D6A">
        <w:t>.</w:t>
      </w:r>
    </w:p>
    <w:p w14:paraId="39E9375C" w14:textId="7346C0F1" w:rsidR="001C7B5E" w:rsidRDefault="00405760" w:rsidP="00254A2C">
      <w:r w:rsidRPr="00405760">
        <w:t>Austin explains</w:t>
      </w:r>
      <w:r w:rsidR="00CF26F3">
        <w:t xml:space="preserve"> that </w:t>
      </w:r>
      <w:r w:rsidRPr="00405760">
        <w:t>more than gramma</w:t>
      </w:r>
      <w:r w:rsidR="004C2E20">
        <w:t>tical, syntactical and lexical competence</w:t>
      </w:r>
      <w:r w:rsidRPr="00405760">
        <w:t xml:space="preserve"> is </w:t>
      </w:r>
      <w:r w:rsidR="004C2E20" w:rsidRPr="00405760">
        <w:t xml:space="preserve">sometimes </w:t>
      </w:r>
      <w:r w:rsidRPr="00405760">
        <w:t xml:space="preserve">needed to </w:t>
      </w:r>
      <w:r w:rsidR="00D64AB3">
        <w:t>identify the various kin</w:t>
      </w:r>
      <w:r w:rsidR="00DA08E9">
        <w:t>ds of speaker meaning, such as</w:t>
      </w:r>
      <w:r w:rsidR="004B43E5">
        <w:t>:</w:t>
      </w:r>
      <w:r w:rsidR="00D64AB3">
        <w:t xml:space="preserve"> verdict</w:t>
      </w:r>
      <w:r w:rsidR="00DA08E9">
        <w:t>s</w:t>
      </w:r>
      <w:r w:rsidR="004B43E5">
        <w:t>;</w:t>
      </w:r>
      <w:r w:rsidR="00D64AB3">
        <w:t xml:space="preserve"> exercise</w:t>
      </w:r>
      <w:r w:rsidR="00DA08E9">
        <w:t>s</w:t>
      </w:r>
      <w:r w:rsidR="00D64AB3">
        <w:t xml:space="preserve"> of power</w:t>
      </w:r>
      <w:r w:rsidR="00DA08E9">
        <w:t>s</w:t>
      </w:r>
      <w:r w:rsidR="00F66400">
        <w:t xml:space="preserve">, </w:t>
      </w:r>
      <w:r w:rsidRPr="00405760">
        <w:t>promise</w:t>
      </w:r>
      <w:r w:rsidR="00DA08E9">
        <w:t>s</w:t>
      </w:r>
      <w:r w:rsidR="00DE108C">
        <w:rPr>
          <w:rStyle w:val="FootnoteReference"/>
        </w:rPr>
        <w:footnoteReference w:id="34"/>
      </w:r>
      <w:r w:rsidR="00D64AB3">
        <w:t xml:space="preserve"> </w:t>
      </w:r>
      <w:r w:rsidR="00F66400">
        <w:t>or other commitment</w:t>
      </w:r>
      <w:r w:rsidR="00DA08E9">
        <w:t>s</w:t>
      </w:r>
      <w:r w:rsidR="004B43E5">
        <w:t>;</w:t>
      </w:r>
      <w:r w:rsidR="00D64AB3">
        <w:t xml:space="preserve"> behaviour</w:t>
      </w:r>
      <w:r w:rsidR="00DA08E9">
        <w:t>s</w:t>
      </w:r>
      <w:r w:rsidR="00D64AB3">
        <w:t xml:space="preserve"> </w:t>
      </w:r>
      <w:r w:rsidR="004B43E5">
        <w:t>like apologising; or</w:t>
      </w:r>
      <w:r w:rsidR="00D64AB3">
        <w:t xml:space="preserve"> </w:t>
      </w:r>
      <w:r w:rsidR="004B43E5">
        <w:t>words</w:t>
      </w:r>
      <w:r w:rsidR="00F66400">
        <w:t xml:space="preserve"> of exposition</w:t>
      </w:r>
      <w:r w:rsidR="00D64AB3">
        <w:t>.</w:t>
      </w:r>
      <w:r w:rsidR="00D64AB3">
        <w:rPr>
          <w:rStyle w:val="FootnoteReference"/>
        </w:rPr>
        <w:footnoteReference w:id="35"/>
      </w:r>
      <w:r w:rsidR="00254A2C">
        <w:t xml:space="preserve"> </w:t>
      </w:r>
      <w:r w:rsidRPr="00405760">
        <w:t xml:space="preserve">Whether </w:t>
      </w:r>
      <w:r w:rsidR="00254A2C">
        <w:t>‘T</w:t>
      </w:r>
      <w:r w:rsidR="00254A2C" w:rsidRPr="00254A2C">
        <w:t>he Ford Fiesta is the one’</w:t>
      </w:r>
      <w:r w:rsidRPr="00405760">
        <w:t xml:space="preserve"> is a </w:t>
      </w:r>
      <w:r w:rsidRPr="00E425A2">
        <w:rPr>
          <w:i/>
        </w:rPr>
        <w:t xml:space="preserve">verdict </w:t>
      </w:r>
      <w:r w:rsidR="00254A2C" w:rsidRPr="00E425A2">
        <w:rPr>
          <w:i/>
        </w:rPr>
        <w:t>on suitability</w:t>
      </w:r>
      <w:r w:rsidR="00254A2C">
        <w:t xml:space="preserve"> </w:t>
      </w:r>
      <w:r w:rsidRPr="00405760">
        <w:t xml:space="preserve">or </w:t>
      </w:r>
      <w:r w:rsidR="00254A2C">
        <w:t xml:space="preserve">a </w:t>
      </w:r>
      <w:r w:rsidR="004B43E5" w:rsidRPr="00E425A2">
        <w:rPr>
          <w:i/>
        </w:rPr>
        <w:t>commitment</w:t>
      </w:r>
      <w:r w:rsidR="00254A2C" w:rsidRPr="00E425A2">
        <w:rPr>
          <w:i/>
        </w:rPr>
        <w:t xml:space="preserve"> to purchase</w:t>
      </w:r>
      <w:r w:rsidR="00CF26F3">
        <w:t xml:space="preserve"> depends on </w:t>
      </w:r>
      <w:r w:rsidRPr="00405760">
        <w:t>what Austin calls ‘illocutionary force’</w:t>
      </w:r>
      <w:r w:rsidR="00254A2C">
        <w:t>.</w:t>
      </w:r>
      <w:r w:rsidR="00254A2C" w:rsidRPr="00893D6A">
        <w:rPr>
          <w:vertAlign w:val="superscript"/>
        </w:rPr>
        <w:footnoteReference w:id="36"/>
      </w:r>
      <w:r w:rsidR="00254A2C">
        <w:t xml:space="preserve"> To adapt one of Austin’s examples, you might hear me say</w:t>
      </w:r>
      <w:r w:rsidR="001C7B5E">
        <w:t>, ‘You can’t do that’</w:t>
      </w:r>
      <w:r>
        <w:t xml:space="preserve">. I might be: </w:t>
      </w:r>
      <w:r w:rsidR="004B43E5">
        <w:t>talk</w:t>
      </w:r>
      <w:r w:rsidR="00254A2C">
        <w:t xml:space="preserve">ing to myself; </w:t>
      </w:r>
      <w:r w:rsidR="00DA08E9">
        <w:t>asserting</w:t>
      </w:r>
      <w:r w:rsidR="00254A2C">
        <w:t xml:space="preserve"> the task</w:t>
      </w:r>
      <w:r w:rsidR="00DA08E9">
        <w:t>’s</w:t>
      </w:r>
      <w:r w:rsidR="00254A2C">
        <w:t xml:space="preserve"> impossib</w:t>
      </w:r>
      <w:r w:rsidR="00DA08E9">
        <w:t>i</w:t>
      </w:r>
      <w:r w:rsidR="00254A2C">
        <w:t>l</w:t>
      </w:r>
      <w:r w:rsidR="00DA08E9">
        <w:t>ity</w:t>
      </w:r>
      <w:r w:rsidR="00254A2C">
        <w:t xml:space="preserve">; </w:t>
      </w:r>
      <w:r>
        <w:t>assessing your competence;</w:t>
      </w:r>
      <w:r w:rsidR="00254A2C">
        <w:t xml:space="preserve"> trying to </w:t>
      </w:r>
      <w:r w:rsidR="00E425A2">
        <w:t>di</w:t>
      </w:r>
      <w:r w:rsidR="00254A2C">
        <w:t>s</w:t>
      </w:r>
      <w:r w:rsidR="00E425A2">
        <w:t>s</w:t>
      </w:r>
      <w:r w:rsidR="00254A2C">
        <w:t>uade you from doing it; or</w:t>
      </w:r>
      <w:r>
        <w:t xml:space="preserve"> prohibiting you</w:t>
      </w:r>
      <w:r w:rsidR="00254A2C">
        <w:t xml:space="preserve"> from doing it.</w:t>
      </w:r>
      <w:r w:rsidR="004B4CF5">
        <w:t xml:space="preserve"> These </w:t>
      </w:r>
      <w:r w:rsidR="00974810">
        <w:t xml:space="preserve">distinctions </w:t>
      </w:r>
      <w:r w:rsidR="004B4CF5">
        <w:t>are not matters of truth or falsehood but of ‘illocutionary force’.</w:t>
      </w:r>
      <w:r w:rsidR="004B4CF5">
        <w:rPr>
          <w:rStyle w:val="FootnoteReference"/>
        </w:rPr>
        <w:footnoteReference w:id="37"/>
      </w:r>
      <w:r w:rsidR="00FD7A61">
        <w:t xml:space="preserve"> </w:t>
      </w:r>
      <w:r w:rsidR="00DA08E9">
        <w:t xml:space="preserve">We </w:t>
      </w:r>
      <w:r w:rsidR="00DA08E9" w:rsidRPr="00E425A2">
        <w:rPr>
          <w:i/>
        </w:rPr>
        <w:t>do</w:t>
      </w:r>
      <w:r w:rsidR="00DA08E9">
        <w:t xml:space="preserve"> more than describe something in the world when we promise</w:t>
      </w:r>
      <w:r w:rsidR="00FD7A61">
        <w:t>, find</w:t>
      </w:r>
      <w:r w:rsidR="00DA08E9">
        <w:t xml:space="preserve"> </w:t>
      </w:r>
      <w:r w:rsidR="00FD7A61">
        <w:t>liable, criticis</w:t>
      </w:r>
      <w:r w:rsidR="00DA08E9">
        <w:t>e</w:t>
      </w:r>
      <w:r w:rsidR="00FD7A61">
        <w:t xml:space="preserve">, etc. </w:t>
      </w:r>
    </w:p>
    <w:p w14:paraId="583C575D" w14:textId="1C6D79DA" w:rsidR="007C3728" w:rsidRDefault="00237A38" w:rsidP="000B680A">
      <w:r>
        <w:t xml:space="preserve">Nevertheless, Austin recognises that his various categorisations </w:t>
      </w:r>
      <w:r w:rsidR="00DA08E9">
        <w:t xml:space="preserve">of illocutions </w:t>
      </w:r>
      <w:r>
        <w:t xml:space="preserve">cannot be rigid. </w:t>
      </w:r>
      <w:r w:rsidR="004C2E20">
        <w:t>A</w:t>
      </w:r>
      <w:r w:rsidR="007C3728">
        <w:t xml:space="preserve"> single utterance—</w:t>
      </w:r>
      <w:r w:rsidR="00E425A2">
        <w:t>D</w:t>
      </w:r>
      <w:r w:rsidR="007C3728">
        <w:t xml:space="preserve"> must return C’s car—might well be</w:t>
      </w:r>
      <w:r w:rsidR="00C77E26">
        <w:t xml:space="preserve"> any or all of</w:t>
      </w:r>
      <w:r w:rsidR="007C3728">
        <w:t xml:space="preserve">: </w:t>
      </w:r>
      <w:r w:rsidR="00E34916">
        <w:t>a verdict (a conclusory</w:t>
      </w:r>
      <w:r w:rsidR="001A212B">
        <w:t xml:space="preserve"> finding</w:t>
      </w:r>
      <w:r w:rsidR="00DA08E9">
        <w:t xml:space="preserve"> that</w:t>
      </w:r>
      <w:r w:rsidR="004B43E5">
        <w:t xml:space="preserve"> ‘the car</w:t>
      </w:r>
      <w:r w:rsidR="001A212B">
        <w:t xml:space="preserve"> is C</w:t>
      </w:r>
      <w:r w:rsidR="00F66400">
        <w:t>s’)</w:t>
      </w:r>
      <w:r w:rsidR="007C3728">
        <w:t>;</w:t>
      </w:r>
      <w:r w:rsidR="00F66400">
        <w:t xml:space="preserve"> </w:t>
      </w:r>
      <w:r w:rsidR="00E34916">
        <w:t>an</w:t>
      </w:r>
      <w:r w:rsidR="00F66400">
        <w:t xml:space="preserve"> e</w:t>
      </w:r>
      <w:r w:rsidR="001A212B">
        <w:t xml:space="preserve">xercise of judicial power (‘C </w:t>
      </w:r>
      <w:r w:rsidR="00F66400">
        <w:t>shall have it’)</w:t>
      </w:r>
      <w:r w:rsidR="007C3728">
        <w:t>;</w:t>
      </w:r>
      <w:r w:rsidR="00F66400">
        <w:rPr>
          <w:rStyle w:val="FootnoteReference"/>
        </w:rPr>
        <w:footnoteReference w:id="38"/>
      </w:r>
      <w:r w:rsidR="00E34916">
        <w:t xml:space="preserve"> blaming</w:t>
      </w:r>
      <w:r w:rsidR="00F66400">
        <w:t xml:space="preserve"> </w:t>
      </w:r>
      <w:r w:rsidR="007C3728">
        <w:t xml:space="preserve">D; and </w:t>
      </w:r>
      <w:r w:rsidR="00E34916">
        <w:t xml:space="preserve">holding </w:t>
      </w:r>
      <w:r w:rsidR="007C3728">
        <w:t>D</w:t>
      </w:r>
      <w:r w:rsidR="00F66400">
        <w:t xml:space="preserve"> responsible. </w:t>
      </w:r>
      <w:r w:rsidR="00DA08E9">
        <w:t xml:space="preserve">If the full force of the utterance in its context is to be appreciated, </w:t>
      </w:r>
      <w:r w:rsidR="00263D44">
        <w:t xml:space="preserve">we </w:t>
      </w:r>
      <w:r w:rsidR="000817B5">
        <w:t xml:space="preserve">must be alert for </w:t>
      </w:r>
      <w:r w:rsidR="00DA08E9">
        <w:t>e</w:t>
      </w:r>
      <w:r w:rsidR="00FC039C">
        <w:t>ach of these discrete</w:t>
      </w:r>
      <w:r w:rsidR="007C3728">
        <w:t xml:space="preserve"> speaker meanings. </w:t>
      </w:r>
      <w:r w:rsidR="004C2E20">
        <w:t>In</w:t>
      </w:r>
      <w:r w:rsidR="007C3728">
        <w:t xml:space="preserve"> Lecture XII, Austin </w:t>
      </w:r>
      <w:r>
        <w:t>talks of ‘</w:t>
      </w:r>
      <w:r w:rsidRPr="00237A38">
        <w:t xml:space="preserve">general </w:t>
      </w:r>
      <w:r w:rsidRPr="00237A38">
        <w:rPr>
          <w:i/>
          <w:iCs/>
        </w:rPr>
        <w:t xml:space="preserve">families </w:t>
      </w:r>
      <w:r w:rsidRPr="00237A38">
        <w:t>of related</w:t>
      </w:r>
      <w:r>
        <w:t xml:space="preserve"> </w:t>
      </w:r>
      <w:r w:rsidRPr="00237A38">
        <w:t>and overlapping speech acts</w:t>
      </w:r>
      <w:r>
        <w:t>’ and of ‘very general classes’</w:t>
      </w:r>
      <w:r w:rsidR="00CF4669">
        <w:t>.</w:t>
      </w:r>
      <w:r>
        <w:rPr>
          <w:rStyle w:val="FootnoteReference"/>
        </w:rPr>
        <w:footnoteReference w:id="39"/>
      </w:r>
      <w:r w:rsidR="00CF4669">
        <w:t xml:space="preserve"> </w:t>
      </w:r>
      <w:r w:rsidR="00A96E00">
        <w:t xml:space="preserve">Most importantly </w:t>
      </w:r>
      <w:r w:rsidR="00A96E00">
        <w:lastRenderedPageBreak/>
        <w:t>for our purposes, h</w:t>
      </w:r>
      <w:r>
        <w:t>e fre</w:t>
      </w:r>
      <w:r w:rsidR="00E67337">
        <w:t>quently recognises that illocutionary force</w:t>
      </w:r>
      <w:r w:rsidR="00CD54E5">
        <w:t>s</w:t>
      </w:r>
      <w:r w:rsidR="00E67337">
        <w:t xml:space="preserve"> and </w:t>
      </w:r>
      <w:r>
        <w:t>findings of fact</w:t>
      </w:r>
      <w:r w:rsidR="00E67337">
        <w:t xml:space="preserve"> can </w:t>
      </w:r>
      <w:r w:rsidR="00F72043">
        <w:t>be combined in one utterance</w:t>
      </w:r>
      <w:r>
        <w:t>.</w:t>
      </w:r>
      <w:r w:rsidR="00610AC5">
        <w:t xml:space="preserve"> </w:t>
      </w:r>
      <w:r w:rsidR="00A96E00">
        <w:t>‘That</w:t>
      </w:r>
      <w:r w:rsidR="00610AC5">
        <w:t xml:space="preserve"> bull</w:t>
      </w:r>
      <w:r w:rsidR="00610AC5" w:rsidRPr="00610AC5">
        <w:t xml:space="preserve"> is going to charge</w:t>
      </w:r>
      <w:r w:rsidR="00A96E00">
        <w:t>’ i</w:t>
      </w:r>
      <w:r w:rsidR="00610AC5" w:rsidRPr="00610AC5">
        <w:t xml:space="preserve">s both a </w:t>
      </w:r>
      <w:r w:rsidR="00610AC5" w:rsidRPr="00E425A2">
        <w:rPr>
          <w:i/>
        </w:rPr>
        <w:t>warning</w:t>
      </w:r>
      <w:r w:rsidR="00610AC5" w:rsidRPr="00610AC5">
        <w:t xml:space="preserve"> and </w:t>
      </w:r>
      <w:r w:rsidR="00A96E00">
        <w:t xml:space="preserve">a </w:t>
      </w:r>
      <w:r w:rsidR="00610AC5" w:rsidRPr="00610AC5">
        <w:t xml:space="preserve">true or false </w:t>
      </w:r>
      <w:r w:rsidR="00A96E00" w:rsidRPr="00E425A2">
        <w:rPr>
          <w:i/>
        </w:rPr>
        <w:t>prediction</w:t>
      </w:r>
      <w:r w:rsidR="00A96E00">
        <w:t xml:space="preserve"> of bullish behaviour.</w:t>
      </w:r>
      <w:r w:rsidR="00610AC5">
        <w:rPr>
          <w:rStyle w:val="FootnoteReference"/>
        </w:rPr>
        <w:footnoteReference w:id="40"/>
      </w:r>
      <w:r w:rsidR="00314AAA">
        <w:t xml:space="preserve"> </w:t>
      </w:r>
    </w:p>
    <w:p w14:paraId="42AD8D4F" w14:textId="1B631C56" w:rsidR="00F457B8" w:rsidRDefault="00F457B8" w:rsidP="00F457B8">
      <w:pPr>
        <w:pStyle w:val="Heading1"/>
      </w:pPr>
      <w:bookmarkStart w:id="19" w:name="_Toc428515794"/>
      <w:r>
        <w:t>Tackling Fores</w:t>
      </w:r>
      <w:r w:rsidRPr="00F457B8">
        <w:t>e</w:t>
      </w:r>
      <w:r>
        <w:t>eability’s Ambivalence</w:t>
      </w:r>
      <w:bookmarkEnd w:id="19"/>
    </w:p>
    <w:p w14:paraId="5E192295" w14:textId="75CA0D9C" w:rsidR="00E52CCC" w:rsidRDefault="00F457B8" w:rsidP="000B680A">
      <w:r>
        <w:t xml:space="preserve">The concepts of </w:t>
      </w:r>
      <w:r w:rsidR="00E425A2">
        <w:t>i</w:t>
      </w:r>
      <w:r>
        <w:t>llocutionary force and speaker meaning</w:t>
      </w:r>
      <w:r w:rsidR="00C91813">
        <w:rPr>
          <w:rStyle w:val="FootnoteReference"/>
        </w:rPr>
        <w:footnoteReference w:id="41"/>
      </w:r>
      <w:r>
        <w:t xml:space="preserve"> can assist in distinguishing factive and </w:t>
      </w:r>
      <w:r w:rsidR="0089696B">
        <w:t>attributive</w:t>
      </w:r>
      <w:r>
        <w:t xml:space="preserve"> foreseeability. Unless D concedes that R was foreseeable (or that R was foreseen) foreseeability, wh</w:t>
      </w:r>
      <w:r w:rsidR="000034B8">
        <w:t>e</w:t>
      </w:r>
      <w:r>
        <w:t xml:space="preserve">ther factive or </w:t>
      </w:r>
      <w:r w:rsidR="0089696B">
        <w:t>attributive</w:t>
      </w:r>
      <w:r>
        <w:t>, must be d</w:t>
      </w:r>
      <w:r w:rsidR="000034B8">
        <w:t>etermined by some sort of judge, who will look in vain for a</w:t>
      </w:r>
      <w:r w:rsidR="007C3728" w:rsidRPr="00F457B8">
        <w:t xml:space="preserve"> litmus test</w:t>
      </w:r>
      <w:r w:rsidR="000034B8">
        <w:t>.</w:t>
      </w:r>
      <w:r w:rsidR="007C3728">
        <w:t xml:space="preserve"> </w:t>
      </w:r>
      <w:r w:rsidR="004C2E20">
        <w:t>Austin wondered, ‘</w:t>
      </w:r>
      <w:r w:rsidR="004C2E20" w:rsidRPr="00E45864">
        <w:t xml:space="preserve">Can we be sure that stating truly is a different </w:t>
      </w:r>
      <w:r w:rsidR="004C2E20" w:rsidRPr="00E45864">
        <w:rPr>
          <w:i/>
        </w:rPr>
        <w:t xml:space="preserve">class </w:t>
      </w:r>
      <w:r w:rsidR="004C2E20" w:rsidRPr="00E45864">
        <w:t>of assessment from arguing soundly, advising well, judging fairly, and blaming justifiably?</w:t>
      </w:r>
      <w:r w:rsidR="004C2E20">
        <w:t>’</w:t>
      </w:r>
      <w:r w:rsidR="004C2E20">
        <w:rPr>
          <w:rStyle w:val="FootnoteReference"/>
        </w:rPr>
        <w:footnoteReference w:id="42"/>
      </w:r>
      <w:r w:rsidR="004C2E20">
        <w:t xml:space="preserve"> However, I suggest that—in principle if not </w:t>
      </w:r>
      <w:r w:rsidR="00E425A2">
        <w:t xml:space="preserve">always </w:t>
      </w:r>
      <w:r w:rsidR="004C2E20">
        <w:t>in practice—</w:t>
      </w:r>
      <w:r w:rsidR="00237A38">
        <w:t xml:space="preserve">factive </w:t>
      </w:r>
      <w:r w:rsidR="000034B8">
        <w:t>and</w:t>
      </w:r>
      <w:r w:rsidR="00237A38">
        <w:t xml:space="preserve"> </w:t>
      </w:r>
      <w:r w:rsidR="0089696B">
        <w:t>attributive</w:t>
      </w:r>
      <w:r w:rsidR="00237A38">
        <w:t xml:space="preserve"> foreseeability</w:t>
      </w:r>
      <w:r w:rsidR="000034B8">
        <w:t xml:space="preserve"> are distinguishable</w:t>
      </w:r>
      <w:r w:rsidR="004C2E20">
        <w:t xml:space="preserve"> </w:t>
      </w:r>
      <w:r w:rsidR="00237A38">
        <w:t>by reference to the kind of evidence and arguments</w:t>
      </w:r>
      <w:r w:rsidR="00095EA3">
        <w:t xml:space="preserve"> appropriate to their instantiation. </w:t>
      </w:r>
      <w:r w:rsidR="009E3B42">
        <w:t>As discussed above, f</w:t>
      </w:r>
      <w:r w:rsidR="00095EA3">
        <w:t>active foreseeability</w:t>
      </w:r>
      <w:r w:rsidR="009E3B42">
        <w:t xml:space="preserve">, like </w:t>
      </w:r>
      <w:r w:rsidR="009E3B42" w:rsidRPr="00E425A2">
        <w:rPr>
          <w:i/>
        </w:rPr>
        <w:t>factive</w:t>
      </w:r>
      <w:r w:rsidR="009E3B42">
        <w:t xml:space="preserve"> foresight,</w:t>
      </w:r>
      <w:r w:rsidR="00095EA3">
        <w:t xml:space="preserve"> r</w:t>
      </w:r>
      <w:r w:rsidR="00873A7F">
        <w:t xml:space="preserve">aises </w:t>
      </w:r>
      <w:r w:rsidR="00873A7F" w:rsidRPr="00E425A2">
        <w:rPr>
          <w:i/>
        </w:rPr>
        <w:t>empirical</w:t>
      </w:r>
      <w:r w:rsidR="00873A7F">
        <w:t xml:space="preserve"> questions</w:t>
      </w:r>
      <w:r w:rsidR="00095EA3">
        <w:t xml:space="preserve">, whereas </w:t>
      </w:r>
      <w:r w:rsidR="0089696B" w:rsidRPr="00E425A2">
        <w:rPr>
          <w:i/>
        </w:rPr>
        <w:t>attributive</w:t>
      </w:r>
      <w:r w:rsidR="00095EA3" w:rsidRPr="00E425A2">
        <w:rPr>
          <w:i/>
        </w:rPr>
        <w:t xml:space="preserve"> foreseeability</w:t>
      </w:r>
      <w:r w:rsidR="00095EA3">
        <w:t xml:space="preserve"> is a matter of selecting and applying </w:t>
      </w:r>
      <w:r w:rsidR="00095EA3" w:rsidRPr="00E425A2">
        <w:rPr>
          <w:i/>
        </w:rPr>
        <w:t>norms</w:t>
      </w:r>
      <w:r w:rsidR="00095EA3">
        <w:t>.</w:t>
      </w:r>
    </w:p>
    <w:p w14:paraId="7F04BFD6" w14:textId="2E9EF27E" w:rsidR="005D3AF1" w:rsidRDefault="00ED619B" w:rsidP="003B1B81">
      <w:pPr>
        <w:keepNext/>
      </w:pPr>
      <w:r>
        <w:t>Because t</w:t>
      </w:r>
      <w:r w:rsidR="000034B8">
        <w:t>he lawyer’s interest lies in understanding what judges do when they decide cases</w:t>
      </w:r>
      <w:r>
        <w:t>,</w:t>
      </w:r>
      <w:r w:rsidR="000034B8">
        <w:t xml:space="preserve"> </w:t>
      </w:r>
      <w:r w:rsidR="00E425A2">
        <w:t>judges’</w:t>
      </w:r>
      <w:r>
        <w:t xml:space="preserve"> words and decisions in the context of each case</w:t>
      </w:r>
      <w:r w:rsidR="00873A7F">
        <w:t xml:space="preserve"> </w:t>
      </w:r>
      <w:r>
        <w:t xml:space="preserve">are </w:t>
      </w:r>
      <w:r w:rsidR="000034B8">
        <w:t>the principal object of study.</w:t>
      </w:r>
      <w:r>
        <w:t xml:space="preserve"> As Austin puts it,</w:t>
      </w:r>
      <w:r w:rsidR="005D3AF1">
        <w:t xml:space="preserve"> </w:t>
      </w:r>
    </w:p>
    <w:p w14:paraId="60E35416" w14:textId="744080C8" w:rsidR="00ED619B" w:rsidRDefault="005D3AF1" w:rsidP="0096016F">
      <w:pPr>
        <w:pStyle w:val="Quote"/>
      </w:pPr>
      <w:r>
        <w:t>‘The total speech act in the total speech situation is the only actual phenomenon which, in the last resort, we are engaged in elucidating.’</w:t>
      </w:r>
      <w:r>
        <w:rPr>
          <w:rStyle w:val="FootnoteReference"/>
        </w:rPr>
        <w:footnoteReference w:id="43"/>
      </w:r>
    </w:p>
    <w:p w14:paraId="271DB449" w14:textId="7768C856" w:rsidR="00D64AB3" w:rsidRDefault="00D64AB3" w:rsidP="00ED619B">
      <w:r>
        <w:t xml:space="preserve">What then might we </w:t>
      </w:r>
      <w:r w:rsidR="005D3AF1">
        <w:t>look for</w:t>
      </w:r>
      <w:r>
        <w:t xml:space="preserve"> </w:t>
      </w:r>
      <w:r w:rsidR="00847073">
        <w:t>(but not</w:t>
      </w:r>
      <w:r w:rsidR="0096016F">
        <w:t xml:space="preserve"> necessarily</w:t>
      </w:r>
      <w:r w:rsidR="00847073">
        <w:t xml:space="preserve"> ‘expect’ in any normative sense) </w:t>
      </w:r>
      <w:r>
        <w:t xml:space="preserve">when we </w:t>
      </w:r>
      <w:r w:rsidR="005D3AF1">
        <w:t xml:space="preserve">examine </w:t>
      </w:r>
      <w:r>
        <w:t>cases?</w:t>
      </w:r>
    </w:p>
    <w:p w14:paraId="1A582E8D" w14:textId="3990F8FA" w:rsidR="005D3AF1" w:rsidRPr="00E425A2" w:rsidRDefault="00D64AB3" w:rsidP="00E425A2">
      <w:pPr>
        <w:pStyle w:val="Heading2"/>
      </w:pPr>
      <w:bookmarkStart w:id="20" w:name="_Toc428515795"/>
      <w:r w:rsidRPr="0096016F">
        <w:t>A</w:t>
      </w:r>
      <w:r w:rsidRPr="002D346F">
        <w:tab/>
      </w:r>
      <w:r w:rsidR="0096016F" w:rsidRPr="00E425A2">
        <w:t>D</w:t>
      </w:r>
      <w:r w:rsidRPr="00E425A2">
        <w:t>ifferentiation between</w:t>
      </w:r>
      <w:r w:rsidR="005D3AF1" w:rsidRPr="00E425A2">
        <w:t xml:space="preserve"> foresight, and foreseeability</w:t>
      </w:r>
      <w:bookmarkEnd w:id="20"/>
    </w:p>
    <w:p w14:paraId="450F570E" w14:textId="55B4C075" w:rsidR="002D346F" w:rsidRPr="002D346F" w:rsidRDefault="002D346F" w:rsidP="002D346F">
      <w:r>
        <w:t xml:space="preserve">This is </w:t>
      </w:r>
      <w:r w:rsidR="00CE1E01">
        <w:t>large</w:t>
      </w:r>
      <w:r>
        <w:t xml:space="preserve">ly a </w:t>
      </w:r>
      <w:r w:rsidR="00417691">
        <w:t>matter of linguistic discipline.</w:t>
      </w:r>
      <w:r>
        <w:t xml:space="preserve"> </w:t>
      </w:r>
      <w:r w:rsidR="00417691">
        <w:t>W</w:t>
      </w:r>
      <w:r w:rsidR="00846FFC">
        <w:t>e shall see</w:t>
      </w:r>
      <w:r w:rsidR="003B1B81">
        <w:t>:</w:t>
      </w:r>
      <w:r w:rsidR="00846FFC">
        <w:t xml:space="preserve"> some sent</w:t>
      </w:r>
      <w:r>
        <w:t xml:space="preserve">ence constructions </w:t>
      </w:r>
      <w:r w:rsidR="00CE1E01">
        <w:t xml:space="preserve">that, without error or ambiguity, </w:t>
      </w:r>
      <w:r>
        <w:t>use ‘foresight’ w</w:t>
      </w:r>
      <w:r w:rsidR="003B1B81">
        <w:t>hen discussing ‘foreseeability’; and some judicial reluctance to be constrained by the formality of a quasi-scientific linguistic register</w:t>
      </w:r>
      <w:r w:rsidR="00106799">
        <w:t xml:space="preserve"> or anything approaching formal logic</w:t>
      </w:r>
      <w:r w:rsidR="003B1B81">
        <w:t>.</w:t>
      </w:r>
      <w:bookmarkStart w:id="21" w:name="_Ref427221958"/>
      <w:r w:rsidR="00106799">
        <w:rPr>
          <w:rStyle w:val="FootnoteReference"/>
        </w:rPr>
        <w:footnoteReference w:id="44"/>
      </w:r>
      <w:bookmarkEnd w:id="21"/>
      <w:r w:rsidR="00846FFC">
        <w:t xml:space="preserve"> </w:t>
      </w:r>
    </w:p>
    <w:p w14:paraId="601ECE4F" w14:textId="56215BA8" w:rsidR="002D346F" w:rsidRPr="00E425A2" w:rsidRDefault="005D3AF1" w:rsidP="00E425A2">
      <w:pPr>
        <w:pStyle w:val="Heading2"/>
        <w:rPr>
          <w:i w:val="0"/>
        </w:rPr>
      </w:pPr>
      <w:bookmarkStart w:id="22" w:name="_Toc428515796"/>
      <w:r w:rsidRPr="00E425A2">
        <w:rPr>
          <w:rStyle w:val="Heading3Char"/>
          <w:i/>
        </w:rPr>
        <w:t>B</w:t>
      </w:r>
      <w:r w:rsidRPr="00E425A2">
        <w:rPr>
          <w:rStyle w:val="Heading3Char"/>
          <w:i/>
        </w:rPr>
        <w:tab/>
      </w:r>
      <w:r w:rsidR="0096016F" w:rsidRPr="00E425A2">
        <w:rPr>
          <w:rStyle w:val="Heading3Char"/>
          <w:i/>
        </w:rPr>
        <w:t>D</w:t>
      </w:r>
      <w:r w:rsidRPr="00E425A2">
        <w:rPr>
          <w:rStyle w:val="Heading3Char"/>
          <w:i/>
        </w:rPr>
        <w:t xml:space="preserve">ifferentiation between </w:t>
      </w:r>
      <w:r w:rsidR="00D64AB3" w:rsidRPr="00E425A2">
        <w:rPr>
          <w:rStyle w:val="Heading3Char"/>
          <w:i/>
        </w:rPr>
        <w:t xml:space="preserve">factive and </w:t>
      </w:r>
      <w:r w:rsidR="0089696B" w:rsidRPr="00E425A2">
        <w:rPr>
          <w:rStyle w:val="Heading3Char"/>
          <w:i/>
        </w:rPr>
        <w:t>attributive</w:t>
      </w:r>
      <w:r w:rsidR="00D64AB3" w:rsidRPr="00E425A2">
        <w:rPr>
          <w:rStyle w:val="Heading3Char"/>
          <w:i/>
        </w:rPr>
        <w:t xml:space="preserve"> foreseeability</w:t>
      </w:r>
      <w:r w:rsidR="002D346F" w:rsidRPr="00E425A2">
        <w:rPr>
          <w:i w:val="0"/>
        </w:rPr>
        <w:t>.</w:t>
      </w:r>
      <w:bookmarkEnd w:id="22"/>
    </w:p>
    <w:p w14:paraId="372717EA" w14:textId="77777777" w:rsidR="005E0ECB" w:rsidRDefault="002D346F" w:rsidP="005E0ECB">
      <w:pPr>
        <w:spacing w:after="0"/>
      </w:pPr>
      <w:r>
        <w:t xml:space="preserve">We want to distinguish: </w:t>
      </w:r>
    </w:p>
    <w:p w14:paraId="43528A3E" w14:textId="73B0608B" w:rsidR="005E0ECB" w:rsidRDefault="005D3AF1" w:rsidP="0096016F">
      <w:pPr>
        <w:pStyle w:val="ListParagraph"/>
        <w:numPr>
          <w:ilvl w:val="0"/>
          <w:numId w:val="10"/>
        </w:numPr>
        <w:ind w:left="720" w:hanging="720"/>
      </w:pPr>
      <w:r>
        <w:t xml:space="preserve">the factive foreseeability filter that </w:t>
      </w:r>
      <w:r w:rsidR="002D346F">
        <w:t xml:space="preserve">protects D from blame </w:t>
      </w:r>
      <w:r>
        <w:t>for fail</w:t>
      </w:r>
      <w:r w:rsidR="00873A7F">
        <w:t>ure</w:t>
      </w:r>
      <w:r>
        <w:t xml:space="preserve"> to foresee the wholly unforeseeable</w:t>
      </w:r>
      <w:r w:rsidR="002D346F">
        <w:t xml:space="preserve">; </w:t>
      </w:r>
      <w:r w:rsidR="0096016F">
        <w:t>from</w:t>
      </w:r>
    </w:p>
    <w:p w14:paraId="58EE0454" w14:textId="2BD11BA3" w:rsidR="005E0ECB" w:rsidRDefault="005D3AF1" w:rsidP="0096016F">
      <w:pPr>
        <w:pStyle w:val="ListParagraph"/>
        <w:numPr>
          <w:ilvl w:val="0"/>
          <w:numId w:val="10"/>
        </w:numPr>
        <w:spacing w:after="0"/>
        <w:ind w:left="720" w:hanging="720"/>
      </w:pPr>
      <w:r>
        <w:lastRenderedPageBreak/>
        <w:t>the</w:t>
      </w:r>
      <w:r w:rsidR="002D346F">
        <w:t xml:space="preserve"> attribution of responsibility that is based on </w:t>
      </w:r>
      <w:r w:rsidR="002D346F" w:rsidRPr="00873A7F">
        <w:rPr>
          <w:i/>
        </w:rPr>
        <w:t>fault</w:t>
      </w:r>
      <w:r w:rsidR="002D346F">
        <w:t>.</w:t>
      </w:r>
      <w:r w:rsidR="0096016F">
        <w:rPr>
          <w:rStyle w:val="FootnoteReference"/>
        </w:rPr>
        <w:footnoteReference w:id="45"/>
      </w:r>
      <w:r w:rsidR="002D346F">
        <w:t xml:space="preserve"> </w:t>
      </w:r>
    </w:p>
    <w:p w14:paraId="7D83121B" w14:textId="1B38B221" w:rsidR="005D3AF1" w:rsidRDefault="00B4044B" w:rsidP="005E0ECB">
      <w:r>
        <w:t>We must ask, i</w:t>
      </w:r>
      <w:r w:rsidR="002D346F">
        <w:t>n discerning speaker meaning</w:t>
      </w:r>
      <w:r w:rsidR="000636CA">
        <w:t>,</w:t>
      </w:r>
      <w:r w:rsidR="002D346F">
        <w:t xml:space="preserve"> </w:t>
      </w:r>
      <w:r w:rsidR="00846FFC">
        <w:t>what the judge was</w:t>
      </w:r>
      <w:r w:rsidR="00285ACF">
        <w:t xml:space="preserve"> ‘overtly’ or ‘avowedly’</w:t>
      </w:r>
      <w:r w:rsidR="00285ACF">
        <w:rPr>
          <w:rStyle w:val="FootnoteReference"/>
        </w:rPr>
        <w:footnoteReference w:id="46"/>
      </w:r>
      <w:r w:rsidR="00846FFC">
        <w:t xml:space="preserve"> </w:t>
      </w:r>
      <w:r w:rsidR="00846FFC" w:rsidRPr="005E0ECB">
        <w:rPr>
          <w:i/>
        </w:rPr>
        <w:t>doing</w:t>
      </w:r>
      <w:r w:rsidR="00846FFC">
        <w:t xml:space="preserve"> in uttering</w:t>
      </w:r>
      <w:r w:rsidR="00886607">
        <w:rPr>
          <w:rStyle w:val="FootnoteReference"/>
        </w:rPr>
        <w:footnoteReference w:id="47"/>
      </w:r>
      <w:r w:rsidR="00846FFC">
        <w:t xml:space="preserve"> not just one word but whole sentences, whole paragraphs, whole judgements </w:t>
      </w:r>
      <w:r w:rsidR="000636CA">
        <w:t>in the context of t</w:t>
      </w:r>
      <w:r w:rsidR="00846FFC">
        <w:t xml:space="preserve">he issues at stake for the parties </w:t>
      </w:r>
      <w:r w:rsidR="000636CA">
        <w:t>in</w:t>
      </w:r>
      <w:r w:rsidR="00846FFC">
        <w:t xml:space="preserve"> the case. We are looking for indications of </w:t>
      </w:r>
      <w:r w:rsidR="00E425A2">
        <w:t xml:space="preserve">speaker meaning or </w:t>
      </w:r>
      <w:r w:rsidR="00846FFC">
        <w:t xml:space="preserve">illocutionary force in the functional context of the judgement. </w:t>
      </w:r>
      <w:r w:rsidR="005D3AF1" w:rsidRPr="005D3AF1">
        <w:t xml:space="preserve">Sometimes </w:t>
      </w:r>
      <w:r w:rsidR="00E32246">
        <w:t>one word or one</w:t>
      </w:r>
      <w:r w:rsidR="005D3AF1" w:rsidRPr="005D3AF1">
        <w:t xml:space="preserve"> sentence itself will </w:t>
      </w:r>
      <w:r w:rsidR="00846FFC">
        <w:t>be sufficiently clear</w:t>
      </w:r>
      <w:r w:rsidR="005D3AF1" w:rsidRPr="005D3AF1">
        <w:t xml:space="preserve">. Sometimes </w:t>
      </w:r>
      <w:r w:rsidR="00846FFC">
        <w:t>we must rely on the context</w:t>
      </w:r>
      <w:r w:rsidR="005D3AF1" w:rsidRPr="005D3AF1">
        <w:t>.</w:t>
      </w:r>
      <w:r w:rsidR="00846FFC">
        <w:t xml:space="preserve"> </w:t>
      </w:r>
      <w:r w:rsidR="0096016F">
        <w:t>Sometimes</w:t>
      </w:r>
      <w:r w:rsidR="00846FFC">
        <w:t xml:space="preserve"> we </w:t>
      </w:r>
      <w:r w:rsidR="0058671B">
        <w:t>will be left</w:t>
      </w:r>
      <w:r w:rsidR="00846FFC">
        <w:t xml:space="preserve"> in doubt.</w:t>
      </w:r>
      <w:r w:rsidR="005D3AF1" w:rsidRPr="005D3AF1">
        <w:t xml:space="preserve"> </w:t>
      </w:r>
    </w:p>
    <w:p w14:paraId="3D4E5BDA" w14:textId="080BE949" w:rsidR="002979C3" w:rsidRDefault="003B1B81" w:rsidP="005E0ECB">
      <w:r>
        <w:t>Nevertheless, t</w:t>
      </w:r>
      <w:r w:rsidR="002979C3">
        <w:t xml:space="preserve">he distinction between factive and </w:t>
      </w:r>
      <w:r w:rsidR="0089696B">
        <w:t>attributive</w:t>
      </w:r>
      <w:r w:rsidR="002979C3">
        <w:t xml:space="preserve"> judicial verdicts has significant practical consequences. Factive verdicts are matters for </w:t>
      </w:r>
      <w:r w:rsidR="0096016F">
        <w:t xml:space="preserve">juries </w:t>
      </w:r>
      <w:r w:rsidR="002979C3">
        <w:t>or judge</w:t>
      </w:r>
      <w:r w:rsidR="0096016F">
        <w:t>s</w:t>
      </w:r>
      <w:r w:rsidR="002979C3">
        <w:t xml:space="preserve"> of fact, </w:t>
      </w:r>
      <w:r w:rsidR="006E754E">
        <w:t xml:space="preserve">whereas </w:t>
      </w:r>
      <w:r w:rsidR="0089696B">
        <w:t>attributive</w:t>
      </w:r>
      <w:r w:rsidR="002979C3">
        <w:t xml:space="preserve"> verdicts are normative and, as such, matters of law </w:t>
      </w:r>
      <w:r w:rsidR="00873A7F">
        <w:t>for judge rather than jury—</w:t>
      </w:r>
      <w:r w:rsidR="00320D55">
        <w:t>and thus</w:t>
      </w:r>
      <w:r w:rsidR="002979C3">
        <w:t xml:space="preserve"> appealable.</w:t>
      </w:r>
      <w:r w:rsidR="00320D55">
        <w:rPr>
          <w:rStyle w:val="FootnoteReference"/>
        </w:rPr>
        <w:footnoteReference w:id="48"/>
      </w:r>
      <w:r w:rsidR="002979C3">
        <w:t xml:space="preserve"> As </w:t>
      </w:r>
      <w:r w:rsidR="002979C3" w:rsidRPr="0093525E">
        <w:rPr>
          <w:i/>
        </w:rPr>
        <w:t xml:space="preserve">Donoghue </w:t>
      </w:r>
      <w:r w:rsidR="002979C3">
        <w:t xml:space="preserve">v </w:t>
      </w:r>
      <w:r w:rsidR="002979C3" w:rsidRPr="00FA2D12">
        <w:rPr>
          <w:i/>
        </w:rPr>
        <w:t>Stevenson</w:t>
      </w:r>
      <w:r w:rsidR="00106799" w:rsidRPr="00320D55">
        <w:rPr>
          <w:rStyle w:val="FootnoteReference"/>
        </w:rPr>
        <w:footnoteReference w:id="49"/>
      </w:r>
      <w:r w:rsidR="002979C3" w:rsidRPr="00FA2D12">
        <w:rPr>
          <w:i/>
        </w:rPr>
        <w:t xml:space="preserve"> </w:t>
      </w:r>
      <w:r w:rsidR="002979C3">
        <w:t>famously illustrates, they can result from strikeout applications made on assumed facts. Th</w:t>
      </w:r>
      <w:r>
        <w:t>e</w:t>
      </w:r>
      <w:r w:rsidR="002979C3">
        <w:t xml:space="preserve"> respon</w:t>
      </w:r>
      <w:r>
        <w:t xml:space="preserve">se </w:t>
      </w:r>
      <w:r w:rsidR="002979C3">
        <w:t>to</w:t>
      </w:r>
      <w:r>
        <w:t xml:space="preserve"> a judicial foreseeability verdict</w:t>
      </w:r>
      <w:r w:rsidR="002979C3">
        <w:t xml:space="preserve"> must distinguish the factive from the </w:t>
      </w:r>
      <w:r w:rsidR="0089696B">
        <w:t>attributive</w:t>
      </w:r>
      <w:r w:rsidR="002979C3">
        <w:t xml:space="preserve"> by reference to the illocutionary force with which</w:t>
      </w:r>
      <w:r w:rsidR="002979C3" w:rsidRPr="00F337CE">
        <w:t>—</w:t>
      </w:r>
      <w:r w:rsidR="002979C3">
        <w:t>it appears</w:t>
      </w:r>
      <w:r>
        <w:t xml:space="preserve"> to the </w:t>
      </w:r>
      <w:r w:rsidR="00873A7F">
        <w:t xml:space="preserve">person </w:t>
      </w:r>
      <w:r>
        <w:t>respond</w:t>
      </w:r>
      <w:r w:rsidR="00873A7F">
        <w:t>ing</w:t>
      </w:r>
      <w:r w:rsidR="002979C3" w:rsidRPr="00F337CE">
        <w:t>—</w:t>
      </w:r>
      <w:r>
        <w:t>that</w:t>
      </w:r>
      <w:r w:rsidR="002979C3">
        <w:t xml:space="preserve"> </w:t>
      </w:r>
      <w:r>
        <w:t>verdict</w:t>
      </w:r>
      <w:r w:rsidR="002979C3">
        <w:t xml:space="preserve"> was issued. </w:t>
      </w:r>
      <w:r w:rsidR="00873A7F">
        <w:t xml:space="preserve">In that </w:t>
      </w:r>
      <w:r w:rsidR="002979C3">
        <w:t>interpretive exercise</w:t>
      </w:r>
      <w:r w:rsidR="007D066C">
        <w:t>,</w:t>
      </w:r>
      <w:r w:rsidR="002979C3" w:rsidRPr="00227F52">
        <w:t xml:space="preserve"> </w:t>
      </w:r>
      <w:r w:rsidR="007D066C">
        <w:t xml:space="preserve">reasonable </w:t>
      </w:r>
      <w:r w:rsidR="002979C3">
        <w:t>Supreme Court Justice</w:t>
      </w:r>
      <w:r w:rsidR="007D066C">
        <w:t xml:space="preserve">s might disagree with reasonable </w:t>
      </w:r>
      <w:r w:rsidR="002979C3">
        <w:t>Court of Appeal member</w:t>
      </w:r>
      <w:r w:rsidR="007D066C">
        <w:t>s</w:t>
      </w:r>
      <w:r w:rsidR="002979C3">
        <w:t>.</w:t>
      </w:r>
    </w:p>
    <w:p w14:paraId="3DBACCA6" w14:textId="7BF710C8" w:rsidR="001169A7" w:rsidRPr="00E536D2" w:rsidRDefault="00FF3B11" w:rsidP="00E425A2">
      <w:pPr>
        <w:pStyle w:val="Heading2"/>
      </w:pPr>
      <w:bookmarkStart w:id="23" w:name="_Toc428515797"/>
      <w:r>
        <w:t>C</w:t>
      </w:r>
      <w:r w:rsidR="001169A7" w:rsidRPr="00E536D2">
        <w:tab/>
        <w:t>The factive foreseeability filter</w:t>
      </w:r>
      <w:bookmarkEnd w:id="23"/>
    </w:p>
    <w:p w14:paraId="3F2BFD2F" w14:textId="5B82B551" w:rsidR="007F08DA" w:rsidRDefault="001169A7" w:rsidP="001169A7">
      <w:r>
        <w:t xml:space="preserve">No-one will claim that D </w:t>
      </w:r>
      <w:r w:rsidR="0080178C">
        <w:t xml:space="preserve">acted intentionally, </w:t>
      </w:r>
      <w:r>
        <w:t>reckless</w:t>
      </w:r>
      <w:r w:rsidR="0080178C">
        <w:t>ly</w:t>
      </w:r>
      <w:r>
        <w:t xml:space="preserve"> or negligent</w:t>
      </w:r>
      <w:r w:rsidR="0080178C">
        <w:t>ly</w:t>
      </w:r>
      <w:r>
        <w:t xml:space="preserve"> </w:t>
      </w:r>
      <w:r w:rsidR="0080178C">
        <w:t xml:space="preserve">when R was </w:t>
      </w:r>
      <w:r>
        <w:t>utterly unknown</w:t>
      </w:r>
      <w:r w:rsidR="00F864F3">
        <w:t xml:space="preserve"> </w:t>
      </w:r>
      <w:r w:rsidR="00F864F3" w:rsidRPr="00F864F3">
        <w:rPr>
          <w:i/>
        </w:rPr>
        <w:t>ex ante</w:t>
      </w:r>
      <w:r>
        <w:t xml:space="preserve">. The factive foreseeability filter will </w:t>
      </w:r>
      <w:r w:rsidR="0080178C">
        <w:t xml:space="preserve">keep such cases from court. </w:t>
      </w:r>
      <w:r w:rsidR="007D066C">
        <w:t>But w</w:t>
      </w:r>
      <w:r>
        <w:t xml:space="preserve">here a few </w:t>
      </w:r>
      <w:r w:rsidR="009F0A4F">
        <w:t xml:space="preserve">(not including D) </w:t>
      </w:r>
      <w:r w:rsidR="0080178C">
        <w:t>can be shown to have foreseen</w:t>
      </w:r>
      <w:r w:rsidR="00FD682B">
        <w:t xml:space="preserve"> R,</w:t>
      </w:r>
      <w:r w:rsidR="0080178C">
        <w:t xml:space="preserve"> C will argue </w:t>
      </w:r>
      <w:r w:rsidR="00C11D27">
        <w:t xml:space="preserve">that R is </w:t>
      </w:r>
      <w:r w:rsidR="00C11D27" w:rsidRPr="009F0A4F">
        <w:rPr>
          <w:i/>
        </w:rPr>
        <w:t>factively</w:t>
      </w:r>
      <w:r w:rsidR="00C11D27">
        <w:t xml:space="preserve"> foreseeable</w:t>
      </w:r>
      <w:r w:rsidR="00E425A2">
        <w:t>.</w:t>
      </w:r>
      <w:r w:rsidR="00C11D27">
        <w:t xml:space="preserve"> </w:t>
      </w:r>
      <w:r w:rsidR="0080178C">
        <w:t xml:space="preserve">D will </w:t>
      </w:r>
      <w:r w:rsidR="00C11D27">
        <w:t>counter</w:t>
      </w:r>
      <w:r w:rsidR="009F0A4F">
        <w:t xml:space="preserve"> </w:t>
      </w:r>
      <w:r w:rsidR="009F0A4F" w:rsidRPr="009F0A4F">
        <w:rPr>
          <w:i/>
        </w:rPr>
        <w:t>attributi</w:t>
      </w:r>
      <w:r w:rsidR="00E425A2">
        <w:rPr>
          <w:i/>
        </w:rPr>
        <w:t>vely</w:t>
      </w:r>
      <w:r w:rsidR="0080178C" w:rsidRPr="009F0A4F">
        <w:rPr>
          <w:i/>
        </w:rPr>
        <w:t xml:space="preserve"> </w:t>
      </w:r>
      <w:r w:rsidR="0080178C">
        <w:t>that</w:t>
      </w:r>
      <w:r w:rsidR="00C11D27">
        <w:t xml:space="preserve"> too few</w:t>
      </w:r>
      <w:r w:rsidR="0080178C">
        <w:t xml:space="preserve"> had foreseen R</w:t>
      </w:r>
      <w:r w:rsidR="00C11D27">
        <w:t xml:space="preserve"> for it to be </w:t>
      </w:r>
      <w:r w:rsidR="00F864F3" w:rsidRPr="00F864F3">
        <w:rPr>
          <w:i/>
        </w:rPr>
        <w:t>reasonable</w:t>
      </w:r>
      <w:r w:rsidR="00C11D27">
        <w:t xml:space="preserve"> to hold her responsible.</w:t>
      </w:r>
      <w:bookmarkStart w:id="24" w:name="_Ref426639292"/>
      <w:r w:rsidR="00915C70">
        <w:rPr>
          <w:rStyle w:val="FootnoteReference"/>
        </w:rPr>
        <w:footnoteReference w:id="50"/>
      </w:r>
      <w:bookmarkEnd w:id="24"/>
      <w:r w:rsidR="00C11D27">
        <w:t xml:space="preserve"> </w:t>
      </w:r>
      <w:r w:rsidR="00915C70">
        <w:t>By contrast</w:t>
      </w:r>
      <w:r w:rsidR="0080178C">
        <w:t xml:space="preserve">, </w:t>
      </w:r>
      <w:r w:rsidR="00AA5EDD">
        <w:t>those who commit intentional torts are strictly liable for unforeseeable consequences</w:t>
      </w:r>
      <w:r w:rsidR="00AA5EDD">
        <w:rPr>
          <w:rStyle w:val="FootnoteReference"/>
        </w:rPr>
        <w:footnoteReference w:id="51"/>
      </w:r>
      <w:r w:rsidR="00AA5EDD">
        <w:t xml:space="preserve"> and </w:t>
      </w:r>
      <w:r w:rsidR="0080178C">
        <w:t>strict liability</w:t>
      </w:r>
      <w:r w:rsidR="00C11D27">
        <w:t xml:space="preserve"> claims can su</w:t>
      </w:r>
      <w:r w:rsidR="004E2B79">
        <w:t xml:space="preserve">rvive </w:t>
      </w:r>
      <w:r w:rsidR="00AA5EDD">
        <w:t xml:space="preserve">despite </w:t>
      </w:r>
      <w:r w:rsidR="004E2B79">
        <w:t>factive unforeseeability</w:t>
      </w:r>
      <w:r w:rsidR="00AA5EDD">
        <w:t>.</w:t>
      </w:r>
      <w:r w:rsidR="00C11D27">
        <w:t xml:space="preserve"> If Parliament has made D </w:t>
      </w:r>
      <w:r w:rsidR="004E2B79">
        <w:t>strict</w:t>
      </w:r>
      <w:r w:rsidR="00C11D27">
        <w:t>ly liable</w:t>
      </w:r>
      <w:r w:rsidR="00FD682B">
        <w:t>,</w:t>
      </w:r>
      <w:r w:rsidR="00C11D27">
        <w:rPr>
          <w:rStyle w:val="FootnoteReference"/>
        </w:rPr>
        <w:footnoteReference w:id="52"/>
      </w:r>
      <w:r w:rsidR="00FD682B">
        <w:t xml:space="preserve"> C has only to</w:t>
      </w:r>
      <w:r w:rsidR="004E2B79">
        <w:t xml:space="preserve"> establish factual cause—although even that entails </w:t>
      </w:r>
      <w:r w:rsidR="00F1666D">
        <w:t xml:space="preserve">subjective </w:t>
      </w:r>
      <w:r w:rsidR="002715D7">
        <w:t xml:space="preserve">judgement in </w:t>
      </w:r>
      <w:r w:rsidR="004E2B79">
        <w:t xml:space="preserve">selecting the </w:t>
      </w:r>
      <w:r w:rsidR="004E2B79" w:rsidRPr="004E2B79">
        <w:rPr>
          <w:i/>
        </w:rPr>
        <w:t>causa causans</w:t>
      </w:r>
      <w:r w:rsidR="004E2B79">
        <w:t xml:space="preserve"> from amongst the almost infinite number of </w:t>
      </w:r>
      <w:r w:rsidR="004E2B79" w:rsidRPr="004E2B79">
        <w:rPr>
          <w:i/>
        </w:rPr>
        <w:t>causae sin</w:t>
      </w:r>
      <w:r w:rsidR="004E2B79">
        <w:rPr>
          <w:i/>
        </w:rPr>
        <w:t>e</w:t>
      </w:r>
      <w:r w:rsidR="004E2B79" w:rsidRPr="004E2B79">
        <w:rPr>
          <w:i/>
        </w:rPr>
        <w:t xml:space="preserve"> qua non</w:t>
      </w:r>
      <w:r w:rsidR="004E2B79">
        <w:t>.</w:t>
      </w:r>
    </w:p>
    <w:p w14:paraId="34CD0FE1" w14:textId="0F0250F8" w:rsidR="00CF79C6" w:rsidRPr="00CF79C6" w:rsidRDefault="00CF79C6" w:rsidP="00FF3B11">
      <w:pPr>
        <w:keepNext/>
      </w:pPr>
      <w:r w:rsidRPr="00CF79C6">
        <w:lastRenderedPageBreak/>
        <w:t xml:space="preserve">By ‘R was not foreseeable by </w:t>
      </w:r>
      <w:r w:rsidR="009F0A4F">
        <w:t>D</w:t>
      </w:r>
      <w:r w:rsidR="00AA5EDD">
        <w:t>’ the speaker might mean</w:t>
      </w:r>
      <w:r w:rsidRPr="00CF79C6">
        <w:t xml:space="preserve"> something more complex, such as the following: </w:t>
      </w:r>
    </w:p>
    <w:p w14:paraId="39E6E7A8" w14:textId="72B5FD3B" w:rsidR="00CF79C6" w:rsidRPr="00CF79C6" w:rsidRDefault="00CF79C6" w:rsidP="00CF79C6">
      <w:pPr>
        <w:numPr>
          <w:ilvl w:val="0"/>
          <w:numId w:val="3"/>
        </w:numPr>
      </w:pPr>
      <w:r w:rsidRPr="00CF79C6">
        <w:t xml:space="preserve">Someone other than </w:t>
      </w:r>
      <w:r w:rsidR="009F0A4F">
        <w:t>D</w:t>
      </w:r>
      <w:r w:rsidRPr="00CF79C6">
        <w:t xml:space="preserve"> </w:t>
      </w:r>
      <w:r w:rsidR="009F0A4F" w:rsidRPr="00AA5EDD">
        <w:rPr>
          <w:i/>
        </w:rPr>
        <w:t>has</w:t>
      </w:r>
      <w:r w:rsidRPr="00AA5EDD">
        <w:rPr>
          <w:i/>
        </w:rPr>
        <w:t xml:space="preserve"> foreseen</w:t>
      </w:r>
      <w:r w:rsidRPr="00CF79C6">
        <w:t xml:space="preserve"> R (factive), </w:t>
      </w:r>
    </w:p>
    <w:p w14:paraId="6A51E55B" w14:textId="62104698" w:rsidR="00CF79C6" w:rsidRPr="00CF79C6" w:rsidRDefault="00CF79C6" w:rsidP="00CF79C6">
      <w:pPr>
        <w:numPr>
          <w:ilvl w:val="0"/>
          <w:numId w:val="3"/>
        </w:numPr>
      </w:pPr>
      <w:r w:rsidRPr="00CF79C6">
        <w:t xml:space="preserve">but R’s probability and severity of harm </w:t>
      </w:r>
      <w:r w:rsidRPr="00AA5EDD">
        <w:rPr>
          <w:i/>
        </w:rPr>
        <w:t>were not so great</w:t>
      </w:r>
      <w:r w:rsidRPr="00CF79C6">
        <w:t xml:space="preserve"> (factive but</w:t>
      </w:r>
      <w:r w:rsidR="00AA5EDD">
        <w:t>, because</w:t>
      </w:r>
      <w:r w:rsidRPr="00CF79C6">
        <w:t xml:space="preserve"> subjective</w:t>
      </w:r>
      <w:r w:rsidR="00AA5EDD">
        <w:t>, inevitably</w:t>
      </w:r>
      <w:r w:rsidR="009F0A4F">
        <w:t xml:space="preserve"> </w:t>
      </w:r>
      <w:r w:rsidR="0089696B">
        <w:t>attributive</w:t>
      </w:r>
      <w:r w:rsidRPr="00CF79C6">
        <w:t xml:space="preserve">) </w:t>
      </w:r>
    </w:p>
    <w:p w14:paraId="62D8BF47" w14:textId="05CBD27C" w:rsidR="00CF79C6" w:rsidRPr="00CF79C6" w:rsidRDefault="00CF79C6" w:rsidP="00CF79C6">
      <w:pPr>
        <w:numPr>
          <w:ilvl w:val="0"/>
          <w:numId w:val="3"/>
        </w:numPr>
      </w:pPr>
      <w:r w:rsidRPr="00CF79C6">
        <w:t xml:space="preserve">that someone in </w:t>
      </w:r>
      <w:r w:rsidR="009F0A4F">
        <w:t>D</w:t>
      </w:r>
      <w:r w:rsidRPr="00CF79C6">
        <w:t xml:space="preserve">’s position </w:t>
      </w:r>
      <w:r w:rsidRPr="00AA5EDD">
        <w:rPr>
          <w:i/>
        </w:rPr>
        <w:t xml:space="preserve">ought to have foreseen </w:t>
      </w:r>
      <w:r w:rsidRPr="009163DC">
        <w:t>it</w:t>
      </w:r>
      <w:r w:rsidRPr="00CF79C6">
        <w:t xml:space="preserve"> (</w:t>
      </w:r>
      <w:r w:rsidR="0089696B">
        <w:t>attributive</w:t>
      </w:r>
      <w:r w:rsidRPr="00CF79C6">
        <w:t xml:space="preserve">). </w:t>
      </w:r>
    </w:p>
    <w:p w14:paraId="302F0439" w14:textId="0A113A58" w:rsidR="00CF79C6" w:rsidRDefault="00CF79C6" w:rsidP="00CF79C6">
      <w:r w:rsidRPr="00CF79C6">
        <w:t xml:space="preserve">Thus in </w:t>
      </w:r>
      <w:r w:rsidRPr="00CF79C6">
        <w:rPr>
          <w:i/>
        </w:rPr>
        <w:t>Roe</w:t>
      </w:r>
      <w:r w:rsidRPr="00CF79C6">
        <w:t xml:space="preserve"> v </w:t>
      </w:r>
      <w:r w:rsidRPr="00CF79C6">
        <w:rPr>
          <w:i/>
        </w:rPr>
        <w:t>Minister of Health</w:t>
      </w:r>
      <w:r w:rsidRPr="00CF79C6">
        <w:t>,</w:t>
      </w:r>
      <w:r w:rsidRPr="00CF79C6">
        <w:rPr>
          <w:vertAlign w:val="superscript"/>
        </w:rPr>
        <w:footnoteReference w:id="53"/>
      </w:r>
      <w:r w:rsidRPr="00CF79C6">
        <w:t xml:space="preserve"> </w:t>
      </w:r>
      <w:r w:rsidR="009F0A4F">
        <w:t>D’s</w:t>
      </w:r>
      <w:r w:rsidRPr="00CF79C6">
        <w:t xml:space="preserve"> anaesthetist, was aware of a contamination risk and therefore checked each ampoule </w:t>
      </w:r>
      <w:r w:rsidR="00F77330">
        <w:t xml:space="preserve">of anaesthetic </w:t>
      </w:r>
      <w:r w:rsidRPr="00CF79C6">
        <w:t>visually for cracks</w:t>
      </w:r>
      <w:r w:rsidR="00F77330">
        <w:t>. B</w:t>
      </w:r>
      <w:r w:rsidR="009F0A4F">
        <w:t xml:space="preserve">ut </w:t>
      </w:r>
      <w:r w:rsidR="00F77330">
        <w:t xml:space="preserve">he </w:t>
      </w:r>
      <w:r w:rsidR="009F0A4F">
        <w:t>was un</w:t>
      </w:r>
      <w:r w:rsidRPr="00CF79C6">
        <w:t xml:space="preserve">aware of the </w:t>
      </w:r>
      <w:r w:rsidR="0076410A">
        <w:t xml:space="preserve">identified but little known </w:t>
      </w:r>
      <w:r w:rsidRPr="00CF79C6">
        <w:t xml:space="preserve">risk of </w:t>
      </w:r>
      <w:r w:rsidR="00F77330">
        <w:t xml:space="preserve">invisible </w:t>
      </w:r>
      <w:r w:rsidRPr="00CF79C6">
        <w:t>hairline cracking</w:t>
      </w:r>
      <w:r w:rsidR="009F0A4F">
        <w:t xml:space="preserve"> </w:t>
      </w:r>
      <w:r w:rsidR="0076410A">
        <w:t>through</w:t>
      </w:r>
      <w:r w:rsidR="009F0A4F">
        <w:t xml:space="preserve"> which the </w:t>
      </w:r>
      <w:r w:rsidR="0076410A">
        <w:t>anaesthetic beca</w:t>
      </w:r>
      <w:r w:rsidR="009F0A4F">
        <w:t>me contaminated</w:t>
      </w:r>
      <w:r w:rsidR="00F864F3">
        <w:t xml:space="preserve"> and caused</w:t>
      </w:r>
      <w:r w:rsidR="0076410A" w:rsidRPr="00CF79C6">
        <w:t xml:space="preserve"> the claimants’ paralysis</w:t>
      </w:r>
      <w:r w:rsidR="0076410A">
        <w:t xml:space="preserve">. Having been foreseen by some experts, the hairline risk was factively foreseeable but it was only with the later </w:t>
      </w:r>
      <w:r w:rsidR="0076410A" w:rsidRPr="00CF79C6">
        <w:t xml:space="preserve">UK publication of Macintosh’s </w:t>
      </w:r>
      <w:r w:rsidR="0076410A" w:rsidRPr="00CF79C6">
        <w:rPr>
          <w:i/>
        </w:rPr>
        <w:t>Lumbar Puncture and Spinal Anaesthesia</w:t>
      </w:r>
      <w:r w:rsidR="0076410A" w:rsidRPr="00CF79C6">
        <w:t xml:space="preserve"> </w:t>
      </w:r>
      <w:r w:rsidR="0076410A">
        <w:t>that it became</w:t>
      </w:r>
      <w:r w:rsidR="0076410A" w:rsidRPr="00CF79C6">
        <w:t xml:space="preserve"> widely known amongst UK-based anaesthetists.</w:t>
      </w:r>
      <w:r w:rsidR="0076410A">
        <w:rPr>
          <w:rStyle w:val="FootnoteReference"/>
        </w:rPr>
        <w:footnoteReference w:id="54"/>
      </w:r>
      <w:r w:rsidR="0076410A" w:rsidRPr="00CF79C6">
        <w:t xml:space="preserve"> </w:t>
      </w:r>
      <w:r w:rsidRPr="00CF79C6">
        <w:t xml:space="preserve">Factive foreseeability embraced far more than the court was prepared to accept as the anaesthetist’s </w:t>
      </w:r>
      <w:r w:rsidRPr="00F77330">
        <w:rPr>
          <w:i/>
        </w:rPr>
        <w:t>fault</w:t>
      </w:r>
      <w:r w:rsidRPr="00CF79C6">
        <w:t>. Folk morality does not hold D responsible just because foresight of the risk that materialised was within the range of human imaginati</w:t>
      </w:r>
      <w:r w:rsidR="00AA5EDD">
        <w:t>on</w:t>
      </w:r>
      <w:r w:rsidRPr="00CF79C6">
        <w:t>. We sense that the factive foreseeability filter is too coarse.</w:t>
      </w:r>
    </w:p>
    <w:p w14:paraId="5A60B663" w14:textId="6C318F81" w:rsidR="00FF3B11" w:rsidRDefault="00FF3B11" w:rsidP="00E425A2">
      <w:pPr>
        <w:pStyle w:val="Heading2"/>
      </w:pPr>
      <w:bookmarkStart w:id="25" w:name="_Toc428515798"/>
      <w:r>
        <w:t>D</w:t>
      </w:r>
      <w:r>
        <w:tab/>
        <w:t>Algorithmic discipline</w:t>
      </w:r>
      <w:bookmarkEnd w:id="25"/>
    </w:p>
    <w:p w14:paraId="4B41DC0A" w14:textId="4E7042B7" w:rsidR="00FF3B11" w:rsidRDefault="00FF3B11" w:rsidP="00FF3B11">
      <w:r>
        <w:t>Imagine legal reasoning that is conceptually sequenced</w:t>
      </w:r>
      <w:r w:rsidR="00AA5EDD">
        <w:rPr>
          <w:rStyle w:val="FootnoteReference"/>
        </w:rPr>
        <w:footnoteReference w:id="55"/>
      </w:r>
      <w:r>
        <w:t>—as in an algorithm. The verdict</w:t>
      </w:r>
      <w:r w:rsidR="00CF49E3">
        <w:t xml:space="preserve"> at</w:t>
      </w:r>
      <w:r>
        <w:t xml:space="preserve"> Q1 determines whether Q2</w:t>
      </w:r>
      <w:r w:rsidR="00F31415">
        <w:t xml:space="preserve"> </w:t>
      </w:r>
      <w:r>
        <w:t>or the end of the claim is next—and so on stage by stage. The factors—evidential and evaluati</w:t>
      </w:r>
      <w:r w:rsidR="00BE1537">
        <w:t>ve, not randomly selected but</w:t>
      </w:r>
      <w:r>
        <w:t xml:space="preserve"> prescribed by the question—considered in resolving Q1 contribute to, b</w:t>
      </w:r>
      <w:r w:rsidR="003A538C">
        <w:t>ut do not appear on the face of</w:t>
      </w:r>
      <w:r w:rsidR="00F864F3">
        <w:t>,</w:t>
      </w:r>
      <w:r>
        <w:t xml:space="preserve"> the Q1 verdict, which has a binary yes/no quality. Verdicts are conclusion</w:t>
      </w:r>
      <w:r w:rsidR="003A538C">
        <w:t>s and not in themselves reasons.</w:t>
      </w:r>
      <w:r>
        <w:t xml:space="preserve"> </w:t>
      </w:r>
    </w:p>
    <w:p w14:paraId="147FED38" w14:textId="5470990A" w:rsidR="00FF3B11" w:rsidRDefault="003A538C" w:rsidP="00FF3B11">
      <w:r>
        <w:t xml:space="preserve">In </w:t>
      </w:r>
      <w:r w:rsidR="00EA137E">
        <w:t xml:space="preserve">the </w:t>
      </w:r>
      <w:r>
        <w:t>negligence</w:t>
      </w:r>
      <w:r w:rsidR="00EA137E">
        <w:t xml:space="preserve"> tort</w:t>
      </w:r>
      <w:r>
        <w:t xml:space="preserve">, </w:t>
      </w:r>
      <w:r w:rsidR="00FF3B11">
        <w:t xml:space="preserve">Q1 might be the factive foreseeability filter and Q2 </w:t>
      </w:r>
      <w:r w:rsidR="00006042">
        <w:t xml:space="preserve">might address </w:t>
      </w:r>
      <w:r w:rsidR="0089696B">
        <w:t>attributive</w:t>
      </w:r>
      <w:r w:rsidR="00FF3B11">
        <w:t xml:space="preserve"> foreseeability.</w:t>
      </w:r>
      <w:r w:rsidR="00006042">
        <w:t xml:space="preserve"> A positive Q2 foreseeability verdict would conditionally determine the outcome in C’s favour. In this algorithmic mode</w:t>
      </w:r>
      <w:r w:rsidR="00BA4F1F">
        <w:t>,</w:t>
      </w:r>
      <w:r w:rsidR="00006042">
        <w:t xml:space="preserve"> a verdict at Q3 (or Q4</w:t>
      </w:r>
      <w:r w:rsidR="00F77330">
        <w:t>,</w:t>
      </w:r>
      <w:r w:rsidR="00006042">
        <w:t xml:space="preserve"> etc.) might favour D but only for reasons unconsidered in Q1 and Q2.</w:t>
      </w:r>
      <w:r>
        <w:t xml:space="preserve"> Thus, if Q3 is proximity, the factors considered </w:t>
      </w:r>
      <w:r w:rsidR="00CF49E3">
        <w:t xml:space="preserve">at Q3 </w:t>
      </w:r>
      <w:r w:rsidR="00F77330">
        <w:t>should</w:t>
      </w:r>
      <w:r>
        <w:t xml:space="preserve"> not have been expended in reaching the Q1 or Q2 verdicts. Similarly if</w:t>
      </w:r>
      <w:r w:rsidR="00CF49E3">
        <w:t>:</w:t>
      </w:r>
      <w:r>
        <w:t xml:space="preserve"> Q4 is the </w:t>
      </w:r>
      <w:r w:rsidRPr="003A538C">
        <w:rPr>
          <w:i/>
        </w:rPr>
        <w:t xml:space="preserve">Caparo </w:t>
      </w:r>
      <w:r>
        <w:t>trio—‘what is fair, just and reasonable?’</w:t>
      </w:r>
      <w:r w:rsidR="00CF49E3">
        <w:t>;</w:t>
      </w:r>
      <w:r>
        <w:rPr>
          <w:rStyle w:val="FootnoteReference"/>
        </w:rPr>
        <w:footnoteReference w:id="56"/>
      </w:r>
      <w:r>
        <w:t xml:space="preserve"> Q5 is ‘public policy’</w:t>
      </w:r>
      <w:r w:rsidR="00CF49E3">
        <w:t>;</w:t>
      </w:r>
      <w:bookmarkStart w:id="26" w:name="_Ref427306521"/>
      <w:r w:rsidR="00F77330" w:rsidRPr="00F77330">
        <w:rPr>
          <w:rStyle w:val="FootnoteReference"/>
        </w:rPr>
        <w:t xml:space="preserve"> </w:t>
      </w:r>
      <w:r w:rsidR="00F77330">
        <w:rPr>
          <w:rStyle w:val="FootnoteReference"/>
        </w:rPr>
        <w:footnoteReference w:id="57"/>
      </w:r>
      <w:bookmarkEnd w:id="26"/>
      <w:r w:rsidR="00CF49E3">
        <w:t xml:space="preserve"> and Q6 is remoteness</w:t>
      </w:r>
      <w:r>
        <w:t>.</w:t>
      </w:r>
    </w:p>
    <w:p w14:paraId="7ABD7520" w14:textId="38758573" w:rsidR="00D443F2" w:rsidRDefault="00D443F2" w:rsidP="00FF3B11">
      <w:r>
        <w:t>The algorithmic rule against double counting imposes uncongenial discipline</w:t>
      </w:r>
      <w:r w:rsidR="00F864F3">
        <w:rPr>
          <w:rStyle w:val="FootnoteReference"/>
        </w:rPr>
        <w:footnoteReference w:id="58"/>
      </w:r>
      <w:r w:rsidR="00EA137E">
        <w:t xml:space="preserve"> </w:t>
      </w:r>
      <w:r w:rsidR="00824353">
        <w:t xml:space="preserve">of a kind that </w:t>
      </w:r>
      <w:r w:rsidR="00CF49E3">
        <w:t>was</w:t>
      </w:r>
      <w:r>
        <w:t xml:space="preserve"> rejected when </w:t>
      </w:r>
      <w:r w:rsidRPr="00D443F2">
        <w:rPr>
          <w:i/>
        </w:rPr>
        <w:t>Anns</w:t>
      </w:r>
      <w:r>
        <w:t xml:space="preserve"> v </w:t>
      </w:r>
      <w:r w:rsidRPr="00D443F2">
        <w:rPr>
          <w:i/>
        </w:rPr>
        <w:t>Merton</w:t>
      </w:r>
      <w:r>
        <w:t xml:space="preserve"> was overruled.</w:t>
      </w:r>
      <w:r>
        <w:rPr>
          <w:rStyle w:val="FootnoteReference"/>
        </w:rPr>
        <w:footnoteReference w:id="59"/>
      </w:r>
      <w:r>
        <w:t xml:space="preserve"> </w:t>
      </w:r>
      <w:r w:rsidR="00824353">
        <w:t xml:space="preserve">Whilst judges value the covert flexibility of their </w:t>
      </w:r>
      <w:r w:rsidR="00824353">
        <w:lastRenderedPageBreak/>
        <w:t>freedom to fudge</w:t>
      </w:r>
      <w:r>
        <w:t xml:space="preserve">, the </w:t>
      </w:r>
      <w:r w:rsidR="00824353">
        <w:t xml:space="preserve">fundamental </w:t>
      </w:r>
      <w:r>
        <w:t xml:space="preserve">problem with </w:t>
      </w:r>
      <w:r w:rsidRPr="00D443F2">
        <w:rPr>
          <w:i/>
        </w:rPr>
        <w:t>Anns</w:t>
      </w:r>
      <w:r>
        <w:t xml:space="preserve"> was that</w:t>
      </w:r>
      <w:r w:rsidR="00824353">
        <w:t xml:space="preserve"> it burdened</w:t>
      </w:r>
      <w:r>
        <w:t xml:space="preserve"> D </w:t>
      </w:r>
      <w:r w:rsidR="00824353">
        <w:t xml:space="preserve">with </w:t>
      </w:r>
      <w:r>
        <w:t xml:space="preserve">the </w:t>
      </w:r>
      <w:r w:rsidR="00EA137E">
        <w:t xml:space="preserve">case-by-case </w:t>
      </w:r>
      <w:r>
        <w:t>task of holding th</w:t>
      </w:r>
      <w:r w:rsidR="00824353">
        <w:t xml:space="preserve">e floodgates closed rather than giving </w:t>
      </w:r>
      <w:r>
        <w:t>C the task of pushing them ajar.</w:t>
      </w:r>
      <w:r w:rsidR="00EA137E">
        <w:t xml:space="preserve"> </w:t>
      </w:r>
    </w:p>
    <w:p w14:paraId="6DDE8709" w14:textId="2F28B62A" w:rsidR="00F31415" w:rsidRDefault="00F31415" w:rsidP="00E425A2">
      <w:pPr>
        <w:pStyle w:val="Heading2"/>
      </w:pPr>
      <w:bookmarkStart w:id="27" w:name="_Toc428515799"/>
      <w:r>
        <w:t>E</w:t>
      </w:r>
      <w:r>
        <w:tab/>
        <w:t>Overlapping Concepts</w:t>
      </w:r>
      <w:bookmarkEnd w:id="27"/>
    </w:p>
    <w:p w14:paraId="0F8D71B6" w14:textId="77777777" w:rsidR="00824353" w:rsidRDefault="00F31415" w:rsidP="00F31415">
      <w:r>
        <w:t xml:space="preserve">In the negligence model just postulated—factive foreseeability is Q1, </w:t>
      </w:r>
      <w:r w:rsidR="0089696B">
        <w:t>attributive</w:t>
      </w:r>
      <w:r w:rsidR="005F5F1B">
        <w:t xml:space="preserve"> foreseeability Q2,</w:t>
      </w:r>
      <w:r>
        <w:t xml:space="preserve"> proximity Q3</w:t>
      </w:r>
      <w:r w:rsidR="005F5F1B">
        <w:t>, etc.</w:t>
      </w:r>
      <w:r>
        <w:t xml:space="preserve">—algorithmic discipline requires a clear differentiation between foreseeability and proximity. However, in practice, proximity and foreseeability are </w:t>
      </w:r>
      <w:r w:rsidR="00551C2A">
        <w:t xml:space="preserve">such </w:t>
      </w:r>
      <w:r>
        <w:t>close relatives</w:t>
      </w:r>
      <w:r w:rsidR="00551C2A">
        <w:t xml:space="preserve"> that t</w:t>
      </w:r>
      <w:r>
        <w:t>hey might even be twins.</w:t>
      </w:r>
      <w:r w:rsidR="00B97FD2">
        <w:t xml:space="preserve"> </w:t>
      </w:r>
    </w:p>
    <w:p w14:paraId="052EAD19" w14:textId="404FF9EE" w:rsidR="00F31415" w:rsidRDefault="00E127E3" w:rsidP="00F31415">
      <w:r>
        <w:t xml:space="preserve">Linguistically </w:t>
      </w:r>
      <w:r w:rsidR="00B97FD2">
        <w:t xml:space="preserve">and in ordinary descriptive discourse </w:t>
      </w:r>
      <w:r>
        <w:t>they are not synonymous. ‘A is close to B’ does not entail that ‘A foresees B’</w:t>
      </w:r>
      <w:r w:rsidR="00B97FD2">
        <w:t xml:space="preserve">—and </w:t>
      </w:r>
      <w:r w:rsidR="00B97FD2" w:rsidRPr="00B97FD2">
        <w:rPr>
          <w:i/>
        </w:rPr>
        <w:t>vice versa</w:t>
      </w:r>
      <w:r w:rsidR="00B97FD2">
        <w:t xml:space="preserve">. </w:t>
      </w:r>
      <w:r w:rsidR="00F31415">
        <w:t>But</w:t>
      </w:r>
      <w:r w:rsidR="00B97FD2">
        <w:t>,</w:t>
      </w:r>
      <w:r w:rsidR="00F31415">
        <w:t xml:space="preserve"> </w:t>
      </w:r>
      <w:r w:rsidR="00B97FD2">
        <w:t xml:space="preserve">as </w:t>
      </w:r>
      <w:r w:rsidR="00B97FD2" w:rsidRPr="00DD423C">
        <w:rPr>
          <w:i/>
        </w:rPr>
        <w:t>verdicts</w:t>
      </w:r>
      <w:r w:rsidR="00B97FD2">
        <w:t xml:space="preserve"> issued in the practical context of </w:t>
      </w:r>
      <w:r w:rsidR="00F31415">
        <w:t>legal judgements, they</w:t>
      </w:r>
      <w:r w:rsidR="00B97FD2">
        <w:t xml:space="preserve"> can have the </w:t>
      </w:r>
      <w:r w:rsidR="00F31415">
        <w:t xml:space="preserve">same </w:t>
      </w:r>
      <w:r w:rsidR="00F31415" w:rsidRPr="00DD423C">
        <w:rPr>
          <w:i/>
        </w:rPr>
        <w:t>illocutionary</w:t>
      </w:r>
      <w:r w:rsidR="00F31415">
        <w:t xml:space="preserve"> force.</w:t>
      </w:r>
      <w:r w:rsidR="00B36616">
        <w:rPr>
          <w:rStyle w:val="FootnoteReference"/>
        </w:rPr>
        <w:footnoteReference w:id="60"/>
      </w:r>
      <w:r w:rsidR="00B97FD2">
        <w:t xml:space="preserve"> Consider</w:t>
      </w:r>
      <w:r w:rsidR="002E183D">
        <w:t>:</w:t>
      </w:r>
      <w:r w:rsidR="00B97FD2">
        <w:t xml:space="preserve"> ‘</w:t>
      </w:r>
      <w:r w:rsidR="00DD423C">
        <w:t xml:space="preserve">R to persons in C’s position is foreseeable by </w:t>
      </w:r>
      <w:r w:rsidR="00B97FD2">
        <w:t>persons in D’s position</w:t>
      </w:r>
      <w:r w:rsidR="00DD423C">
        <w:t>’</w:t>
      </w:r>
      <w:r w:rsidR="00B97FD2">
        <w:t xml:space="preserve">. </w:t>
      </w:r>
      <w:r w:rsidR="002E183D">
        <w:t>B</w:t>
      </w:r>
      <w:r w:rsidR="00DD423C">
        <w:t xml:space="preserve">ecause foreseeability is </w:t>
      </w:r>
      <w:r w:rsidR="00DD423C" w:rsidRPr="00F864F3">
        <w:rPr>
          <w:i/>
        </w:rPr>
        <w:t>transitive</w:t>
      </w:r>
      <w:r w:rsidR="002E183D">
        <w:t xml:space="preserve"> (it must have some object) and because </w:t>
      </w:r>
      <w:r w:rsidR="00DD423C">
        <w:t xml:space="preserve">one </w:t>
      </w:r>
      <w:r w:rsidR="00F864F3">
        <w:t xml:space="preserve">can only </w:t>
      </w:r>
      <w:r w:rsidR="00DD423C">
        <w:t xml:space="preserve">be proximate </w:t>
      </w:r>
      <w:r w:rsidR="00F864F3" w:rsidRPr="00F864F3">
        <w:rPr>
          <w:i/>
        </w:rPr>
        <w:t xml:space="preserve">in relation </w:t>
      </w:r>
      <w:r w:rsidR="00DD423C" w:rsidRPr="00F864F3">
        <w:rPr>
          <w:i/>
        </w:rPr>
        <w:t>to something</w:t>
      </w:r>
      <w:r w:rsidR="002E183D">
        <w:t>,</w:t>
      </w:r>
      <w:r w:rsidR="002E183D" w:rsidRPr="002E183D">
        <w:t xml:space="preserve"> </w:t>
      </w:r>
      <w:r w:rsidR="002E183D">
        <w:t>foreseeability and proximity are intertwined</w:t>
      </w:r>
      <w:r w:rsidR="00DD423C">
        <w:t>.</w:t>
      </w:r>
      <w:r w:rsidR="002E183D">
        <w:t xml:space="preserve"> Indeed, w</w:t>
      </w:r>
      <w:r w:rsidR="00DD423C">
        <w:t xml:space="preserve">hen used in legal verdicts, </w:t>
      </w:r>
      <w:r w:rsidR="002E183D">
        <w:t>they</w:t>
      </w:r>
      <w:r w:rsidR="00DD423C">
        <w:t xml:space="preserve"> share several key features</w:t>
      </w:r>
      <w:r w:rsidR="002E183D">
        <w:t>.</w:t>
      </w:r>
      <w:r w:rsidR="00DD423C">
        <w:t xml:space="preserve"> </w:t>
      </w:r>
    </w:p>
    <w:p w14:paraId="308B5C29" w14:textId="02FC197D" w:rsidR="002E183D" w:rsidRDefault="00E31053" w:rsidP="00824353">
      <w:pPr>
        <w:pStyle w:val="Heading3"/>
        <w:rPr>
          <w:rStyle w:val="Heading3Char"/>
          <w:i/>
        </w:rPr>
      </w:pPr>
      <w:bookmarkStart w:id="28" w:name="_Toc428515800"/>
      <w:r w:rsidRPr="00824353">
        <w:rPr>
          <w:rStyle w:val="Heading3Char"/>
          <w:i/>
        </w:rPr>
        <w:t>Functioning</w:t>
      </w:r>
      <w:r>
        <w:rPr>
          <w:rStyle w:val="Heading3Char"/>
          <w:i/>
        </w:rPr>
        <w:t xml:space="preserve"> ex post</w:t>
      </w:r>
      <w:bookmarkEnd w:id="28"/>
    </w:p>
    <w:p w14:paraId="0EA85EC1" w14:textId="029BE769" w:rsidR="009E360A" w:rsidRDefault="002E183D" w:rsidP="00F31415">
      <w:r>
        <w:t xml:space="preserve">We explore </w:t>
      </w:r>
      <w:r w:rsidR="00E31053">
        <w:t>this</w:t>
      </w:r>
      <w:r>
        <w:t xml:space="preserve"> more fully below. It suffices here to note that in the great majority of cases judges are looking back at past events </w:t>
      </w:r>
      <w:r w:rsidR="00E31053">
        <w:t>to determine</w:t>
      </w:r>
      <w:r>
        <w:t xml:space="preserve"> what was the case or ought to</w:t>
      </w:r>
      <w:r w:rsidR="009E360A">
        <w:t xml:space="preserve"> have been the case—</w:t>
      </w:r>
      <w:r>
        <w:t>‘A was close to B’</w:t>
      </w:r>
      <w:r w:rsidR="009E360A">
        <w:t>;</w:t>
      </w:r>
      <w:r>
        <w:t xml:space="preserve"> ‘</w:t>
      </w:r>
      <w:r w:rsidR="009E360A">
        <w:t xml:space="preserve">the reasonable person in A’s position would have foreseen R’. </w:t>
      </w:r>
      <w:r w:rsidR="00B36616">
        <w:t xml:space="preserve">Proximity can be </w:t>
      </w:r>
      <w:r w:rsidR="000851E8">
        <w:t>‘</w:t>
      </w:r>
      <w:r w:rsidR="00B36616">
        <w:t>found</w:t>
      </w:r>
      <w:r w:rsidR="00791587">
        <w:t>’</w:t>
      </w:r>
      <w:r w:rsidR="00F864F3">
        <w:t>,</w:t>
      </w:r>
      <w:r w:rsidR="00B36616">
        <w:t xml:space="preserve"> or not</w:t>
      </w:r>
      <w:r w:rsidR="00F864F3">
        <w:t>,</w:t>
      </w:r>
      <w:r w:rsidR="00B36616">
        <w:t xml:space="preserve"> in exactly the same way as, when </w:t>
      </w:r>
      <w:r w:rsidR="00F864F3">
        <w:t>judges</w:t>
      </w:r>
      <w:r w:rsidR="00B36616">
        <w:t xml:space="preserve"> think it </w:t>
      </w:r>
      <w:r w:rsidR="00B36616" w:rsidRPr="00B36616">
        <w:rPr>
          <w:i/>
        </w:rPr>
        <w:t>reasonable</w:t>
      </w:r>
      <w:r w:rsidR="00B36616">
        <w:t xml:space="preserve"> to do so,</w:t>
      </w:r>
      <w:r w:rsidR="0030139C">
        <w:t xml:space="preserve"> </w:t>
      </w:r>
      <w:r w:rsidR="0089696B">
        <w:t>attributive</w:t>
      </w:r>
      <w:r w:rsidR="0030139C">
        <w:t xml:space="preserve"> foreseeability is constructed</w:t>
      </w:r>
      <w:r w:rsidR="00B36616">
        <w:t xml:space="preserve"> </w:t>
      </w:r>
      <w:r w:rsidR="00B36616" w:rsidRPr="00B36616">
        <w:rPr>
          <w:i/>
        </w:rPr>
        <w:t>ex post</w:t>
      </w:r>
      <w:r w:rsidR="0030139C">
        <w:t>.</w:t>
      </w:r>
    </w:p>
    <w:p w14:paraId="17828E65" w14:textId="0B5840D9" w:rsidR="009E360A" w:rsidRDefault="009E360A" w:rsidP="00824353">
      <w:pPr>
        <w:pStyle w:val="Heading3"/>
      </w:pPr>
      <w:bookmarkStart w:id="29" w:name="_Toc428515801"/>
      <w:r>
        <w:rPr>
          <w:rStyle w:val="Heading3Char"/>
          <w:i/>
        </w:rPr>
        <w:t>Circularity</w:t>
      </w:r>
      <w:bookmarkEnd w:id="29"/>
    </w:p>
    <w:p w14:paraId="1340B8B5" w14:textId="72BB47DA" w:rsidR="009E360A" w:rsidRDefault="00E31053" w:rsidP="00F31415">
      <w:r>
        <w:t>Proximity</w:t>
      </w:r>
      <w:r w:rsidR="009E360A">
        <w:t xml:space="preserve"> verdi</w:t>
      </w:r>
      <w:r w:rsidR="00824353">
        <w:t>cts might seem vulnerable to this</w:t>
      </w:r>
      <w:r w:rsidR="009E360A">
        <w:t xml:space="preserve"> criticism</w:t>
      </w:r>
      <w:r w:rsidR="00824353">
        <w:t>.</w:t>
      </w:r>
      <w:r w:rsidR="009E360A">
        <w:t xml:space="preserve"> In </w:t>
      </w:r>
      <w:r w:rsidR="009E360A" w:rsidRPr="009E360A">
        <w:rPr>
          <w:i/>
        </w:rPr>
        <w:t>Michael</w:t>
      </w:r>
      <w:r w:rsidR="009E360A">
        <w:t xml:space="preserve">, </w:t>
      </w:r>
      <w:r w:rsidR="009E360A" w:rsidRPr="009E360A">
        <w:t>Lord Toulson [133] criticise</w:t>
      </w:r>
      <w:r w:rsidR="009E360A">
        <w:t>d</w:t>
      </w:r>
      <w:r w:rsidR="009E360A" w:rsidRPr="009E360A">
        <w:t xml:space="preserve"> Lord Kerr</w:t>
      </w:r>
      <w:r w:rsidR="009E360A">
        <w:t>’</w:t>
      </w:r>
      <w:r w:rsidR="0073728F">
        <w:t>s dissenting view—</w:t>
      </w:r>
      <w:r w:rsidR="009E360A">
        <w:t>that proximity could be established by</w:t>
      </w:r>
      <w:r w:rsidR="00E51C7D">
        <w:t>: (i)</w:t>
      </w:r>
      <w:r w:rsidR="009E360A">
        <w:t xml:space="preserve"> c</w:t>
      </w:r>
      <w:r w:rsidR="009E360A" w:rsidRPr="009E360A">
        <w:t>loseness</w:t>
      </w:r>
      <w:r w:rsidR="0073728F">
        <w:t xml:space="preserve"> of association between D and C</w:t>
      </w:r>
      <w:r w:rsidR="00E51C7D">
        <w:t>;</w:t>
      </w:r>
      <w:r w:rsidR="009E360A" w:rsidRPr="009E360A">
        <w:t xml:space="preserve"> </w:t>
      </w:r>
      <w:r w:rsidR="00E51C7D">
        <w:t xml:space="preserve">(ii) an </w:t>
      </w:r>
      <w:r w:rsidR="009E360A" w:rsidRPr="009E360A">
        <w:t>apparent R</w:t>
      </w:r>
      <w:r w:rsidR="0073728F">
        <w:t xml:space="preserve"> to C</w:t>
      </w:r>
      <w:r w:rsidR="00E51C7D">
        <w:t>;</w:t>
      </w:r>
      <w:r w:rsidR="009E360A" w:rsidRPr="009E360A">
        <w:t xml:space="preserve"> </w:t>
      </w:r>
      <w:r w:rsidR="00E51C7D">
        <w:t xml:space="preserve">and (iii) </w:t>
      </w:r>
      <w:r w:rsidR="009E360A" w:rsidRPr="009E360A">
        <w:t>D’s ability to avert R</w:t>
      </w:r>
      <w:r>
        <w:t>; (iv)</w:t>
      </w:r>
      <w:r w:rsidR="009E360A" w:rsidRPr="009E360A">
        <w:t xml:space="preserve"> without </w:t>
      </w:r>
      <w:r>
        <w:t xml:space="preserve">taking </w:t>
      </w:r>
      <w:r w:rsidR="009E360A" w:rsidRPr="009E360A">
        <w:t>excessive personal risk</w:t>
      </w:r>
      <w:r w:rsidR="006762F4">
        <w:rPr>
          <w:rStyle w:val="FootnoteReference"/>
        </w:rPr>
        <w:footnoteReference w:id="61"/>
      </w:r>
      <w:r w:rsidR="0073728F">
        <w:t>—</w:t>
      </w:r>
      <w:r w:rsidR="006762F4">
        <w:t xml:space="preserve">as </w:t>
      </w:r>
      <w:r w:rsidR="00253F18">
        <w:t xml:space="preserve">circular or tautological (i.e. there is proximity </w:t>
      </w:r>
      <w:r w:rsidR="00253F18" w:rsidRPr="00253F18">
        <w:rPr>
          <w:i/>
        </w:rPr>
        <w:t xml:space="preserve">iff </w:t>
      </w:r>
      <w:r w:rsidR="00253F18">
        <w:t>there is proximity).</w:t>
      </w:r>
      <w:r w:rsidR="006762F4">
        <w:rPr>
          <w:rStyle w:val="FootnoteReference"/>
        </w:rPr>
        <w:footnoteReference w:id="62"/>
      </w:r>
      <w:r w:rsidR="006762F4">
        <w:t xml:space="preserve"> </w:t>
      </w:r>
      <w:r w:rsidR="0073728F">
        <w:t>Lord Kerr responded,</w:t>
      </w:r>
    </w:p>
    <w:p w14:paraId="14BCEC33" w14:textId="31A7147C" w:rsidR="0073728F" w:rsidRPr="0073728F" w:rsidRDefault="0073728F" w:rsidP="0073728F">
      <w:pPr>
        <w:pStyle w:val="Quote"/>
      </w:pPr>
      <w:r w:rsidRPr="0073728F">
        <w:t xml:space="preserve">Proximity may in many cases add little to the concept of foreseeability but at root it reflects what Richardson J described in </w:t>
      </w:r>
      <w:r w:rsidRPr="0073728F">
        <w:rPr>
          <w:i/>
        </w:rPr>
        <w:t>South Pacific Manufacturing Co Ltd</w:t>
      </w:r>
      <w:r w:rsidRPr="0073728F">
        <w:t xml:space="preserve"> v </w:t>
      </w:r>
      <w:r w:rsidRPr="0073728F">
        <w:rPr>
          <w:i/>
        </w:rPr>
        <w:t>New Zealand Security Consultants &amp; Investigation Ltd</w:t>
      </w:r>
      <w:r w:rsidRPr="0073728F">
        <w:t xml:space="preserve"> [1992] 2 NZLR 282 at 306, as 'a balancing of the plaintiff's moral claim to compensation for avoidable harm and the defendant's moral claim to be protected from an undue burden of legal responsibility' which is exactly what has been the aim of the test for liability which I have proposed. For all, therefore, that the test of proximity may be described as circular, it still has a useful role to play. It is clear, for instance, that it was not present in the </w:t>
      </w:r>
      <w:r w:rsidRPr="0073728F">
        <w:rPr>
          <w:i/>
        </w:rPr>
        <w:t>Hill</w:t>
      </w:r>
      <w:r w:rsidRPr="0073728F">
        <w:t xml:space="preserve"> case.</w:t>
      </w:r>
      <w:bookmarkStart w:id="30" w:name="_Ref427319842"/>
      <w:r>
        <w:rPr>
          <w:rStyle w:val="FootnoteReference"/>
        </w:rPr>
        <w:footnoteReference w:id="63"/>
      </w:r>
      <w:bookmarkEnd w:id="30"/>
      <w:r w:rsidRPr="0073728F">
        <w:t xml:space="preserve"> There was, obviously, no </w:t>
      </w:r>
      <w:r w:rsidRPr="0073728F">
        <w:lastRenderedPageBreak/>
        <w:t>proximity between the police and a member of the public killed by a criminal whose whereabouts were unknown and who, apparently, randomly picked out his victim from the female population.</w:t>
      </w:r>
      <w:r>
        <w:rPr>
          <w:rStyle w:val="FootnoteReference"/>
        </w:rPr>
        <w:footnoteReference w:id="64"/>
      </w:r>
    </w:p>
    <w:p w14:paraId="521FE56F" w14:textId="5E4FB37B" w:rsidR="00DD423C" w:rsidRDefault="00253F18" w:rsidP="00F31415">
      <w:r>
        <w:t>But that</w:t>
      </w:r>
      <w:r w:rsidR="006B6E9C">
        <w:t xml:space="preserve"> so-called</w:t>
      </w:r>
      <w:r w:rsidR="00E51C7D">
        <w:t xml:space="preserve"> c</w:t>
      </w:r>
      <w:r w:rsidR="00DD423C">
        <w:t xml:space="preserve">ircularity </w:t>
      </w:r>
      <w:r w:rsidR="0047622F">
        <w:t xml:space="preserve">is </w:t>
      </w:r>
      <w:r w:rsidR="006B6E9C">
        <w:t>inherently</w:t>
      </w:r>
      <w:r w:rsidR="0088594E">
        <w:t xml:space="preserve"> </w:t>
      </w:r>
      <w:r w:rsidR="00DD423C">
        <w:t>characteristic of verdict</w:t>
      </w:r>
      <w:r w:rsidR="0088594E">
        <w:t>s</w:t>
      </w:r>
      <w:r w:rsidR="0047622F">
        <w:t xml:space="preserve">. ‘P is the winner’ </w:t>
      </w:r>
      <w:r w:rsidR="00147E8B">
        <w:t xml:space="preserve">is a verdict that </w:t>
      </w:r>
      <w:r w:rsidR="00E51C7D">
        <w:t>‘makes it so’</w:t>
      </w:r>
      <w:r w:rsidR="00E31053">
        <w:t xml:space="preserve"> that P is the </w:t>
      </w:r>
      <w:r w:rsidR="000234CC">
        <w:t>winner—a</w:t>
      </w:r>
      <w:r w:rsidR="00342520">
        <w:t>ccording to the unspoken</w:t>
      </w:r>
      <w:r w:rsidR="0047622F">
        <w:t xml:space="preserve"> background rules</w:t>
      </w:r>
      <w:r w:rsidR="00DD423C">
        <w:t xml:space="preserve"> </w:t>
      </w:r>
      <w:r w:rsidR="0047622F">
        <w:t>of racing</w:t>
      </w:r>
      <w:r w:rsidR="00E51C7D">
        <w:t>.</w:t>
      </w:r>
      <w:r w:rsidR="0047622F">
        <w:t xml:space="preserve"> </w:t>
      </w:r>
      <w:r w:rsidR="00E51C7D">
        <w:t>I</w:t>
      </w:r>
      <w:r w:rsidR="0047622F">
        <w:t>magine rules that award the prize to the person who takes longest.</w:t>
      </w:r>
    </w:p>
    <w:p w14:paraId="65A10257" w14:textId="7124B784" w:rsidR="0047622F" w:rsidRDefault="00DD423C" w:rsidP="00824353">
      <w:pPr>
        <w:pStyle w:val="Heading3"/>
      </w:pPr>
      <w:bookmarkStart w:id="31" w:name="_Toc428515802"/>
      <w:r>
        <w:t>F</w:t>
      </w:r>
      <w:r w:rsidR="00F31415">
        <w:t>active-</w:t>
      </w:r>
      <w:r w:rsidR="0089696B">
        <w:t>attributive</w:t>
      </w:r>
      <w:r w:rsidR="00F31415">
        <w:t xml:space="preserve"> ambivalence </w:t>
      </w:r>
      <w:r w:rsidR="0047622F">
        <w:t>and open-texture</w:t>
      </w:r>
      <w:bookmarkEnd w:id="31"/>
    </w:p>
    <w:p w14:paraId="1A3E78C0" w14:textId="29AC29E0" w:rsidR="00DD423C" w:rsidRDefault="00DD423C" w:rsidP="00F31415">
      <w:r w:rsidRPr="00DD423C">
        <w:t xml:space="preserve">Space-time proximity is an analogue of the factive foreseeability filter. If A is </w:t>
      </w:r>
      <w:r w:rsidR="00E51C7D">
        <w:t>spati</w:t>
      </w:r>
      <w:r w:rsidRPr="00DD423C">
        <w:t xml:space="preserve">ally and/or temporally too far away from B, System 1 folk morality will not deem them proximate. Being the other side of the world a hundred years ago is not factively proximate. But, </w:t>
      </w:r>
      <w:r w:rsidR="00A076B9">
        <w:t xml:space="preserve">just as with foreseeability, </w:t>
      </w:r>
      <w:r w:rsidRPr="00DD423C">
        <w:t xml:space="preserve">subjective judgement </w:t>
      </w:r>
      <w:r w:rsidR="00253F18">
        <w:t>is required—</w:t>
      </w:r>
      <w:r w:rsidRPr="00DD423C">
        <w:t xml:space="preserve">and that allows in the </w:t>
      </w:r>
      <w:r w:rsidR="0089696B">
        <w:t>attributive</w:t>
      </w:r>
      <w:r w:rsidRPr="00DD423C">
        <w:t xml:space="preserve">. The front row of the lecture theatre </w:t>
      </w:r>
      <w:r w:rsidR="0047622F">
        <w:t>is</w:t>
      </w:r>
      <w:r w:rsidRPr="00DD423C">
        <w:t xml:space="preserve"> proximate to the lectern, but</w:t>
      </w:r>
      <w:r w:rsidR="00A076B9">
        <w:t xml:space="preserve"> what of</w:t>
      </w:r>
      <w:r w:rsidRPr="00DD423C">
        <w:t xml:space="preserve"> the back row when the lecturer sneezes violently and spreads Seve</w:t>
      </w:r>
      <w:r w:rsidR="0047622F">
        <w:t xml:space="preserve">re Acute Respiratory Syndrome? </w:t>
      </w:r>
    </w:p>
    <w:p w14:paraId="60ED0ED6" w14:textId="6D74793D" w:rsidR="00A076B9" w:rsidRDefault="00A076B9" w:rsidP="00824353">
      <w:pPr>
        <w:pStyle w:val="Heading3"/>
      </w:pPr>
      <w:bookmarkStart w:id="32" w:name="_Toc428515803"/>
      <w:r>
        <w:t>Risk, R</w:t>
      </w:r>
      <w:r w:rsidR="00DD423C">
        <w:t>elationality</w:t>
      </w:r>
      <w:r>
        <w:t xml:space="preserve"> and Cause</w:t>
      </w:r>
      <w:bookmarkEnd w:id="32"/>
      <w:r w:rsidR="00DD423C">
        <w:t xml:space="preserve"> </w:t>
      </w:r>
    </w:p>
    <w:p w14:paraId="79FF2EC9" w14:textId="0CF353F7" w:rsidR="00F31415" w:rsidRDefault="00E31053" w:rsidP="00F31415">
      <w:r>
        <w:t>‘</w:t>
      </w:r>
      <w:r w:rsidR="00E51C7D">
        <w:t>R = probability X severity</w:t>
      </w:r>
      <w:r>
        <w:t>.’ B</w:t>
      </w:r>
      <w:r w:rsidR="00A076B9">
        <w:t xml:space="preserve">oth foreseeability and proximity </w:t>
      </w:r>
      <w:r w:rsidR="007A5879">
        <w:t>can be invoked when considering</w:t>
      </w:r>
      <w:r w:rsidR="00A076B9">
        <w:t xml:space="preserve"> the probability element of risk allocation. </w:t>
      </w:r>
      <w:r w:rsidR="007A5879">
        <w:t xml:space="preserve">For D to be held responsible, </w:t>
      </w:r>
      <w:r w:rsidR="00A076B9" w:rsidRPr="00A076B9">
        <w:t xml:space="preserve">R to persons in C’s position </w:t>
      </w:r>
      <w:r w:rsidR="007A5879">
        <w:t xml:space="preserve">must be deemed </w:t>
      </w:r>
      <w:r w:rsidR="008D5BE4">
        <w:t xml:space="preserve">sufficiently probable </w:t>
      </w:r>
      <w:r w:rsidR="007A5879">
        <w:t xml:space="preserve">to be </w:t>
      </w:r>
      <w:r w:rsidR="00A076B9" w:rsidRPr="00723FE7">
        <w:rPr>
          <w:i/>
        </w:rPr>
        <w:t>foresee</w:t>
      </w:r>
      <w:r w:rsidR="00723FE7" w:rsidRPr="00723FE7">
        <w:rPr>
          <w:i/>
        </w:rPr>
        <w:t>able</w:t>
      </w:r>
      <w:r w:rsidR="00723FE7">
        <w:t xml:space="preserve"> by p</w:t>
      </w:r>
      <w:r w:rsidR="00253F18">
        <w:t>ersons in D’s position. That</w:t>
      </w:r>
      <w:r w:rsidR="00723FE7">
        <w:t xml:space="preserve"> </w:t>
      </w:r>
      <w:r w:rsidR="007A5879" w:rsidRPr="00723FE7">
        <w:rPr>
          <w:i/>
        </w:rPr>
        <w:t>entail</w:t>
      </w:r>
      <w:r w:rsidR="00253F18">
        <w:rPr>
          <w:i/>
        </w:rPr>
        <w:t>s</w:t>
      </w:r>
      <w:r w:rsidR="007A5879">
        <w:t xml:space="preserve"> </w:t>
      </w:r>
      <w:r w:rsidR="00A076B9">
        <w:t>that the relationship between C and D be</w:t>
      </w:r>
      <w:r>
        <w:t>, in some sense,</w:t>
      </w:r>
      <w:r w:rsidR="00A076B9">
        <w:t xml:space="preserve"> </w:t>
      </w:r>
      <w:r w:rsidR="00723FE7">
        <w:t xml:space="preserve">sufficiently </w:t>
      </w:r>
      <w:r w:rsidR="00A076B9" w:rsidRPr="00723FE7">
        <w:rPr>
          <w:i/>
        </w:rPr>
        <w:t>close</w:t>
      </w:r>
      <w:r w:rsidR="00A076B9">
        <w:t>.</w:t>
      </w:r>
      <w:r w:rsidR="00EA7227">
        <w:rPr>
          <w:rStyle w:val="FootnoteReference"/>
        </w:rPr>
        <w:footnoteReference w:id="65"/>
      </w:r>
      <w:r w:rsidR="008D5BE4">
        <w:t xml:space="preserve"> Furthermore, </w:t>
      </w:r>
      <w:r>
        <w:t xml:space="preserve">to determine whether </w:t>
      </w:r>
      <w:r w:rsidR="00F31415">
        <w:t>R is of some</w:t>
      </w:r>
      <w:r w:rsidR="008D5BE4">
        <w:t xml:space="preserve"> class of harm </w:t>
      </w:r>
      <w:r w:rsidR="00F31415">
        <w:t xml:space="preserve">being </w:t>
      </w:r>
      <w:r w:rsidR="00F31415" w:rsidRPr="008D5BE4">
        <w:rPr>
          <w:i/>
        </w:rPr>
        <w:t>caused</w:t>
      </w:r>
      <w:r w:rsidR="00E6564D">
        <w:t xml:space="preserve"> to C or</w:t>
      </w:r>
      <w:r w:rsidR="00F31415">
        <w:t xml:space="preserve"> </w:t>
      </w:r>
      <w:r w:rsidR="00E6564D">
        <w:t xml:space="preserve">to a </w:t>
      </w:r>
      <w:r w:rsidR="00F31415">
        <w:t>class to which C belonged</w:t>
      </w:r>
      <w:r>
        <w:t xml:space="preserve">, we </w:t>
      </w:r>
      <w:r w:rsidR="00E6564D">
        <w:t xml:space="preserve">often </w:t>
      </w:r>
      <w:r>
        <w:t>use</w:t>
      </w:r>
      <w:r w:rsidR="008D5BE4">
        <w:t xml:space="preserve"> the </w:t>
      </w:r>
      <w:r w:rsidR="00723FE7">
        <w:t xml:space="preserve">interpretive </w:t>
      </w:r>
      <w:r w:rsidR="008D5BE4">
        <w:t>expression</w:t>
      </w:r>
      <w:r w:rsidR="0047622F">
        <w:t xml:space="preserve"> </w:t>
      </w:r>
      <w:r w:rsidR="0047622F" w:rsidRPr="00A076B9">
        <w:rPr>
          <w:i/>
        </w:rPr>
        <w:t>proximate</w:t>
      </w:r>
      <w:r w:rsidR="0047622F" w:rsidRPr="00DD423C">
        <w:t xml:space="preserve"> </w:t>
      </w:r>
      <w:r w:rsidR="0047622F" w:rsidRPr="008D5BE4">
        <w:rPr>
          <w:i/>
        </w:rPr>
        <w:t>cause</w:t>
      </w:r>
      <w:r w:rsidR="008D5BE4">
        <w:t>.</w:t>
      </w:r>
      <w:r w:rsidR="0047622F" w:rsidRPr="008D5BE4">
        <w:t xml:space="preserve"> </w:t>
      </w:r>
    </w:p>
    <w:p w14:paraId="6E1B1C8F" w14:textId="5CE432B3" w:rsidR="00A11EBD" w:rsidRDefault="00A11EBD" w:rsidP="00F31415">
      <w:r>
        <w:t xml:space="preserve">In summary, Lord Oliver’s words about proximity </w:t>
      </w:r>
      <w:r w:rsidR="00E31053">
        <w:t xml:space="preserve">can be </w:t>
      </w:r>
      <w:r>
        <w:t>appl</w:t>
      </w:r>
      <w:r w:rsidR="00E31053">
        <w:t>ied</w:t>
      </w:r>
      <w:r>
        <w:t xml:space="preserve"> to </w:t>
      </w:r>
      <w:r w:rsidR="0089696B">
        <w:t>attributive</w:t>
      </w:r>
      <w:r w:rsidR="00723FE7">
        <w:t xml:space="preserve"> </w:t>
      </w:r>
      <w:r>
        <w:t>foreseeability.</w:t>
      </w:r>
    </w:p>
    <w:p w14:paraId="0B9961E8" w14:textId="280C7E7B" w:rsidR="00A11EBD" w:rsidRDefault="00A11EBD" w:rsidP="00A11EBD">
      <w:pPr>
        <w:pStyle w:val="Quote"/>
      </w:pPr>
      <w:r>
        <w:t>‘[I]</w:t>
      </w:r>
      <w:r w:rsidRPr="00A11EBD">
        <w:t>t has to be accepted that the concept of "proximity" is an artificial one which depends more upon the court's perception of what is the reasonable area for the imposition of liability than upon any logical process of analogical deduction.</w:t>
      </w:r>
      <w:r>
        <w:t>’</w:t>
      </w:r>
      <w:bookmarkStart w:id="33" w:name="_Ref428000118"/>
      <w:r w:rsidR="00BE23DF">
        <w:rPr>
          <w:rStyle w:val="FootnoteReference"/>
        </w:rPr>
        <w:footnoteReference w:id="66"/>
      </w:r>
      <w:bookmarkEnd w:id="33"/>
    </w:p>
    <w:p w14:paraId="23D70B92" w14:textId="78F2AB7D" w:rsidR="007148B9" w:rsidRDefault="007148B9" w:rsidP="00F31415">
      <w:r>
        <w:t xml:space="preserve">Proximity will be </w:t>
      </w:r>
      <w:r w:rsidR="00723FE7">
        <w:t>invoked</w:t>
      </w:r>
      <w:r w:rsidR="00AB2A38">
        <w:t xml:space="preserve"> </w:t>
      </w:r>
      <w:r>
        <w:t>when factive foreseeability is undeniable</w:t>
      </w:r>
      <w:r w:rsidR="00723FE7">
        <w:t>, making</w:t>
      </w:r>
      <w:r>
        <w:t xml:space="preserve"> proximity </w:t>
      </w:r>
      <w:r w:rsidR="00AB2A38">
        <w:t>the</w:t>
      </w:r>
      <w:r>
        <w:t xml:space="preserve"> more appropriate rhetorical tag for a policy-driven</w:t>
      </w:r>
      <w:r w:rsidR="00E6564D">
        <w:t>,</w:t>
      </w:r>
      <w:r>
        <w:t xml:space="preserve"> floodgates-locking</w:t>
      </w:r>
      <w:r w:rsidR="00E6564D">
        <w:t>,</w:t>
      </w:r>
      <w:r>
        <w:t xml:space="preserve"> limit o</w:t>
      </w:r>
      <w:r w:rsidR="00723FE7">
        <w:t>n</w:t>
      </w:r>
      <w:r>
        <w:t xml:space="preserve"> </w:t>
      </w:r>
      <w:r w:rsidR="00723FE7">
        <w:t xml:space="preserve">the liability of persons </w:t>
      </w:r>
      <w:r w:rsidR="00E6564D">
        <w:t>in the position of</w:t>
      </w:r>
      <w:r w:rsidR="00723FE7">
        <w:t xml:space="preserve"> D </w:t>
      </w:r>
      <w:r w:rsidR="00AB2A38">
        <w:t xml:space="preserve">to persons </w:t>
      </w:r>
      <w:r w:rsidR="00E6564D">
        <w:t xml:space="preserve">in the position of </w:t>
      </w:r>
      <w:r w:rsidR="00AB2A38">
        <w:t>C.</w:t>
      </w:r>
      <w:bookmarkStart w:id="34" w:name="_Ref427344279"/>
      <w:r w:rsidR="00AB2A38">
        <w:rPr>
          <w:rStyle w:val="FootnoteReference"/>
        </w:rPr>
        <w:footnoteReference w:id="67"/>
      </w:r>
      <w:bookmarkEnd w:id="34"/>
      <w:r w:rsidR="00B66594">
        <w:t xml:space="preserve"> </w:t>
      </w:r>
      <w:r w:rsidR="00AB2A38">
        <w:t>Folk morality does</w:t>
      </w:r>
      <w:r w:rsidR="00B36616">
        <w:t xml:space="preserve"> not readily appreciate that </w:t>
      </w:r>
      <w:r w:rsidR="0089696B">
        <w:t>attributive</w:t>
      </w:r>
      <w:r w:rsidR="00B36616">
        <w:t xml:space="preserve"> foreseeability is but window-dressing for a</w:t>
      </w:r>
      <w:r w:rsidR="00AB2A38">
        <w:t xml:space="preserve">n </w:t>
      </w:r>
      <w:r w:rsidR="00AB2A38" w:rsidRPr="00AB2A38">
        <w:rPr>
          <w:i/>
        </w:rPr>
        <w:t>ex post</w:t>
      </w:r>
      <w:r w:rsidR="00B36616">
        <w:t xml:space="preserve"> judicial verdict that it is </w:t>
      </w:r>
      <w:r w:rsidR="00B36616" w:rsidRPr="00B36616">
        <w:rPr>
          <w:i/>
        </w:rPr>
        <w:t>(un)reasonable</w:t>
      </w:r>
      <w:r w:rsidR="00B36616">
        <w:t xml:space="preserve"> to hold D responsible.</w:t>
      </w:r>
    </w:p>
    <w:p w14:paraId="0ABE631A" w14:textId="12AD8EE4" w:rsidR="00E52CCC" w:rsidRDefault="00E31053" w:rsidP="00D01F34">
      <w:pPr>
        <w:pStyle w:val="Heading1"/>
      </w:pPr>
      <w:bookmarkStart w:id="35" w:name="_Toc428515804"/>
      <w:r>
        <w:t>Case Studies</w:t>
      </w:r>
      <w:bookmarkEnd w:id="35"/>
    </w:p>
    <w:p w14:paraId="17E79753" w14:textId="3A5D2ACE" w:rsidR="00D01F34" w:rsidRDefault="00D01F34" w:rsidP="00E425A2">
      <w:pPr>
        <w:pStyle w:val="Heading2"/>
      </w:pPr>
      <w:bookmarkStart w:id="36" w:name="_Toc428515805"/>
      <w:r>
        <w:t>Rhodes v OPO</w:t>
      </w:r>
      <w:bookmarkEnd w:id="36"/>
    </w:p>
    <w:p w14:paraId="38561A22" w14:textId="5E6733A1" w:rsidR="00866532" w:rsidRPr="00866532" w:rsidRDefault="00866532" w:rsidP="00AB2A38">
      <w:pPr>
        <w:keepNext/>
      </w:pPr>
      <w:r>
        <w:t xml:space="preserve">In </w:t>
      </w:r>
      <w:r w:rsidRPr="00866532">
        <w:rPr>
          <w:i/>
        </w:rPr>
        <w:t>Rhodes</w:t>
      </w:r>
      <w:r>
        <w:t xml:space="preserve">, a claim under the </w:t>
      </w:r>
      <w:r w:rsidRPr="00866532">
        <w:rPr>
          <w:i/>
        </w:rPr>
        <w:t>Wilkinson</w:t>
      </w:r>
      <w:r>
        <w:t xml:space="preserve"> v </w:t>
      </w:r>
      <w:r w:rsidRPr="00866532">
        <w:rPr>
          <w:i/>
        </w:rPr>
        <w:t>Downton</w:t>
      </w:r>
      <w:bookmarkStart w:id="37" w:name="_Ref427597390"/>
      <w:r w:rsidR="00941294" w:rsidRPr="00941294">
        <w:rPr>
          <w:rStyle w:val="FootnoteReference"/>
        </w:rPr>
        <w:footnoteReference w:id="68"/>
      </w:r>
      <w:bookmarkEnd w:id="37"/>
      <w:r>
        <w:t xml:space="preserve"> principle, </w:t>
      </w:r>
      <w:r w:rsidRPr="00866532">
        <w:t xml:space="preserve">Lady Hale and Lord Toulson </w:t>
      </w:r>
      <w:r w:rsidR="00F23B7C">
        <w:t>not</w:t>
      </w:r>
      <w:r w:rsidR="00C832A6">
        <w:t>ed</w:t>
      </w:r>
      <w:r w:rsidR="00F23B7C">
        <w:t>,</w:t>
      </w:r>
      <w:r w:rsidRPr="00866532">
        <w:t xml:space="preserve"> </w:t>
      </w:r>
    </w:p>
    <w:p w14:paraId="5A354A30" w14:textId="77777777" w:rsidR="00866532" w:rsidRPr="00866532" w:rsidRDefault="00866532" w:rsidP="00866532">
      <w:pPr>
        <w:pStyle w:val="Quote"/>
      </w:pPr>
      <w:r w:rsidRPr="00866532">
        <w:t xml:space="preserve">‘a critical difference, not always recognised in the authorities, between </w:t>
      </w:r>
      <w:r w:rsidRPr="00866532">
        <w:rPr>
          <w:i/>
        </w:rPr>
        <w:t>imputing</w:t>
      </w:r>
      <w:r w:rsidRPr="00866532">
        <w:t xml:space="preserve"> the existence of an intention as a matter of </w:t>
      </w:r>
      <w:r w:rsidRPr="00866532">
        <w:rPr>
          <w:i/>
        </w:rPr>
        <w:t>law</w:t>
      </w:r>
      <w:r w:rsidRPr="00866532">
        <w:t xml:space="preserve"> and </w:t>
      </w:r>
      <w:r w:rsidRPr="00866532">
        <w:rPr>
          <w:i/>
        </w:rPr>
        <w:t xml:space="preserve">inferring </w:t>
      </w:r>
      <w:r w:rsidRPr="00866532">
        <w:t xml:space="preserve">the existence of an intention as a matter of </w:t>
      </w:r>
      <w:r w:rsidRPr="00866532">
        <w:rPr>
          <w:i/>
        </w:rPr>
        <w:t>fact</w:t>
      </w:r>
      <w:r w:rsidRPr="00866532">
        <w:t xml:space="preserve">. Imputation of </w:t>
      </w:r>
      <w:r w:rsidRPr="00866532">
        <w:lastRenderedPageBreak/>
        <w:t>an intention by operation of a rule of law is a vestige of a previous age and has no proper role in the modern law of tort. It is unsound in principle.’</w:t>
      </w:r>
      <w:bookmarkStart w:id="38" w:name="_Ref427070674"/>
      <w:r w:rsidRPr="00866532">
        <w:rPr>
          <w:vertAlign w:val="superscript"/>
        </w:rPr>
        <w:footnoteReference w:id="69"/>
      </w:r>
      <w:bookmarkEnd w:id="38"/>
    </w:p>
    <w:p w14:paraId="19305C7D" w14:textId="569DE299" w:rsidR="00D01F34" w:rsidRDefault="00866532" w:rsidP="00D01F34">
      <w:r>
        <w:t>The</w:t>
      </w:r>
      <w:r w:rsidR="00C832A6">
        <w:t xml:space="preserve"> context of this declaration </w:t>
      </w:r>
      <w:r w:rsidR="00682B27">
        <w:t xml:space="preserve">of the legitimacy of </w:t>
      </w:r>
      <w:r w:rsidR="00682B27" w:rsidRPr="00682B27">
        <w:rPr>
          <w:i/>
        </w:rPr>
        <w:t>factive</w:t>
      </w:r>
      <w:r w:rsidR="00682B27">
        <w:t xml:space="preserve"> </w:t>
      </w:r>
      <w:r w:rsidR="00C832A6" w:rsidRPr="00682B27">
        <w:rPr>
          <w:i/>
        </w:rPr>
        <w:t>inference</w:t>
      </w:r>
      <w:r w:rsidR="00C832A6">
        <w:t xml:space="preserve"> </w:t>
      </w:r>
      <w:r w:rsidR="00682B27">
        <w:t xml:space="preserve">and the illegitimacy of </w:t>
      </w:r>
      <w:r w:rsidR="0089696B">
        <w:rPr>
          <w:i/>
        </w:rPr>
        <w:t>attributive</w:t>
      </w:r>
      <w:r w:rsidR="00682B27" w:rsidRPr="00682B27">
        <w:rPr>
          <w:i/>
        </w:rPr>
        <w:t xml:space="preserve"> </w:t>
      </w:r>
      <w:r w:rsidR="00C832A6" w:rsidRPr="00682B27">
        <w:rPr>
          <w:i/>
        </w:rPr>
        <w:t>imputation</w:t>
      </w:r>
      <w:r>
        <w:t xml:space="preserve"> was </w:t>
      </w:r>
      <w:r w:rsidR="00F95081">
        <w:t xml:space="preserve">a </w:t>
      </w:r>
      <w:r w:rsidR="00E31053">
        <w:t xml:space="preserve">judicial </w:t>
      </w:r>
      <w:r w:rsidR="00F95081">
        <w:t xml:space="preserve">determination </w:t>
      </w:r>
      <w:r>
        <w:t>to protect D’s freedom to publish his autobiography</w:t>
      </w:r>
      <w:r w:rsidR="002220CB">
        <w:t xml:space="preserve"> </w:t>
      </w:r>
      <w:r>
        <w:t xml:space="preserve">despite the </w:t>
      </w:r>
      <w:r w:rsidR="00F95081">
        <w:t>actually foreseen</w:t>
      </w:r>
      <w:r w:rsidR="00934E04">
        <w:t xml:space="preserve"> </w:t>
      </w:r>
      <w:r>
        <w:t>risk to the well-being of</w:t>
      </w:r>
      <w:r w:rsidR="00934E04">
        <w:t xml:space="preserve"> C,</w:t>
      </w:r>
      <w:r>
        <w:t xml:space="preserve"> D’s vulnerable </w:t>
      </w:r>
      <w:r w:rsidR="00934E04">
        <w:t xml:space="preserve">and estranged </w:t>
      </w:r>
      <w:r w:rsidR="002220CB">
        <w:t xml:space="preserve">young </w:t>
      </w:r>
      <w:r w:rsidR="00934E04">
        <w:t xml:space="preserve">son. </w:t>
      </w:r>
      <w:r w:rsidR="00F95081">
        <w:t>T</w:t>
      </w:r>
      <w:r w:rsidR="00934E04">
        <w:t>he Supreme Court held that</w:t>
      </w:r>
      <w:r w:rsidR="00934E04" w:rsidRPr="00934E04">
        <w:t xml:space="preserve"> </w:t>
      </w:r>
      <w:r w:rsidR="00934E04">
        <w:t xml:space="preserve">D was free to publish. </w:t>
      </w:r>
      <w:r w:rsidR="00F95081">
        <w:t xml:space="preserve">That </w:t>
      </w:r>
      <w:r w:rsidR="00934E04">
        <w:t xml:space="preserve">D was publishing </w:t>
      </w:r>
      <w:r w:rsidR="00D75EB0">
        <w:t xml:space="preserve">to a general readership, rather than </w:t>
      </w:r>
      <w:r w:rsidR="00F23B7C">
        <w:t>to C specifically</w:t>
      </w:r>
      <w:r w:rsidR="00D75EB0">
        <w:t>,</w:t>
      </w:r>
      <w:r w:rsidR="00F23B7C">
        <w:t xml:space="preserve"> apparently </w:t>
      </w:r>
      <w:r w:rsidR="00F95081">
        <w:t xml:space="preserve">meant that </w:t>
      </w:r>
      <w:r w:rsidR="00F23B7C">
        <w:t xml:space="preserve">D </w:t>
      </w:r>
      <w:r w:rsidR="00934E04">
        <w:t xml:space="preserve">lacked </w:t>
      </w:r>
      <w:r w:rsidR="00C832A6">
        <w:t xml:space="preserve">any </w:t>
      </w:r>
      <w:r w:rsidR="00934E04">
        <w:t>‘targeted intent’</w:t>
      </w:r>
      <w:r w:rsidR="00C832A6">
        <w:t xml:space="preserve"> to cause C distress.</w:t>
      </w:r>
      <w:bookmarkStart w:id="39" w:name="_Ref427599826"/>
      <w:r w:rsidR="00F23B7C">
        <w:rPr>
          <w:rStyle w:val="FootnoteReference"/>
        </w:rPr>
        <w:footnoteReference w:id="70"/>
      </w:r>
      <w:bookmarkEnd w:id="39"/>
      <w:r w:rsidR="00C832A6">
        <w:t xml:space="preserve"> Furthermore</w:t>
      </w:r>
      <w:r w:rsidR="00F95081">
        <w:t>,</w:t>
      </w:r>
      <w:r w:rsidR="00C832A6">
        <w:t xml:space="preserve"> </w:t>
      </w:r>
      <w:r w:rsidR="00F23B7C">
        <w:t xml:space="preserve">great weight was attributed to </w:t>
      </w:r>
      <w:r w:rsidR="00934E04">
        <w:t>freedom of ex</w:t>
      </w:r>
      <w:r w:rsidR="00F23B7C">
        <w:t>pression</w:t>
      </w:r>
      <w:r w:rsidR="00C832A6">
        <w:t xml:space="preserve">. The abolition of imputed intent </w:t>
      </w:r>
      <w:r w:rsidR="00D74770">
        <w:t>suggests</w:t>
      </w:r>
      <w:r w:rsidR="00C832A6">
        <w:t xml:space="preserve"> factivity but </w:t>
      </w:r>
      <w:r w:rsidR="003E1D98">
        <w:t xml:space="preserve">both </w:t>
      </w:r>
      <w:r w:rsidR="002220CB">
        <w:t>the heavy weight</w:t>
      </w:r>
      <w:r w:rsidR="003E1D98">
        <w:t xml:space="preserve">ing of </w:t>
      </w:r>
      <w:r w:rsidR="002220CB">
        <w:t xml:space="preserve">freedom of expression and </w:t>
      </w:r>
      <w:r w:rsidR="00C832A6">
        <w:t xml:space="preserve">the refusal to recognise that D could have two targets </w:t>
      </w:r>
      <w:r w:rsidR="002220CB">
        <w:t>are</w:t>
      </w:r>
      <w:r w:rsidR="00C832A6">
        <w:t xml:space="preserve"> </w:t>
      </w:r>
      <w:r w:rsidR="002220CB">
        <w:t xml:space="preserve">clearly </w:t>
      </w:r>
      <w:r w:rsidR="0089696B">
        <w:t>attributive</w:t>
      </w:r>
      <w:r w:rsidR="00C832A6">
        <w:t>.</w:t>
      </w:r>
    </w:p>
    <w:p w14:paraId="1B2E0391" w14:textId="35E52485" w:rsidR="00F95081" w:rsidRDefault="00FD7076" w:rsidP="00D01F34">
      <w:r>
        <w:t>Although, i</w:t>
      </w:r>
      <w:r w:rsidR="00F95081">
        <w:t xml:space="preserve">n </w:t>
      </w:r>
      <w:r w:rsidR="00F95081" w:rsidRPr="00F95081">
        <w:rPr>
          <w:i/>
        </w:rPr>
        <w:t>Wilkinson</w:t>
      </w:r>
      <w:r w:rsidR="00F95081">
        <w:t xml:space="preserve"> itself, Wright J </w:t>
      </w:r>
      <w:r w:rsidR="00F23B7C">
        <w:t xml:space="preserve">explicitly </w:t>
      </w:r>
      <w:r>
        <w:t>relied on imputation,</w:t>
      </w:r>
      <w:r w:rsidR="00F23B7C">
        <w:rPr>
          <w:rStyle w:val="FootnoteReference"/>
        </w:rPr>
        <w:footnoteReference w:id="71"/>
      </w:r>
      <w:r w:rsidR="00F95081">
        <w:t xml:space="preserve"> </w:t>
      </w:r>
      <w:r w:rsidR="00F95081" w:rsidRPr="00F95081">
        <w:rPr>
          <w:i/>
        </w:rPr>
        <w:t>Wilkinson</w:t>
      </w:r>
      <w:r w:rsidR="00F95081">
        <w:t xml:space="preserve"> was not overruled. Lord Neuberger explained </w:t>
      </w:r>
      <w:r>
        <w:t>that</w:t>
      </w:r>
      <w:r w:rsidR="00F95081">
        <w:t xml:space="preserve"> </w:t>
      </w:r>
      <w:r w:rsidR="00D74770" w:rsidRPr="00D74770">
        <w:t>it</w:t>
      </w:r>
      <w:r w:rsidR="00F95081">
        <w:t xml:space="preserve"> </w:t>
      </w:r>
      <w:r w:rsidR="00682B27">
        <w:t xml:space="preserve">can be </w:t>
      </w:r>
      <w:r w:rsidR="00F95081">
        <w:t xml:space="preserve">based </w:t>
      </w:r>
      <w:r w:rsidR="000572BD">
        <w:t xml:space="preserve">straightforwardly </w:t>
      </w:r>
      <w:r w:rsidR="00F95081">
        <w:t xml:space="preserve">on </w:t>
      </w:r>
      <w:r w:rsidR="00D74770">
        <w:t xml:space="preserve">(factive) </w:t>
      </w:r>
      <w:r w:rsidR="00F95081">
        <w:t xml:space="preserve">inference. </w:t>
      </w:r>
    </w:p>
    <w:p w14:paraId="2AC5CD56" w14:textId="02C0931E" w:rsidR="00682B27" w:rsidRDefault="00682B27" w:rsidP="00682B27">
      <w:pPr>
        <w:pStyle w:val="Quote"/>
      </w:pPr>
      <w:r w:rsidRPr="00682B27">
        <w:t>‘How</w:t>
      </w:r>
      <w:r w:rsidR="00D74770">
        <w:t>…</w:t>
      </w:r>
      <w:r w:rsidRPr="00682B27">
        <w:t xml:space="preserve">could Mr Downton not have intended to cause the apparently happily married Mrs Wilkinson significant distress by falsely telling her that her husband had been very seriously injured? That was the very purpose of the so-called joke. There are statements (and indeed actions) whose consequences or potential consequences are </w:t>
      </w:r>
      <w:r w:rsidRPr="00D74770">
        <w:rPr>
          <w:i/>
        </w:rPr>
        <w:t>so obvious that the perpetrator cannot realistically say that those consequences were unintended</w:t>
      </w:r>
      <w:r w:rsidRPr="00682B27">
        <w:t>.’</w:t>
      </w:r>
      <w:bookmarkStart w:id="40" w:name="_Ref427158679"/>
      <w:r w:rsidRPr="00682B27">
        <w:rPr>
          <w:vertAlign w:val="superscript"/>
        </w:rPr>
        <w:footnoteReference w:id="72"/>
      </w:r>
      <w:bookmarkEnd w:id="40"/>
    </w:p>
    <w:p w14:paraId="706A2D8C" w14:textId="75EFB030" w:rsidR="009E1B58" w:rsidRPr="009E1B58" w:rsidRDefault="009E1B58" w:rsidP="009E1B58">
      <w:r>
        <w:t xml:space="preserve">But if imputed intention is forbidden, why is negligence </w:t>
      </w:r>
      <w:r w:rsidR="006C4B9B">
        <w:t>imputed when D has not adverted at all to R</w:t>
      </w:r>
      <w:r>
        <w:t>?</w:t>
      </w:r>
    </w:p>
    <w:p w14:paraId="6F58DAE2" w14:textId="41E21372" w:rsidR="00D01F34" w:rsidRDefault="00D01F34" w:rsidP="00E425A2">
      <w:pPr>
        <w:pStyle w:val="Heading2"/>
      </w:pPr>
      <w:bookmarkStart w:id="41" w:name="_Toc428515806"/>
      <w:r>
        <w:t>Page</w:t>
      </w:r>
      <w:r w:rsidR="002E183D">
        <w:t xml:space="preserve"> v Smith</w:t>
      </w:r>
      <w:bookmarkEnd w:id="41"/>
    </w:p>
    <w:p w14:paraId="54DC0A63" w14:textId="77CFAE62" w:rsidR="00F337CE" w:rsidRPr="00F337CE" w:rsidRDefault="006A563C" w:rsidP="00F337CE">
      <w:r>
        <w:t>S</w:t>
      </w:r>
      <w:r w:rsidR="00F337CE" w:rsidRPr="00F337CE">
        <w:t xml:space="preserve">ome of the judicial language in </w:t>
      </w:r>
      <w:r w:rsidR="00F337CE" w:rsidRPr="00F337CE">
        <w:rPr>
          <w:i/>
        </w:rPr>
        <w:t>Page</w:t>
      </w:r>
      <w:r w:rsidR="00F337CE" w:rsidRPr="00F337CE">
        <w:t xml:space="preserve"> suggests that</w:t>
      </w:r>
      <w:r w:rsidR="00941294">
        <w:t>, in a negligence claim, C must prove D’s</w:t>
      </w:r>
      <w:r w:rsidR="00F337CE" w:rsidRPr="00F337CE">
        <w:t xml:space="preserve"> fact</w:t>
      </w:r>
      <w:r w:rsidR="005A362E">
        <w:t>ive</w:t>
      </w:r>
      <w:r w:rsidR="00F337CE" w:rsidRPr="00F337CE">
        <w:t xml:space="preserve"> </w:t>
      </w:r>
      <w:r w:rsidR="00F337CE" w:rsidRPr="00F1666D">
        <w:rPr>
          <w:i/>
        </w:rPr>
        <w:t>foresight</w:t>
      </w:r>
      <w:r w:rsidR="00F337CE" w:rsidRPr="00F337CE">
        <w:t>. Lord Lloyd said,</w:t>
      </w:r>
    </w:p>
    <w:p w14:paraId="18876391" w14:textId="77777777" w:rsidR="00F337CE" w:rsidRPr="00F337CE" w:rsidRDefault="00F337CE" w:rsidP="0096016F">
      <w:pPr>
        <w:pStyle w:val="Quote"/>
      </w:pPr>
      <w:r w:rsidRPr="00F337CE">
        <w:t xml:space="preserve">‘Before a defendant can be held liable for psychiatric injury suffered by a primary victim, he </w:t>
      </w:r>
      <w:r w:rsidRPr="00F337CE">
        <w:rPr>
          <w:i/>
        </w:rPr>
        <w:t>must at least have foreseen</w:t>
      </w:r>
      <w:r w:rsidRPr="00F337CE">
        <w:t xml:space="preserve"> the risk of physical injury.’</w:t>
      </w:r>
      <w:bookmarkStart w:id="42" w:name="_Ref427598225"/>
      <w:r w:rsidRPr="00F337CE">
        <w:rPr>
          <w:vertAlign w:val="superscript"/>
        </w:rPr>
        <w:footnoteReference w:id="73"/>
      </w:r>
      <w:bookmarkEnd w:id="42"/>
    </w:p>
    <w:p w14:paraId="1D035EDC" w14:textId="1499A495" w:rsidR="00F337CE" w:rsidRPr="00F337CE" w:rsidRDefault="002A3577" w:rsidP="005A362E">
      <w:r>
        <w:t>R</w:t>
      </w:r>
      <w:r w:rsidR="00B260BC">
        <w:t>ead literally</w:t>
      </w:r>
      <w:r w:rsidR="008C28A7">
        <w:t xml:space="preserve"> and in isolation</w:t>
      </w:r>
      <w:r w:rsidR="00B260BC">
        <w:t xml:space="preserve">, this amounts to an insistence that D must be </w:t>
      </w:r>
      <w:r w:rsidR="00FF5223">
        <w:t xml:space="preserve">proved </w:t>
      </w:r>
      <w:r w:rsidR="00B260BC" w:rsidRPr="005A362E">
        <w:rPr>
          <w:i/>
        </w:rPr>
        <w:t>rec</w:t>
      </w:r>
      <w:r w:rsidR="00A609A3" w:rsidRPr="005A362E">
        <w:rPr>
          <w:i/>
        </w:rPr>
        <w:t>k</w:t>
      </w:r>
      <w:r w:rsidR="00B260BC" w:rsidRPr="005A362E">
        <w:rPr>
          <w:i/>
        </w:rPr>
        <w:t xml:space="preserve">less </w:t>
      </w:r>
      <w:r w:rsidR="00A46235">
        <w:t xml:space="preserve">(deliberate disregard of an </w:t>
      </w:r>
      <w:r w:rsidR="00A46235" w:rsidRPr="005A362E">
        <w:rPr>
          <w:i/>
        </w:rPr>
        <w:t>actually foreseen</w:t>
      </w:r>
      <w:r w:rsidR="00FF5223">
        <w:t xml:space="preserve"> R) </w:t>
      </w:r>
      <w:r w:rsidR="00B260BC">
        <w:t>with</w:t>
      </w:r>
      <w:r w:rsidR="00A609A3">
        <w:t xml:space="preserve"> </w:t>
      </w:r>
      <w:r w:rsidR="00B260BC">
        <w:t>regard</w:t>
      </w:r>
      <w:r w:rsidR="00DC7704">
        <w:t xml:space="preserve"> to </w:t>
      </w:r>
      <w:r w:rsidR="00B14CB8">
        <w:t xml:space="preserve">a </w:t>
      </w:r>
      <w:r w:rsidR="00FF5223" w:rsidRPr="005A362E">
        <w:rPr>
          <w:i/>
        </w:rPr>
        <w:t>physical</w:t>
      </w:r>
      <w:r w:rsidR="00FF5223">
        <w:t xml:space="preserve"> </w:t>
      </w:r>
      <w:r w:rsidR="00FF5223" w:rsidRPr="005A362E">
        <w:rPr>
          <w:i/>
        </w:rPr>
        <w:t>damage</w:t>
      </w:r>
      <w:r w:rsidR="00FF5223">
        <w:t xml:space="preserve"> </w:t>
      </w:r>
      <w:r w:rsidR="00B14CB8">
        <w:t xml:space="preserve">R </w:t>
      </w:r>
      <w:r w:rsidR="005A362E">
        <w:t>(that did not materialise)</w:t>
      </w:r>
      <w:r w:rsidR="00A609A3">
        <w:t xml:space="preserve"> before </w:t>
      </w:r>
      <w:r w:rsidR="0068410E">
        <w:t>liability</w:t>
      </w:r>
      <w:r w:rsidR="00DC7704">
        <w:t xml:space="preserve"> for </w:t>
      </w:r>
      <w:r w:rsidR="003C1369">
        <w:t xml:space="preserve">the </w:t>
      </w:r>
      <w:r w:rsidR="00DC7704" w:rsidRPr="005A362E">
        <w:rPr>
          <w:i/>
        </w:rPr>
        <w:t>psychiatric damage</w:t>
      </w:r>
      <w:r w:rsidR="00DC7704">
        <w:t xml:space="preserve"> </w:t>
      </w:r>
      <w:r w:rsidR="005A362E">
        <w:t xml:space="preserve">R </w:t>
      </w:r>
      <w:r w:rsidR="00FF19F0">
        <w:t xml:space="preserve">(which had materialised) </w:t>
      </w:r>
      <w:r w:rsidR="0068410E">
        <w:t>can be considered.</w:t>
      </w:r>
      <w:r w:rsidR="00B260BC">
        <w:t xml:space="preserve"> </w:t>
      </w:r>
      <w:r w:rsidR="007D697D">
        <w:t xml:space="preserve">However, </w:t>
      </w:r>
      <w:r w:rsidR="00F1666D">
        <w:t xml:space="preserve">we can see from the whole tenor of his judgement that </w:t>
      </w:r>
      <w:r w:rsidR="007D697D">
        <w:t>Lord Lloyd</w:t>
      </w:r>
      <w:r w:rsidR="00F337CE" w:rsidRPr="00F337CE">
        <w:t xml:space="preserve"> </w:t>
      </w:r>
      <w:r w:rsidR="003372C3">
        <w:t>thought</w:t>
      </w:r>
      <w:r w:rsidR="00306765">
        <w:t xml:space="preserve"> he was engaged in </w:t>
      </w:r>
      <w:r w:rsidR="009A2591">
        <w:t xml:space="preserve">a </w:t>
      </w:r>
      <w:r w:rsidR="00306765" w:rsidRPr="00355E7B">
        <w:rPr>
          <w:i/>
        </w:rPr>
        <w:t>law-changing</w:t>
      </w:r>
      <w:r w:rsidR="00306765">
        <w:t xml:space="preserve"> </w:t>
      </w:r>
      <w:r w:rsidR="00E6564D">
        <w:t xml:space="preserve">and thus </w:t>
      </w:r>
      <w:r w:rsidR="00E6564D" w:rsidRPr="00E6564D">
        <w:rPr>
          <w:i/>
        </w:rPr>
        <w:t>attributive</w:t>
      </w:r>
      <w:r w:rsidR="00E6564D">
        <w:t xml:space="preserve"> </w:t>
      </w:r>
      <w:r w:rsidR="00306765">
        <w:t>exercise</w:t>
      </w:r>
      <w:r w:rsidR="003372C3">
        <w:t>. T</w:t>
      </w:r>
      <w:r w:rsidR="00306765">
        <w:t>h</w:t>
      </w:r>
      <w:r w:rsidR="00E6564D">
        <w:t>e</w:t>
      </w:r>
      <w:r w:rsidR="005A362E">
        <w:t xml:space="preserve"> intended change </w:t>
      </w:r>
      <w:r w:rsidR="00E6564D">
        <w:t xml:space="preserve">can be </w:t>
      </w:r>
      <w:r w:rsidR="00306765">
        <w:t>better</w:t>
      </w:r>
      <w:r w:rsidR="008C28A7">
        <w:t xml:space="preserve"> expressed </w:t>
      </w:r>
      <w:r w:rsidR="00E6564D">
        <w:t>as uniting</w:t>
      </w:r>
      <w:r w:rsidR="00742718">
        <w:t xml:space="preserve">, for primary victims, </w:t>
      </w:r>
      <w:r w:rsidR="00F337CE">
        <w:t>the categories of physical and psych</w:t>
      </w:r>
      <w:r w:rsidR="0099763B">
        <w:t>iatric harm</w:t>
      </w:r>
      <w:r w:rsidR="00103675">
        <w:t xml:space="preserve">. </w:t>
      </w:r>
      <w:r w:rsidR="00E6564D">
        <w:t>But h</w:t>
      </w:r>
      <w:r w:rsidR="005A362E">
        <w:t>ere</w:t>
      </w:r>
      <w:r w:rsidR="00E6564D">
        <w:t>,</w:t>
      </w:r>
      <w:r w:rsidR="00324947">
        <w:t xml:space="preserve"> </w:t>
      </w:r>
      <w:r w:rsidR="00E6564D" w:rsidRPr="00E6564D">
        <w:t>rather than</w:t>
      </w:r>
      <w:r w:rsidR="00E6564D">
        <w:rPr>
          <w:i/>
        </w:rPr>
        <w:t xml:space="preserve"> attributive foreseeability,</w:t>
      </w:r>
      <w:r w:rsidR="00E6564D">
        <w:t xml:space="preserve"> </w:t>
      </w:r>
      <w:r w:rsidR="00103675">
        <w:t>he</w:t>
      </w:r>
      <w:r w:rsidR="00A2669F">
        <w:t xml:space="preserve"> somewhat confusingly</w:t>
      </w:r>
      <w:r w:rsidR="00F337CE" w:rsidRPr="00F337CE">
        <w:t xml:space="preserve"> </w:t>
      </w:r>
      <w:r w:rsidR="00941294">
        <w:t>chose</w:t>
      </w:r>
      <w:r w:rsidR="00F337CE" w:rsidRPr="00F337CE">
        <w:t xml:space="preserve"> the </w:t>
      </w:r>
      <w:r w:rsidR="00F337CE" w:rsidRPr="00E6564D">
        <w:rPr>
          <w:i/>
        </w:rPr>
        <w:t xml:space="preserve">language </w:t>
      </w:r>
      <w:r w:rsidR="00F337CE" w:rsidRPr="00F337CE">
        <w:t xml:space="preserve">of </w:t>
      </w:r>
      <w:r w:rsidR="00F337CE" w:rsidRPr="00F337CE">
        <w:rPr>
          <w:i/>
        </w:rPr>
        <w:t>fact</w:t>
      </w:r>
      <w:r w:rsidR="00513EF5">
        <w:rPr>
          <w:i/>
        </w:rPr>
        <w:t>ive</w:t>
      </w:r>
      <w:r w:rsidR="00E6564D">
        <w:rPr>
          <w:i/>
        </w:rPr>
        <w:t xml:space="preserve"> </w:t>
      </w:r>
      <w:r w:rsidR="00F337CE" w:rsidRPr="00F337CE">
        <w:rPr>
          <w:i/>
        </w:rPr>
        <w:t>fores</w:t>
      </w:r>
      <w:r w:rsidR="0080369C">
        <w:rPr>
          <w:i/>
        </w:rPr>
        <w:t>eeability</w:t>
      </w:r>
      <w:r w:rsidR="0080369C" w:rsidRPr="0080369C">
        <w:t>:</w:t>
      </w:r>
    </w:p>
    <w:p w14:paraId="255AE5B5" w14:textId="63C032DD" w:rsidR="00F337CE" w:rsidRPr="00F337CE" w:rsidRDefault="00355E7B" w:rsidP="0096016F">
      <w:pPr>
        <w:pStyle w:val="Quote"/>
      </w:pPr>
      <w:r>
        <w:lastRenderedPageBreak/>
        <w:t>‘[T]</w:t>
      </w:r>
      <w:r w:rsidR="00F337CE" w:rsidRPr="00F337CE">
        <w:t>he approach in all cases should be the same, namely, whether t</w:t>
      </w:r>
      <w:r w:rsidR="00117AB6">
        <w:t xml:space="preserve">he [actual] defendant [not some judicial construct] </w:t>
      </w:r>
      <w:r w:rsidR="00F337CE" w:rsidRPr="00F337CE">
        <w:rPr>
          <w:i/>
        </w:rPr>
        <w:t>can</w:t>
      </w:r>
      <w:r w:rsidR="00F337CE" w:rsidRPr="00F337CE">
        <w:t xml:space="preserve"> </w:t>
      </w:r>
      <w:r w:rsidR="00F337CE" w:rsidRPr="005A362E">
        <w:rPr>
          <w:i/>
        </w:rPr>
        <w:t>reasonably foresee</w:t>
      </w:r>
      <w:r w:rsidR="00F337CE" w:rsidRPr="00F337CE">
        <w:t xml:space="preserve"> that his conduct will expose the plaintiff to the risk of personal injury, whether physical or psychiatric.’</w:t>
      </w:r>
      <w:r w:rsidR="00F337CE" w:rsidRPr="00F337CE">
        <w:rPr>
          <w:vertAlign w:val="superscript"/>
        </w:rPr>
        <w:t xml:space="preserve"> </w:t>
      </w:r>
      <w:r w:rsidR="00F337CE" w:rsidRPr="00F337CE">
        <w:rPr>
          <w:vertAlign w:val="superscript"/>
        </w:rPr>
        <w:footnoteReference w:id="74"/>
      </w:r>
    </w:p>
    <w:p w14:paraId="5CC5A1CB" w14:textId="4DAC3251" w:rsidR="00A61543" w:rsidRDefault="00E6564D" w:rsidP="00F337CE">
      <w:r>
        <w:t>T</w:t>
      </w:r>
      <w:r w:rsidR="00355E7B">
        <w:t xml:space="preserve">he </w:t>
      </w:r>
      <w:r w:rsidR="00A2669F">
        <w:t>clue to</w:t>
      </w:r>
      <w:r w:rsidR="00513EF5">
        <w:t xml:space="preserve"> </w:t>
      </w:r>
      <w:r w:rsidR="00941294">
        <w:t>his</w:t>
      </w:r>
      <w:r w:rsidR="00513EF5">
        <w:t xml:space="preserve"> </w:t>
      </w:r>
      <w:r w:rsidR="00912220" w:rsidRPr="00A2669F">
        <w:rPr>
          <w:i/>
        </w:rPr>
        <w:t>illocutionary meaning</w:t>
      </w:r>
      <w:r w:rsidR="00912220">
        <w:t xml:space="preserve"> is, I suggest, his</w:t>
      </w:r>
      <w:r w:rsidR="00A2669F">
        <w:t xml:space="preserve"> use of the word ‘reasonably’. That</w:t>
      </w:r>
      <w:r w:rsidR="00F337CE" w:rsidRPr="00F337CE">
        <w:t xml:space="preserve"> signals that he</w:t>
      </w:r>
      <w:r w:rsidR="004122D7">
        <w:t xml:space="preserve"> </w:t>
      </w:r>
      <w:r w:rsidR="00A2669F">
        <w:t>spoke</w:t>
      </w:r>
      <w:r w:rsidR="00912220">
        <w:t xml:space="preserve"> </w:t>
      </w:r>
      <w:r w:rsidR="00A2669F" w:rsidRPr="00A2669F">
        <w:rPr>
          <w:i/>
        </w:rPr>
        <w:t>attributively</w:t>
      </w:r>
      <w:r w:rsidR="00A2669F">
        <w:t xml:space="preserve">, </w:t>
      </w:r>
      <w:r w:rsidR="00912220">
        <w:t xml:space="preserve">as a judge of standards </w:t>
      </w:r>
      <w:r w:rsidR="00F337CE" w:rsidRPr="00F337CE">
        <w:t xml:space="preserve">(rather than </w:t>
      </w:r>
      <w:r w:rsidR="00355E7B">
        <w:t xml:space="preserve">of </w:t>
      </w:r>
      <w:r w:rsidR="00F337CE" w:rsidRPr="00F337CE">
        <w:t>fact)</w:t>
      </w:r>
      <w:r w:rsidR="00F337CE">
        <w:t xml:space="preserve">. </w:t>
      </w:r>
      <w:r w:rsidR="00AE3969">
        <w:t xml:space="preserve">On that </w:t>
      </w:r>
      <w:r w:rsidR="00941294">
        <w:t>view, h</w:t>
      </w:r>
      <w:r w:rsidR="00BB2DD5">
        <w:t xml:space="preserve">is </w:t>
      </w:r>
      <w:r w:rsidR="00AE3969">
        <w:t>underlying</w:t>
      </w:r>
      <w:r w:rsidR="00BB2DD5">
        <w:t xml:space="preserve"> meaning is that</w:t>
      </w:r>
      <w:r w:rsidR="00EE0D82">
        <w:t>, on the balance of interests, it</w:t>
      </w:r>
      <w:r w:rsidR="005A362E">
        <w:t xml:space="preserve"> is</w:t>
      </w:r>
      <w:r w:rsidR="00EE0D82">
        <w:t xml:space="preserve"> </w:t>
      </w:r>
      <w:r w:rsidR="00EE0D82" w:rsidRPr="00C6038C">
        <w:rPr>
          <w:i/>
        </w:rPr>
        <w:t xml:space="preserve">reasonable </w:t>
      </w:r>
      <w:r w:rsidR="00EE0D82">
        <w:t>that</w:t>
      </w:r>
      <w:r w:rsidR="00A87673">
        <w:t xml:space="preserve"> D should be held responsible </w:t>
      </w:r>
      <w:r w:rsidR="00510383">
        <w:t xml:space="preserve">for the psychiatric harm </w:t>
      </w:r>
      <w:r w:rsidR="00C6038C">
        <w:t>to C who</w:t>
      </w:r>
      <w:r w:rsidR="004966C6">
        <w:t>, although not physically injured</w:t>
      </w:r>
      <w:r w:rsidR="00C6038C">
        <w:t>,</w:t>
      </w:r>
      <w:r w:rsidR="00355E7B">
        <w:t xml:space="preserve"> </w:t>
      </w:r>
      <w:r w:rsidR="004966C6">
        <w:t>was</w:t>
      </w:r>
      <w:r w:rsidR="00AC626F">
        <w:t xml:space="preserve"> </w:t>
      </w:r>
      <w:r w:rsidR="00EE0D82">
        <w:t>actuall</w:t>
      </w:r>
      <w:r w:rsidR="00A87673">
        <w:t>y</w:t>
      </w:r>
      <w:r w:rsidR="00EE0D82">
        <w:t xml:space="preserve"> involved</w:t>
      </w:r>
      <w:r w:rsidR="005A362E">
        <w:rPr>
          <w:rStyle w:val="FootnoteReference"/>
        </w:rPr>
        <w:footnoteReference w:id="75"/>
      </w:r>
      <w:r w:rsidR="00EE0D82">
        <w:t xml:space="preserve"> in </w:t>
      </w:r>
      <w:r w:rsidR="004E4B9A">
        <w:t xml:space="preserve">the </w:t>
      </w:r>
      <w:r w:rsidR="00EE0D82">
        <w:t>accident</w:t>
      </w:r>
      <w:r w:rsidR="00AC626F">
        <w:t xml:space="preserve">. </w:t>
      </w:r>
      <w:r w:rsidR="004E4B9A">
        <w:t xml:space="preserve">D had not actually adverted to either R. </w:t>
      </w:r>
      <w:r w:rsidR="00A2669F">
        <w:t xml:space="preserve">D could, and in Lord Lloyd’s view </w:t>
      </w:r>
      <w:r w:rsidR="00A2669F" w:rsidRPr="00E31053">
        <w:rPr>
          <w:i/>
        </w:rPr>
        <w:t>should</w:t>
      </w:r>
      <w:r w:rsidR="00A2669F">
        <w:t>, have taken more care.</w:t>
      </w:r>
      <w:bookmarkStart w:id="43" w:name="_Ref427242501"/>
      <w:r w:rsidR="00A2669F">
        <w:rPr>
          <w:rStyle w:val="FootnoteReference"/>
        </w:rPr>
        <w:footnoteReference w:id="76"/>
      </w:r>
      <w:bookmarkEnd w:id="43"/>
      <w:r w:rsidR="00A2669F">
        <w:t xml:space="preserve"> T</w:t>
      </w:r>
      <w:r w:rsidR="004B207C">
        <w:t xml:space="preserve">hat </w:t>
      </w:r>
      <w:r w:rsidR="00A2669F">
        <w:t xml:space="preserve">formulation </w:t>
      </w:r>
      <w:r w:rsidR="004B207C">
        <w:t xml:space="preserve">is </w:t>
      </w:r>
      <w:r w:rsidR="00A2669F">
        <w:t>attributively adequate without invoking foreseeability.</w:t>
      </w:r>
      <w:r w:rsidR="004B207C">
        <w:t xml:space="preserve"> </w:t>
      </w:r>
      <w:r w:rsidR="007C13C6">
        <w:t xml:space="preserve">Lord Keith was similarly confusing when using </w:t>
      </w:r>
      <w:r w:rsidR="00785C76">
        <w:t xml:space="preserve">the word ‘proof’, which </w:t>
      </w:r>
      <w:r w:rsidR="00F337CE" w:rsidRPr="00F337CE">
        <w:t>fit</w:t>
      </w:r>
      <w:r w:rsidR="00AE3969">
        <w:t>s</w:t>
      </w:r>
      <w:r w:rsidR="00F337CE" w:rsidRPr="00F337CE">
        <w:t xml:space="preserve"> comfortab</w:t>
      </w:r>
      <w:r w:rsidR="00616F8A">
        <w:t xml:space="preserve">ly </w:t>
      </w:r>
      <w:r w:rsidR="00AE3969">
        <w:t>only with the judge-of-</w:t>
      </w:r>
      <w:r w:rsidR="00616F8A">
        <w:t>fact role.</w:t>
      </w:r>
      <w:r w:rsidR="00F337CE" w:rsidRPr="00F337CE">
        <w:rPr>
          <w:vertAlign w:val="superscript"/>
        </w:rPr>
        <w:footnoteReference w:id="77"/>
      </w:r>
      <w:r w:rsidR="00736DAB">
        <w:t xml:space="preserve"> </w:t>
      </w:r>
      <w:r w:rsidR="00F337CE" w:rsidRPr="00F337CE">
        <w:t xml:space="preserve">It is sensible to talk of proving or disproving facts but </w:t>
      </w:r>
      <w:r w:rsidR="00355E7B">
        <w:t>norm</w:t>
      </w:r>
      <w:r w:rsidR="00F337CE" w:rsidRPr="00F337CE">
        <w:t>s are matters for formulation, (dis)approval and (dis)application.</w:t>
      </w:r>
      <w:r w:rsidR="00F337CE" w:rsidRPr="00F337CE">
        <w:rPr>
          <w:i/>
        </w:rPr>
        <w:t xml:space="preserve"> </w:t>
      </w:r>
    </w:p>
    <w:p w14:paraId="7C601822" w14:textId="4AD6DC81" w:rsidR="00A61543" w:rsidRDefault="009B7B9B" w:rsidP="00824353">
      <w:pPr>
        <w:pStyle w:val="Heading3"/>
      </w:pPr>
      <w:bookmarkStart w:id="44" w:name="_Toc428515807"/>
      <w:r>
        <w:t>Ex post</w:t>
      </w:r>
      <w:r w:rsidR="007936E6">
        <w:t xml:space="preserve"> </w:t>
      </w:r>
      <w:r w:rsidR="00666D6B">
        <w:t>‘</w:t>
      </w:r>
      <w:r w:rsidR="007936E6">
        <w:t>foreseeability</w:t>
      </w:r>
      <w:r w:rsidR="00666D6B">
        <w:t>’</w:t>
      </w:r>
      <w:bookmarkEnd w:id="44"/>
    </w:p>
    <w:p w14:paraId="1C041C90" w14:textId="248B6DB8" w:rsidR="000B41EB" w:rsidRDefault="00DD271F" w:rsidP="00F337CE">
      <w:r>
        <w:t>Foreseeability</w:t>
      </w:r>
      <w:r w:rsidR="00436B17" w:rsidRPr="00B82DF6">
        <w:t xml:space="preserve"> can be</w:t>
      </w:r>
      <w:r w:rsidR="00B54912" w:rsidRPr="00B82DF6">
        <w:t xml:space="preserve"> </w:t>
      </w:r>
      <w:r w:rsidR="00E31053" w:rsidRPr="00E31053">
        <w:rPr>
          <w:i/>
        </w:rPr>
        <w:t>ex ante</w:t>
      </w:r>
      <w:r w:rsidR="00B82DF6" w:rsidRPr="00B82DF6">
        <w:t xml:space="preserve"> or </w:t>
      </w:r>
      <w:r w:rsidR="009B7B9B" w:rsidRPr="009B7B9B">
        <w:rPr>
          <w:i/>
        </w:rPr>
        <w:t>ex post</w:t>
      </w:r>
      <w:r w:rsidR="00B82DF6" w:rsidRPr="00B82DF6">
        <w:t>.</w:t>
      </w:r>
      <w:r w:rsidR="00B82DF6">
        <w:t xml:space="preserve"> </w:t>
      </w:r>
      <w:r w:rsidR="00C769F0">
        <w:t xml:space="preserve">‘I </w:t>
      </w:r>
      <w:r w:rsidR="00CE1523">
        <w:t>think</w:t>
      </w:r>
      <w:r w:rsidR="00C769F0">
        <w:t xml:space="preserve"> I will</w:t>
      </w:r>
      <w:r w:rsidR="00022902">
        <w:t xml:space="preserve"> buy a Fiesta</w:t>
      </w:r>
      <w:r w:rsidR="00C769F0">
        <w:t xml:space="preserve">’ </w:t>
      </w:r>
      <w:r w:rsidR="00393EA9">
        <w:t>state</w:t>
      </w:r>
      <w:r w:rsidR="00B341C4">
        <w:t>s that</w:t>
      </w:r>
      <w:r w:rsidR="00393EA9">
        <w:t xml:space="preserve"> </w:t>
      </w:r>
      <w:r w:rsidR="00CE1523">
        <w:t>I</w:t>
      </w:r>
      <w:r w:rsidR="00B341C4">
        <w:t xml:space="preserve"> do </w:t>
      </w:r>
      <w:r w:rsidR="00B341C4" w:rsidRPr="00D057DC">
        <w:rPr>
          <w:i/>
        </w:rPr>
        <w:t>now</w:t>
      </w:r>
      <w:r w:rsidR="00CE1523">
        <w:t xml:space="preserve"> foresee a future action</w:t>
      </w:r>
      <w:r w:rsidR="004B207C">
        <w:t xml:space="preserve">. </w:t>
      </w:r>
      <w:r w:rsidR="00674D3A">
        <w:t>But w</w:t>
      </w:r>
      <w:r w:rsidR="00D00708">
        <w:t>e are concerned here with</w:t>
      </w:r>
      <w:r w:rsidR="00EA7FAC">
        <w:t xml:space="preserve"> </w:t>
      </w:r>
      <w:r w:rsidR="00EA7FAC" w:rsidRPr="00674D3A">
        <w:rPr>
          <w:i/>
        </w:rPr>
        <w:t>judicial</w:t>
      </w:r>
      <w:r w:rsidR="00674D3A">
        <w:t xml:space="preserve"> </w:t>
      </w:r>
      <w:r w:rsidR="00A2669F">
        <w:t xml:space="preserve">foreseeability </w:t>
      </w:r>
      <w:r w:rsidR="00674D3A">
        <w:t>verdicts, which—</w:t>
      </w:r>
      <w:r w:rsidR="00037693">
        <w:t xml:space="preserve">except where </w:t>
      </w:r>
      <w:r w:rsidR="0026131B">
        <w:t>C wants an injunction</w:t>
      </w:r>
      <w:r w:rsidR="00832231">
        <w:t xml:space="preserve"> or specific performance or the judge is co</w:t>
      </w:r>
      <w:r w:rsidR="004748C2">
        <w:t>n</w:t>
      </w:r>
      <w:r w:rsidR="00832231">
        <w:t>siderin</w:t>
      </w:r>
      <w:r w:rsidR="004748C2">
        <w:t>g</w:t>
      </w:r>
      <w:r w:rsidR="00832231">
        <w:t xml:space="preserve"> imposing a curfe</w:t>
      </w:r>
      <w:r w:rsidR="004748C2">
        <w:t>w, etc.</w:t>
      </w:r>
      <w:r w:rsidR="00505538">
        <w:rPr>
          <w:rStyle w:val="FootnoteReference"/>
        </w:rPr>
        <w:footnoteReference w:id="78"/>
      </w:r>
      <w:r w:rsidR="00674D3A">
        <w:t>—</w:t>
      </w:r>
      <w:r w:rsidR="00037693">
        <w:t xml:space="preserve">are necessarily </w:t>
      </w:r>
      <w:r w:rsidR="009B7B9B" w:rsidRPr="009B7B9B">
        <w:rPr>
          <w:i/>
        </w:rPr>
        <w:t>ex post</w:t>
      </w:r>
      <w:r w:rsidR="0026131B">
        <w:t>, whether they are</w:t>
      </w:r>
      <w:r w:rsidR="004748C2">
        <w:t xml:space="preserve"> </w:t>
      </w:r>
      <w:r w:rsidR="00674D3A">
        <w:t xml:space="preserve">verdicts </w:t>
      </w:r>
      <w:r w:rsidR="004748C2">
        <w:t>of</w:t>
      </w:r>
      <w:r w:rsidR="004577CB">
        <w:t xml:space="preserve"> factive foresight, factive foreseeability or </w:t>
      </w:r>
      <w:r w:rsidR="0089696B">
        <w:t>attributive</w:t>
      </w:r>
      <w:r w:rsidR="004577CB">
        <w:t xml:space="preserve"> f</w:t>
      </w:r>
      <w:r w:rsidR="0026131B">
        <w:t>oreseeability</w:t>
      </w:r>
      <w:r w:rsidR="00F71447">
        <w:t xml:space="preserve">. </w:t>
      </w:r>
    </w:p>
    <w:p w14:paraId="6ADF97B4" w14:textId="1EC88612" w:rsidR="0064528B" w:rsidRDefault="00674D3A" w:rsidP="00CD3B25">
      <w:r>
        <w:t>A</w:t>
      </w:r>
      <w:r w:rsidR="00E31053">
        <w:t xml:space="preserve">n </w:t>
      </w:r>
      <w:r w:rsidR="00E31053" w:rsidRPr="00E31053">
        <w:rPr>
          <w:i/>
        </w:rPr>
        <w:t>ex post</w:t>
      </w:r>
      <w:r>
        <w:t xml:space="preserve"> verdict that D intended to shoot C entails that shooting C was factively foreseeable and was in the past foreseen by D. Similarly, a verdict that D shot C </w:t>
      </w:r>
      <w:r w:rsidR="001945AC">
        <w:t>recklessly</w:t>
      </w:r>
      <w:r>
        <w:t xml:space="preserve"> entails that D, in the past, actually adverted to R. </w:t>
      </w:r>
      <w:r w:rsidR="00441277">
        <w:t>But a</w:t>
      </w:r>
      <w:r w:rsidR="000B41EB">
        <w:t>ttributive</w:t>
      </w:r>
      <w:r w:rsidR="00207A79">
        <w:t xml:space="preserve"> fores</w:t>
      </w:r>
      <w:r w:rsidR="00441277">
        <w:t>eeability</w:t>
      </w:r>
      <w:r w:rsidR="00207A79">
        <w:t xml:space="preserve"> </w:t>
      </w:r>
      <w:r w:rsidR="00441277">
        <w:t xml:space="preserve">verdicts </w:t>
      </w:r>
      <w:r w:rsidR="00E26683">
        <w:t xml:space="preserve">declare the results of considerations </w:t>
      </w:r>
      <w:r w:rsidR="00A2669F">
        <w:t xml:space="preserve">of </w:t>
      </w:r>
      <w:r w:rsidR="00466164">
        <w:t xml:space="preserve">the reasonableness of </w:t>
      </w:r>
      <w:r w:rsidR="00A2669F">
        <w:t xml:space="preserve">responsibility </w:t>
      </w:r>
      <w:r w:rsidR="007E5FAB">
        <w:t>attributions. It is no accident that in negligence cases</w:t>
      </w:r>
      <w:r w:rsidR="006D0E95">
        <w:t>—</w:t>
      </w:r>
      <w:r w:rsidR="0003523C">
        <w:t>in which,</w:t>
      </w:r>
      <w:r w:rsidR="007F7ECA">
        <w:t xml:space="preserve"> </w:t>
      </w:r>
      <w:r w:rsidR="007F7ECA" w:rsidRPr="00651F97">
        <w:rPr>
          <w:i/>
        </w:rPr>
        <w:t>ex hypothesi</w:t>
      </w:r>
      <w:r w:rsidR="0003523C">
        <w:rPr>
          <w:i/>
        </w:rPr>
        <w:t>,</w:t>
      </w:r>
      <w:r w:rsidR="007F7ECA" w:rsidRPr="00651F97">
        <w:rPr>
          <w:i/>
        </w:rPr>
        <w:t xml:space="preserve"> </w:t>
      </w:r>
      <w:r w:rsidR="0003523C">
        <w:t>D</w:t>
      </w:r>
      <w:r w:rsidR="0003523C">
        <w:rPr>
          <w:i/>
        </w:rPr>
        <w:t xml:space="preserve"> </w:t>
      </w:r>
      <w:r w:rsidR="0003523C" w:rsidRPr="0003523C">
        <w:t>either</w:t>
      </w:r>
      <w:r w:rsidR="0003523C">
        <w:rPr>
          <w:i/>
        </w:rPr>
        <w:t xml:space="preserve"> </w:t>
      </w:r>
      <w:r w:rsidR="002D24AE">
        <w:t xml:space="preserve">seriously underestimated or </w:t>
      </w:r>
      <w:r w:rsidR="007F7ECA">
        <w:t>did not a</w:t>
      </w:r>
      <w:r w:rsidR="00490E77">
        <w:t>d</w:t>
      </w:r>
      <w:r w:rsidR="007F7ECA">
        <w:t>vert to</w:t>
      </w:r>
      <w:r w:rsidR="0003523C">
        <w:t xml:space="preserve"> </w:t>
      </w:r>
      <w:r>
        <w:t>the specific</w:t>
      </w:r>
      <w:r w:rsidR="007F7ECA">
        <w:t xml:space="preserve"> R</w:t>
      </w:r>
      <w:r>
        <w:t xml:space="preserve"> that materialised</w:t>
      </w:r>
      <w:r w:rsidR="006D0E95">
        <w:t>—</w:t>
      </w:r>
      <w:r w:rsidR="00441277">
        <w:t>‘foreseeabili</w:t>
      </w:r>
      <w:r w:rsidR="007F7ECA">
        <w:t>t</w:t>
      </w:r>
      <w:r w:rsidR="00441277">
        <w:t>y</w:t>
      </w:r>
      <w:r w:rsidR="007F7ECA">
        <w:t xml:space="preserve">’ </w:t>
      </w:r>
      <w:r w:rsidR="00160E1E">
        <w:t xml:space="preserve">is </w:t>
      </w:r>
      <w:r w:rsidR="00583DE4">
        <w:t>usually</w:t>
      </w:r>
      <w:r w:rsidR="00441277">
        <w:t xml:space="preserve"> explicitly</w:t>
      </w:r>
      <w:r w:rsidR="007F7ECA">
        <w:t xml:space="preserve"> or im</w:t>
      </w:r>
      <w:r w:rsidR="00583DE4">
        <w:t xml:space="preserve">plicitly </w:t>
      </w:r>
      <w:r w:rsidR="006D0E95">
        <w:t>coupled with</w:t>
      </w:r>
      <w:r w:rsidR="00583DE4">
        <w:t xml:space="preserve"> ‘reasonableness’</w:t>
      </w:r>
      <w:r w:rsidR="006D0E95">
        <w:t>.</w:t>
      </w:r>
      <w:r w:rsidR="00441277">
        <w:t xml:space="preserve"> The word ‘foreseeability</w:t>
      </w:r>
      <w:r w:rsidR="002C308B">
        <w:t xml:space="preserve">’ </w:t>
      </w:r>
      <w:r w:rsidR="0003523C">
        <w:t xml:space="preserve">is not needed in deciding—by means of </w:t>
      </w:r>
      <w:r w:rsidR="0003523C" w:rsidRPr="006D0E95">
        <w:rPr>
          <w:i/>
        </w:rPr>
        <w:t>ex post</w:t>
      </w:r>
      <w:r w:rsidR="0003523C">
        <w:t xml:space="preserve"> balancing of the interests of C, D and the wider public—</w:t>
      </w:r>
      <w:r w:rsidR="002C308B">
        <w:t xml:space="preserve">the </w:t>
      </w:r>
      <w:r w:rsidR="002C308B" w:rsidRPr="00490E77">
        <w:rPr>
          <w:i/>
        </w:rPr>
        <w:t>reasonableness</w:t>
      </w:r>
      <w:r w:rsidR="002C308B">
        <w:t xml:space="preserve"> of </w:t>
      </w:r>
      <w:r w:rsidR="0003523C">
        <w:t>an</w:t>
      </w:r>
      <w:r w:rsidR="002C308B">
        <w:t xml:space="preserve"> attribution of responsibil</w:t>
      </w:r>
      <w:r w:rsidR="00720A54">
        <w:t>ity</w:t>
      </w:r>
      <w:r w:rsidR="0003523C">
        <w:t xml:space="preserve"> to D or C</w:t>
      </w:r>
      <w:r w:rsidR="00720A54">
        <w:t>.</w:t>
      </w:r>
      <w:r w:rsidR="0003523C">
        <w:t xml:space="preserve"> It functions—along with the judicial </w:t>
      </w:r>
      <w:r w:rsidR="0003523C" w:rsidRPr="00E26683">
        <w:rPr>
          <w:i/>
        </w:rPr>
        <w:t>construction</w:t>
      </w:r>
      <w:r w:rsidR="0003523C">
        <w:t xml:space="preserve"> of hypothetical </w:t>
      </w:r>
      <w:r w:rsidR="0003523C" w:rsidRPr="00490E77">
        <w:rPr>
          <w:i/>
        </w:rPr>
        <w:t>reasonable</w:t>
      </w:r>
      <w:r w:rsidR="0003523C">
        <w:t xml:space="preserve"> foreseers—only </w:t>
      </w:r>
      <w:r w:rsidR="0064528B">
        <w:t xml:space="preserve">as </w:t>
      </w:r>
      <w:r w:rsidR="0003523C">
        <w:t xml:space="preserve">rhetorical </w:t>
      </w:r>
      <w:r w:rsidR="0064528B">
        <w:t xml:space="preserve">dignification that has the potential to confuse. </w:t>
      </w:r>
    </w:p>
    <w:p w14:paraId="5B9AB482" w14:textId="258F2561" w:rsidR="003F6EFC" w:rsidRDefault="0003523C" w:rsidP="00CD3B25">
      <w:r>
        <w:t>N</w:t>
      </w:r>
      <w:r w:rsidR="006D0E95">
        <w:t xml:space="preserve">egligence is </w:t>
      </w:r>
      <w:r w:rsidR="003537F8">
        <w:t xml:space="preserve">not </w:t>
      </w:r>
      <w:r w:rsidR="006D0E95">
        <w:t xml:space="preserve">‘a state of mind’ </w:t>
      </w:r>
      <w:r w:rsidR="003537F8">
        <w:t xml:space="preserve">in the way that intention and recklessness are, but </w:t>
      </w:r>
      <w:r w:rsidR="006D0E95">
        <w:t>only in the way that you</w:t>
      </w:r>
      <w:r w:rsidR="003537F8">
        <w:t>r mind is presently blank about the number of</w:t>
      </w:r>
      <w:r w:rsidR="006D0E95">
        <w:t xml:space="preserve"> worms </w:t>
      </w:r>
      <w:r w:rsidR="003537F8">
        <w:t xml:space="preserve">that </w:t>
      </w:r>
      <w:r w:rsidR="006D0E95">
        <w:t>live under you</w:t>
      </w:r>
      <w:r w:rsidR="003537F8">
        <w:t>r</w:t>
      </w:r>
      <w:r w:rsidR="006D0E95">
        <w:t xml:space="preserve"> lawn</w:t>
      </w:r>
      <w:r w:rsidR="005861BD">
        <w:t>.</w:t>
      </w:r>
      <w:r w:rsidR="006D0E95">
        <w:t xml:space="preserve"> </w:t>
      </w:r>
      <w:r>
        <w:t xml:space="preserve">In negligence, responsibility is </w:t>
      </w:r>
      <w:r w:rsidRPr="00E26683">
        <w:rPr>
          <w:i/>
        </w:rPr>
        <w:t>attributed</w:t>
      </w:r>
      <w:r>
        <w:t xml:space="preserve"> because D </w:t>
      </w:r>
      <w:r w:rsidRPr="005861BD">
        <w:rPr>
          <w:i/>
        </w:rPr>
        <w:t xml:space="preserve">should </w:t>
      </w:r>
      <w:r>
        <w:t xml:space="preserve">have adverted, but </w:t>
      </w:r>
      <w:r w:rsidRPr="005861BD">
        <w:rPr>
          <w:i/>
        </w:rPr>
        <w:t>did not</w:t>
      </w:r>
      <w:r>
        <w:t xml:space="preserve">. Despite </w:t>
      </w:r>
      <w:r w:rsidR="003537F8">
        <w:t xml:space="preserve">folk </w:t>
      </w:r>
      <w:r w:rsidR="003537F8">
        <w:lastRenderedPageBreak/>
        <w:t>morality and judicial</w:t>
      </w:r>
      <w:r>
        <w:t xml:space="preserve"> reluctance to hold D liable for omissions, negligence is always based on D’s omission</w:t>
      </w:r>
      <w:r w:rsidR="00E26683">
        <w:t xml:space="preserve"> to take care</w:t>
      </w:r>
      <w:r>
        <w:t>.</w:t>
      </w:r>
      <w:r>
        <w:rPr>
          <w:rStyle w:val="FootnoteReference"/>
        </w:rPr>
        <w:footnoteReference w:id="79"/>
      </w:r>
      <w:r w:rsidR="0064528B">
        <w:t xml:space="preserve"> </w:t>
      </w:r>
      <w:r w:rsidR="005861BD">
        <w:t>More straightforwardly, i</w:t>
      </w:r>
      <w:r w:rsidR="007101DD">
        <w:t>n strict liability attributions</w:t>
      </w:r>
      <w:r w:rsidR="00B328A0">
        <w:t>,</w:t>
      </w:r>
      <w:r w:rsidR="002A37EE">
        <w:t xml:space="preserve"> no </w:t>
      </w:r>
      <w:r w:rsidR="00FC47A1">
        <w:t>foreseeability</w:t>
      </w:r>
      <w:r w:rsidR="00B328A0">
        <w:t>-language is needed. Attri</w:t>
      </w:r>
      <w:r w:rsidR="004903BD">
        <w:t xml:space="preserve">bution </w:t>
      </w:r>
      <w:r w:rsidR="003537F8">
        <w:t xml:space="preserve">there </w:t>
      </w:r>
      <w:r w:rsidR="004903BD">
        <w:t>is a matter of policy</w:t>
      </w:r>
      <w:r w:rsidR="005861BD">
        <w:t>-informed</w:t>
      </w:r>
      <w:r w:rsidR="00B328A0">
        <w:t xml:space="preserve"> inter</w:t>
      </w:r>
      <w:r w:rsidR="004903BD">
        <w:t>est-balancing</w:t>
      </w:r>
      <w:r w:rsidR="00E26683">
        <w:t>,</w:t>
      </w:r>
      <w:r w:rsidR="004903BD">
        <w:t xml:space="preserve"> </w:t>
      </w:r>
      <w:r w:rsidR="005861BD">
        <w:t xml:space="preserve">together with </w:t>
      </w:r>
      <w:r w:rsidR="004903BD">
        <w:t xml:space="preserve">the </w:t>
      </w:r>
      <w:r w:rsidR="00D057DC">
        <w:t>establishment of</w:t>
      </w:r>
      <w:r w:rsidR="004903BD">
        <w:t xml:space="preserve"> a sufficient causal connection between D’s act or </w:t>
      </w:r>
      <w:r w:rsidR="00DC1C0D">
        <w:t>omission</w:t>
      </w:r>
      <w:r w:rsidR="004903BD">
        <w:t xml:space="preserve"> and </w:t>
      </w:r>
      <w:r w:rsidR="003C40CB">
        <w:t>the materialised R</w:t>
      </w:r>
      <w:r w:rsidR="001E4A44">
        <w:t>.</w:t>
      </w:r>
    </w:p>
    <w:p w14:paraId="1F696391" w14:textId="2C7E95D7" w:rsidR="00933FFD" w:rsidRDefault="00933FFD" w:rsidP="007936E6">
      <w:r>
        <w:t xml:space="preserve">In </w:t>
      </w:r>
      <w:r w:rsidRPr="00933FFD">
        <w:rPr>
          <w:i/>
        </w:rPr>
        <w:t>Page</w:t>
      </w:r>
      <w:r>
        <w:t>, Lord</w:t>
      </w:r>
      <w:r w:rsidR="003E5757">
        <w:t>s Keith and</w:t>
      </w:r>
      <w:r>
        <w:t xml:space="preserve"> Lloyd</w:t>
      </w:r>
      <w:r w:rsidR="003E5757">
        <w:t xml:space="preserve"> argued that, where C is not involved in the physical accident but is a secondary victim of psychiatric harm,</w:t>
      </w:r>
      <w:r w:rsidR="003E5757" w:rsidRPr="003E5757">
        <w:t xml:space="preserve"> </w:t>
      </w:r>
      <w:r w:rsidR="003E5757">
        <w:t>‘</w:t>
      </w:r>
      <w:r w:rsidR="003E5757" w:rsidRPr="00CA45D6">
        <w:t xml:space="preserve">the circumstances of the accident or event must be viewed </w:t>
      </w:r>
      <w:r w:rsidR="003E5757" w:rsidRPr="009B7B9B">
        <w:rPr>
          <w:i/>
        </w:rPr>
        <w:t>ex post facto</w:t>
      </w:r>
      <w:r>
        <w:t>.</w:t>
      </w:r>
      <w:r w:rsidR="003E5757">
        <w:t>’</w:t>
      </w:r>
      <w:r w:rsidR="003E5757">
        <w:rPr>
          <w:rStyle w:val="FootnoteReference"/>
        </w:rPr>
        <w:footnoteReference w:id="80"/>
      </w:r>
      <w:r w:rsidR="003E5757">
        <w:t xml:space="preserve"> They reasoned that,</w:t>
      </w:r>
    </w:p>
    <w:p w14:paraId="12DAE30A" w14:textId="6CA5F46E" w:rsidR="007936E6" w:rsidRPr="00CA45D6" w:rsidRDefault="003E5757" w:rsidP="003E5757">
      <w:pPr>
        <w:pStyle w:val="Quote"/>
      </w:pPr>
      <w:r>
        <w:t>‘i</w:t>
      </w:r>
      <w:r w:rsidRPr="003E5757">
        <w:t>f you do not know the outcome of the accident or event, it is impossible to say whether the defendant should have foreseen injury by shock. It is necessary to take account of what happened in order to apply the test of reasonable foreseeability at all</w:t>
      </w:r>
      <w:r>
        <w:t>.’</w:t>
      </w:r>
    </w:p>
    <w:p w14:paraId="359F1440" w14:textId="6C7F99C4" w:rsidR="003E5757" w:rsidRDefault="003E5757" w:rsidP="00CA45D6">
      <w:r>
        <w:t xml:space="preserve">This </w:t>
      </w:r>
      <w:r w:rsidR="00A0171E">
        <w:t>might amount</w:t>
      </w:r>
      <w:r>
        <w:t xml:space="preserve"> to a proper recognition that judicial </w:t>
      </w:r>
      <w:r w:rsidR="0089696B">
        <w:t>attributive</w:t>
      </w:r>
      <w:r>
        <w:t xml:space="preserve"> foreseeability verdicts are</w:t>
      </w:r>
      <w:r w:rsidR="009B7B9B">
        <w:t xml:space="preserve"> normally</w:t>
      </w:r>
      <w:r>
        <w:t xml:space="preserve"> </w:t>
      </w:r>
      <w:r w:rsidR="009B7B9B" w:rsidRPr="009B7B9B">
        <w:rPr>
          <w:i/>
        </w:rPr>
        <w:t>ex post</w:t>
      </w:r>
      <w:r>
        <w:t xml:space="preserve">. However, </w:t>
      </w:r>
      <w:r w:rsidR="00A0171E">
        <w:t xml:space="preserve">Lord Lloyd said </w:t>
      </w:r>
      <w:r>
        <w:t>that</w:t>
      </w:r>
      <w:r w:rsidR="003537F8">
        <w:t xml:space="preserve"> to look back</w:t>
      </w:r>
      <w:r w:rsidR="004A6F59">
        <w:t>,</w:t>
      </w:r>
    </w:p>
    <w:p w14:paraId="06B79C25" w14:textId="448C1146" w:rsidR="004A6F59" w:rsidRDefault="004A6F59" w:rsidP="004A6F59">
      <w:pPr>
        <w:pStyle w:val="Quote"/>
      </w:pPr>
      <w:r>
        <w:t>‘</w:t>
      </w:r>
      <w:r w:rsidRPr="004A6F59">
        <w:t>makes no sense in the case of a primary victim. Liability for physical injury depends on what was reasonably foreseeable by the defendant before the event</w:t>
      </w:r>
      <w:r>
        <w:t>…</w:t>
      </w:r>
      <w:r w:rsidRPr="004A6F59">
        <w:t>To introduce hindsight into the trial of an ordinary running-down action would do the law no service</w:t>
      </w:r>
      <w:r>
        <w:t>.’</w:t>
      </w:r>
    </w:p>
    <w:p w14:paraId="2395C25D" w14:textId="14C57DB3" w:rsidR="00AB66CC" w:rsidRDefault="003A68AE" w:rsidP="00CA45D6">
      <w:r>
        <w:t>Consider this first in terms of factive foreseeability. If</w:t>
      </w:r>
      <w:r w:rsidR="004A6F59">
        <w:t xml:space="preserve"> physical and psychiatric harms </w:t>
      </w:r>
      <w:r>
        <w:t xml:space="preserve">indeed </w:t>
      </w:r>
      <w:r w:rsidR="004A6F59">
        <w:t>comprise one category</w:t>
      </w:r>
      <w:r w:rsidR="00E26683">
        <w:t xml:space="preserve"> for those who are involved in</w:t>
      </w:r>
      <w:r w:rsidR="004A6F59">
        <w:t xml:space="preserve"> </w:t>
      </w:r>
      <w:r w:rsidR="00E26683">
        <w:t>(</w:t>
      </w:r>
      <w:r w:rsidR="004A6F59">
        <w:t>rather than spectators of</w:t>
      </w:r>
      <w:r w:rsidR="00E26683">
        <w:t>)</w:t>
      </w:r>
      <w:r w:rsidR="004A6F59">
        <w:t xml:space="preserve"> the accident, </w:t>
      </w:r>
      <w:r w:rsidR="004A6F59" w:rsidRPr="00E26683">
        <w:rPr>
          <w:i/>
        </w:rPr>
        <w:t>psychiatric harm</w:t>
      </w:r>
      <w:r w:rsidR="004A6F59">
        <w:t xml:space="preserve"> </w:t>
      </w:r>
      <w:r>
        <w:t xml:space="preserve">to </w:t>
      </w:r>
      <w:r w:rsidRPr="00E26683">
        <w:rPr>
          <w:i/>
        </w:rPr>
        <w:t>primary</w:t>
      </w:r>
      <w:r>
        <w:t xml:space="preserve"> victims must be factively </w:t>
      </w:r>
      <w:r w:rsidR="004A6F59">
        <w:t xml:space="preserve">foreseeable ‘before the event’. </w:t>
      </w:r>
      <w:r>
        <w:t>Bu</w:t>
      </w:r>
      <w:r w:rsidR="00F87A31">
        <w:t xml:space="preserve">t </w:t>
      </w:r>
      <w:r w:rsidR="00F87A31" w:rsidRPr="00E26683">
        <w:rPr>
          <w:i/>
        </w:rPr>
        <w:t>psychiatric</w:t>
      </w:r>
      <w:r w:rsidR="00F87A31">
        <w:t xml:space="preserve"> harm to a </w:t>
      </w:r>
      <w:r w:rsidR="00F87A31" w:rsidRPr="00E26683">
        <w:rPr>
          <w:i/>
        </w:rPr>
        <w:t>secondary</w:t>
      </w:r>
      <w:r w:rsidR="00F87A31">
        <w:t xml:space="preserve"> victim </w:t>
      </w:r>
      <w:r>
        <w:t xml:space="preserve">also </w:t>
      </w:r>
      <w:r w:rsidR="00F87A31">
        <w:t>survives the factive foreseeability filter</w:t>
      </w:r>
      <w:r w:rsidR="00AB66CC">
        <w:t>. W</w:t>
      </w:r>
      <w:r w:rsidR="00F87A31">
        <w:t xml:space="preserve">e do not have to wait and see what happens to reach that </w:t>
      </w:r>
      <w:r w:rsidR="00A0171E">
        <w:t xml:space="preserve">factive </w:t>
      </w:r>
      <w:r w:rsidR="00F87A31">
        <w:t xml:space="preserve">verdict. It is even factively foreseeable that someone with an egg-shell personality might see or hear a road accident and suffer psychiatric harm that </w:t>
      </w:r>
      <w:r w:rsidR="00A71D5D" w:rsidRPr="00A71D5D">
        <w:t xml:space="preserve">a </w:t>
      </w:r>
      <w:r w:rsidR="00A71D5D">
        <w:t>‘</w:t>
      </w:r>
      <w:r w:rsidR="00A71D5D" w:rsidRPr="00A71D5D">
        <w:t>person of norma</w:t>
      </w:r>
      <w:r w:rsidR="00A71D5D">
        <w:t>l fortitude or "ordinary phlegm</w:t>
      </w:r>
      <w:r w:rsidR="00A71D5D" w:rsidRPr="00A71D5D">
        <w:t>"</w:t>
      </w:r>
      <w:r w:rsidR="00A71D5D">
        <w:t>’</w:t>
      </w:r>
      <w:r w:rsidR="00A71D5D">
        <w:rPr>
          <w:rStyle w:val="FootnoteReference"/>
        </w:rPr>
        <w:footnoteReference w:id="81"/>
      </w:r>
      <w:r w:rsidR="00A71D5D">
        <w:t xml:space="preserve"> </w:t>
      </w:r>
      <w:r w:rsidR="00F87A31">
        <w:t>would not suffer.</w:t>
      </w:r>
      <w:r w:rsidR="00A71D5D">
        <w:t xml:space="preserve"> </w:t>
      </w:r>
      <w:r w:rsidR="00FE23A8">
        <w:t>However,</w:t>
      </w:r>
      <w:r>
        <w:t xml:space="preserve"> factive foreseeability is no more than a filter</w:t>
      </w:r>
      <w:r w:rsidR="00441277">
        <w:t>.</w:t>
      </w:r>
    </w:p>
    <w:p w14:paraId="7BD91E88" w14:textId="63B3AE75" w:rsidR="008E5EF3" w:rsidRDefault="00A71D5D" w:rsidP="00CA45D6">
      <w:r>
        <w:t>In</w:t>
      </w:r>
      <w:r w:rsidR="00A0171E">
        <w:t xml:space="preserve"> </w:t>
      </w:r>
      <w:r w:rsidR="0089696B">
        <w:t>attributive</w:t>
      </w:r>
      <w:r w:rsidR="00A0171E">
        <w:t xml:space="preserve"> terms, Lord Lloyd wa</w:t>
      </w:r>
      <w:r>
        <w:t xml:space="preserve">s saying that </w:t>
      </w:r>
      <w:r w:rsidR="00AB66CC" w:rsidRPr="00AB66CC">
        <w:rPr>
          <w:i/>
        </w:rPr>
        <w:t>any</w:t>
      </w:r>
      <w:r w:rsidR="00AB66CC">
        <w:t xml:space="preserve"> </w:t>
      </w:r>
      <w:r>
        <w:t xml:space="preserve">physical harm to persons involved is </w:t>
      </w:r>
      <w:r w:rsidRPr="00A71D5D">
        <w:rPr>
          <w:i/>
        </w:rPr>
        <w:t xml:space="preserve">always </w:t>
      </w:r>
      <w:r>
        <w:t xml:space="preserve">recoverable, whereas psychiatric harm to </w:t>
      </w:r>
      <w:r w:rsidRPr="003A68AE">
        <w:rPr>
          <w:i/>
        </w:rPr>
        <w:t>secondary</w:t>
      </w:r>
      <w:r>
        <w:t xml:space="preserve"> victims is only recoverable when the circumstances have been weighed. </w:t>
      </w:r>
      <w:r w:rsidR="00A42D23">
        <w:t xml:space="preserve">However, </w:t>
      </w:r>
      <w:r>
        <w:t>t</w:t>
      </w:r>
      <w:r w:rsidR="00FE23A8">
        <w:t>hat</w:t>
      </w:r>
      <w:r>
        <w:t xml:space="preserve"> is </w:t>
      </w:r>
      <w:r w:rsidR="00C21F3D">
        <w:t xml:space="preserve">not a matter of </w:t>
      </w:r>
      <w:r w:rsidR="00C21F3D" w:rsidRPr="003537F8">
        <w:rPr>
          <w:i/>
        </w:rPr>
        <w:t>foreseeability</w:t>
      </w:r>
      <w:r w:rsidR="00C21F3D">
        <w:t xml:space="preserve"> at all. </w:t>
      </w:r>
      <w:r w:rsidR="008E5EF3">
        <w:t>As Lord Oliver said,</w:t>
      </w:r>
    </w:p>
    <w:p w14:paraId="573A46F8" w14:textId="0DF0344D" w:rsidR="008E5EF3" w:rsidRDefault="008E5EF3" w:rsidP="008E5EF3">
      <w:pPr>
        <w:pStyle w:val="Quote"/>
      </w:pPr>
      <w:r>
        <w:t>‘[T]</w:t>
      </w:r>
      <w:r w:rsidRPr="008E5EF3">
        <w:t xml:space="preserve">here is, on the face of it, no readily discernible logical reason why he who carelessly inflicts an injury upon another should not be held responsible for its inevitable consequences not only to him who may </w:t>
      </w:r>
      <w:r w:rsidRPr="008E5EF3">
        <w:lastRenderedPageBreak/>
        <w:t>conveniently be termed "the primary victim" but to others who suffer as a result. It cannot, I think, be accounted for by saying that such consequence</w:t>
      </w:r>
      <w:r w:rsidR="009B7B9B">
        <w:t>s cannot reasonably be foreseen</w:t>
      </w:r>
      <w:r w:rsidRPr="008E5EF3">
        <w:t>.</w:t>
      </w:r>
      <w:r>
        <w:t>’</w:t>
      </w:r>
      <w:bookmarkStart w:id="45" w:name="_Ref427344158"/>
      <w:r>
        <w:rPr>
          <w:rStyle w:val="FootnoteReference"/>
        </w:rPr>
        <w:footnoteReference w:id="82"/>
      </w:r>
      <w:bookmarkEnd w:id="45"/>
    </w:p>
    <w:p w14:paraId="7F38AE98" w14:textId="77777777" w:rsidR="00FE23A8" w:rsidRDefault="00C21F3D" w:rsidP="00CA45D6">
      <w:r>
        <w:t>Rather</w:t>
      </w:r>
      <w:r w:rsidR="00441277">
        <w:t>,</w:t>
      </w:r>
      <w:r>
        <w:t xml:space="preserve"> </w:t>
      </w:r>
      <w:r w:rsidR="00A71D5D">
        <w:t xml:space="preserve">physical harm is such a commonplace result </w:t>
      </w:r>
      <w:r>
        <w:t xml:space="preserve">of road accidents that the </w:t>
      </w:r>
      <w:r w:rsidR="00A42D23" w:rsidRPr="008E5EF3">
        <w:rPr>
          <w:i/>
        </w:rPr>
        <w:t xml:space="preserve">necessarily </w:t>
      </w:r>
      <w:r w:rsidR="009B7B9B">
        <w:rPr>
          <w:i/>
        </w:rPr>
        <w:t>ex post</w:t>
      </w:r>
      <w:r w:rsidRPr="008E5EF3">
        <w:rPr>
          <w:i/>
        </w:rPr>
        <w:t xml:space="preserve"> attribution</w:t>
      </w:r>
      <w:r>
        <w:t xml:space="preserve"> of responsibility is </w:t>
      </w:r>
      <w:r w:rsidR="00DE7517">
        <w:t>taken for granted</w:t>
      </w:r>
      <w:r w:rsidR="008E5EF3">
        <w:t>.</w:t>
      </w:r>
      <w:r>
        <w:t xml:space="preserve"> </w:t>
      </w:r>
      <w:r w:rsidR="00082B2C" w:rsidRPr="00082B2C">
        <w:t>In Kenneth Abraham’</w:t>
      </w:r>
      <w:r w:rsidR="00441277">
        <w:t>s</w:t>
      </w:r>
      <w:r w:rsidR="00082B2C" w:rsidRPr="00082B2C">
        <w:t xml:space="preserve"> terminology, </w:t>
      </w:r>
      <w:r w:rsidR="00761D1F">
        <w:t>such situations are normatively</w:t>
      </w:r>
      <w:r w:rsidR="00082B2C" w:rsidRPr="00082B2C">
        <w:t xml:space="preserve"> ‘bounded’. There are ‘pre-existing, concrete norm</w:t>
      </w:r>
      <w:r w:rsidR="00DE1BEE">
        <w:t>[s]</w:t>
      </w:r>
      <w:r w:rsidR="00082B2C" w:rsidRPr="00082B2C">
        <w:t xml:space="preserve"> that exist</w:t>
      </w:r>
      <w:r w:rsidR="00DE1BEE">
        <w:t>…</w:t>
      </w:r>
      <w:r w:rsidR="00082B2C" w:rsidRPr="00082B2C">
        <w:t>independently of the finder of fact’s in</w:t>
      </w:r>
      <w:r w:rsidR="00DE1BEE">
        <w:t>dividual sense of the situation</w:t>
      </w:r>
      <w:r w:rsidR="00082B2C" w:rsidRPr="00082B2C">
        <w:t>’</w:t>
      </w:r>
      <w:bookmarkStart w:id="46" w:name="_Ref427563136"/>
      <w:r w:rsidR="00441277">
        <w:t>.</w:t>
      </w:r>
      <w:r w:rsidR="00082B2C">
        <w:rPr>
          <w:rStyle w:val="FootnoteReference"/>
        </w:rPr>
        <w:footnoteReference w:id="83"/>
      </w:r>
      <w:bookmarkEnd w:id="46"/>
      <w:r w:rsidR="00441277">
        <w:t xml:space="preserve"> T</w:t>
      </w:r>
      <w:r w:rsidR="00A42D23">
        <w:t>o quibble whether a particular injury is recoverable would f</w:t>
      </w:r>
      <w:r w:rsidR="00082B2C">
        <w:t>ly in the face of folk morality</w:t>
      </w:r>
      <w:r w:rsidR="008D14AA">
        <w:t>.</w:t>
      </w:r>
      <w:r w:rsidR="00DE7517">
        <w:rPr>
          <w:rStyle w:val="FootnoteReference"/>
        </w:rPr>
        <w:footnoteReference w:id="84"/>
      </w:r>
      <w:r w:rsidR="00A42D23">
        <w:t xml:space="preserve"> </w:t>
      </w:r>
    </w:p>
    <w:p w14:paraId="1FA56DF0" w14:textId="3C8EF33B" w:rsidR="003A68AE" w:rsidRDefault="00A42D23" w:rsidP="00CA45D6">
      <w:r>
        <w:t>But p</w:t>
      </w:r>
      <w:r w:rsidR="00C21F3D">
        <w:t>sychiatric harm is less frequent</w:t>
      </w:r>
      <w:r w:rsidR="00302CE7">
        <w:t>. I</w:t>
      </w:r>
      <w:r w:rsidR="00C21F3D">
        <w:t xml:space="preserve">ts causal pedigree </w:t>
      </w:r>
      <w:r w:rsidR="00302CE7">
        <w:t xml:space="preserve">is </w:t>
      </w:r>
      <w:r w:rsidR="00C21F3D">
        <w:t>more difficult to establish</w:t>
      </w:r>
      <w:r w:rsidR="0001331B">
        <w:rPr>
          <w:rStyle w:val="FootnoteReference"/>
        </w:rPr>
        <w:footnoteReference w:id="85"/>
      </w:r>
      <w:r>
        <w:t xml:space="preserve"> and</w:t>
      </w:r>
      <w:r w:rsidR="00302CE7">
        <w:t xml:space="preserve"> </w:t>
      </w:r>
      <w:r>
        <w:t xml:space="preserve">there is significant popular scepticism. </w:t>
      </w:r>
      <w:r w:rsidR="00082B2C">
        <w:t xml:space="preserve">In ‘unbounded’ situations, </w:t>
      </w:r>
      <w:r w:rsidR="00082B2C" w:rsidRPr="00082B2C">
        <w:t>verdict-givers use their ‘own general normative sense of the situation, informed by individual experience and by the evidence submitted by the parties.’</w:t>
      </w:r>
      <w:r w:rsidR="00082B2C">
        <w:rPr>
          <w:rStyle w:val="FootnoteReference"/>
        </w:rPr>
        <w:footnoteReference w:id="86"/>
      </w:r>
      <w:r w:rsidR="00082B2C" w:rsidRPr="00082B2C">
        <w:t xml:space="preserve"> </w:t>
      </w:r>
      <w:r w:rsidR="00441277">
        <w:t xml:space="preserve">However, </w:t>
      </w:r>
      <w:r w:rsidR="00082B2C">
        <w:t>j</w:t>
      </w:r>
      <w:r w:rsidR="00302CE7">
        <w:t>udges</w:t>
      </w:r>
      <w:r w:rsidR="00082B2C">
        <w:t xml:space="preserve"> also fear</w:t>
      </w:r>
      <w:r w:rsidR="008D14AA">
        <w:t>:</w:t>
      </w:r>
      <w:r w:rsidR="00082B2C">
        <w:t xml:space="preserve"> giving the appearance of palm tree justice</w:t>
      </w:r>
      <w:r w:rsidR="008D14AA">
        <w:t>;</w:t>
      </w:r>
      <w:r w:rsidR="00082B2C">
        <w:t xml:space="preserve"> and </w:t>
      </w:r>
      <w:r w:rsidR="00302CE7">
        <w:t>a flood of claims from those who factively foreseeably suffer psychiatric harm when witnessing tragic accidents</w:t>
      </w:r>
      <w:r w:rsidR="00082B2C">
        <w:t xml:space="preserve">. Hence </w:t>
      </w:r>
      <w:r w:rsidR="008D14AA">
        <w:t>judges</w:t>
      </w:r>
      <w:r w:rsidR="00082B2C">
        <w:t xml:space="preserve"> </w:t>
      </w:r>
      <w:r w:rsidR="00302DBD">
        <w:t xml:space="preserve">sometimes </w:t>
      </w:r>
      <w:r w:rsidR="00082B2C">
        <w:t xml:space="preserve">choose to </w:t>
      </w:r>
      <w:r w:rsidR="00302CE7">
        <w:t xml:space="preserve">draw their </w:t>
      </w:r>
      <w:r w:rsidR="003A68AE">
        <w:t>arbitrary</w:t>
      </w:r>
      <w:r w:rsidR="00334E10">
        <w:t xml:space="preserve"> </w:t>
      </w:r>
      <w:r w:rsidR="0089696B">
        <w:t>attributive</w:t>
      </w:r>
      <w:r w:rsidR="00334E10">
        <w:t xml:space="preserve"> </w:t>
      </w:r>
      <w:r w:rsidR="00082B2C">
        <w:t>‘</w:t>
      </w:r>
      <w:r w:rsidR="00302CE7">
        <w:t>lines in the sand</w:t>
      </w:r>
      <w:r w:rsidR="00082B2C">
        <w:t>’</w:t>
      </w:r>
      <w:r w:rsidR="0001331B">
        <w:t xml:space="preserve"> well above </w:t>
      </w:r>
      <w:r w:rsidR="00334E10">
        <w:t>high water</w:t>
      </w:r>
      <w:r w:rsidR="0001331B">
        <w:t>mark.</w:t>
      </w:r>
      <w:r w:rsidR="003A68AE">
        <w:t xml:space="preserve"> </w:t>
      </w:r>
    </w:p>
    <w:p w14:paraId="361A410F" w14:textId="5405B7D9" w:rsidR="003F6EFC" w:rsidRDefault="003F6EFC" w:rsidP="00E425A2">
      <w:pPr>
        <w:pStyle w:val="Heading2"/>
      </w:pPr>
      <w:bookmarkStart w:id="47" w:name="_Toc428515808"/>
      <w:r w:rsidRPr="003F6EFC">
        <w:t>Yapp</w:t>
      </w:r>
      <w:r>
        <w:t xml:space="preserve"> v </w:t>
      </w:r>
      <w:r w:rsidRPr="003F6EFC">
        <w:t>Foreign and Commonwealth Office</w:t>
      </w:r>
      <w:bookmarkEnd w:id="47"/>
    </w:p>
    <w:p w14:paraId="1DBD49F9" w14:textId="001DA4CA" w:rsidR="00F337CE" w:rsidRPr="00F337CE" w:rsidRDefault="00D757B5" w:rsidP="00F337CE">
      <w:r>
        <w:t xml:space="preserve">The </w:t>
      </w:r>
      <w:r w:rsidR="002A3C9F">
        <w:t xml:space="preserve">so-called </w:t>
      </w:r>
      <w:r>
        <w:t xml:space="preserve">foreseeability of psychiatric harm was </w:t>
      </w:r>
      <w:r w:rsidR="0007761B">
        <w:t xml:space="preserve">also </w:t>
      </w:r>
      <w:r w:rsidR="002A3C9F">
        <w:t>the</w:t>
      </w:r>
      <w:r>
        <w:t xml:space="preserve"> issue in </w:t>
      </w:r>
      <w:r w:rsidR="003F6EFC">
        <w:rPr>
          <w:i/>
        </w:rPr>
        <w:t>Yapp</w:t>
      </w:r>
      <w:r w:rsidR="00F400EF">
        <w:t>. The fact</w:t>
      </w:r>
      <w:r w:rsidR="00441277">
        <w:t>ual context wa</w:t>
      </w:r>
      <w:r w:rsidR="00F400EF">
        <w:t>s rather different from road accidents, but by no means unusual. C claimed that his employer’s behaviour towards him had caused him psychiatric harm</w:t>
      </w:r>
      <w:r w:rsidR="00F337CE" w:rsidRPr="00F337CE">
        <w:t xml:space="preserve">. Underhill LJ </w:t>
      </w:r>
      <w:r w:rsidR="00F400EF">
        <w:t>first addressed the matter factively</w:t>
      </w:r>
      <w:r w:rsidR="00F337CE" w:rsidRPr="00F337CE">
        <w:t>,</w:t>
      </w:r>
    </w:p>
    <w:p w14:paraId="01CB8C15" w14:textId="0C21531C" w:rsidR="00F337CE" w:rsidRPr="00F337CE" w:rsidRDefault="00F337CE" w:rsidP="0096016F">
      <w:pPr>
        <w:pStyle w:val="Quote"/>
      </w:pPr>
      <w:r w:rsidRPr="00F337CE">
        <w:t xml:space="preserve">I start from the position that it will in my view be exceptional that an apparently robust employee, with no history of any psychiatric ill-health, will develop a depressive illness as a result even of a very serious setback at work. That is, inevitably, based to some extent on my </w:t>
      </w:r>
      <w:r w:rsidR="00C21F3D">
        <w:t>own assessment of human nature…</w:t>
      </w:r>
    </w:p>
    <w:p w14:paraId="78C9C510" w14:textId="3BBA5E64" w:rsidR="00F337CE" w:rsidRPr="00F337CE" w:rsidRDefault="00F400EF" w:rsidP="00F337CE">
      <w:r>
        <w:t>However—</w:t>
      </w:r>
      <w:r w:rsidR="00F337CE" w:rsidRPr="00F337CE">
        <w:t>sliding from fact</w:t>
      </w:r>
      <w:r w:rsidR="00653B76">
        <w:t>ive</w:t>
      </w:r>
      <w:r w:rsidR="00F337CE" w:rsidRPr="00F337CE">
        <w:t xml:space="preserve"> foreseeability towards a rebuttable </w:t>
      </w:r>
      <w:r w:rsidR="0089696B">
        <w:t>attributive</w:t>
      </w:r>
      <w:r w:rsidR="00334E10">
        <w:t xml:space="preserve"> </w:t>
      </w:r>
      <w:r w:rsidR="00F337CE" w:rsidRPr="00F337CE">
        <w:t>presumption imposed by law</w:t>
      </w:r>
      <w:r>
        <w:t>—</w:t>
      </w:r>
      <w:r w:rsidR="00F337CE" w:rsidRPr="00F337CE">
        <w:t>he continued</w:t>
      </w:r>
    </w:p>
    <w:p w14:paraId="6F99E2EF" w14:textId="5687F687" w:rsidR="00F337CE" w:rsidRPr="00F337CE" w:rsidRDefault="006E39F9" w:rsidP="0096016F">
      <w:pPr>
        <w:pStyle w:val="Quote"/>
      </w:pPr>
      <w:r>
        <w:t>…‘</w:t>
      </w:r>
      <w:r w:rsidR="00F337CE" w:rsidRPr="00F51855">
        <w:t xml:space="preserve">but it also reflects the message of </w:t>
      </w:r>
      <w:r w:rsidR="00F337CE" w:rsidRPr="00F51855">
        <w:rPr>
          <w:i/>
        </w:rPr>
        <w:t>Croft</w:t>
      </w:r>
      <w:r w:rsidRPr="00F51855">
        <w:t xml:space="preserve"> [that] </w:t>
      </w:r>
      <w:r w:rsidR="00F337CE" w:rsidRPr="00F51855">
        <w:t>it is not usually foreseeable that even disciplinary action which is quite seriously unfair will lead the employee to develop a psychiatric illness unless there are signs of pre-existing vulnerability.’</w:t>
      </w:r>
      <w:bookmarkStart w:id="48" w:name="_Ref421983146"/>
      <w:r w:rsidR="00F337CE" w:rsidRPr="00F51855">
        <w:rPr>
          <w:vertAlign w:val="superscript"/>
        </w:rPr>
        <w:footnoteReference w:id="87"/>
      </w:r>
      <w:bookmarkEnd w:id="48"/>
    </w:p>
    <w:p w14:paraId="1AD6F604" w14:textId="4D3F29A5" w:rsidR="001C2448" w:rsidRDefault="00F400EF" w:rsidP="00F337CE">
      <w:r>
        <w:lastRenderedPageBreak/>
        <w:t>The court’s concern was</w:t>
      </w:r>
      <w:r w:rsidR="00F337CE" w:rsidRPr="00F337CE">
        <w:t xml:space="preserve"> that, </w:t>
      </w:r>
      <w:r w:rsidR="00FE23A8">
        <w:t>‘</w:t>
      </w:r>
      <w:r w:rsidR="00FE23A8" w:rsidRPr="00F337CE">
        <w:t>foreseeability</w:t>
      </w:r>
      <w:r w:rsidR="00FE23A8">
        <w:t>’</w:t>
      </w:r>
      <w:r w:rsidR="00FE23A8" w:rsidRPr="00F337CE">
        <w:t xml:space="preserve"> should yield the same result </w:t>
      </w:r>
      <w:r w:rsidR="00F337CE" w:rsidRPr="00F337CE">
        <w:t xml:space="preserve">whether the claim was based </w:t>
      </w:r>
      <w:r w:rsidR="00E23E4A">
        <w:t xml:space="preserve">on negligence or on breach of </w:t>
      </w:r>
      <w:r w:rsidR="00E079CD">
        <w:t>the</w:t>
      </w:r>
      <w:r w:rsidR="00F337CE" w:rsidRPr="00F337CE">
        <w:t xml:space="preserve"> implied contractual term</w:t>
      </w:r>
      <w:r w:rsidR="00FE23A8">
        <w:t xml:space="preserve"> of mutual trust and confidence</w:t>
      </w:r>
      <w:r w:rsidR="00F337CE" w:rsidRPr="00F337CE">
        <w:t xml:space="preserve">. That concern </w:t>
      </w:r>
      <w:r w:rsidR="00FE23A8">
        <w:t xml:space="preserve">can </w:t>
      </w:r>
      <w:r w:rsidR="00F337CE" w:rsidRPr="00F337CE">
        <w:t xml:space="preserve">only arise because </w:t>
      </w:r>
      <w:r w:rsidR="0089696B">
        <w:t>attributive</w:t>
      </w:r>
      <w:r>
        <w:t xml:space="preserve"> foreseeability is not a litmus test</w:t>
      </w:r>
      <w:r w:rsidR="0091042E">
        <w:t xml:space="preserve"> </w:t>
      </w:r>
      <w:r>
        <w:t xml:space="preserve">but a way of dignifying a verdict that, in </w:t>
      </w:r>
      <w:r w:rsidRPr="00F400EF">
        <w:rPr>
          <w:i/>
        </w:rPr>
        <w:t>Yapp</w:t>
      </w:r>
      <w:r>
        <w:t xml:space="preserve"> and similar cases, employers’ freedoms are to be protected</w:t>
      </w:r>
      <w:r w:rsidR="0007761B">
        <w:t xml:space="preserve"> lest there be a flood of claims</w:t>
      </w:r>
      <w:r w:rsidR="00F337CE" w:rsidRPr="00F337CE">
        <w:t xml:space="preserve">. </w:t>
      </w:r>
      <w:r w:rsidR="0007761B">
        <w:t xml:space="preserve">The </w:t>
      </w:r>
      <w:r w:rsidR="008D14AA">
        <w:t xml:space="preserve">decision’s </w:t>
      </w:r>
      <w:r w:rsidR="0007761B">
        <w:t xml:space="preserve">effect is </w:t>
      </w:r>
      <w:r w:rsidR="00334E10">
        <w:t xml:space="preserve">to make C’s </w:t>
      </w:r>
      <w:r w:rsidR="0007761B">
        <w:t>pre-existing vulnerability</w:t>
      </w:r>
      <w:r w:rsidR="00334E10">
        <w:t xml:space="preserve"> a necessary condition of liability and to spare</w:t>
      </w:r>
      <w:r w:rsidR="0007761B">
        <w:t xml:space="preserve"> courts the trouble of evaluating the </w:t>
      </w:r>
      <w:r w:rsidR="00334E10">
        <w:t xml:space="preserve">varied </w:t>
      </w:r>
      <w:r w:rsidR="0007761B">
        <w:t>facts and interests</w:t>
      </w:r>
      <w:r w:rsidR="00334E10">
        <w:t>.</w:t>
      </w:r>
      <w:r w:rsidR="008B43EC">
        <w:rPr>
          <w:rStyle w:val="FootnoteReference"/>
        </w:rPr>
        <w:footnoteReference w:id="88"/>
      </w:r>
      <w:r w:rsidR="00A0171E">
        <w:t xml:space="preserve"> That’s </w:t>
      </w:r>
      <w:r w:rsidR="00713BD1">
        <w:t xml:space="preserve">not foreseeability but </w:t>
      </w:r>
      <w:r w:rsidR="00A0171E">
        <w:t>policy.</w:t>
      </w:r>
      <w:r w:rsidR="0058007D">
        <w:t xml:space="preserve"> </w:t>
      </w:r>
      <w:r w:rsidR="00F309F7">
        <w:t>Although t</w:t>
      </w:r>
      <w:r w:rsidR="0058007D">
        <w:t xml:space="preserve">he verdict ‘R is (attributively) foreseeable’ </w:t>
      </w:r>
      <w:r w:rsidR="00F309F7">
        <w:t xml:space="preserve">is </w:t>
      </w:r>
      <w:r w:rsidR="00F309F7" w:rsidRPr="008D14AA">
        <w:rPr>
          <w:i/>
        </w:rPr>
        <w:t>ostensibly</w:t>
      </w:r>
      <w:r w:rsidR="00F309F7">
        <w:t xml:space="preserve"> a reason for responsibility, </w:t>
      </w:r>
      <w:r w:rsidR="0058007D">
        <w:t xml:space="preserve">it is </w:t>
      </w:r>
      <w:r w:rsidR="00F309F7">
        <w:t xml:space="preserve">both </w:t>
      </w:r>
      <w:r w:rsidR="0058007D">
        <w:t>reason-dependant and reason-concealing.</w:t>
      </w:r>
      <w:r w:rsidR="00334E10">
        <w:t xml:space="preserve"> </w:t>
      </w:r>
    </w:p>
    <w:p w14:paraId="228A9D49" w14:textId="0E42121B" w:rsidR="004E34AE" w:rsidRDefault="002D7D9C" w:rsidP="00C43BFF">
      <w:r>
        <w:t>Notably</w:t>
      </w:r>
      <w:r w:rsidR="002A13F1">
        <w:t>, th</w:t>
      </w:r>
      <w:r w:rsidR="00441277">
        <w:t xml:space="preserve">e deeming of a category of harm—by a category of defendant, </w:t>
      </w:r>
      <w:r w:rsidR="002A13F1">
        <w:t xml:space="preserve">to a category </w:t>
      </w:r>
      <w:r w:rsidR="00441277">
        <w:t>of claimant—</w:t>
      </w:r>
      <w:r w:rsidR="003E6880">
        <w:t>presumptively</w:t>
      </w:r>
      <w:r w:rsidR="00431237">
        <w:t xml:space="preserve"> ‘un</w:t>
      </w:r>
      <w:r w:rsidR="000D7C91">
        <w:t>foreseeable’ is</w:t>
      </w:r>
      <w:r w:rsidR="009F1641">
        <w:t xml:space="preserve"> not a </w:t>
      </w:r>
      <w:r w:rsidR="009F1641" w:rsidRPr="00441277">
        <w:rPr>
          <w:i/>
        </w:rPr>
        <w:t>rule of thumb</w:t>
      </w:r>
      <w:r w:rsidR="009F1641">
        <w:t xml:space="preserve"> for determining matters of</w:t>
      </w:r>
      <w:r w:rsidR="0074679D">
        <w:t xml:space="preserve"> fact</w:t>
      </w:r>
      <w:r w:rsidR="000D7C91">
        <w:t xml:space="preserve"> but</w:t>
      </w:r>
      <w:r w:rsidR="000413FD">
        <w:t xml:space="preserve"> an </w:t>
      </w:r>
      <w:r w:rsidR="0089696B" w:rsidRPr="00441277">
        <w:rPr>
          <w:i/>
        </w:rPr>
        <w:t>attributive</w:t>
      </w:r>
      <w:r w:rsidR="000413FD" w:rsidRPr="00441277">
        <w:rPr>
          <w:i/>
        </w:rPr>
        <w:t xml:space="preserve"> </w:t>
      </w:r>
      <w:r w:rsidR="00772220" w:rsidRPr="00441277">
        <w:rPr>
          <w:i/>
        </w:rPr>
        <w:t>rule</w:t>
      </w:r>
      <w:r w:rsidR="00772220">
        <w:t xml:space="preserve"> of ‘irrecoverability’.</w:t>
      </w:r>
      <w:r w:rsidR="001C2448">
        <w:t xml:space="preserve"> </w:t>
      </w:r>
      <w:r w:rsidR="00CC7C7D">
        <w:t>T</w:t>
      </w:r>
      <w:r w:rsidR="00334E10">
        <w:t xml:space="preserve">he arbitrariness in </w:t>
      </w:r>
      <w:r w:rsidR="00334E10" w:rsidRPr="00334E10">
        <w:rPr>
          <w:i/>
        </w:rPr>
        <w:t>Rhodes</w:t>
      </w:r>
      <w:r w:rsidR="00334E10">
        <w:t xml:space="preserve">, </w:t>
      </w:r>
      <w:r w:rsidR="000E4A77">
        <w:rPr>
          <w:i/>
        </w:rPr>
        <w:t>Page</w:t>
      </w:r>
      <w:r w:rsidR="00334E10">
        <w:t xml:space="preserve"> and </w:t>
      </w:r>
      <w:r w:rsidR="00334E10" w:rsidRPr="00334E10">
        <w:rPr>
          <w:i/>
        </w:rPr>
        <w:t>Yapp</w:t>
      </w:r>
      <w:r w:rsidR="00334E10">
        <w:rPr>
          <w:i/>
        </w:rPr>
        <w:t xml:space="preserve"> </w:t>
      </w:r>
      <w:r w:rsidR="00334E10">
        <w:t xml:space="preserve">exemplifies </w:t>
      </w:r>
      <w:r w:rsidR="00710B3A">
        <w:t xml:space="preserve">the </w:t>
      </w:r>
      <w:r w:rsidR="00710B3A" w:rsidRPr="00C43BFF">
        <w:rPr>
          <w:i/>
        </w:rPr>
        <w:t>presumptive formalism</w:t>
      </w:r>
      <w:r w:rsidR="00710B3A">
        <w:t xml:space="preserve"> t</w:t>
      </w:r>
      <w:r w:rsidR="00334E10">
        <w:t>hat</w:t>
      </w:r>
      <w:r w:rsidR="00710B3A">
        <w:t>,</w:t>
      </w:r>
      <w:r w:rsidR="00334E10">
        <w:t xml:space="preserve"> Frederick Schauer </w:t>
      </w:r>
      <w:r w:rsidR="00710B3A">
        <w:t>argues,</w:t>
      </w:r>
      <w:r w:rsidR="00C43BFF">
        <w:t xml:space="preserve"> justifies System 1 </w:t>
      </w:r>
      <w:r w:rsidR="008D14AA">
        <w:t xml:space="preserve">fast </w:t>
      </w:r>
      <w:r w:rsidR="00C43BFF">
        <w:t>thinking by citizens and judges alike.</w:t>
      </w:r>
      <w:r w:rsidR="00710B3A">
        <w:t xml:space="preserve"> Schauer </w:t>
      </w:r>
      <w:r w:rsidR="004E34AE">
        <w:t xml:space="preserve">rightly </w:t>
      </w:r>
      <w:r w:rsidR="00710B3A">
        <w:t xml:space="preserve">holds that </w:t>
      </w:r>
      <w:r w:rsidR="00C43BFF" w:rsidRPr="00C43BFF">
        <w:t xml:space="preserve">decision-makers </w:t>
      </w:r>
      <w:r w:rsidR="004E34AE">
        <w:t>must often</w:t>
      </w:r>
      <w:r w:rsidR="00C43BFF" w:rsidRPr="00C43BFF">
        <w:t xml:space="preserve"> ‘defer </w:t>
      </w:r>
      <w:r w:rsidR="00C43BFF">
        <w:t xml:space="preserve">[to clear but arbitrary rules] </w:t>
      </w:r>
      <w:r w:rsidR="00C43BFF" w:rsidRPr="00C43BFF">
        <w:t>even when they are convinced that their own judgment is best’</w:t>
      </w:r>
      <w:r w:rsidR="00C43BFF">
        <w:t>.</w:t>
      </w:r>
      <w:r w:rsidR="00C43BFF">
        <w:rPr>
          <w:rStyle w:val="FootnoteReference"/>
        </w:rPr>
        <w:footnoteReference w:id="89"/>
      </w:r>
      <w:r w:rsidR="004E34AE">
        <w:t xml:space="preserve"> </w:t>
      </w:r>
      <w:r w:rsidR="00C43BFF">
        <w:t xml:space="preserve">Neither judges nor citizens have the time and energy to treat every case </w:t>
      </w:r>
      <w:r w:rsidR="00C43BFF" w:rsidRPr="00C43BFF">
        <w:rPr>
          <w:i/>
        </w:rPr>
        <w:t>de novo</w:t>
      </w:r>
      <w:r w:rsidR="008D14AA">
        <w:t xml:space="preserve"> by system 2 slow thinking</w:t>
      </w:r>
      <w:r w:rsidR="00441277">
        <w:t>. Furthermore,</w:t>
      </w:r>
      <w:r w:rsidR="00C43BFF">
        <w:t xml:space="preserve"> arbitrariness does serve the cause of predictability</w:t>
      </w:r>
      <w:r w:rsidR="002936B5">
        <w:t xml:space="preserve"> and </w:t>
      </w:r>
      <w:r w:rsidR="008D14AA">
        <w:t>often</w:t>
      </w:r>
      <w:r w:rsidR="002936B5">
        <w:t xml:space="preserve"> accord</w:t>
      </w:r>
      <w:r w:rsidR="008D14AA">
        <w:t>s</w:t>
      </w:r>
      <w:r w:rsidR="002936B5">
        <w:t xml:space="preserve"> with folk morality</w:t>
      </w:r>
      <w:r w:rsidR="00C43BFF">
        <w:t xml:space="preserve">. </w:t>
      </w:r>
    </w:p>
    <w:p w14:paraId="6821C14B" w14:textId="44FA13BC" w:rsidR="00C43BFF" w:rsidRPr="00C43BFF" w:rsidRDefault="002936B5" w:rsidP="00C43BFF">
      <w:r>
        <w:t>But t</w:t>
      </w:r>
      <w:r w:rsidR="00C43BFF">
        <w:t>he problem</w:t>
      </w:r>
      <w:r>
        <w:t>—largely for the appeal courts—is to determine when arbitrariness’s</w:t>
      </w:r>
      <w:r w:rsidR="00C43BFF">
        <w:t xml:space="preserve"> </w:t>
      </w:r>
      <w:r>
        <w:t xml:space="preserve">consequent </w:t>
      </w:r>
      <w:r w:rsidR="00C43BFF">
        <w:t>injustice</w:t>
      </w:r>
      <w:r>
        <w:t>s</w:t>
      </w:r>
      <w:r w:rsidR="00C43BFF">
        <w:t xml:space="preserve"> </w:t>
      </w:r>
      <w:r>
        <w:t>warrant switch</w:t>
      </w:r>
      <w:r w:rsidR="00FE23A8">
        <w:t>ing</w:t>
      </w:r>
      <w:r>
        <w:t xml:space="preserve"> to System 2 slow thinking.</w:t>
      </w:r>
      <w:r w:rsidR="00C43BFF">
        <w:t xml:space="preserve"> </w:t>
      </w:r>
      <w:r>
        <w:t xml:space="preserve">In the </w:t>
      </w:r>
      <w:r w:rsidRPr="002936B5">
        <w:rPr>
          <w:i/>
        </w:rPr>
        <w:t>Wagon Mound</w:t>
      </w:r>
      <w:r>
        <w:t xml:space="preserve"> litigation, we will see</w:t>
      </w:r>
      <w:r w:rsidR="004E34AE">
        <w:t>:</w:t>
      </w:r>
      <w:r>
        <w:t xml:space="preserve"> some </w:t>
      </w:r>
      <w:r w:rsidR="004E34AE">
        <w:t xml:space="preserve">judicious </w:t>
      </w:r>
      <w:r>
        <w:t xml:space="preserve">System 2 review and re-shaping of the remoteness rules to favour </w:t>
      </w:r>
      <w:r w:rsidR="0089696B">
        <w:t>attributive</w:t>
      </w:r>
      <w:r>
        <w:t xml:space="preserve"> foreseeability</w:t>
      </w:r>
      <w:r w:rsidR="004E34AE">
        <w:t>;</w:t>
      </w:r>
      <w:r>
        <w:t xml:space="preserve"> but </w:t>
      </w:r>
      <w:r w:rsidR="00F309F7">
        <w:t xml:space="preserve">only minimal </w:t>
      </w:r>
      <w:r>
        <w:t>consideration of the very nature of foreseeability verdicts as they might compare with causation or proximity verdicts.</w:t>
      </w:r>
    </w:p>
    <w:p w14:paraId="59074BA3" w14:textId="1A230C88" w:rsidR="003F6EFC" w:rsidRDefault="003F6EFC" w:rsidP="00E425A2">
      <w:pPr>
        <w:pStyle w:val="Heading2"/>
      </w:pPr>
      <w:bookmarkStart w:id="49" w:name="_Toc428515809"/>
      <w:r>
        <w:t>The Wagon Mound litigation</w:t>
      </w:r>
      <w:bookmarkEnd w:id="49"/>
    </w:p>
    <w:p w14:paraId="12CD10B1" w14:textId="086C9879" w:rsidR="00F337CE" w:rsidRPr="00F337CE" w:rsidRDefault="008053F0" w:rsidP="00F337CE">
      <w:r>
        <w:t>T</w:t>
      </w:r>
      <w:r w:rsidR="00DE7517">
        <w:t>he spillage of furnace oil from a ta</w:t>
      </w:r>
      <w:r w:rsidR="00FE713D">
        <w:t xml:space="preserve">nker, the </w:t>
      </w:r>
      <w:r w:rsidR="00FE713D" w:rsidRPr="00F337CE">
        <w:rPr>
          <w:i/>
        </w:rPr>
        <w:t>Wagon Mound</w:t>
      </w:r>
      <w:r w:rsidR="00FE713D">
        <w:t xml:space="preserve">, </w:t>
      </w:r>
      <w:r w:rsidR="00DE7517">
        <w:t xml:space="preserve">in Sydney Harbour Bay, </w:t>
      </w:r>
      <w:r>
        <w:t>is</w:t>
      </w:r>
      <w:r w:rsidR="00FE713D">
        <w:t xml:space="preserve"> more remote from popular experience</w:t>
      </w:r>
      <w:r w:rsidRPr="008053F0">
        <w:t xml:space="preserve"> </w:t>
      </w:r>
      <w:r>
        <w:t>than everyday road accident</w:t>
      </w:r>
      <w:r w:rsidR="008D14AA">
        <w:t>s</w:t>
      </w:r>
      <w:r>
        <w:t xml:space="preserve"> and employment disputes</w:t>
      </w:r>
      <w:r w:rsidR="008D14AA" w:rsidRPr="008D14AA">
        <w:t xml:space="preserve"> </w:t>
      </w:r>
      <w:r w:rsidR="008D14AA">
        <w:t>are</w:t>
      </w:r>
      <w:r w:rsidR="00FE713D">
        <w:t xml:space="preserve">. The courts’ decisions </w:t>
      </w:r>
      <w:r w:rsidR="00C912FC">
        <w:t xml:space="preserve">in both </w:t>
      </w:r>
      <w:r w:rsidR="0088546C" w:rsidRPr="0088546C">
        <w:rPr>
          <w:i/>
        </w:rPr>
        <w:t xml:space="preserve">Wagon Mound </w:t>
      </w:r>
      <w:r w:rsidR="00C912FC">
        <w:t>cases</w:t>
      </w:r>
      <w:r w:rsidR="002D24AE">
        <w:rPr>
          <w:rStyle w:val="FootnoteReference"/>
        </w:rPr>
        <w:footnoteReference w:id="90"/>
      </w:r>
      <w:r w:rsidR="00C912FC">
        <w:t xml:space="preserve"> </w:t>
      </w:r>
      <w:r w:rsidR="0088546C">
        <w:t>determine</w:t>
      </w:r>
      <w:r w:rsidR="00441277">
        <w:t>d</w:t>
      </w:r>
      <w:r w:rsidR="0088546C">
        <w:t xml:space="preserve"> </w:t>
      </w:r>
      <w:r w:rsidR="00FE713D">
        <w:t xml:space="preserve">whether D’s liability insurer or C’s fire insurer must pay for the fire damage suffered by C. </w:t>
      </w:r>
      <w:r w:rsidR="00C912FC">
        <w:t>Nevertheless,</w:t>
      </w:r>
      <w:r w:rsidR="00FE713D">
        <w:t xml:space="preserve"> the discourse of the d</w:t>
      </w:r>
      <w:r w:rsidR="008D14AA">
        <w:t>ispute was</w:t>
      </w:r>
      <w:r>
        <w:t xml:space="preserve"> </w:t>
      </w:r>
      <w:r w:rsidR="008D14AA">
        <w:t>about foreseeability—</w:t>
      </w:r>
      <w:r>
        <w:t xml:space="preserve">and we can all </w:t>
      </w:r>
      <w:r w:rsidR="00441277">
        <w:t>foresee</w:t>
      </w:r>
      <w:r>
        <w:t xml:space="preserve"> that </w:t>
      </w:r>
      <w:r w:rsidR="001A43FB">
        <w:t xml:space="preserve">oil </w:t>
      </w:r>
      <w:r>
        <w:t xml:space="preserve">spillages might do more than pollute. </w:t>
      </w:r>
      <w:r w:rsidR="00C912FC">
        <w:t>There were two claims</w:t>
      </w:r>
      <w:r w:rsidR="0088546C">
        <w:t>, brought in separate cases</w:t>
      </w:r>
      <w:r w:rsidR="00C912FC">
        <w:t xml:space="preserve">. In </w:t>
      </w:r>
      <w:r w:rsidR="001E4428">
        <w:rPr>
          <w:i/>
        </w:rPr>
        <w:t>WM</w:t>
      </w:r>
      <w:r w:rsidR="00C912FC" w:rsidRPr="00C912FC">
        <w:rPr>
          <w:i/>
        </w:rPr>
        <w:t>1</w:t>
      </w:r>
      <w:r w:rsidR="00C912FC">
        <w:t>,</w:t>
      </w:r>
      <w:r w:rsidR="00C912FC" w:rsidRPr="00C912FC">
        <w:rPr>
          <w:i/>
        </w:rPr>
        <w:t xml:space="preserve"> </w:t>
      </w:r>
      <w:r w:rsidR="00C912FC">
        <w:t>C</w:t>
      </w:r>
      <w:r w:rsidR="00C912FC">
        <w:rPr>
          <w:vertAlign w:val="subscript"/>
        </w:rPr>
        <w:t>1</w:t>
      </w:r>
      <w:r w:rsidR="00C912FC">
        <w:t xml:space="preserve"> was a wharfinger whose property had suffered fire damage caused by the ignition of the spilled oil. Because </w:t>
      </w:r>
      <w:r w:rsidR="008D14AA">
        <w:t xml:space="preserve">the technically experienced </w:t>
      </w:r>
      <w:r w:rsidR="00C912FC">
        <w:t>C</w:t>
      </w:r>
      <w:r w:rsidR="00C912FC" w:rsidRPr="00C912FC">
        <w:rPr>
          <w:vertAlign w:val="subscript"/>
        </w:rPr>
        <w:t>1</w:t>
      </w:r>
      <w:r w:rsidR="00CA7639">
        <w:t xml:space="preserve"> had</w:t>
      </w:r>
      <w:r w:rsidR="008D14AA">
        <w:t>,</w:t>
      </w:r>
      <w:r w:rsidR="00C912FC">
        <w:t xml:space="preserve"> by resuming welding operations, probably caused ignition and contributory negligence was at the time a complete defence in New South Wales, C</w:t>
      </w:r>
      <w:r w:rsidR="00C912FC" w:rsidRPr="00C912FC">
        <w:rPr>
          <w:vertAlign w:val="subscript"/>
        </w:rPr>
        <w:t>1</w:t>
      </w:r>
      <w:r w:rsidR="00C912FC">
        <w:t xml:space="preserve"> had to argue that the fire damage was unforeseeable but recoverable</w:t>
      </w:r>
      <w:r w:rsidR="0088546C">
        <w:t>—</w:t>
      </w:r>
      <w:r w:rsidR="00C912FC">
        <w:t xml:space="preserve">either in public nuisance or in negligence under the </w:t>
      </w:r>
      <w:r w:rsidR="00C912FC" w:rsidRPr="00C912FC">
        <w:rPr>
          <w:i/>
        </w:rPr>
        <w:t>Polemis</w:t>
      </w:r>
      <w:r w:rsidR="00C912FC">
        <w:t xml:space="preserve"> doctrine.</w:t>
      </w:r>
      <w:r w:rsidR="0088546C">
        <w:rPr>
          <w:rStyle w:val="FootnoteReference"/>
        </w:rPr>
        <w:footnoteReference w:id="91"/>
      </w:r>
      <w:r w:rsidR="0088546C">
        <w:t xml:space="preserve"> </w:t>
      </w:r>
      <w:r w:rsidR="0088546C" w:rsidRPr="0088546C">
        <w:t xml:space="preserve">In </w:t>
      </w:r>
      <w:r w:rsidR="00E31AD7">
        <w:t>W</w:t>
      </w:r>
      <w:r w:rsidR="00E31AD7">
        <w:rPr>
          <w:i/>
        </w:rPr>
        <w:t>M2</w:t>
      </w:r>
      <w:r w:rsidR="0088546C" w:rsidRPr="0088546C">
        <w:t>,</w:t>
      </w:r>
      <w:r w:rsidR="0088546C">
        <w:t xml:space="preserve"> C</w:t>
      </w:r>
      <w:r w:rsidR="0088546C" w:rsidRPr="0088546C">
        <w:rPr>
          <w:vertAlign w:val="subscript"/>
        </w:rPr>
        <w:t>2</w:t>
      </w:r>
      <w:r w:rsidR="0088546C">
        <w:t xml:space="preserve"> was the owner of the ship that was being welded. Having no contributory </w:t>
      </w:r>
      <w:r w:rsidR="0088546C">
        <w:lastRenderedPageBreak/>
        <w:t xml:space="preserve">negligence </w:t>
      </w:r>
      <w:r w:rsidR="006F5FB6">
        <w:t xml:space="preserve">flank </w:t>
      </w:r>
      <w:r w:rsidR="0088546C">
        <w:t xml:space="preserve">to </w:t>
      </w:r>
      <w:r w:rsidR="006F5FB6">
        <w:t>guard</w:t>
      </w:r>
      <w:r w:rsidR="0088546C">
        <w:t>, C</w:t>
      </w:r>
      <w:r w:rsidR="0088546C" w:rsidRPr="0088546C">
        <w:rPr>
          <w:vertAlign w:val="subscript"/>
        </w:rPr>
        <w:t>2</w:t>
      </w:r>
      <w:r w:rsidR="0088546C">
        <w:t xml:space="preserve"> could argue that fire damage was foreseeable.</w:t>
      </w:r>
      <w:r w:rsidR="00F337CE" w:rsidRPr="00F337CE">
        <w:t xml:space="preserve"> </w:t>
      </w:r>
      <w:r w:rsidR="00B13DF0">
        <w:t>F</w:t>
      </w:r>
      <w:r w:rsidR="00F337CE" w:rsidRPr="00F337CE">
        <w:t>ire damage was unforeseeable and irrecoverable</w:t>
      </w:r>
      <w:r w:rsidR="006F5FB6" w:rsidRPr="006F5FB6">
        <w:t xml:space="preserve"> </w:t>
      </w:r>
      <w:r w:rsidR="006F5FB6">
        <w:t>i</w:t>
      </w:r>
      <w:r w:rsidR="006F5FB6" w:rsidRPr="00F337CE">
        <w:t>n the first</w:t>
      </w:r>
      <w:r w:rsidR="006F5FB6">
        <w:t xml:space="preserve"> case</w:t>
      </w:r>
      <w:r w:rsidR="00F337CE" w:rsidRPr="00F337CE">
        <w:t>, but</w:t>
      </w:r>
      <w:r w:rsidR="006F5FB6">
        <w:t xml:space="preserve"> </w:t>
      </w:r>
      <w:r w:rsidR="00F337CE" w:rsidRPr="00F337CE">
        <w:t>foreseeable and recoverable</w:t>
      </w:r>
      <w:r w:rsidR="006F5FB6" w:rsidRPr="006F5FB6">
        <w:t xml:space="preserve"> </w:t>
      </w:r>
      <w:r w:rsidR="00493828">
        <w:t>in</w:t>
      </w:r>
      <w:r w:rsidR="006F5FB6" w:rsidRPr="00F337CE">
        <w:t xml:space="preserve"> the second</w:t>
      </w:r>
      <w:r w:rsidR="00F337CE" w:rsidRPr="00F337CE">
        <w:t>.</w:t>
      </w:r>
      <w:r w:rsidR="0088546C">
        <w:t xml:space="preserve"> </w:t>
      </w:r>
      <w:r w:rsidR="00244AFB">
        <w:t>This e</w:t>
      </w:r>
      <w:r w:rsidR="00D85DB4">
        <w:t>xtraordinary feature</w:t>
      </w:r>
      <w:r w:rsidR="00244AFB">
        <w:t xml:space="preserve"> suggest</w:t>
      </w:r>
      <w:r w:rsidR="001A43FB">
        <w:t>s</w:t>
      </w:r>
      <w:r w:rsidR="00244AFB">
        <w:t xml:space="preserve"> th</w:t>
      </w:r>
      <w:r w:rsidR="00D85DB4">
        <w:t xml:space="preserve">at the </w:t>
      </w:r>
      <w:r w:rsidR="00441277">
        <w:t xml:space="preserve">two </w:t>
      </w:r>
      <w:r w:rsidR="00D85DB4">
        <w:t xml:space="preserve">cases </w:t>
      </w:r>
      <w:r w:rsidR="00441277">
        <w:t>merit</w:t>
      </w:r>
      <w:r w:rsidR="00951C7B">
        <w:t xml:space="preserve"> careful examination.</w:t>
      </w:r>
      <w:r w:rsidR="0088546C">
        <w:t xml:space="preserve"> </w:t>
      </w:r>
    </w:p>
    <w:p w14:paraId="600614B7" w14:textId="7110A59E" w:rsidR="00F337CE" w:rsidRPr="00F337CE" w:rsidRDefault="00F337CE" w:rsidP="00F337CE">
      <w:r w:rsidRPr="00F337CE">
        <w:t xml:space="preserve">In </w:t>
      </w:r>
      <w:r w:rsidRPr="00F337CE">
        <w:rPr>
          <w:i/>
        </w:rPr>
        <w:t>WM1</w:t>
      </w:r>
      <w:r w:rsidR="00E31AD7">
        <w:t>,</w:t>
      </w:r>
      <w:r w:rsidR="00A61543">
        <w:t xml:space="preserve"> </w:t>
      </w:r>
      <w:r w:rsidRPr="00F337CE">
        <w:t>the trial judge</w:t>
      </w:r>
      <w:r w:rsidR="00A61543">
        <w:t>,</w:t>
      </w:r>
      <w:r w:rsidRPr="00F337CE">
        <w:t xml:space="preserve"> Kinsella J</w:t>
      </w:r>
      <w:r w:rsidR="00A61543">
        <w:t>,</w:t>
      </w:r>
      <w:r w:rsidRPr="00F337CE">
        <w:t xml:space="preserve"> made what Viscount Simonds </w:t>
      </w:r>
      <w:r w:rsidR="0088546C">
        <w:t xml:space="preserve">later </w:t>
      </w:r>
      <w:r w:rsidRPr="00F337CE">
        <w:t>described as ‘the all-important finding’</w:t>
      </w:r>
      <w:r w:rsidR="0088546C">
        <w:t>. It</w:t>
      </w:r>
      <w:r w:rsidRPr="00F337CE">
        <w:t xml:space="preserve"> seems two-pronged—fact</w:t>
      </w:r>
      <w:r w:rsidR="00E31AD7">
        <w:t xml:space="preserve">ive and </w:t>
      </w:r>
      <w:r w:rsidR="0089696B">
        <w:t>attributive</w:t>
      </w:r>
      <w:r w:rsidRPr="00F337CE">
        <w:t>.</w:t>
      </w:r>
    </w:p>
    <w:p w14:paraId="64559615" w14:textId="1A9D32A3" w:rsidR="00F337CE" w:rsidRPr="00F337CE" w:rsidRDefault="00F337CE" w:rsidP="0096016F">
      <w:pPr>
        <w:pStyle w:val="Quote"/>
      </w:pPr>
      <w:r w:rsidRPr="00F337CE">
        <w:t>‘The raison d'être of furnace oil is, of course, that it shall burn, but I find [fact</w:t>
      </w:r>
      <w:r w:rsidR="006F5FB6">
        <w:t>ively</w:t>
      </w:r>
      <w:r w:rsidRPr="00F337CE">
        <w:t>] the defendant did not know and [</w:t>
      </w:r>
      <w:r w:rsidR="006F5FB6">
        <w:t>attributively</w:t>
      </w:r>
      <w:r w:rsidRPr="00F337CE">
        <w:t>] could not reasonably be expected to have known that it was capable of being set afire when spread on water.’</w:t>
      </w:r>
      <w:r w:rsidRPr="00F337CE">
        <w:rPr>
          <w:vertAlign w:val="superscript"/>
        </w:rPr>
        <w:footnoteReference w:id="92"/>
      </w:r>
    </w:p>
    <w:p w14:paraId="426B8928" w14:textId="7CAE7530" w:rsidR="00F337CE" w:rsidRPr="00F337CE" w:rsidRDefault="001A43FB" w:rsidP="00F337CE">
      <w:r>
        <w:t>In dismissing C</w:t>
      </w:r>
      <w:r w:rsidRPr="00BC5AAD">
        <w:rPr>
          <w:vertAlign w:val="subscript"/>
        </w:rPr>
        <w:t>1</w:t>
      </w:r>
      <w:r>
        <w:t>’s appeal</w:t>
      </w:r>
      <w:r w:rsidRPr="00BC5AAD">
        <w:t xml:space="preserve"> </w:t>
      </w:r>
      <w:r>
        <w:t>to the Privy Council</w:t>
      </w:r>
      <w:r w:rsidRPr="00F337CE">
        <w:t xml:space="preserve">, </w:t>
      </w:r>
      <w:r w:rsidR="00F337CE" w:rsidRPr="00F337CE">
        <w:t xml:space="preserve">Lord Simonds </w:t>
      </w:r>
      <w:r w:rsidR="006F5FB6">
        <w:t>commented</w:t>
      </w:r>
      <w:r w:rsidR="00BC5AAD">
        <w:t xml:space="preserve"> that </w:t>
      </w:r>
    </w:p>
    <w:p w14:paraId="3279A218" w14:textId="2A01EDAE" w:rsidR="00F337CE" w:rsidRDefault="00BC5AAD" w:rsidP="0096016F">
      <w:pPr>
        <w:pStyle w:val="Quote"/>
      </w:pPr>
      <w:r>
        <w:t>‘[t]</w:t>
      </w:r>
      <w:r w:rsidR="00F337CE" w:rsidRPr="00F337CE">
        <w:t>his finding was reached after a wealth of evidence, which included that of a distinguished scientist, Professor Hunter.’</w:t>
      </w:r>
      <w:bookmarkStart w:id="50" w:name="_Ref426637907"/>
      <w:r w:rsidR="00F337CE" w:rsidRPr="00F337CE">
        <w:rPr>
          <w:vertAlign w:val="superscript"/>
        </w:rPr>
        <w:footnoteReference w:id="93"/>
      </w:r>
      <w:bookmarkEnd w:id="50"/>
    </w:p>
    <w:p w14:paraId="104B7F28" w14:textId="7A1AD727" w:rsidR="001B7259" w:rsidRDefault="005E0EC8" w:rsidP="005E0EC8">
      <w:r>
        <w:t xml:space="preserve">The Privy Council clearly </w:t>
      </w:r>
      <w:r w:rsidR="00B410D4">
        <w:t>regarded</w:t>
      </w:r>
      <w:r>
        <w:t xml:space="preserve"> foreseeability </w:t>
      </w:r>
      <w:r w:rsidR="00B410D4">
        <w:t xml:space="preserve">as </w:t>
      </w:r>
      <w:r>
        <w:t>a more manageable tool than causation, which they thought was beset with</w:t>
      </w:r>
      <w:r w:rsidR="00B15F1D" w:rsidRPr="00B15F1D">
        <w:t xml:space="preserve"> </w:t>
      </w:r>
      <w:r w:rsidR="00B15F1D">
        <w:t>‘</w:t>
      </w:r>
      <w:r w:rsidR="00B15F1D" w:rsidRPr="005E0EC8">
        <w:t>never-ending and insoluble problems</w:t>
      </w:r>
      <w:r w:rsidR="00B15F1D">
        <w:t>’ of a ‘</w:t>
      </w:r>
      <w:r w:rsidR="00B15F1D" w:rsidRPr="00B15F1D">
        <w:t>logical and metaphysical</w:t>
      </w:r>
      <w:r w:rsidR="00B15F1D">
        <w:t>’ nature. By contrast, ‘reasonable foreseeability…</w:t>
      </w:r>
      <w:r w:rsidR="00B15F1D" w:rsidRPr="005E0EC8">
        <w:t>corresponds with the common conscience of mankind</w:t>
      </w:r>
      <w:r w:rsidR="001E4A44">
        <w:t>’</w:t>
      </w:r>
      <w:r w:rsidR="001A43FB">
        <w:rPr>
          <w:rStyle w:val="FootnoteReference"/>
        </w:rPr>
        <w:footnoteReference w:id="94"/>
      </w:r>
      <w:r w:rsidR="001E4A44">
        <w:t xml:space="preserve">—the kind of approach that, for Heidi Hurd, exemplifies </w:t>
      </w:r>
      <w:r w:rsidR="001E4A44" w:rsidRPr="001E4A44">
        <w:t>‘decades of verbiage devoted to superficial moralizing about the superiority of a fault-based standard to a standard of strict liability’</w:t>
      </w:r>
      <w:r w:rsidR="00E31AD7">
        <w:t>.</w:t>
      </w:r>
      <w:r w:rsidR="00B15F1D">
        <w:rPr>
          <w:rStyle w:val="FootnoteReference"/>
        </w:rPr>
        <w:footnoteReference w:id="95"/>
      </w:r>
      <w:r w:rsidR="00B15F1D">
        <w:t xml:space="preserve"> But causation and foreseeability share a similar factive-</w:t>
      </w:r>
      <w:r w:rsidR="0089696B">
        <w:t>attributive</w:t>
      </w:r>
      <w:r w:rsidR="00B15F1D">
        <w:t xml:space="preserve"> ambivalence. Cause-in-fact, although seemingly factive, involves the subjective selection of operative causes from the </w:t>
      </w:r>
      <w:r w:rsidR="00B15F1D" w:rsidRPr="00B15F1D">
        <w:rPr>
          <w:i/>
        </w:rPr>
        <w:t>nexus</w:t>
      </w:r>
      <w:r w:rsidR="00B15F1D">
        <w:t xml:space="preserve"> of composed of factors that survive the ‘but for’ test.</w:t>
      </w:r>
      <w:r w:rsidR="001B7259">
        <w:t xml:space="preserve"> Intuitively</w:t>
      </w:r>
      <w:r w:rsidR="00876A84">
        <w:t>,</w:t>
      </w:r>
      <w:r w:rsidR="001B7259">
        <w:t xml:space="preserve"> we prioritise </w:t>
      </w:r>
      <w:r w:rsidR="00441277">
        <w:t xml:space="preserve">a </w:t>
      </w:r>
      <w:r w:rsidR="001B7259">
        <w:t>human agency that in a force-dynamic</w:t>
      </w:r>
      <w:r w:rsidR="001B7259">
        <w:rPr>
          <w:rStyle w:val="FootnoteReference"/>
        </w:rPr>
        <w:footnoteReference w:id="96"/>
      </w:r>
      <w:r w:rsidR="001B7259">
        <w:t xml:space="preserve"> way produces the adverse</w:t>
      </w:r>
      <w:r w:rsidR="00441277">
        <w:t>,</w:t>
      </w:r>
      <w:r w:rsidR="001B7259">
        <w:t xml:space="preserve"> and </w:t>
      </w:r>
      <w:r w:rsidR="00B410D4">
        <w:t>hence</w:t>
      </w:r>
      <w:r w:rsidR="001B7259">
        <w:t xml:space="preserve"> blameworthy</w:t>
      </w:r>
      <w:r w:rsidR="00441277">
        <w:t>,</w:t>
      </w:r>
      <w:r w:rsidR="001B7259">
        <w:t xml:space="preserve"> outcomes. We look also </w:t>
      </w:r>
      <w:r w:rsidR="00441277">
        <w:t>for sufficient causal closeness</w:t>
      </w:r>
      <w:r w:rsidR="001B7259">
        <w:rPr>
          <w:rStyle w:val="FootnoteReference"/>
        </w:rPr>
        <w:footnoteReference w:id="97"/>
      </w:r>
      <w:r w:rsidR="00441277">
        <w:t xml:space="preserve"> a</w:t>
      </w:r>
      <w:r w:rsidR="001B7259">
        <w:t xml:space="preserve">nd </w:t>
      </w:r>
      <w:r w:rsidR="00441277">
        <w:t>yet do not know</w:t>
      </w:r>
      <w:r w:rsidR="001B7259">
        <w:t xml:space="preserve"> how long a ‘reason</w:t>
      </w:r>
      <w:r w:rsidR="00441277">
        <w:t>able’ length of string might be.</w:t>
      </w:r>
    </w:p>
    <w:p w14:paraId="7F4C2F08" w14:textId="37B9C3D1" w:rsidR="00F337CE" w:rsidRPr="00F337CE" w:rsidRDefault="00F337CE" w:rsidP="00F337CE">
      <w:r w:rsidRPr="00F337CE">
        <w:t xml:space="preserve">In </w:t>
      </w:r>
      <w:r w:rsidRPr="00F337CE">
        <w:rPr>
          <w:i/>
        </w:rPr>
        <w:t>WM2</w:t>
      </w:r>
      <w:r w:rsidR="00E31AD7">
        <w:rPr>
          <w:i/>
        </w:rPr>
        <w:t>FI</w:t>
      </w:r>
      <w:r w:rsidRPr="00F337CE">
        <w:t xml:space="preserve">, </w:t>
      </w:r>
      <w:r w:rsidR="00A3305C">
        <w:t>Walsh J</w:t>
      </w:r>
      <w:r w:rsidR="00B13DF0">
        <w:t xml:space="preserve"> made some undoubtedly factual findings</w:t>
      </w:r>
      <w:r w:rsidR="00021EBF">
        <w:t>—the presence of oil in the water around C</w:t>
      </w:r>
      <w:r w:rsidR="00021EBF" w:rsidRPr="0013634A">
        <w:rPr>
          <w:vertAlign w:val="subscript"/>
        </w:rPr>
        <w:t>2</w:t>
      </w:r>
      <w:r w:rsidR="00021EBF">
        <w:t>’s ships was a cause</w:t>
      </w:r>
      <w:r w:rsidR="006E39F9">
        <w:t xml:space="preserve"> of</w:t>
      </w:r>
      <w:r w:rsidR="00021EBF">
        <w:t xml:space="preserve"> </w:t>
      </w:r>
      <w:r w:rsidR="00021EBF" w:rsidRPr="0013634A">
        <w:t>C</w:t>
      </w:r>
      <w:r w:rsidR="00021EBF" w:rsidRPr="0013634A">
        <w:rPr>
          <w:vertAlign w:val="subscript"/>
        </w:rPr>
        <w:t>2</w:t>
      </w:r>
      <w:r w:rsidR="00021EBF" w:rsidRPr="0013634A">
        <w:t xml:space="preserve">’s </w:t>
      </w:r>
      <w:r w:rsidR="00021EBF">
        <w:t>loss</w:t>
      </w:r>
      <w:r w:rsidR="00A54B66">
        <w:t xml:space="preserve"> and </w:t>
      </w:r>
      <w:r w:rsidR="006E39F9">
        <w:t>the oil’s</w:t>
      </w:r>
      <w:r w:rsidR="00A54B66">
        <w:t xml:space="preserve"> ignition </w:t>
      </w:r>
      <w:r w:rsidR="00A3305C">
        <w:t xml:space="preserve">was </w:t>
      </w:r>
      <w:r w:rsidR="00A54B66">
        <w:t>by means of the floating waste</w:t>
      </w:r>
      <w:r w:rsidR="00B13DF0">
        <w:t>.</w:t>
      </w:r>
      <w:r w:rsidR="00A54B66">
        <w:rPr>
          <w:rStyle w:val="FootnoteReference"/>
        </w:rPr>
        <w:footnoteReference w:id="98"/>
      </w:r>
      <w:r w:rsidR="00B13DF0">
        <w:t xml:space="preserve"> These </w:t>
      </w:r>
      <w:r w:rsidR="006E39F9">
        <w:t xml:space="preserve">propositions </w:t>
      </w:r>
      <w:r w:rsidR="00A54B66">
        <w:t>are subject to true/false testing.</w:t>
      </w:r>
      <w:r w:rsidR="00A54B66" w:rsidRPr="00F337CE">
        <w:t xml:space="preserve"> </w:t>
      </w:r>
      <w:r w:rsidR="00A54B66">
        <w:t>But</w:t>
      </w:r>
      <w:r w:rsidR="00B13DF0">
        <w:t>,</w:t>
      </w:r>
      <w:r w:rsidR="00A54B66">
        <w:t xml:space="preserve"> </w:t>
      </w:r>
      <w:r w:rsidR="00B13DF0">
        <w:t>h</w:t>
      </w:r>
      <w:r w:rsidR="00CA7639">
        <w:t xml:space="preserve">aving </w:t>
      </w:r>
      <w:r w:rsidR="00CA7639" w:rsidRPr="0048410C">
        <w:rPr>
          <w:i/>
        </w:rPr>
        <w:t>inferred</w:t>
      </w:r>
      <w:r w:rsidR="00CA7639">
        <w:t xml:space="preserve"> from </w:t>
      </w:r>
      <w:r w:rsidR="0048410C">
        <w:t>one witne</w:t>
      </w:r>
      <w:r w:rsidR="00CA7639">
        <w:t>s</w:t>
      </w:r>
      <w:r w:rsidR="0048410C">
        <w:t>s</w:t>
      </w:r>
      <w:r w:rsidR="00CA7639">
        <w:t>’</w:t>
      </w:r>
      <w:r w:rsidR="0048410C">
        <w:t>s</w:t>
      </w:r>
      <w:r w:rsidR="00CA7639">
        <w:t xml:space="preserve"> evidence</w:t>
      </w:r>
      <w:r w:rsidR="0048410C">
        <w:t xml:space="preserve"> </w:t>
      </w:r>
      <w:r w:rsidR="00B13DF0">
        <w:t xml:space="preserve">that </w:t>
      </w:r>
      <w:r w:rsidR="0048410C">
        <w:t xml:space="preserve">D had been </w:t>
      </w:r>
      <w:r w:rsidR="00DA4A91">
        <w:t>‘</w:t>
      </w:r>
      <w:r w:rsidR="0048410C">
        <w:t>careless</w:t>
      </w:r>
      <w:r w:rsidR="00DA4A91">
        <w:t>’</w:t>
      </w:r>
      <w:r w:rsidR="00DA4A91">
        <w:rPr>
          <w:rStyle w:val="FootnoteReference"/>
        </w:rPr>
        <w:footnoteReference w:id="99"/>
      </w:r>
      <w:r w:rsidR="00B13DF0">
        <w:t xml:space="preserve"> in</w:t>
      </w:r>
      <w:r w:rsidR="0048410C">
        <w:t xml:space="preserve"> spilling the oil and undertaken ‘some scrutiny of the test of foreseeability, in order to determine how it should be applied to the circumstances of the case’,</w:t>
      </w:r>
      <w:r w:rsidR="0048410C">
        <w:rPr>
          <w:rStyle w:val="FootnoteReference"/>
        </w:rPr>
        <w:footnoteReference w:id="100"/>
      </w:r>
      <w:r w:rsidR="0048410C">
        <w:t xml:space="preserve"> </w:t>
      </w:r>
      <w:r w:rsidRPr="00F337CE">
        <w:t>Walsh J</w:t>
      </w:r>
      <w:r w:rsidR="006F5FB6">
        <w:t>,</w:t>
      </w:r>
      <w:r w:rsidRPr="00F337CE">
        <w:t xml:space="preserve"> </w:t>
      </w:r>
      <w:r w:rsidR="006E39F9">
        <w:t>went on to ho</w:t>
      </w:r>
      <w:r w:rsidRPr="00F337CE">
        <w:t>ld that:</w:t>
      </w:r>
    </w:p>
    <w:p w14:paraId="0060F3E8" w14:textId="77777777" w:rsidR="002220CB" w:rsidRDefault="00F337CE" w:rsidP="0096016F">
      <w:pPr>
        <w:pStyle w:val="Quote"/>
      </w:pPr>
      <w:r w:rsidRPr="00F337CE">
        <w:t>‘(1) Reasonable people in the position of the officers of the Wagon Mound would regard the furnace oil as very difficult to ignite upon water.</w:t>
      </w:r>
      <w:r w:rsidR="00A3305C">
        <w:rPr>
          <w:rStyle w:val="FootnoteReference"/>
        </w:rPr>
        <w:footnoteReference w:id="101"/>
      </w:r>
      <w:r w:rsidRPr="00F337CE">
        <w:t xml:space="preserve"> </w:t>
      </w:r>
    </w:p>
    <w:p w14:paraId="33EE2645" w14:textId="77777777" w:rsidR="002220CB" w:rsidRDefault="00F337CE" w:rsidP="0096016F">
      <w:pPr>
        <w:pStyle w:val="Quote"/>
      </w:pPr>
      <w:r w:rsidRPr="00F337CE">
        <w:lastRenderedPageBreak/>
        <w:t xml:space="preserve">(2) Their personal experience would probably have been that this had very rarely happened. </w:t>
      </w:r>
    </w:p>
    <w:p w14:paraId="5694D2A4" w14:textId="77777777" w:rsidR="002220CB" w:rsidRDefault="00F337CE" w:rsidP="0096016F">
      <w:pPr>
        <w:pStyle w:val="Quote"/>
      </w:pPr>
      <w:r w:rsidRPr="00F337CE">
        <w:t xml:space="preserve">(3) If they had given attention to the risk of fire from the spillage, they would have regarded it as a possibility, but one which could become an actuality only in very exceptional circumstances. </w:t>
      </w:r>
    </w:p>
    <w:p w14:paraId="0F3C04BC" w14:textId="77777777" w:rsidR="002220CB" w:rsidRDefault="00F337CE" w:rsidP="0096016F">
      <w:pPr>
        <w:pStyle w:val="Quote"/>
      </w:pPr>
      <w:r w:rsidRPr="00F337CE">
        <w:t>(4) They would have considered the chances of the required exceptional circumstances happening whilst the oil remained spread on the harbour waters as being remote.</w:t>
      </w:r>
      <w:r w:rsidR="006F5FB6" w:rsidRPr="006F5FB6">
        <w:t xml:space="preserve"> </w:t>
      </w:r>
    </w:p>
    <w:p w14:paraId="28B54E94" w14:textId="1D017129" w:rsidR="00F337CE" w:rsidRPr="00F337CE" w:rsidRDefault="006F5FB6" w:rsidP="0096016F">
      <w:pPr>
        <w:pStyle w:val="Quote"/>
      </w:pPr>
      <w:r>
        <w:t>(5)</w:t>
      </w:r>
      <w:r w:rsidR="00A54B66">
        <w:t>…t</w:t>
      </w:r>
      <w:r w:rsidRPr="00F337CE">
        <w:t>he occurrence of damage to the plaintiff's property as a result of the spillage was not reasonably foreseeable by those for whose acts the</w:t>
      </w:r>
      <w:r w:rsidR="00E31AD7">
        <w:t xml:space="preserve"> defendant would be responsible</w:t>
      </w:r>
      <w:r w:rsidR="00A54B66">
        <w:t>.’</w:t>
      </w:r>
      <w:r w:rsidR="00A54B66">
        <w:rPr>
          <w:rStyle w:val="FootnoteReference"/>
        </w:rPr>
        <w:footnoteReference w:id="102"/>
      </w:r>
    </w:p>
    <w:p w14:paraId="4E94433B" w14:textId="56724E04" w:rsidR="00F337CE" w:rsidRPr="00F337CE" w:rsidRDefault="00B13DF0" w:rsidP="00F337CE">
      <w:r>
        <w:t xml:space="preserve">The crucial verdict is finding (5), to which </w:t>
      </w:r>
      <w:r w:rsidR="00441277">
        <w:t>verdict</w:t>
      </w:r>
      <w:r w:rsidR="00CA7639">
        <w:t>s (1)-</w:t>
      </w:r>
      <w:r w:rsidR="00021EBF">
        <w:t>(4)</w:t>
      </w:r>
      <w:r w:rsidR="00021EBF" w:rsidRPr="00021EBF">
        <w:t xml:space="preserve"> </w:t>
      </w:r>
      <w:r>
        <w:t>clearly contributed</w:t>
      </w:r>
      <w:r w:rsidR="00021EBF">
        <w:t xml:space="preserve">. </w:t>
      </w:r>
      <w:r w:rsidR="0013634A">
        <w:t xml:space="preserve">But </w:t>
      </w:r>
      <w:r>
        <w:t>is the verdict—</w:t>
      </w:r>
      <w:r w:rsidR="00021EBF">
        <w:t>‘not reasonably foreseeable’</w:t>
      </w:r>
      <w:r w:rsidR="002B70D1">
        <w:t xml:space="preserve">—materially </w:t>
      </w:r>
      <w:r w:rsidR="0089696B">
        <w:t>attributive</w:t>
      </w:r>
      <w:r w:rsidR="002B70D1">
        <w:t xml:space="preserve"> and thus of a kind </w:t>
      </w:r>
      <w:r w:rsidR="003F6EFC">
        <w:t>that</w:t>
      </w:r>
      <w:r w:rsidR="00021EBF">
        <w:t xml:space="preserve"> </w:t>
      </w:r>
      <w:r w:rsidR="003F6EFC">
        <w:t>an appeal court can legitimately overturn?</w:t>
      </w:r>
      <w:bookmarkStart w:id="51" w:name="_Ref427692305"/>
      <w:r w:rsidR="002B70D1">
        <w:rPr>
          <w:rStyle w:val="FootnoteReference"/>
        </w:rPr>
        <w:footnoteReference w:id="103"/>
      </w:r>
      <w:bookmarkEnd w:id="51"/>
    </w:p>
    <w:p w14:paraId="3DCA5F6D" w14:textId="64480992" w:rsidR="002B70D1" w:rsidRDefault="002B70D1" w:rsidP="00190356">
      <w:r>
        <w:t xml:space="preserve">Walsh J </w:t>
      </w:r>
      <w:r w:rsidR="00190356">
        <w:t xml:space="preserve">reached </w:t>
      </w:r>
      <w:r w:rsidR="00441277">
        <w:t>verdict</w:t>
      </w:r>
      <w:r w:rsidR="00021EBF">
        <w:t>s (1)</w:t>
      </w:r>
      <w:r w:rsidR="00CA7639">
        <w:t>-</w:t>
      </w:r>
      <w:r w:rsidR="00F837CC">
        <w:t>(5</w:t>
      </w:r>
      <w:r w:rsidR="00021EBF">
        <w:t>)</w:t>
      </w:r>
      <w:r w:rsidR="00CA7639">
        <w:t xml:space="preserve"> </w:t>
      </w:r>
      <w:r w:rsidR="00190356">
        <w:t>by assessing the factual evidence</w:t>
      </w:r>
      <w:r w:rsidR="00633AA5">
        <w:t xml:space="preserve"> (different to that in </w:t>
      </w:r>
      <w:r w:rsidR="00633AA5" w:rsidRPr="00633AA5">
        <w:rPr>
          <w:i/>
        </w:rPr>
        <w:t>W</w:t>
      </w:r>
      <w:r w:rsidR="00C13942">
        <w:rPr>
          <w:i/>
        </w:rPr>
        <w:t>M</w:t>
      </w:r>
      <w:r w:rsidR="00633AA5" w:rsidRPr="00633AA5">
        <w:rPr>
          <w:i/>
        </w:rPr>
        <w:t>1</w:t>
      </w:r>
      <w:r w:rsidR="00633AA5">
        <w:t>)</w:t>
      </w:r>
      <w:r w:rsidR="00CA7639" w:rsidRPr="0013634A">
        <w:rPr>
          <w:rStyle w:val="FootnoteReference"/>
        </w:rPr>
        <w:footnoteReference w:id="104"/>
      </w:r>
      <w:r w:rsidR="00190356">
        <w:t xml:space="preserve"> of people in the same technical business as D</w:t>
      </w:r>
      <w:r>
        <w:t>. Thus informed, he</w:t>
      </w:r>
      <w:r w:rsidR="00190356">
        <w:t xml:space="preserve"> </w:t>
      </w:r>
      <w:r w:rsidR="00190356" w:rsidRPr="00F51855">
        <w:rPr>
          <w:i/>
        </w:rPr>
        <w:t>construct</w:t>
      </w:r>
      <w:r w:rsidRPr="00F51855">
        <w:rPr>
          <w:i/>
        </w:rPr>
        <w:t>ed</w:t>
      </w:r>
      <w:r w:rsidR="00190356" w:rsidRPr="00F51855">
        <w:rPr>
          <w:i/>
        </w:rPr>
        <w:t xml:space="preserve"> </w:t>
      </w:r>
      <w:r w:rsidR="00190356">
        <w:t xml:space="preserve">a view </w:t>
      </w:r>
      <w:r>
        <w:t xml:space="preserve">of whether </w:t>
      </w:r>
      <w:r w:rsidR="00190356">
        <w:t>reasonable people in D’s position</w:t>
      </w:r>
      <w:r w:rsidR="0048410C">
        <w:t xml:space="preserve"> (technically savvy rather than scientists</w:t>
      </w:r>
      <w:r w:rsidR="0048410C">
        <w:rPr>
          <w:rStyle w:val="FootnoteReference"/>
        </w:rPr>
        <w:footnoteReference w:id="105"/>
      </w:r>
      <w:r w:rsidR="0048410C">
        <w:t>)</w:t>
      </w:r>
      <w:r w:rsidR="00190356">
        <w:t xml:space="preserve">: </w:t>
      </w:r>
    </w:p>
    <w:p w14:paraId="14B112C6" w14:textId="27DF5EE9" w:rsidR="002B70D1" w:rsidRDefault="002B70D1" w:rsidP="00190356">
      <w:r>
        <w:t>(a)</w:t>
      </w:r>
      <w:r>
        <w:tab/>
      </w:r>
      <w:r w:rsidR="00190356">
        <w:t xml:space="preserve">would have foreseen a fire risk; and </w:t>
      </w:r>
    </w:p>
    <w:p w14:paraId="27387B1E" w14:textId="1CB262DA" w:rsidR="004D5FDC" w:rsidRDefault="002B70D1" w:rsidP="002B70D1">
      <w:pPr>
        <w:ind w:left="720" w:hanging="720"/>
      </w:pPr>
      <w:r>
        <w:t>(b)</w:t>
      </w:r>
      <w:r>
        <w:tab/>
      </w:r>
      <w:r w:rsidR="00633AA5">
        <w:t>would have thought the risk sufficiently likely to require action to stop the welding operations</w:t>
      </w:r>
      <w:r w:rsidR="002A0A0B">
        <w:t>, which</w:t>
      </w:r>
      <w:r w:rsidR="00633AA5">
        <w:t xml:space="preserve"> apparently ignited </w:t>
      </w:r>
      <w:r w:rsidR="002A0A0B">
        <w:t xml:space="preserve">the </w:t>
      </w:r>
      <w:r w:rsidR="00633AA5">
        <w:t xml:space="preserve">floating waste material that burned hot enough to reach the oil’s flashpoint. </w:t>
      </w:r>
    </w:p>
    <w:p w14:paraId="58A05C67" w14:textId="174CBE61" w:rsidR="00190356" w:rsidRDefault="00633AA5" w:rsidP="00190356">
      <w:r>
        <w:t>(a) is akin to our factive foreseeability filter</w:t>
      </w:r>
      <w:r w:rsidR="004D5FDC">
        <w:t xml:space="preserve">. There was some evidence that ‘ordinary men’ might find the fire risk unforeseeable, but Walsh J concentrated on ‘what </w:t>
      </w:r>
      <w:r w:rsidR="004D5FDC" w:rsidRPr="00441277">
        <w:rPr>
          <w:i/>
        </w:rPr>
        <w:t>would</w:t>
      </w:r>
      <w:r w:rsidR="004D5FDC">
        <w:t xml:space="preserve"> have been foreseen by men of that class [ship’s officers]’.</w:t>
      </w:r>
      <w:r w:rsidR="004D5FDC">
        <w:rPr>
          <w:rStyle w:val="FootnoteReference"/>
        </w:rPr>
        <w:footnoteReference w:id="106"/>
      </w:r>
      <w:r w:rsidR="004D5FDC">
        <w:t xml:space="preserve"> The word ‘would’ </w:t>
      </w:r>
      <w:r w:rsidR="00F6349C">
        <w:t xml:space="preserve">is </w:t>
      </w:r>
      <w:r w:rsidR="004D5FDC">
        <w:t>factive</w:t>
      </w:r>
      <w:r w:rsidR="00F51855">
        <w:t>-</w:t>
      </w:r>
      <w:r w:rsidR="0089696B">
        <w:t>attributive</w:t>
      </w:r>
      <w:r w:rsidR="00F6349C">
        <w:t xml:space="preserve"> ambivalent</w:t>
      </w:r>
      <w:r w:rsidR="004D5FDC">
        <w:t xml:space="preserve">. </w:t>
      </w:r>
      <w:r w:rsidR="002B70D1">
        <w:t xml:space="preserve">A factive interpretation—that </w:t>
      </w:r>
      <w:r w:rsidR="00081FE1">
        <w:t>persons in the</w:t>
      </w:r>
      <w:r w:rsidR="002B70D1">
        <w:t xml:space="preserve"> same class as</w:t>
      </w:r>
      <w:r w:rsidR="00081FE1">
        <w:t xml:space="preserve"> D will actually foresee—is plausible. Nevertheless</w:t>
      </w:r>
      <w:r w:rsidR="00441277">
        <w:t>,</w:t>
      </w:r>
      <w:r w:rsidR="00081FE1">
        <w:t xml:space="preserve"> </w:t>
      </w:r>
      <w:r w:rsidR="004D5FDC">
        <w:t>Walsh J</w:t>
      </w:r>
      <w:r w:rsidR="00081FE1">
        <w:t xml:space="preserve"> </w:t>
      </w:r>
      <w:r w:rsidR="002B70D1">
        <w:t xml:space="preserve">had </w:t>
      </w:r>
      <w:r w:rsidR="00081FE1" w:rsidRPr="002B70D1">
        <w:rPr>
          <w:i/>
        </w:rPr>
        <w:t>constructed</w:t>
      </w:r>
      <w:r w:rsidR="00081FE1" w:rsidRPr="00081FE1">
        <w:t xml:space="preserve"> </w:t>
      </w:r>
      <w:r w:rsidR="00081FE1">
        <w:t xml:space="preserve">the </w:t>
      </w:r>
      <w:r w:rsidR="00081FE1" w:rsidRPr="00441277">
        <w:rPr>
          <w:i/>
        </w:rPr>
        <w:t>reasonable</w:t>
      </w:r>
      <w:r w:rsidR="00081FE1">
        <w:t xml:space="preserve"> ship’s officer, albeit from the evidence </w:t>
      </w:r>
      <w:r w:rsidR="00876A84">
        <w:t>of</w:t>
      </w:r>
      <w:r w:rsidR="00081FE1">
        <w:t xml:space="preserve"> </w:t>
      </w:r>
      <w:r w:rsidR="00441277">
        <w:t xml:space="preserve">actual </w:t>
      </w:r>
      <w:r w:rsidR="00876A84">
        <w:t>members</w:t>
      </w:r>
      <w:r w:rsidR="00081FE1">
        <w:t xml:space="preserve"> of th</w:t>
      </w:r>
      <w:r w:rsidR="00876A84">
        <w:t>at</w:t>
      </w:r>
      <w:r w:rsidR="00081FE1">
        <w:t xml:space="preserve"> class</w:t>
      </w:r>
      <w:r w:rsidR="002B70D1">
        <w:t xml:space="preserve">. That </w:t>
      </w:r>
      <w:r w:rsidR="00920B23">
        <w:t xml:space="preserve">suggests </w:t>
      </w:r>
      <w:r w:rsidR="00920B23" w:rsidRPr="002B70D1">
        <w:rPr>
          <w:i/>
        </w:rPr>
        <w:t>attributi</w:t>
      </w:r>
      <w:r w:rsidR="00441277">
        <w:rPr>
          <w:i/>
        </w:rPr>
        <w:t>vity</w:t>
      </w:r>
      <w:r w:rsidR="00920B23">
        <w:t>.</w:t>
      </w:r>
      <w:r w:rsidR="00081FE1">
        <w:rPr>
          <w:rStyle w:val="FootnoteReference"/>
        </w:rPr>
        <w:footnoteReference w:id="107"/>
      </w:r>
    </w:p>
    <w:p w14:paraId="24726D66" w14:textId="16E3E481" w:rsidR="00081FE1" w:rsidRDefault="00F51855" w:rsidP="00190356">
      <w:r>
        <w:t xml:space="preserve">Walsh J’s verdict on </w:t>
      </w:r>
      <w:r w:rsidR="00081FE1">
        <w:t xml:space="preserve">(b) </w:t>
      </w:r>
      <w:r w:rsidR="00876A84">
        <w:t xml:space="preserve">was the subject of the appeal to the Privy Council and </w:t>
      </w:r>
      <w:r w:rsidR="00081FE1">
        <w:t xml:space="preserve">seems more strongly </w:t>
      </w:r>
      <w:r w:rsidR="0089696B">
        <w:t>attributive</w:t>
      </w:r>
      <w:r w:rsidR="00081FE1">
        <w:t xml:space="preserve">. </w:t>
      </w:r>
      <w:r>
        <w:t xml:space="preserve">His </w:t>
      </w:r>
      <w:r w:rsidR="00081FE1">
        <w:t xml:space="preserve">approach to it was informed by a review of </w:t>
      </w:r>
      <w:r w:rsidR="002B70D1">
        <w:t xml:space="preserve">some </w:t>
      </w:r>
      <w:r w:rsidR="00081FE1">
        <w:t>leading cases that focus on degrees of likelihood</w:t>
      </w:r>
      <w:r w:rsidR="0027188B">
        <w:t>.</w:t>
      </w:r>
      <w:bookmarkStart w:id="52" w:name="_Ref426637316"/>
      <w:r w:rsidR="00081FE1">
        <w:rPr>
          <w:rStyle w:val="FootnoteReference"/>
        </w:rPr>
        <w:footnoteReference w:id="108"/>
      </w:r>
      <w:bookmarkEnd w:id="52"/>
      <w:r w:rsidR="0027188B">
        <w:t xml:space="preserve"> He cited Lord Dunedin’s </w:t>
      </w:r>
      <w:r w:rsidR="00294E0B">
        <w:t xml:space="preserve">patently </w:t>
      </w:r>
      <w:r w:rsidR="0089696B">
        <w:t>attributive</w:t>
      </w:r>
      <w:r w:rsidR="00294E0B">
        <w:t xml:space="preserve"> </w:t>
      </w:r>
      <w:r w:rsidR="0027188B">
        <w:t>comment that,</w:t>
      </w:r>
    </w:p>
    <w:p w14:paraId="580294A2" w14:textId="24F68CC6" w:rsidR="0027188B" w:rsidRDefault="00294E0B" w:rsidP="00294E0B">
      <w:pPr>
        <w:pStyle w:val="Quote"/>
      </w:pPr>
      <w:r>
        <w:t>‘</w:t>
      </w:r>
      <w:r w:rsidRPr="00294E0B">
        <w:t xml:space="preserve">It is still left to the judge to decide what, in the circumstances of the particular case, the </w:t>
      </w:r>
      <w:r w:rsidRPr="00294E0B">
        <w:rPr>
          <w:i/>
        </w:rPr>
        <w:t>reasonable man</w:t>
      </w:r>
      <w:r w:rsidRPr="00294E0B">
        <w:t xml:space="preserve"> </w:t>
      </w:r>
      <w:r w:rsidRPr="00294E0B">
        <w:rPr>
          <w:i/>
        </w:rPr>
        <w:t xml:space="preserve">would </w:t>
      </w:r>
      <w:r w:rsidRPr="00294E0B">
        <w:t xml:space="preserve">have had in contemplation, and what, accordingly, the party sought to be made liable </w:t>
      </w:r>
      <w:r w:rsidRPr="00294E0B">
        <w:rPr>
          <w:i/>
        </w:rPr>
        <w:t>ought</w:t>
      </w:r>
      <w:r w:rsidRPr="00294E0B">
        <w:t xml:space="preserve"> to have foreseen. Here there is room </w:t>
      </w:r>
      <w:r>
        <w:t xml:space="preserve">for </w:t>
      </w:r>
      <w:r w:rsidRPr="00294E0B">
        <w:rPr>
          <w:i/>
        </w:rPr>
        <w:t>diversity of view</w:t>
      </w:r>
      <w:r>
        <w:t>…’</w:t>
      </w:r>
      <w:r>
        <w:rPr>
          <w:rStyle w:val="FootnoteReference"/>
        </w:rPr>
        <w:footnoteReference w:id="109"/>
      </w:r>
    </w:p>
    <w:p w14:paraId="70C934C4" w14:textId="33A3B008" w:rsidR="00294E0B" w:rsidRDefault="00294E0B" w:rsidP="00190356">
      <w:r>
        <w:lastRenderedPageBreak/>
        <w:t>That diversity of view is not about truth or falsehood but normative</w:t>
      </w:r>
      <w:r w:rsidR="00964A6A">
        <w:t>—</w:t>
      </w:r>
      <w:r w:rsidR="00876A84">
        <w:t xml:space="preserve">it’s </w:t>
      </w:r>
      <w:r w:rsidR="00964A6A">
        <w:t>about standard-setting</w:t>
      </w:r>
      <w:r>
        <w:t xml:space="preserve">. </w:t>
      </w:r>
      <w:r w:rsidR="002B70D1">
        <w:t>Walsh J also spoke</w:t>
      </w:r>
      <w:r w:rsidR="005F7F55">
        <w:t xml:space="preserve"> of the ship’s officers’ ‘assumed…mental processes’ in considering whether the fire risk was low enough to disregard.</w:t>
      </w:r>
      <w:r w:rsidR="005F7F55">
        <w:rPr>
          <w:rStyle w:val="FootnoteReference"/>
        </w:rPr>
        <w:footnoteReference w:id="110"/>
      </w:r>
      <w:r w:rsidR="005F7F55">
        <w:t xml:space="preserve"> </w:t>
      </w:r>
      <w:r w:rsidR="00F51855">
        <w:t>But there is some ambivalence.</w:t>
      </w:r>
      <w:r>
        <w:t xml:space="preserve"> </w:t>
      </w:r>
      <w:r w:rsidR="00F51855">
        <w:t>H</w:t>
      </w:r>
      <w:r w:rsidR="002B70D1">
        <w:t>e</w:t>
      </w:r>
      <w:r>
        <w:t xml:space="preserve"> cited Herron CJ’s view </w:t>
      </w:r>
      <w:r w:rsidR="006D4DBB">
        <w:t xml:space="preserve">in </w:t>
      </w:r>
      <w:r w:rsidR="006D4DBB" w:rsidRPr="006D4DBB">
        <w:rPr>
          <w:i/>
        </w:rPr>
        <w:t>Pusell</w:t>
      </w:r>
      <w:r w:rsidR="006D4DBB" w:rsidRPr="006D4DBB">
        <w:t xml:space="preserve"> v </w:t>
      </w:r>
      <w:r w:rsidR="006D4DBB" w:rsidRPr="006D4DBB">
        <w:rPr>
          <w:i/>
        </w:rPr>
        <w:t>Grabham</w:t>
      </w:r>
      <w:r w:rsidR="005F7F55" w:rsidRPr="00C13942">
        <w:rPr>
          <w:rStyle w:val="FootnoteReference"/>
        </w:rPr>
        <w:footnoteReference w:id="111"/>
      </w:r>
      <w:r w:rsidR="006D4DBB" w:rsidRPr="006D4DBB">
        <w:t xml:space="preserve"> </w:t>
      </w:r>
      <w:r>
        <w:t xml:space="preserve">that foreseeability is a matter of </w:t>
      </w:r>
      <w:r w:rsidR="006D4DBB">
        <w:t>‘</w:t>
      </w:r>
      <w:r>
        <w:t>fact and degree</w:t>
      </w:r>
      <w:r w:rsidR="006D4DBB">
        <w:t xml:space="preserve">’ that </w:t>
      </w:r>
      <w:r>
        <w:t>should be left to the jury</w:t>
      </w:r>
      <w:r w:rsidR="0063067D">
        <w:t>.</w:t>
      </w:r>
      <w:r w:rsidR="006D4DBB">
        <w:rPr>
          <w:rStyle w:val="FootnoteReference"/>
        </w:rPr>
        <w:footnoteReference w:id="112"/>
      </w:r>
      <w:r w:rsidR="006D4DBB">
        <w:t xml:space="preserve"> </w:t>
      </w:r>
      <w:r w:rsidR="0063067D">
        <w:t>That might</w:t>
      </w:r>
      <w:r w:rsidR="006D4DBB">
        <w:t xml:space="preserve"> suggest factivity.</w:t>
      </w:r>
    </w:p>
    <w:p w14:paraId="620C725E" w14:textId="51DC7B52" w:rsidR="00964A6A" w:rsidRDefault="00493B97" w:rsidP="00190356">
      <w:r>
        <w:t xml:space="preserve">In </w:t>
      </w:r>
      <w:r w:rsidR="0063067D">
        <w:rPr>
          <w:i/>
        </w:rPr>
        <w:t>WM</w:t>
      </w:r>
      <w:r w:rsidRPr="005F7F55">
        <w:rPr>
          <w:i/>
        </w:rPr>
        <w:t>1</w:t>
      </w:r>
      <w:r>
        <w:t xml:space="preserve"> the Privy Council </w:t>
      </w:r>
      <w:r w:rsidR="00C13942">
        <w:t xml:space="preserve">had </w:t>
      </w:r>
      <w:r w:rsidR="003576F0">
        <w:t>accept</w:t>
      </w:r>
      <w:r>
        <w:t>ed</w:t>
      </w:r>
      <w:r w:rsidRPr="00493B97">
        <w:t xml:space="preserve"> </w:t>
      </w:r>
      <w:r>
        <w:t xml:space="preserve">Kinsella J’s verdict that the fire risk was not foreseeable. </w:t>
      </w:r>
      <w:r w:rsidR="00964A6A">
        <w:t xml:space="preserve">Walsh J’s </w:t>
      </w:r>
      <w:r w:rsidR="003723D3">
        <w:t>verdict</w:t>
      </w:r>
      <w:r>
        <w:t>s</w:t>
      </w:r>
      <w:r w:rsidR="00964A6A">
        <w:t xml:space="preserve"> </w:t>
      </w:r>
      <w:r w:rsidR="0063067D">
        <w:t xml:space="preserve">in </w:t>
      </w:r>
      <w:r w:rsidR="0063067D" w:rsidRPr="0063067D">
        <w:rPr>
          <w:i/>
        </w:rPr>
        <w:t xml:space="preserve">WM2 </w:t>
      </w:r>
      <w:r w:rsidR="00F51855">
        <w:t xml:space="preserve">were: </w:t>
      </w:r>
      <w:r>
        <w:t xml:space="preserve">that </w:t>
      </w:r>
      <w:r w:rsidR="005F7F55">
        <w:t xml:space="preserve">the fire risk was </w:t>
      </w:r>
      <w:r>
        <w:t xml:space="preserve">factively </w:t>
      </w:r>
      <w:r w:rsidR="005F7F55">
        <w:t>foreseeable</w:t>
      </w:r>
      <w:r w:rsidR="0063067D">
        <w:t xml:space="preserve"> (directly contradicting Kinsella J’s verdict)</w:t>
      </w:r>
      <w:r w:rsidR="00F51855">
        <w:t>;</w:t>
      </w:r>
      <w:r w:rsidR="005F7F55">
        <w:t xml:space="preserve"> </w:t>
      </w:r>
      <w:r>
        <w:t>but that the likelihood of fire was so low that</w:t>
      </w:r>
      <w:r w:rsidR="002D520A">
        <w:t xml:space="preserve"> responsibility should not be attributed </w:t>
      </w:r>
      <w:r>
        <w:t xml:space="preserve">when it materialised. </w:t>
      </w:r>
      <w:r w:rsidR="00F51855">
        <w:t xml:space="preserve">The </w:t>
      </w:r>
      <w:r w:rsidR="008719C7">
        <w:t xml:space="preserve">latter verdict’s reversal </w:t>
      </w:r>
      <w:r w:rsidR="00F51855">
        <w:t xml:space="preserve">on appeal </w:t>
      </w:r>
      <w:r w:rsidR="0063067D">
        <w:t>entail</w:t>
      </w:r>
      <w:r w:rsidR="001945AC">
        <w:t>ed</w:t>
      </w:r>
      <w:r w:rsidR="0063067D">
        <w:t xml:space="preserve"> </w:t>
      </w:r>
      <w:r w:rsidR="008719C7">
        <w:t>deeming</w:t>
      </w:r>
      <w:r w:rsidR="0063067D">
        <w:t xml:space="preserve"> fire damage that was unforeseeable in </w:t>
      </w:r>
      <w:r w:rsidR="0063067D">
        <w:rPr>
          <w:i/>
        </w:rPr>
        <w:t>WM</w:t>
      </w:r>
      <w:r w:rsidR="0063067D" w:rsidRPr="0063067D">
        <w:rPr>
          <w:i/>
        </w:rPr>
        <w:t>1</w:t>
      </w:r>
      <w:r w:rsidR="0063067D">
        <w:t xml:space="preserve"> foreseeable in </w:t>
      </w:r>
      <w:r w:rsidR="0063067D">
        <w:rPr>
          <w:i/>
        </w:rPr>
        <w:t>WM</w:t>
      </w:r>
      <w:r w:rsidR="0063067D" w:rsidRPr="0063067D">
        <w:rPr>
          <w:i/>
        </w:rPr>
        <w:t>2</w:t>
      </w:r>
      <w:r w:rsidR="0063067D">
        <w:t>. Th</w:t>
      </w:r>
      <w:r w:rsidR="00AE76B2">
        <w:t>at there were different witnesses and that the later claimants were not at risk of being held contributorily negligent</w:t>
      </w:r>
      <w:r w:rsidR="00156D45">
        <w:rPr>
          <w:rStyle w:val="FootnoteReference"/>
        </w:rPr>
        <w:footnoteReference w:id="113"/>
      </w:r>
      <w:r w:rsidR="00AE76B2">
        <w:t xml:space="preserve"> </w:t>
      </w:r>
      <w:r w:rsidR="00081F94">
        <w:t>was thought sufficient explanation and justification.</w:t>
      </w:r>
      <w:r w:rsidR="00493828">
        <w:t xml:space="preserve"> </w:t>
      </w:r>
      <w:r w:rsidR="00A87A23">
        <w:t>But, significantly,</w:t>
      </w:r>
      <w:r w:rsidR="00493828">
        <w:t xml:space="preserve"> the </w:t>
      </w:r>
      <w:r w:rsidR="00C95892">
        <w:t>brute facts about cause</w:t>
      </w:r>
      <w:r w:rsidR="00980DA1">
        <w:t>-in-fact do not vary.</w:t>
      </w:r>
      <w:r w:rsidR="001C210A">
        <w:t xml:space="preserve"> The</w:t>
      </w:r>
      <w:r w:rsidR="00980DA1">
        <w:t xml:space="preserve"> crucial</w:t>
      </w:r>
      <w:r w:rsidR="001C210A">
        <w:t xml:space="preserve"> difference</w:t>
      </w:r>
      <w:r w:rsidR="000C7497">
        <w:t xml:space="preserve"> </w:t>
      </w:r>
      <w:r w:rsidR="008719C7">
        <w:t xml:space="preserve">between the two cases </w:t>
      </w:r>
      <w:r w:rsidR="000C7497">
        <w:t>is</w:t>
      </w:r>
      <w:r w:rsidR="007250CC">
        <w:t xml:space="preserve"> not </w:t>
      </w:r>
      <w:r w:rsidR="003C5503" w:rsidRPr="003C5503">
        <w:rPr>
          <w:i/>
        </w:rPr>
        <w:t>f</w:t>
      </w:r>
      <w:r w:rsidR="007250CC" w:rsidRPr="003C5503">
        <w:rPr>
          <w:i/>
        </w:rPr>
        <w:t xml:space="preserve">active </w:t>
      </w:r>
      <w:r w:rsidR="007250CC">
        <w:t>but</w:t>
      </w:r>
      <w:r w:rsidR="000C7497">
        <w:t xml:space="preserve"> </w:t>
      </w:r>
      <w:r w:rsidR="0089696B">
        <w:rPr>
          <w:i/>
        </w:rPr>
        <w:t>attributive</w:t>
      </w:r>
      <w:r w:rsidR="000C7497">
        <w:t>.</w:t>
      </w:r>
    </w:p>
    <w:p w14:paraId="52FAE82B" w14:textId="7EA0F076" w:rsidR="00C67C4A" w:rsidRDefault="008719C7" w:rsidP="00190356">
      <w:r>
        <w:t xml:space="preserve">In </w:t>
      </w:r>
      <w:r w:rsidRPr="008719C7">
        <w:rPr>
          <w:i/>
        </w:rPr>
        <w:t>WM2PC</w:t>
      </w:r>
      <w:r w:rsidRPr="008719C7">
        <w:t xml:space="preserve"> </w:t>
      </w:r>
      <w:r>
        <w:t>t</w:t>
      </w:r>
      <w:r w:rsidR="00081F94">
        <w:t xml:space="preserve">he concept of </w:t>
      </w:r>
      <w:r w:rsidR="00081F94" w:rsidRPr="003E4C8D">
        <w:rPr>
          <w:i/>
        </w:rPr>
        <w:t>misdirection</w:t>
      </w:r>
      <w:r w:rsidR="00081F94">
        <w:t xml:space="preserve"> provided t</w:t>
      </w:r>
      <w:r w:rsidR="00AE76B2">
        <w:t xml:space="preserve">he warrant </w:t>
      </w:r>
      <w:r w:rsidR="00493F28">
        <w:t>for</w:t>
      </w:r>
      <w:r w:rsidR="00E8100E">
        <w:t xml:space="preserve"> the Privy Council </w:t>
      </w:r>
      <w:r w:rsidR="003C5503">
        <w:t>to override Walsh J</w:t>
      </w:r>
      <w:r w:rsidR="00F95B1E">
        <w:t xml:space="preserve">’s </w:t>
      </w:r>
      <w:r w:rsidR="00435C6D">
        <w:t>verdict</w:t>
      </w:r>
      <w:r w:rsidR="00F51855">
        <w:t xml:space="preserve"> that low likelihood excused D</w:t>
      </w:r>
      <w:r w:rsidR="00435C6D">
        <w:t>.</w:t>
      </w:r>
      <w:r w:rsidR="003E5D9D">
        <w:rPr>
          <w:rStyle w:val="FootnoteReference"/>
        </w:rPr>
        <w:footnoteReference w:id="114"/>
      </w:r>
      <w:r w:rsidR="00435C6D">
        <w:t xml:space="preserve"> Directions are essentially statements of the relevant </w:t>
      </w:r>
      <w:r w:rsidR="00435C6D" w:rsidRPr="00D34F2D">
        <w:rPr>
          <w:i/>
        </w:rPr>
        <w:t>law</w:t>
      </w:r>
      <w:r w:rsidR="00435C6D">
        <w:t xml:space="preserve"> that must be applied to the facts</w:t>
      </w:r>
      <w:r w:rsidR="00AB66CC">
        <w:t xml:space="preserve"> and, g</w:t>
      </w:r>
      <w:r w:rsidR="00D34F2D">
        <w:t xml:space="preserve">iven the predominantly </w:t>
      </w:r>
      <w:r w:rsidR="0089696B">
        <w:t>attributive</w:t>
      </w:r>
      <w:r w:rsidR="00D34F2D">
        <w:t xml:space="preserve"> approach that Walsh J had adopted</w:t>
      </w:r>
      <w:r w:rsidR="007A5E83">
        <w:t xml:space="preserve"> to evaluating what he heard from </w:t>
      </w:r>
      <w:r w:rsidR="00AB66CC">
        <w:t xml:space="preserve">a </w:t>
      </w:r>
      <w:r w:rsidR="007A5E83">
        <w:t>great cloud of witnesses</w:t>
      </w:r>
      <w:r w:rsidR="00D34F2D">
        <w:t>,</w:t>
      </w:r>
      <w:r w:rsidR="007A5E83">
        <w:t xml:space="preserve"> the</w:t>
      </w:r>
      <w:r w:rsidR="00081F94">
        <w:t xml:space="preserve"> override is legitimate</w:t>
      </w:r>
      <w:bookmarkStart w:id="53" w:name="_Ref427321441"/>
      <w:r w:rsidR="00FA5015">
        <w:t>.</w:t>
      </w:r>
      <w:bookmarkEnd w:id="53"/>
      <w:r w:rsidR="007A5E83">
        <w:t xml:space="preserve"> It would be otherwise if </w:t>
      </w:r>
      <w:r w:rsidR="00AB66CC">
        <w:t xml:space="preserve">the </w:t>
      </w:r>
      <w:r w:rsidR="007A5E83">
        <w:t>P</w:t>
      </w:r>
      <w:r w:rsidR="00AB66CC">
        <w:t xml:space="preserve">rivy </w:t>
      </w:r>
      <w:r w:rsidR="007A5E83">
        <w:t>C</w:t>
      </w:r>
      <w:r w:rsidR="00AB66CC">
        <w:t xml:space="preserve">ouncil </w:t>
      </w:r>
      <w:r w:rsidR="007A5E83">
        <w:t xml:space="preserve">had </w:t>
      </w:r>
      <w:r w:rsidR="00AB66CC">
        <w:t>reversed</w:t>
      </w:r>
      <w:r w:rsidR="007A5E83">
        <w:t xml:space="preserve"> Walsh J’s factive verdict that the fire stared through </w:t>
      </w:r>
      <w:r w:rsidR="001945AC">
        <w:t xml:space="preserve">the ignition of </w:t>
      </w:r>
      <w:r w:rsidR="007A5E83">
        <w:t>waste material</w:t>
      </w:r>
      <w:r w:rsidR="00081F94">
        <w:t xml:space="preserve">. Lord Reid said that finding (5) was </w:t>
      </w:r>
    </w:p>
    <w:p w14:paraId="6DC7D091" w14:textId="77777777" w:rsidR="001945AC" w:rsidRDefault="00156D45" w:rsidP="00AB66CC">
      <w:pPr>
        <w:pStyle w:val="Quote"/>
      </w:pPr>
      <w:r>
        <w:t>‘</w:t>
      </w:r>
      <w:r w:rsidRPr="00156D45">
        <w:t>not a primary</w:t>
      </w:r>
      <w:r>
        <w:t xml:space="preserve"> </w:t>
      </w:r>
      <w:r w:rsidRPr="00156D45">
        <w:t>finding of fact but an inference from the other findings, and it is clear from the learned judge's</w:t>
      </w:r>
      <w:r>
        <w:t xml:space="preserve"> </w:t>
      </w:r>
      <w:r w:rsidRPr="00156D45">
        <w:t>judgment that in drawing this inference he was to a large extent influenced by his view of the law.</w:t>
      </w:r>
      <w:r w:rsidR="00081F94">
        <w:t>’</w:t>
      </w:r>
      <w:r w:rsidR="00081F94">
        <w:rPr>
          <w:rStyle w:val="FootnoteReference"/>
        </w:rPr>
        <w:footnoteReference w:id="115"/>
      </w:r>
      <w:r w:rsidR="00081F94">
        <w:t>…</w:t>
      </w:r>
      <w:r w:rsidR="001945AC">
        <w:t>‘</w:t>
      </w:r>
      <w:r w:rsidRPr="00156D45">
        <w:t xml:space="preserve">but </w:t>
      </w:r>
      <w:r w:rsidR="00F51855">
        <w:t xml:space="preserve">[their Lordships] </w:t>
      </w:r>
      <w:r w:rsidRPr="00156D45">
        <w:t xml:space="preserve">think that </w:t>
      </w:r>
      <w:r w:rsidR="00F51855">
        <w:t>[Walsh J]</w:t>
      </w:r>
      <w:r w:rsidRPr="00156D45">
        <w:t xml:space="preserve"> may</w:t>
      </w:r>
      <w:r w:rsidR="00AE517A">
        <w:t xml:space="preserve"> </w:t>
      </w:r>
      <w:r w:rsidRPr="00156D45">
        <w:t>have misdirected himself in saying</w:t>
      </w:r>
      <w:r w:rsidR="00AE517A">
        <w:t xml:space="preserve"> </w:t>
      </w:r>
      <w:r w:rsidRPr="00156D45">
        <w:t>"there does seem to be a real practical difficulty, assuming that some risk of fire damage</w:t>
      </w:r>
      <w:r w:rsidR="00AE517A">
        <w:t xml:space="preserve"> </w:t>
      </w:r>
      <w:r w:rsidRPr="00156D45">
        <w:t xml:space="preserve">was foreseeable, but not a high one, in making a </w:t>
      </w:r>
      <w:r w:rsidRPr="00613EC8">
        <w:rPr>
          <w:i/>
        </w:rPr>
        <w:t>factual judgment</w:t>
      </w:r>
      <w:r w:rsidRPr="00156D45">
        <w:t xml:space="preserve"> as to whether this</w:t>
      </w:r>
      <w:r w:rsidR="00AE517A">
        <w:t xml:space="preserve"> </w:t>
      </w:r>
      <w:r w:rsidRPr="00156D45">
        <w:t>risk was sufficient to attract liability if damage should occur."</w:t>
      </w:r>
      <w:r w:rsidR="00435C6D">
        <w:t>’</w:t>
      </w:r>
      <w:r w:rsidR="00081F94">
        <w:rPr>
          <w:rStyle w:val="FootnoteReference"/>
        </w:rPr>
        <w:footnoteReference w:id="116"/>
      </w:r>
      <w:r w:rsidR="00F51855">
        <w:t xml:space="preserve"> </w:t>
      </w:r>
    </w:p>
    <w:p w14:paraId="14D071D0" w14:textId="259941F7" w:rsidR="00435C6D" w:rsidRDefault="003E4C8D" w:rsidP="00AB66CC">
      <w:pPr>
        <w:pStyle w:val="Quote"/>
      </w:pPr>
      <w:r>
        <w:t>‘</w:t>
      </w:r>
      <w:r w:rsidR="00435C6D" w:rsidRPr="00435C6D">
        <w:t>If a real risk is one which would occur to the mind of a reasonable man in the position of the defendant's servant and which he would not brush aside as far-fetched, and if the criterion is to be what that reasonable man would have done in the circumstances, then surely he would not neglect such a risk if action to eliminate it</w:t>
      </w:r>
      <w:r w:rsidR="00435C6D">
        <w:t xml:space="preserve"> </w:t>
      </w:r>
      <w:r w:rsidR="00435C6D" w:rsidRPr="00435C6D">
        <w:t>presented no difficulty, involved no disadvantage, and required no</w:t>
      </w:r>
      <w:r>
        <w:t xml:space="preserve"> expense</w:t>
      </w:r>
      <w:r w:rsidR="00081F94">
        <w:t>.</w:t>
      </w:r>
      <w:r w:rsidR="00435C6D">
        <w:t>’</w:t>
      </w:r>
      <w:r w:rsidR="00081F94">
        <w:rPr>
          <w:rStyle w:val="FootnoteReference"/>
        </w:rPr>
        <w:footnoteReference w:id="117"/>
      </w:r>
    </w:p>
    <w:p w14:paraId="309ECB27" w14:textId="77777777" w:rsidR="0054291A" w:rsidRDefault="0054291A" w:rsidP="00063921">
      <w:pPr>
        <w:pStyle w:val="Heading1"/>
      </w:pPr>
      <w:bookmarkStart w:id="54" w:name="_Toc428515810"/>
      <w:r>
        <w:lastRenderedPageBreak/>
        <w:t>Conclusions</w:t>
      </w:r>
      <w:bookmarkEnd w:id="54"/>
    </w:p>
    <w:p w14:paraId="14E06F55" w14:textId="03845ACE" w:rsidR="003F0444" w:rsidRDefault="00C14032" w:rsidP="00B42055">
      <w:r>
        <w:t>A</w:t>
      </w:r>
      <w:r w:rsidR="00030CA5">
        <w:t>lthough t</w:t>
      </w:r>
      <w:r w:rsidR="00C52307">
        <w:t xml:space="preserve">his paper was </w:t>
      </w:r>
      <w:r w:rsidR="00237596">
        <w:t>not i</w:t>
      </w:r>
      <w:r w:rsidR="00030CA5">
        <w:t>ntended as a pedago</w:t>
      </w:r>
      <w:r w:rsidR="00C52307">
        <w:t xml:space="preserve">gic tool, it was borne of </w:t>
      </w:r>
      <w:r w:rsidR="00624834">
        <w:t>current</w:t>
      </w:r>
      <w:r w:rsidR="00237596">
        <w:t xml:space="preserve"> experience of teaching tort law to first year undergraduates, many of whom seem too ready to accept foreseeability as the touchstone of liability in negligence. </w:t>
      </w:r>
      <w:r w:rsidR="00A65EA5">
        <w:t>Believing</w:t>
      </w:r>
      <w:r w:rsidR="00BD4C0F">
        <w:t xml:space="preserve"> that </w:t>
      </w:r>
      <w:r w:rsidR="00A76807">
        <w:t>unexamined l</w:t>
      </w:r>
      <w:r w:rsidR="004B31AA">
        <w:t>aw is not worth learn</w:t>
      </w:r>
      <w:r w:rsidR="00A65EA5">
        <w:t>ing and that one remembers most easily what one understands best,</w:t>
      </w:r>
      <w:r w:rsidR="003F0444">
        <w:t xml:space="preserve"> </w:t>
      </w:r>
      <w:r w:rsidR="00BD4C0F">
        <w:t xml:space="preserve">I </w:t>
      </w:r>
      <w:r w:rsidR="008719C7">
        <w:t>have sought</w:t>
      </w:r>
      <w:r w:rsidR="008B35E9">
        <w:t xml:space="preserve"> s</w:t>
      </w:r>
      <w:r w:rsidR="00A76807">
        <w:t xml:space="preserve">ome </w:t>
      </w:r>
      <w:r w:rsidR="00787809">
        <w:t xml:space="preserve">pedagogic gain. </w:t>
      </w:r>
    </w:p>
    <w:p w14:paraId="74422E82" w14:textId="5C3A38CB" w:rsidR="00E03DBB" w:rsidRDefault="00B55222" w:rsidP="00B42055">
      <w:r>
        <w:t>Foreseeability, so much part of folk morality, has a seductive quality</w:t>
      </w:r>
      <w:r w:rsidR="00C95C7F">
        <w:t xml:space="preserve">. </w:t>
      </w:r>
      <w:r w:rsidR="003F0444">
        <w:t xml:space="preserve">Its </w:t>
      </w:r>
      <w:r w:rsidR="009E055F">
        <w:t>association</w:t>
      </w:r>
      <w:r w:rsidR="000110C6">
        <w:t>s</w:t>
      </w:r>
      <w:r w:rsidR="009E055F">
        <w:t xml:space="preserve"> </w:t>
      </w:r>
      <w:r w:rsidR="006B75F0">
        <w:t xml:space="preserve">with </w:t>
      </w:r>
      <w:r w:rsidR="003F0444">
        <w:t>notions of free will, cho</w:t>
      </w:r>
      <w:r w:rsidR="00237A44">
        <w:t>i</w:t>
      </w:r>
      <w:r w:rsidR="003F0444">
        <w:t>ce and blame</w:t>
      </w:r>
      <w:r w:rsidR="009E055F">
        <w:t xml:space="preserve"> </w:t>
      </w:r>
      <w:r w:rsidR="00237A44">
        <w:t xml:space="preserve">and with </w:t>
      </w:r>
      <w:r w:rsidR="009E055F">
        <w:t xml:space="preserve">true/false </w:t>
      </w:r>
      <w:r w:rsidR="00237A44">
        <w:t xml:space="preserve">factive </w:t>
      </w:r>
      <w:r w:rsidR="009E055F">
        <w:t>propositions</w:t>
      </w:r>
      <w:r w:rsidR="00C37AE3">
        <w:t xml:space="preserve"> that </w:t>
      </w:r>
      <w:r w:rsidR="003576F0">
        <w:t>‘A</w:t>
      </w:r>
      <w:r w:rsidR="00237A44">
        <w:t xml:space="preserve"> did foresee </w:t>
      </w:r>
      <w:r w:rsidR="003576F0">
        <w:t>B</w:t>
      </w:r>
      <w:r w:rsidR="00237A44">
        <w:t xml:space="preserve">’ </w:t>
      </w:r>
      <w:r w:rsidR="00C37AE3">
        <w:t>and tha</w:t>
      </w:r>
      <w:r w:rsidR="00DF112D">
        <w:t xml:space="preserve">t </w:t>
      </w:r>
      <w:r w:rsidR="00A23A2C">
        <w:t>‘</w:t>
      </w:r>
      <w:r w:rsidR="003576F0">
        <w:t>A</w:t>
      </w:r>
      <w:r w:rsidR="00DF112D">
        <w:t xml:space="preserve"> is able to foresee </w:t>
      </w:r>
      <w:r w:rsidR="00A23A2C">
        <w:t xml:space="preserve">R’ </w:t>
      </w:r>
      <w:r w:rsidR="000110C6">
        <w:t xml:space="preserve">go </w:t>
      </w:r>
      <w:r w:rsidR="00DF112D">
        <w:t>some way to e</w:t>
      </w:r>
      <w:r w:rsidR="00A23A2C">
        <w:t xml:space="preserve">xplain its </w:t>
      </w:r>
      <w:r w:rsidR="000110C6">
        <w:t>attractive force, which</w:t>
      </w:r>
      <w:r w:rsidR="00DF112D">
        <w:t xml:space="preserve"> sometimes</w:t>
      </w:r>
      <w:r w:rsidR="009E055F">
        <w:t xml:space="preserve"> operate</w:t>
      </w:r>
      <w:r w:rsidR="000110C6">
        <w:t>s</w:t>
      </w:r>
      <w:r w:rsidR="006F1825">
        <w:t xml:space="preserve"> to obscure its</w:t>
      </w:r>
      <w:r w:rsidR="00B44BDD">
        <w:t xml:space="preserve"> </w:t>
      </w:r>
      <w:r w:rsidR="0089696B">
        <w:t>attributive</w:t>
      </w:r>
      <w:r w:rsidR="009E055F">
        <w:t xml:space="preserve"> meaning</w:t>
      </w:r>
      <w:r w:rsidR="00BB213F">
        <w:t>.</w:t>
      </w:r>
      <w:r w:rsidR="00514644">
        <w:t xml:space="preserve"> </w:t>
      </w:r>
      <w:r w:rsidR="001945AC">
        <w:t>That</w:t>
      </w:r>
      <w:r w:rsidR="00B44BDD">
        <w:t xml:space="preserve"> </w:t>
      </w:r>
      <w:r w:rsidR="00514644" w:rsidRPr="003576F0">
        <w:rPr>
          <w:i/>
        </w:rPr>
        <w:t xml:space="preserve">propositional </w:t>
      </w:r>
      <w:r w:rsidR="00FA1809" w:rsidRPr="003576F0">
        <w:rPr>
          <w:i/>
        </w:rPr>
        <w:t>attractivene</w:t>
      </w:r>
      <w:r w:rsidR="007911BB" w:rsidRPr="003576F0">
        <w:rPr>
          <w:i/>
        </w:rPr>
        <w:t>ss</w:t>
      </w:r>
      <w:r w:rsidR="00FA1809">
        <w:t xml:space="preserve"> </w:t>
      </w:r>
      <w:r w:rsidR="006129F4">
        <w:t xml:space="preserve">readily </w:t>
      </w:r>
      <w:r w:rsidR="00FA1809">
        <w:t xml:space="preserve">combines </w:t>
      </w:r>
      <w:r w:rsidR="00514644">
        <w:t xml:space="preserve">with legitimate rule of law concerns and </w:t>
      </w:r>
      <w:r w:rsidR="006129F4">
        <w:t xml:space="preserve">with </w:t>
      </w:r>
      <w:r w:rsidR="00514644">
        <w:t>the utility</w:t>
      </w:r>
      <w:r w:rsidR="00CC164E">
        <w:t xml:space="preserve"> of System 1 presumptive for</w:t>
      </w:r>
      <w:r w:rsidR="007911BB">
        <w:t>mali</w:t>
      </w:r>
      <w:r w:rsidR="00B77E72">
        <w:t>sm</w:t>
      </w:r>
      <w:r w:rsidR="007911BB">
        <w:t xml:space="preserve">. </w:t>
      </w:r>
      <w:r w:rsidR="00740DAB">
        <w:t>Bu</w:t>
      </w:r>
      <w:r w:rsidR="00B630BE">
        <w:t>t</w:t>
      </w:r>
      <w:r w:rsidR="00F41A56">
        <w:t xml:space="preserve">, without analytical </w:t>
      </w:r>
      <w:r w:rsidR="007911BB">
        <w:t>ca</w:t>
      </w:r>
      <w:r w:rsidR="006B30AB">
        <w:t>re</w:t>
      </w:r>
      <w:r w:rsidR="00F41A56">
        <w:t>,</w:t>
      </w:r>
      <w:r w:rsidR="006B30AB">
        <w:t xml:space="preserve"> it </w:t>
      </w:r>
      <w:r w:rsidR="00B630BE">
        <w:t>encourages</w:t>
      </w:r>
      <w:r w:rsidR="00514644">
        <w:t xml:space="preserve"> naïve legalism—the ability to ‘think about a thing, inextricably attached to something else, without thinking of the thing it is attached to’</w:t>
      </w:r>
      <w:r w:rsidR="0035061A">
        <w:rPr>
          <w:rStyle w:val="FootnoteReference"/>
        </w:rPr>
        <w:footnoteReference w:id="118"/>
      </w:r>
      <w:r w:rsidR="00514644">
        <w:t>—</w:t>
      </w:r>
      <w:r w:rsidR="00B630BE">
        <w:t>and</w:t>
      </w:r>
      <w:r w:rsidR="006B30AB">
        <w:t xml:space="preserve"> </w:t>
      </w:r>
      <w:r w:rsidR="00BA28AB">
        <w:t xml:space="preserve">inhibits </w:t>
      </w:r>
      <w:r w:rsidR="00514644">
        <w:t>purposeful inqu</w:t>
      </w:r>
      <w:r w:rsidR="00EE1DCC">
        <w:t>i</w:t>
      </w:r>
      <w:r w:rsidR="00F96F3F">
        <w:t>ry into law’s dynamic function</w:t>
      </w:r>
      <w:r w:rsidR="00F16722">
        <w:t xml:space="preserve">. </w:t>
      </w:r>
      <w:r w:rsidR="003576F0">
        <w:t>It is, i</w:t>
      </w:r>
      <w:r w:rsidR="00F16722">
        <w:t xml:space="preserve">n </w:t>
      </w:r>
      <w:r w:rsidR="0089696B">
        <w:t>attributive</w:t>
      </w:r>
      <w:r w:rsidR="00F16722">
        <w:t xml:space="preserve"> mode</w:t>
      </w:r>
      <w:r w:rsidR="009E54FD">
        <w:t>,</w:t>
      </w:r>
      <w:r w:rsidR="00F16722">
        <w:t xml:space="preserve"> </w:t>
      </w:r>
      <w:r w:rsidR="00EE1DCC">
        <w:t xml:space="preserve">legitimatory rhetoric </w:t>
      </w:r>
      <w:r w:rsidR="00E96C9F">
        <w:t>that</w:t>
      </w:r>
      <w:r w:rsidR="00EE1DCC">
        <w:t xml:space="preserve"> can conceal both good reasons and mere manipulations.</w:t>
      </w:r>
      <w:r w:rsidR="009E54FD">
        <w:t xml:space="preserve"> </w:t>
      </w:r>
      <w:r w:rsidR="0011261C">
        <w:t>Indeed</w:t>
      </w:r>
      <w:r w:rsidR="00EF3643">
        <w:t>,</w:t>
      </w:r>
      <w:r w:rsidR="00F105CE">
        <w:t xml:space="preserve"> in many cases</w:t>
      </w:r>
      <w:r w:rsidR="004B0AF5">
        <w:t xml:space="preserve">, the decision </w:t>
      </w:r>
      <w:r w:rsidR="003A53D3">
        <w:t xml:space="preserve">whether </w:t>
      </w:r>
      <w:r w:rsidR="004B0AF5">
        <w:t>to attribute</w:t>
      </w:r>
      <w:r w:rsidR="00F105CE">
        <w:t xml:space="preserve"> responsib</w:t>
      </w:r>
      <w:r w:rsidR="003A53D3">
        <w:t>ility to D</w:t>
      </w:r>
      <w:r w:rsidR="00046979">
        <w:t>,</w:t>
      </w:r>
      <w:r w:rsidR="004B0AF5">
        <w:t xml:space="preserve"> is a verdict </w:t>
      </w:r>
      <w:r w:rsidR="00EF3643">
        <w:t xml:space="preserve">of </w:t>
      </w:r>
      <w:r w:rsidR="00EF3643" w:rsidRPr="00E96C9F">
        <w:rPr>
          <w:i/>
        </w:rPr>
        <w:t>reasonableness</w:t>
      </w:r>
      <w:r w:rsidR="009E54FD">
        <w:t>—Abraham calls it ‘unbounded norm creation’</w:t>
      </w:r>
      <w:r w:rsidR="009E54FD">
        <w:rPr>
          <w:rStyle w:val="FootnoteReference"/>
        </w:rPr>
        <w:footnoteReference w:id="119"/>
      </w:r>
      <w:r w:rsidR="009E54FD">
        <w:t>—</w:t>
      </w:r>
      <w:r w:rsidR="003576F0">
        <w:t>illustrated rather than determined by</w:t>
      </w:r>
      <w:r w:rsidR="00800A42">
        <w:t xml:space="preserve"> </w:t>
      </w:r>
      <w:r w:rsidR="00800A42" w:rsidRPr="005367E9">
        <w:rPr>
          <w:i/>
        </w:rPr>
        <w:t>ex post</w:t>
      </w:r>
      <w:r w:rsidR="00800A42">
        <w:t xml:space="preserve"> speculation about </w:t>
      </w:r>
      <w:r w:rsidR="005367E9">
        <w:t xml:space="preserve">the hypothetical </w:t>
      </w:r>
      <w:r w:rsidR="007337C8">
        <w:t xml:space="preserve">musings of various </w:t>
      </w:r>
      <w:r w:rsidR="00033FDE">
        <w:t>constructed chi</w:t>
      </w:r>
      <w:r w:rsidR="00C75272">
        <w:t>mera</w:t>
      </w:r>
      <w:r w:rsidR="005367E9">
        <w:t>s</w:t>
      </w:r>
      <w:r w:rsidR="00937671">
        <w:t xml:space="preserve">. </w:t>
      </w:r>
    </w:p>
    <w:p w14:paraId="30E01B8E" w14:textId="5DE8851E" w:rsidR="00B84A4A" w:rsidRDefault="005A362E" w:rsidP="00B84A4A">
      <w:r>
        <w:t xml:space="preserve">Law feeds off verdicts, so we </w:t>
      </w:r>
      <w:r w:rsidR="003576F0">
        <w:t>should</w:t>
      </w:r>
      <w:r>
        <w:t xml:space="preserve"> pay attention to verdictiveness.</w:t>
      </w:r>
      <w:r w:rsidR="004253A3">
        <w:t xml:space="preserve"> </w:t>
      </w:r>
      <w:r w:rsidR="00765542">
        <w:t xml:space="preserve">It </w:t>
      </w:r>
      <w:r w:rsidR="00E96C9F">
        <w:t>i</w:t>
      </w:r>
      <w:r w:rsidR="00765542">
        <w:t xml:space="preserve">s </w:t>
      </w:r>
      <w:r w:rsidR="00DD7919">
        <w:t>illuminating to spot</w:t>
      </w:r>
      <w:r w:rsidR="004253A3">
        <w:t xml:space="preserve"> the </w:t>
      </w:r>
      <w:r w:rsidR="00765542">
        <w:t>verdict</w:t>
      </w:r>
      <w:r w:rsidR="004253A3">
        <w:t xml:space="preserve"> and the</w:t>
      </w:r>
      <w:r w:rsidR="00DD7919">
        <w:t>n ask</w:t>
      </w:r>
      <w:r w:rsidR="00765542">
        <w:t>: what is its illocutio</w:t>
      </w:r>
      <w:r w:rsidR="004253A3">
        <w:t>nary force</w:t>
      </w:r>
      <w:r w:rsidR="00765542">
        <w:t xml:space="preserve">?; how was </w:t>
      </w:r>
      <w:r w:rsidR="003576F0">
        <w:t>that verdict</w:t>
      </w:r>
      <w:r w:rsidR="00765542">
        <w:t xml:space="preserve"> determined?; how does it function?</w:t>
      </w:r>
      <w:r w:rsidR="00747F49">
        <w:t>; factively or attributionally</w:t>
      </w:r>
      <w:r w:rsidR="008B35E9">
        <w:t>?</w:t>
      </w:r>
      <w:r w:rsidR="009E54FD">
        <w:t xml:space="preserve"> </w:t>
      </w:r>
      <w:r w:rsidR="00793055">
        <w:t xml:space="preserve">Hopefully this article does </w:t>
      </w:r>
      <w:r w:rsidR="000B1789">
        <w:t>a little</w:t>
      </w:r>
      <w:r w:rsidR="00793055">
        <w:t xml:space="preserve"> to reduce ‘the confusion of thought’ that Holmes saw in ‘mixed questions of law and fact’</w:t>
      </w:r>
      <w:r w:rsidR="00793055">
        <w:rPr>
          <w:rStyle w:val="FootnoteReference"/>
        </w:rPr>
        <w:footnoteReference w:id="120"/>
      </w:r>
      <w:r w:rsidR="003576F0">
        <w:t>—o</w:t>
      </w:r>
      <w:r w:rsidR="00793055">
        <w:t xml:space="preserve">ne can </w:t>
      </w:r>
      <w:r w:rsidR="000B1789">
        <w:t>discern</w:t>
      </w:r>
      <w:r w:rsidR="00793055">
        <w:t xml:space="preserve"> the </w:t>
      </w:r>
      <w:r w:rsidR="000B1789">
        <w:t xml:space="preserve">constituents </w:t>
      </w:r>
      <w:r w:rsidR="001945AC">
        <w:t>of</w:t>
      </w:r>
      <w:r w:rsidR="000B1789">
        <w:t xml:space="preserve"> a fruit salad more easily than </w:t>
      </w:r>
      <w:r w:rsidR="001945AC">
        <w:t>of</w:t>
      </w:r>
      <w:r w:rsidR="000B1789">
        <w:t xml:space="preserve"> a smoothie.</w:t>
      </w:r>
      <w:r w:rsidR="00793055">
        <w:t xml:space="preserve"> </w:t>
      </w:r>
      <w:r w:rsidR="00417FF2">
        <w:t>And f</w:t>
      </w:r>
      <w:r>
        <w:t xml:space="preserve">oreseeability </w:t>
      </w:r>
      <w:r w:rsidR="00747F49">
        <w:t>is by no means</w:t>
      </w:r>
      <w:r>
        <w:t xml:space="preserve"> alone in exhibiting factive-</w:t>
      </w:r>
      <w:r w:rsidR="0089696B">
        <w:t>attributive</w:t>
      </w:r>
      <w:r>
        <w:t xml:space="preserve"> ambivalence. </w:t>
      </w:r>
      <w:r w:rsidR="0027052C">
        <w:t>Consider: proximity; involved in the accident;</w:t>
      </w:r>
      <w:r w:rsidR="00434FAF">
        <w:t xml:space="preserve"> intention</w:t>
      </w:r>
      <w:r w:rsidR="00C82CA9">
        <w:t xml:space="preserve"> (whether in </w:t>
      </w:r>
      <w:r w:rsidR="0027052C">
        <w:t>crime, contract, tort, trusts, tax,</w:t>
      </w:r>
      <w:r w:rsidR="0073568C">
        <w:rPr>
          <w:rStyle w:val="FootnoteReference"/>
        </w:rPr>
        <w:footnoteReference w:id="121"/>
      </w:r>
      <w:r w:rsidR="0027052C">
        <w:t xml:space="preserve"> etc.)</w:t>
      </w:r>
      <w:r w:rsidR="00CA1015">
        <w:t>; recklessness;</w:t>
      </w:r>
      <w:r w:rsidR="00C82CA9">
        <w:t xml:space="preserve"> habitability</w:t>
      </w:r>
      <w:r w:rsidR="00CA1015">
        <w:t xml:space="preserve">; </w:t>
      </w:r>
      <w:r w:rsidR="00D22A1B">
        <w:t xml:space="preserve">an </w:t>
      </w:r>
      <w:r w:rsidR="0089696B">
        <w:t>‘</w:t>
      </w:r>
      <w:r w:rsidR="00D22A1B">
        <w:t>adventure in the nature of trade</w:t>
      </w:r>
      <w:r w:rsidR="0089696B">
        <w:t>’</w:t>
      </w:r>
      <w:r w:rsidR="00D22A1B">
        <w:t>;</w:t>
      </w:r>
      <w:r w:rsidR="00D22A1B">
        <w:rPr>
          <w:rStyle w:val="FootnoteReference"/>
        </w:rPr>
        <w:footnoteReference w:id="122"/>
      </w:r>
      <w:r w:rsidR="00D22A1B">
        <w:t xml:space="preserve"> </w:t>
      </w:r>
      <w:r w:rsidR="00CA1015">
        <w:t>and many more.</w:t>
      </w:r>
      <w:r w:rsidR="009E54FD">
        <w:rPr>
          <w:rStyle w:val="FootnoteReference"/>
        </w:rPr>
        <w:footnoteReference w:id="123"/>
      </w:r>
      <w:r w:rsidR="00793055">
        <w:t xml:space="preserve"> </w:t>
      </w:r>
      <w:bookmarkStart w:id="55" w:name="_GoBack"/>
      <w:bookmarkEnd w:id="55"/>
    </w:p>
    <w:sectPr w:rsidR="00B84A4A" w:rsidSect="003348CB">
      <w:headerReference w:type="even" r:id="rId10"/>
      <w:headerReference w:type="default" r:id="rId11"/>
      <w:headerReference w:type="first" r:id="rId12"/>
      <w:pgSz w:w="11906" w:h="16838" w:code="9"/>
      <w:pgMar w:top="1440" w:right="1152" w:bottom="1440" w:left="1152"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6B7C7" w14:textId="77777777" w:rsidR="00763AD0" w:rsidRDefault="00763AD0" w:rsidP="005A561F">
      <w:pPr>
        <w:spacing w:after="0" w:line="240" w:lineRule="auto"/>
      </w:pPr>
      <w:r>
        <w:separator/>
      </w:r>
    </w:p>
  </w:endnote>
  <w:endnote w:type="continuationSeparator" w:id="0">
    <w:p w14:paraId="624ADF1C" w14:textId="77777777" w:rsidR="00763AD0" w:rsidRDefault="00763AD0" w:rsidP="005A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oves Type">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1700C" w14:textId="77777777" w:rsidR="00763AD0" w:rsidRDefault="00763AD0" w:rsidP="005A561F">
      <w:pPr>
        <w:spacing w:after="0" w:line="240" w:lineRule="auto"/>
      </w:pPr>
      <w:r>
        <w:separator/>
      </w:r>
    </w:p>
  </w:footnote>
  <w:footnote w:type="continuationSeparator" w:id="0">
    <w:p w14:paraId="555AC7BF" w14:textId="77777777" w:rsidR="00763AD0" w:rsidRDefault="00763AD0" w:rsidP="005A561F">
      <w:pPr>
        <w:spacing w:after="0" w:line="240" w:lineRule="auto"/>
      </w:pPr>
      <w:r>
        <w:continuationSeparator/>
      </w:r>
    </w:p>
  </w:footnote>
  <w:footnote w:id="1">
    <w:p w14:paraId="30C40CA0" w14:textId="21A004FF" w:rsidR="00E6564D" w:rsidRPr="00E52CCC" w:rsidRDefault="00E6564D" w:rsidP="00791A54">
      <w:pPr>
        <w:pStyle w:val="FootnoteText"/>
      </w:pPr>
      <w:r w:rsidRPr="00E52CCC">
        <w:rPr>
          <w:rStyle w:val="FootnoteReference"/>
          <w:vertAlign w:val="baseline"/>
        </w:rPr>
        <w:footnoteRef/>
      </w:r>
      <w:r w:rsidRPr="00E52CCC">
        <w:t xml:space="preserve"> </w:t>
      </w:r>
      <w:r w:rsidRPr="00E52CCC">
        <w:tab/>
        <w:t xml:space="preserve">Tom Bingham, </w:t>
      </w:r>
      <w:r w:rsidRPr="00E52CCC">
        <w:rPr>
          <w:i/>
        </w:rPr>
        <w:t>The Rule of Law</w:t>
      </w:r>
      <w:r w:rsidRPr="00E52CCC">
        <w:t xml:space="preserve"> (London: Penguin, 2011) 48</w:t>
      </w:r>
      <w:r>
        <w:t xml:space="preserve"> and 37.</w:t>
      </w:r>
      <w:r w:rsidRPr="00E52CCC">
        <w:t xml:space="preserve"> </w:t>
      </w:r>
    </w:p>
  </w:footnote>
  <w:footnote w:id="2">
    <w:p w14:paraId="3E8614FC" w14:textId="77777777" w:rsidR="00E6564D" w:rsidRPr="00E52CCC" w:rsidRDefault="00E6564D" w:rsidP="0089696B">
      <w:pPr>
        <w:pStyle w:val="FootnoteText"/>
      </w:pPr>
      <w:r w:rsidRPr="00E52CCC">
        <w:rPr>
          <w:rStyle w:val="FootnoteReference"/>
          <w:vertAlign w:val="baseline"/>
        </w:rPr>
        <w:footnoteRef/>
      </w:r>
      <w:r w:rsidRPr="00E52CCC">
        <w:t xml:space="preserve"> </w:t>
      </w:r>
      <w:r w:rsidRPr="00E52CCC">
        <w:tab/>
        <w:t xml:space="preserve">Alexander Pope, </w:t>
      </w:r>
      <w:r w:rsidRPr="00E52CCC">
        <w:rPr>
          <w:i/>
        </w:rPr>
        <w:t>An Essay on Criticism</w:t>
      </w:r>
      <w:r w:rsidRPr="00E52CCC">
        <w:t xml:space="preserve"> (1711) Part 3.</w:t>
      </w:r>
    </w:p>
  </w:footnote>
  <w:footnote w:id="3">
    <w:p w14:paraId="0BA82107" w14:textId="77777777" w:rsidR="00E6564D" w:rsidRPr="00E52CCC" w:rsidRDefault="00E6564D" w:rsidP="00791A54">
      <w:pPr>
        <w:pStyle w:val="FootnoteText"/>
      </w:pPr>
      <w:r w:rsidRPr="00E52CCC">
        <w:rPr>
          <w:rStyle w:val="FootnoteReference"/>
          <w:vertAlign w:val="baseline"/>
        </w:rPr>
        <w:footnoteRef/>
      </w:r>
      <w:r w:rsidRPr="00E52CCC">
        <w:t xml:space="preserve"> </w:t>
      </w:r>
      <w:r w:rsidRPr="00E52CCC">
        <w:tab/>
        <w:t>Jeremy Waldron,</w:t>
      </w:r>
      <w:r w:rsidRPr="00E52CCC">
        <w:rPr>
          <w:rFonts w:ascii="Verdana" w:hAnsi="Verdana"/>
        </w:rPr>
        <w:t xml:space="preserve"> ‘</w:t>
      </w:r>
      <w:r w:rsidRPr="00E52CCC">
        <w:t xml:space="preserve">How Law protects Dignity’ (2012) 71(1) </w:t>
      </w:r>
      <w:r w:rsidRPr="00E52CCC">
        <w:rPr>
          <w:i/>
        </w:rPr>
        <w:t>Cambridge Law Journal</w:t>
      </w:r>
      <w:r>
        <w:t xml:space="preserve"> 200-222</w:t>
      </w:r>
      <w:r w:rsidRPr="00E52CCC">
        <w:t>, 205-208.</w:t>
      </w:r>
    </w:p>
  </w:footnote>
  <w:footnote w:id="4">
    <w:p w14:paraId="00E4F2E7" w14:textId="77777777" w:rsidR="00E6564D" w:rsidRPr="00E52CCC" w:rsidRDefault="00E6564D" w:rsidP="00791A54">
      <w:pPr>
        <w:pStyle w:val="FootnoteText"/>
      </w:pPr>
      <w:r w:rsidRPr="00E52CCC">
        <w:rPr>
          <w:rStyle w:val="FootnoteReference"/>
          <w:vertAlign w:val="baseline"/>
        </w:rPr>
        <w:footnoteRef/>
      </w:r>
      <w:r w:rsidRPr="00E52CCC">
        <w:t xml:space="preserve"> </w:t>
      </w:r>
      <w:r w:rsidRPr="00E52CCC">
        <w:tab/>
      </w:r>
      <w:proofErr w:type="gramStart"/>
      <w:r w:rsidRPr="00E52CCC">
        <w:t xml:space="preserve">Max Weaver, ‘Herbert, Hercules and the Plural Society, A “Knot” in the Social Bond’ (1978) 41 </w:t>
      </w:r>
      <w:r w:rsidRPr="00E52CCC">
        <w:rPr>
          <w:i/>
        </w:rPr>
        <w:t>Modern Law Review</w:t>
      </w:r>
      <w:r w:rsidRPr="00E52CCC">
        <w:t xml:space="preserve"> 660.</w:t>
      </w:r>
      <w:proofErr w:type="gramEnd"/>
    </w:p>
  </w:footnote>
  <w:footnote w:id="5">
    <w:p w14:paraId="472F9053" w14:textId="6E3411CC" w:rsidR="00E6564D" w:rsidRPr="00E52CCC" w:rsidRDefault="00E6564D" w:rsidP="00791A54">
      <w:pPr>
        <w:pStyle w:val="FootnoteText"/>
      </w:pPr>
      <w:r w:rsidRPr="00E52CCC">
        <w:rPr>
          <w:rStyle w:val="FootnoteReference"/>
          <w:vertAlign w:val="baseline"/>
        </w:rPr>
        <w:footnoteRef/>
      </w:r>
      <w:r>
        <w:t xml:space="preserve"> </w:t>
      </w:r>
      <w:r>
        <w:tab/>
        <w:t>Lon</w:t>
      </w:r>
      <w:r w:rsidRPr="00E52CCC">
        <w:t xml:space="preserve"> Fuller, </w:t>
      </w:r>
      <w:proofErr w:type="gramStart"/>
      <w:r w:rsidRPr="00E52CCC">
        <w:rPr>
          <w:i/>
        </w:rPr>
        <w:t>The</w:t>
      </w:r>
      <w:proofErr w:type="gramEnd"/>
      <w:r w:rsidRPr="00E52CCC">
        <w:rPr>
          <w:i/>
        </w:rPr>
        <w:t xml:space="preserve"> Morality of Law</w:t>
      </w:r>
      <w:r>
        <w:t xml:space="preserve"> (London:</w:t>
      </w:r>
      <w:r w:rsidRPr="00E52CCC">
        <w:t xml:space="preserve"> Yale University Press, 1964) 50.</w:t>
      </w:r>
      <w:r w:rsidRPr="00550B56">
        <w:rPr>
          <w:i/>
        </w:rPr>
        <w:t xml:space="preserve"> </w:t>
      </w:r>
      <w:proofErr w:type="spellStart"/>
      <w:r w:rsidRPr="005334C8">
        <w:t>Cf</w:t>
      </w:r>
      <w:proofErr w:type="spellEnd"/>
      <w:r w:rsidRPr="005334C8">
        <w:t xml:space="preserve"> </w:t>
      </w:r>
      <w:r>
        <w:t xml:space="preserve">Scott Shapiro, </w:t>
      </w:r>
      <w:r w:rsidRPr="00550B56">
        <w:rPr>
          <w:i/>
        </w:rPr>
        <w:t xml:space="preserve">Legality </w:t>
      </w:r>
      <w:r>
        <w:t xml:space="preserve">(London: </w:t>
      </w:r>
      <w:proofErr w:type="spellStart"/>
      <w:r>
        <w:t>Belknap</w:t>
      </w:r>
      <w:proofErr w:type="spellEnd"/>
      <w:r>
        <w:t>, 2011) who, at 396, suggests that Fuller neglected the ‘cognitive energy saved by not having to think about the best way to regulate our lives and to convince others about the rectitude of our judgements.’</w:t>
      </w:r>
    </w:p>
  </w:footnote>
  <w:footnote w:id="6">
    <w:p w14:paraId="38804F5D" w14:textId="6DE3873E" w:rsidR="00E6564D" w:rsidRPr="00E52CCC" w:rsidRDefault="00E6564D" w:rsidP="00F86ECE">
      <w:pPr>
        <w:pStyle w:val="FootnoteText"/>
      </w:pPr>
      <w:r w:rsidRPr="00E52CCC">
        <w:rPr>
          <w:rStyle w:val="FootnoteReference"/>
          <w:vertAlign w:val="baseline"/>
        </w:rPr>
        <w:footnoteRef/>
      </w:r>
      <w:r w:rsidRPr="00E52CCC">
        <w:t xml:space="preserve"> </w:t>
      </w:r>
      <w:r w:rsidRPr="00E52CCC">
        <w:tab/>
      </w:r>
      <w:r>
        <w:t xml:space="preserve">For </w:t>
      </w:r>
      <w:r w:rsidRPr="00AF47DD">
        <w:t>threatenin</w:t>
      </w:r>
      <w:r>
        <w:t>g evidence of determinism, see (e.g.)</w:t>
      </w:r>
      <w:r w:rsidRPr="00AF47DD">
        <w:t xml:space="preserve"> Chun </w:t>
      </w:r>
      <w:proofErr w:type="spellStart"/>
      <w:r w:rsidRPr="00AF47DD">
        <w:t>Siong</w:t>
      </w:r>
      <w:proofErr w:type="spellEnd"/>
      <w:r w:rsidRPr="00AF47DD">
        <w:t xml:space="preserve"> Soon, </w:t>
      </w:r>
      <w:r w:rsidRPr="00A9708B">
        <w:rPr>
          <w:i/>
        </w:rPr>
        <w:t>et al</w:t>
      </w:r>
      <w:r w:rsidRPr="00AF47DD">
        <w:t xml:space="preserve">, Predicting free choices for abstract intentions (2013) </w:t>
      </w:r>
      <w:r>
        <w:t>110</w:t>
      </w:r>
      <w:r w:rsidRPr="00AF47DD">
        <w:t xml:space="preserve">(15) </w:t>
      </w:r>
      <w:r w:rsidRPr="00AF47DD">
        <w:rPr>
          <w:i/>
        </w:rPr>
        <w:t>Proc. Nat. Ac. Sciences USA</w:t>
      </w:r>
      <w:r>
        <w:t xml:space="preserve">, 6217–6222, </w:t>
      </w:r>
      <w:r w:rsidRPr="00AF47DD">
        <w:t>6220</w:t>
      </w:r>
      <w:r>
        <w:t xml:space="preserve"> and</w:t>
      </w:r>
      <w:r w:rsidRPr="00AF47DD">
        <w:t xml:space="preserve"> Benjamin </w:t>
      </w:r>
      <w:proofErr w:type="spellStart"/>
      <w:r w:rsidRPr="00AF47DD">
        <w:t>Libet</w:t>
      </w:r>
      <w:proofErr w:type="spellEnd"/>
      <w:r w:rsidRPr="00AF47DD">
        <w:t xml:space="preserve">, </w:t>
      </w:r>
      <w:r w:rsidRPr="00A9708B">
        <w:rPr>
          <w:i/>
        </w:rPr>
        <w:t>et al</w:t>
      </w:r>
      <w:r w:rsidRPr="00AF47DD">
        <w:t xml:space="preserve">, </w:t>
      </w:r>
      <w:r>
        <w:t>‘</w:t>
      </w:r>
      <w:r w:rsidRPr="00AF47DD">
        <w:t>Time of conscious intention to act in relation to onset of cerebral activity (readiness-potential)—the unconscious initiation of a freely voluntary act</w:t>
      </w:r>
      <w:r>
        <w:t>’</w:t>
      </w:r>
      <w:r w:rsidRPr="00AF47DD">
        <w:t xml:space="preserve"> (1983)</w:t>
      </w:r>
      <w:r>
        <w:t xml:space="preserve"> </w:t>
      </w:r>
      <w:r w:rsidRPr="00AF47DD">
        <w:t xml:space="preserve">106(3) </w:t>
      </w:r>
      <w:r w:rsidRPr="00AF47DD">
        <w:rPr>
          <w:i/>
        </w:rPr>
        <w:t>Brain</w:t>
      </w:r>
      <w:r w:rsidRPr="00AF47DD">
        <w:t xml:space="preserve"> 623–642. For a ‘hard determinis</w:t>
      </w:r>
      <w:r>
        <w:t>t</w:t>
      </w:r>
      <w:r w:rsidRPr="00AF47DD">
        <w:t xml:space="preserve">’ </w:t>
      </w:r>
      <w:r>
        <w:t xml:space="preserve">view </w:t>
      </w:r>
      <w:r w:rsidRPr="00AF47DD">
        <w:t xml:space="preserve">that purports to save free will on consequentialist grounds, see Joshua Greene &amp; Jonathan Cohen, </w:t>
      </w:r>
      <w:r>
        <w:t>‘</w:t>
      </w:r>
      <w:r w:rsidRPr="00AF47DD">
        <w:t>For the law, neuroscience</w:t>
      </w:r>
      <w:r>
        <w:t xml:space="preserve"> changes nothing and everything’</w:t>
      </w:r>
      <w:r w:rsidRPr="00AF47DD">
        <w:t xml:space="preserve"> </w:t>
      </w:r>
      <w:r>
        <w:t xml:space="preserve">(2004) </w:t>
      </w:r>
      <w:r w:rsidRPr="00A9708B">
        <w:rPr>
          <w:i/>
        </w:rPr>
        <w:t>Phil.</w:t>
      </w:r>
      <w:r w:rsidRPr="00AF47DD">
        <w:t xml:space="preserve"> </w:t>
      </w:r>
      <w:r w:rsidRPr="00A9708B">
        <w:rPr>
          <w:i/>
        </w:rPr>
        <w:t>Trans. R. Soc. B 359</w:t>
      </w:r>
      <w:r w:rsidRPr="00AF47DD">
        <w:t xml:space="preserve"> 1775–1785</w:t>
      </w:r>
      <w:r>
        <w:t>,</w:t>
      </w:r>
      <w:r w:rsidRPr="00AF47DD">
        <w:t xml:space="preserve"> 1775</w:t>
      </w:r>
      <w:r>
        <w:t>.</w:t>
      </w:r>
    </w:p>
  </w:footnote>
  <w:footnote w:id="7">
    <w:p w14:paraId="4D5BAF58" w14:textId="6BA81902" w:rsidR="00E6564D" w:rsidRPr="00E52CCC" w:rsidRDefault="00E6564D" w:rsidP="00791A54">
      <w:pPr>
        <w:pStyle w:val="FootnoteText"/>
      </w:pPr>
      <w:r w:rsidRPr="00E52CCC">
        <w:rPr>
          <w:rStyle w:val="FootnoteReference"/>
          <w:vertAlign w:val="baseline"/>
        </w:rPr>
        <w:footnoteRef/>
      </w:r>
      <w:r w:rsidRPr="00E52CCC">
        <w:t xml:space="preserve"> </w:t>
      </w:r>
      <w:r w:rsidRPr="00E52CCC">
        <w:tab/>
      </w:r>
      <w:r>
        <w:t>But see (e.g.)</w:t>
      </w:r>
      <w:r w:rsidRPr="00AF47DD">
        <w:t xml:space="preserve"> </w:t>
      </w:r>
      <w:r>
        <w:t xml:space="preserve">Felix </w:t>
      </w:r>
      <w:proofErr w:type="spellStart"/>
      <w:r>
        <w:t>Warneken</w:t>
      </w:r>
      <w:proofErr w:type="spellEnd"/>
      <w:r>
        <w:t xml:space="preserve"> &amp; Alexandra </w:t>
      </w:r>
      <w:proofErr w:type="spellStart"/>
      <w:r>
        <w:t>Rosati</w:t>
      </w:r>
      <w:proofErr w:type="spellEnd"/>
      <w:r>
        <w:t xml:space="preserve">, ‘Cognitive capacities for cooking in chimpanzees’ </w:t>
      </w:r>
      <w:r w:rsidRPr="00AF47DD">
        <w:rPr>
          <w:lang w:val="en"/>
        </w:rPr>
        <w:t>3 June 2015</w:t>
      </w:r>
      <w:r>
        <w:rPr>
          <w:lang w:val="en"/>
        </w:rPr>
        <w:t xml:space="preserve">, </w:t>
      </w:r>
      <w:r w:rsidRPr="00A9708B">
        <w:rPr>
          <w:i/>
          <w:lang w:val="en"/>
        </w:rPr>
        <w:t>Proc. R. Soc. B</w:t>
      </w:r>
      <w:r w:rsidRPr="00AF47DD">
        <w:rPr>
          <w:lang w:val="en"/>
        </w:rPr>
        <w:t>.</w:t>
      </w:r>
      <w:r>
        <w:rPr>
          <w:lang w:val="en"/>
        </w:rPr>
        <w:t xml:space="preserve"> </w:t>
      </w:r>
      <w:r w:rsidRPr="00AF47DD">
        <w:rPr>
          <w:lang w:val="en"/>
        </w:rPr>
        <w:t>DOI: 10.1098/rspb.2015.0229</w:t>
      </w:r>
      <w:r>
        <w:rPr>
          <w:lang w:val="en"/>
        </w:rPr>
        <w:t>.</w:t>
      </w:r>
    </w:p>
  </w:footnote>
  <w:footnote w:id="8">
    <w:p w14:paraId="05582F52" w14:textId="647C59A7" w:rsidR="00E6564D" w:rsidRDefault="00E6564D" w:rsidP="00791A54">
      <w:pPr>
        <w:pStyle w:val="FootnoteText"/>
      </w:pPr>
      <w:r w:rsidRPr="000D670F">
        <w:rPr>
          <w:rStyle w:val="FootnoteReference"/>
          <w:vertAlign w:val="baseline"/>
        </w:rPr>
        <w:footnoteRef/>
      </w:r>
      <w:r w:rsidRPr="000D670F">
        <w:t xml:space="preserve"> </w:t>
      </w:r>
      <w:r>
        <w:tab/>
      </w:r>
      <w:r w:rsidRPr="000D670F">
        <w:t>Fiery Cushman</w:t>
      </w:r>
      <w:r>
        <w:t>,</w:t>
      </w:r>
      <w:r w:rsidRPr="0039554B">
        <w:t xml:space="preserve"> </w:t>
      </w:r>
      <w:r>
        <w:t>‘</w:t>
      </w:r>
      <w:r w:rsidRPr="0039554B">
        <w:t>The Scope of Blame</w:t>
      </w:r>
      <w:r>
        <w:t xml:space="preserve">’ (2014) </w:t>
      </w:r>
      <w:r w:rsidRPr="0039554B">
        <w:rPr>
          <w:i/>
        </w:rPr>
        <w:t>Psychological Inquiry</w:t>
      </w:r>
      <w:r>
        <w:t xml:space="preserve"> </w:t>
      </w:r>
      <w:r w:rsidRPr="0039554B">
        <w:t>201-205</w:t>
      </w:r>
      <w:r>
        <w:t xml:space="preserve">, 201, emphases added, commenting on Bertram </w:t>
      </w:r>
      <w:proofErr w:type="spellStart"/>
      <w:r>
        <w:t>Malle</w:t>
      </w:r>
      <w:proofErr w:type="spellEnd"/>
      <w:r w:rsidRPr="0039554B">
        <w:t>, Stev</w:t>
      </w:r>
      <w:r>
        <w:t xml:space="preserve">e </w:t>
      </w:r>
      <w:proofErr w:type="spellStart"/>
      <w:r>
        <w:t>Guglielmo</w:t>
      </w:r>
      <w:proofErr w:type="spellEnd"/>
      <w:r>
        <w:t xml:space="preserve"> &amp; Andrew Monroe, ‘</w:t>
      </w:r>
      <w:r w:rsidRPr="0039554B">
        <w:t>A Theory of Blame</w:t>
      </w:r>
      <w:r>
        <w:t xml:space="preserve">’ </w:t>
      </w:r>
      <w:r w:rsidRPr="0039554B">
        <w:t xml:space="preserve">(2014) </w:t>
      </w:r>
      <w:r w:rsidRPr="0039554B">
        <w:rPr>
          <w:i/>
        </w:rPr>
        <w:t>Psychological Inquiry</w:t>
      </w:r>
      <w:r>
        <w:t xml:space="preserve"> 147-186.</w:t>
      </w:r>
    </w:p>
  </w:footnote>
  <w:footnote w:id="9">
    <w:p w14:paraId="62839D26" w14:textId="219D5853" w:rsidR="00E6564D" w:rsidRDefault="00E6564D" w:rsidP="00791A54">
      <w:pPr>
        <w:pStyle w:val="FootnoteText"/>
      </w:pPr>
      <w:r w:rsidRPr="00627CA2">
        <w:rPr>
          <w:rStyle w:val="FootnoteReference"/>
          <w:vertAlign w:val="baseline"/>
        </w:rPr>
        <w:footnoteRef/>
      </w:r>
      <w:r w:rsidRPr="00627CA2">
        <w:t xml:space="preserve"> </w:t>
      </w:r>
      <w:r>
        <w:tab/>
      </w:r>
      <w:proofErr w:type="spellStart"/>
      <w:r w:rsidRPr="003A0ED5">
        <w:t>Cf</w:t>
      </w:r>
      <w:proofErr w:type="spellEnd"/>
      <w:r w:rsidRPr="003A0ED5">
        <w:t xml:space="preserve"> </w:t>
      </w:r>
      <w:r w:rsidRPr="000326AE">
        <w:t xml:space="preserve">Heidi Hurd, ‘Finding No Fault with Negligence’ in John </w:t>
      </w:r>
      <w:proofErr w:type="spellStart"/>
      <w:r w:rsidRPr="000326AE">
        <w:t>Oberdiek</w:t>
      </w:r>
      <w:proofErr w:type="spellEnd"/>
      <w:r w:rsidRPr="000326AE">
        <w:t xml:space="preserve"> (ed</w:t>
      </w:r>
      <w:r w:rsidR="003F4254">
        <w:t>.</w:t>
      </w:r>
      <w:r w:rsidRPr="000326AE">
        <w:t xml:space="preserve">), </w:t>
      </w:r>
      <w:r w:rsidRPr="000326AE">
        <w:rPr>
          <w:i/>
        </w:rPr>
        <w:t>Philosophical Foundations of the Law of Torts</w:t>
      </w:r>
      <w:r w:rsidRPr="000326AE">
        <w:t xml:space="preserve"> (Oxford: OUP, 2015) 387-405</w:t>
      </w:r>
      <w:r>
        <w:t xml:space="preserve">, 392-394, listing problems with ‘equating negligence with the violation of deontological mini-maxims’. Also, at 392, ‘objective fault without a morsel of subjective fault is no fault at all.’ Liability in cases like </w:t>
      </w:r>
      <w:r w:rsidRPr="003A0ED5">
        <w:rPr>
          <w:i/>
        </w:rPr>
        <w:t xml:space="preserve">Nettleship </w:t>
      </w:r>
      <w:r>
        <w:t xml:space="preserve">v </w:t>
      </w:r>
      <w:r w:rsidRPr="003A0ED5">
        <w:rPr>
          <w:i/>
        </w:rPr>
        <w:t>Weston</w:t>
      </w:r>
      <w:r>
        <w:t xml:space="preserve"> [1971] 2 QB 691 (learner driver held to the standard of qualified driver) is notably strict but, as appears below, Hurd’s argument is more radical.</w:t>
      </w:r>
    </w:p>
  </w:footnote>
  <w:footnote w:id="10">
    <w:p w14:paraId="1109F6B9" w14:textId="772425B6" w:rsidR="00E6564D" w:rsidRDefault="00E6564D" w:rsidP="00791A54">
      <w:pPr>
        <w:pStyle w:val="FootnoteText"/>
      </w:pPr>
      <w:r w:rsidRPr="00627CA2">
        <w:rPr>
          <w:rStyle w:val="FootnoteReference"/>
          <w:vertAlign w:val="baseline"/>
        </w:rPr>
        <w:footnoteRef/>
      </w:r>
      <w:r w:rsidRPr="00627CA2">
        <w:t xml:space="preserve"> </w:t>
      </w:r>
      <w:r>
        <w:tab/>
      </w:r>
      <w:proofErr w:type="gramStart"/>
      <w:r>
        <w:t>[1961] AC 388,</w:t>
      </w:r>
      <w:r w:rsidRPr="00627CA2">
        <w:t xml:space="preserve"> 425</w:t>
      </w:r>
      <w:r>
        <w:t>.</w:t>
      </w:r>
      <w:proofErr w:type="gramEnd"/>
      <w:r>
        <w:t xml:space="preserve"> Even where a claim is for a tort actionable </w:t>
      </w:r>
      <w:r w:rsidRPr="002C5379">
        <w:rPr>
          <w:i/>
        </w:rPr>
        <w:t>per se</w:t>
      </w:r>
      <w:r>
        <w:t xml:space="preserve">, some adverse consequence—often </w:t>
      </w:r>
      <w:proofErr w:type="gramStart"/>
      <w:r>
        <w:t>an interference</w:t>
      </w:r>
      <w:proofErr w:type="gramEnd"/>
      <w:r>
        <w:t xml:space="preserve"> with autonomy—to C is required for standing. Similarly, Convention claims can normally be brought only by persons suffering ‘significant disadvantage’: see my ‘Beyond Compensation’ (currently under review).</w:t>
      </w:r>
    </w:p>
  </w:footnote>
  <w:footnote w:id="11">
    <w:p w14:paraId="11A4BC36" w14:textId="2546A10E" w:rsidR="00E6564D" w:rsidRPr="00E52CCC" w:rsidRDefault="00E6564D" w:rsidP="00791A54">
      <w:pPr>
        <w:pStyle w:val="FootnoteText"/>
      </w:pPr>
      <w:r w:rsidRPr="00E52CCC">
        <w:rPr>
          <w:rStyle w:val="FootnoteReference"/>
          <w:vertAlign w:val="baseline"/>
        </w:rPr>
        <w:footnoteRef/>
      </w:r>
      <w:r w:rsidRPr="00E52CCC">
        <w:t xml:space="preserve"> </w:t>
      </w:r>
      <w:r w:rsidRPr="00E52CCC">
        <w:tab/>
      </w:r>
      <w:r w:rsidRPr="00FE1D67">
        <w:t xml:space="preserve">Arguably some </w:t>
      </w:r>
      <w:r>
        <w:t xml:space="preserve">moral </w:t>
      </w:r>
      <w:r w:rsidRPr="00FE1D67">
        <w:t xml:space="preserve">norms are innate. Others might be culturally acquired and ingrained. </w:t>
      </w:r>
      <w:r>
        <w:t>Such</w:t>
      </w:r>
      <w:r w:rsidRPr="00E52CCC">
        <w:t xml:space="preserve"> norms </w:t>
      </w:r>
      <w:r>
        <w:t xml:space="preserve">are </w:t>
      </w:r>
      <w:r w:rsidRPr="00E52CCC">
        <w:t xml:space="preserve">entrenched in our System 1 </w:t>
      </w:r>
      <w:r>
        <w:t>‘</w:t>
      </w:r>
      <w:r w:rsidRPr="00E52CCC">
        <w:t>fast thinking</w:t>
      </w:r>
      <w:r>
        <w:t>’</w:t>
      </w:r>
      <w:r w:rsidRPr="00E52CCC">
        <w:t xml:space="preserve"> and the effortful reflection of System 2 </w:t>
      </w:r>
      <w:r>
        <w:t>‘</w:t>
      </w:r>
      <w:r w:rsidRPr="00E52CCC">
        <w:t>slow thin</w:t>
      </w:r>
      <w:r>
        <w:t>king’ struggles to overcome them: s</w:t>
      </w:r>
      <w:r w:rsidRPr="00E52CCC">
        <w:t xml:space="preserve">ee: Daniel </w:t>
      </w:r>
      <w:proofErr w:type="spellStart"/>
      <w:r w:rsidRPr="00E52CCC">
        <w:t>Kahneman</w:t>
      </w:r>
      <w:proofErr w:type="spellEnd"/>
      <w:r w:rsidRPr="00E52CCC">
        <w:t xml:space="preserve">, </w:t>
      </w:r>
      <w:r w:rsidRPr="00E52CCC">
        <w:rPr>
          <w:i/>
        </w:rPr>
        <w:t>Thinking, fast and slow</w:t>
      </w:r>
      <w:r w:rsidRPr="00E52CCC">
        <w:t xml:space="preserve"> (London: Penguin. 2012)</w:t>
      </w:r>
      <w:r>
        <w:t>.</w:t>
      </w:r>
      <w:r w:rsidRPr="00E52CCC">
        <w:t xml:space="preserve"> </w:t>
      </w:r>
      <w:r>
        <w:t xml:space="preserve">In addition to outcome and hindsight biases, see also: </w:t>
      </w:r>
      <w:r w:rsidRPr="00E52CCC">
        <w:t>familial preference</w:t>
      </w:r>
      <w:r>
        <w:t>; loss aversion (</w:t>
      </w:r>
      <w:r w:rsidRPr="00C10C17">
        <w:rPr>
          <w:i/>
        </w:rPr>
        <w:t>ibid</w:t>
      </w:r>
      <w:r>
        <w:t xml:space="preserve"> 283-286, 308-309); and the</w:t>
      </w:r>
      <w:r w:rsidRPr="00E52CCC">
        <w:t xml:space="preserve"> tendency to excuse omis</w:t>
      </w:r>
      <w:r>
        <w:t xml:space="preserve">sions more readily than actions (see: </w:t>
      </w:r>
      <w:r w:rsidRPr="00E52CCC">
        <w:rPr>
          <w:lang w:val="en-US"/>
        </w:rPr>
        <w:t xml:space="preserve">Jonathan Bennett, </w:t>
      </w:r>
      <w:r w:rsidRPr="00E52CCC">
        <w:rPr>
          <w:i/>
          <w:lang w:val="en-US"/>
        </w:rPr>
        <w:t>Morality and Consequences</w:t>
      </w:r>
      <w:r w:rsidRPr="00E52CCC">
        <w:rPr>
          <w:lang w:val="en-US"/>
        </w:rPr>
        <w:t xml:space="preserve"> (1981), in Sterling M. </w:t>
      </w:r>
      <w:proofErr w:type="spellStart"/>
      <w:r w:rsidRPr="00E52CCC">
        <w:rPr>
          <w:lang w:val="en-US"/>
        </w:rPr>
        <w:t>McMurrin</w:t>
      </w:r>
      <w:proofErr w:type="spellEnd"/>
      <w:r w:rsidRPr="00E52CCC">
        <w:rPr>
          <w:lang w:val="en-US"/>
        </w:rPr>
        <w:t xml:space="preserve"> (ed.), The Tanner Lectures on Human Values, Volume II,</w:t>
      </w:r>
      <w:r w:rsidRPr="00E52CCC">
        <w:rPr>
          <w:i/>
          <w:lang w:val="en-US"/>
        </w:rPr>
        <w:t xml:space="preserve"> </w:t>
      </w:r>
      <w:r w:rsidRPr="00E52CCC">
        <w:rPr>
          <w:lang w:val="en-US"/>
        </w:rPr>
        <w:t>45-116;</w:t>
      </w:r>
      <w:r>
        <w:rPr>
          <w:lang w:val="en-US"/>
        </w:rPr>
        <w:t xml:space="preserve"> and</w:t>
      </w:r>
      <w:r w:rsidRPr="00E52CCC">
        <w:rPr>
          <w:rFonts w:ascii="Times New Roman" w:hAnsi="Times New Roman"/>
          <w:i/>
          <w:sz w:val="18"/>
          <w:szCs w:val="18"/>
        </w:rPr>
        <w:t xml:space="preserve"> </w:t>
      </w:r>
      <w:r w:rsidRPr="00E52CCC">
        <w:rPr>
          <w:i/>
        </w:rPr>
        <w:t>Michael</w:t>
      </w:r>
      <w:r w:rsidRPr="00E52CCC">
        <w:t xml:space="preserve"> v. </w:t>
      </w:r>
      <w:r w:rsidRPr="00E52CCC">
        <w:rPr>
          <w:i/>
        </w:rPr>
        <w:t>Chief Constable of South Wales Police</w:t>
      </w:r>
      <w:r w:rsidRPr="00E52CCC">
        <w:t xml:space="preserve"> [2015] UKSC 2</w:t>
      </w:r>
      <w:r>
        <w:t xml:space="preserve"> [44]-[94] </w:t>
      </w:r>
      <w:r w:rsidRPr="002C5379">
        <w:rPr>
          <w:i/>
        </w:rPr>
        <w:t>per</w:t>
      </w:r>
      <w:r>
        <w:t xml:space="preserve"> Lord </w:t>
      </w:r>
      <w:proofErr w:type="spellStart"/>
      <w:r>
        <w:t>Toulson</w:t>
      </w:r>
      <w:proofErr w:type="spellEnd"/>
      <w:r>
        <w:t xml:space="preserve">, but </w:t>
      </w:r>
      <w:proofErr w:type="spellStart"/>
      <w:r>
        <w:t>cf</w:t>
      </w:r>
      <w:proofErr w:type="spellEnd"/>
      <w:r>
        <w:t xml:space="preserve"> Lord Kerr [174]-[181]).</w:t>
      </w:r>
    </w:p>
  </w:footnote>
  <w:footnote w:id="12">
    <w:p w14:paraId="6F30FDFD" w14:textId="3AC927B5" w:rsidR="00E6564D" w:rsidRDefault="00E6564D" w:rsidP="00791A54">
      <w:pPr>
        <w:pStyle w:val="FootnoteText"/>
      </w:pPr>
      <w:r w:rsidRPr="00320D55">
        <w:rPr>
          <w:rStyle w:val="FootnoteReference"/>
          <w:vertAlign w:val="baseline"/>
        </w:rPr>
        <w:footnoteRef/>
      </w:r>
      <w:r w:rsidRPr="00320D55">
        <w:t xml:space="preserve"> </w:t>
      </w:r>
      <w:r>
        <w:tab/>
      </w:r>
      <w:proofErr w:type="gramStart"/>
      <w:r>
        <w:t xml:space="preserve">Hurd, note </w:t>
      </w:r>
      <w:r>
        <w:fldChar w:fldCharType="begin"/>
      </w:r>
      <w:r>
        <w:instrText xml:space="preserve"> NOTEREF _Ref427215972 \p \h </w:instrText>
      </w:r>
      <w:r>
        <w:fldChar w:fldCharType="separate"/>
      </w:r>
      <w:r w:rsidR="00B85818">
        <w:t>9</w:t>
      </w:r>
      <w:r>
        <w:fldChar w:fldCharType="end"/>
      </w:r>
      <w:r>
        <w:t>, 394.</w:t>
      </w:r>
      <w:proofErr w:type="gramEnd"/>
    </w:p>
  </w:footnote>
  <w:footnote w:id="13">
    <w:p w14:paraId="3778EDE7" w14:textId="409D97F1" w:rsidR="00E6564D" w:rsidRPr="000642C4" w:rsidRDefault="00E6564D" w:rsidP="00791A54">
      <w:pPr>
        <w:pStyle w:val="FootnoteText"/>
      </w:pPr>
      <w:r w:rsidRPr="000642C4">
        <w:rPr>
          <w:rStyle w:val="FootnoteReference"/>
          <w:vertAlign w:val="baseline"/>
        </w:rPr>
        <w:footnoteRef/>
      </w:r>
      <w:r w:rsidRPr="000642C4">
        <w:t xml:space="preserve"> </w:t>
      </w:r>
      <w:r w:rsidRPr="000642C4">
        <w:tab/>
      </w:r>
      <w:r>
        <w:t>Martin &amp; Cushman, ‘</w:t>
      </w:r>
      <w:r w:rsidRPr="00F0217C">
        <w:t>The adaptive logic of moral</w:t>
      </w:r>
      <w:r>
        <w:t xml:space="preserve"> luck’ (2015) </w:t>
      </w:r>
      <w:r w:rsidR="003F4254">
        <w:t>(</w:t>
      </w:r>
      <w:r>
        <w:t>forthcoming in</w:t>
      </w:r>
      <w:r w:rsidRPr="00F0217C">
        <w:t xml:space="preserve"> </w:t>
      </w:r>
      <w:r w:rsidRPr="00F0217C">
        <w:rPr>
          <w:i/>
        </w:rPr>
        <w:t>The Blackwell Companion to Experimental Philosophy</w:t>
      </w:r>
      <w:r w:rsidR="003F4254">
        <w:t>)</w:t>
      </w:r>
      <w:r>
        <w:t xml:space="preserve"> </w:t>
      </w:r>
      <w:r w:rsidRPr="000642C4">
        <w:rPr>
          <w:i/>
        </w:rPr>
        <w:t>ibid</w:t>
      </w:r>
      <w:r>
        <w:t xml:space="preserve"> cite: Jonathan </w:t>
      </w:r>
      <w:r w:rsidRPr="000642C4">
        <w:t xml:space="preserve">Baron &amp; </w:t>
      </w:r>
      <w:r>
        <w:t xml:space="preserve">John </w:t>
      </w:r>
      <w:r w:rsidRPr="000642C4">
        <w:t>Hershey</w:t>
      </w:r>
      <w:r>
        <w:t>,</w:t>
      </w:r>
      <w:r w:rsidRPr="000642C4">
        <w:t xml:space="preserve"> </w:t>
      </w:r>
      <w:r>
        <w:t>‘</w:t>
      </w:r>
      <w:r w:rsidRPr="000642C4">
        <w:t xml:space="preserve">Outcome bias in decision </w:t>
      </w:r>
      <w:r w:rsidRPr="0047338C">
        <w:t>evaluation’</w:t>
      </w:r>
      <w:r w:rsidRPr="000642C4">
        <w:rPr>
          <w:i/>
        </w:rPr>
        <w:t xml:space="preserve"> </w:t>
      </w:r>
      <w:r w:rsidRPr="000642C4">
        <w:t xml:space="preserve">(1988) 54(4) </w:t>
      </w:r>
      <w:r w:rsidRPr="000642C4">
        <w:rPr>
          <w:i/>
        </w:rPr>
        <w:t>Journal of Personality and Social Psychology</w:t>
      </w:r>
      <w:r w:rsidRPr="000642C4">
        <w:t xml:space="preserve"> 569–</w:t>
      </w:r>
      <w:r>
        <w:t>579; and</w:t>
      </w:r>
      <w:r w:rsidRPr="000642C4">
        <w:t xml:space="preserve"> </w:t>
      </w:r>
      <w:r>
        <w:t xml:space="preserve">Manuel </w:t>
      </w:r>
      <w:proofErr w:type="spellStart"/>
      <w:r w:rsidRPr="000642C4">
        <w:t>Tostain</w:t>
      </w:r>
      <w:proofErr w:type="spellEnd"/>
      <w:r w:rsidRPr="000642C4">
        <w:t xml:space="preserve"> &amp; </w:t>
      </w:r>
      <w:proofErr w:type="spellStart"/>
      <w:r>
        <w:t>Joëlle</w:t>
      </w:r>
      <w:proofErr w:type="spellEnd"/>
      <w:r>
        <w:t xml:space="preserve"> </w:t>
      </w:r>
      <w:proofErr w:type="spellStart"/>
      <w:r w:rsidRPr="000642C4">
        <w:t>Lebreuilly</w:t>
      </w:r>
      <w:proofErr w:type="spellEnd"/>
      <w:r>
        <w:t>,</w:t>
      </w:r>
      <w:r w:rsidRPr="000642C4">
        <w:t xml:space="preserve"> </w:t>
      </w:r>
      <w:r>
        <w:t>‘</w:t>
      </w:r>
      <w:r w:rsidRPr="000642C4">
        <w:t>Rational model and justification model in “outcome bias.”</w:t>
      </w:r>
      <w:r>
        <w:t>’</w:t>
      </w:r>
      <w:r w:rsidRPr="000642C4">
        <w:t xml:space="preserve"> </w:t>
      </w:r>
      <w:r>
        <w:t>(2008) 38(2)</w:t>
      </w:r>
      <w:r w:rsidRPr="000642C4">
        <w:t xml:space="preserve"> </w:t>
      </w:r>
      <w:r w:rsidRPr="0047338C">
        <w:rPr>
          <w:i/>
        </w:rPr>
        <w:t>European Journal of Social Psychology</w:t>
      </w:r>
      <w:r w:rsidRPr="000642C4">
        <w:t xml:space="preserve"> </w:t>
      </w:r>
      <w:r>
        <w:t>272-</w:t>
      </w:r>
      <w:r w:rsidRPr="000642C4">
        <w:t>279</w:t>
      </w:r>
      <w:r>
        <w:t>.</w:t>
      </w:r>
    </w:p>
  </w:footnote>
  <w:footnote w:id="14">
    <w:p w14:paraId="0209A69C" w14:textId="51F3E26B" w:rsidR="00E6564D" w:rsidRDefault="00E6564D" w:rsidP="00791A54">
      <w:pPr>
        <w:pStyle w:val="FootnoteText"/>
      </w:pPr>
      <w:r w:rsidRPr="00F0217C">
        <w:rPr>
          <w:rStyle w:val="FootnoteReference"/>
          <w:vertAlign w:val="baseline"/>
        </w:rPr>
        <w:footnoteRef/>
      </w:r>
      <w:r w:rsidRPr="00F0217C">
        <w:t xml:space="preserve"> </w:t>
      </w:r>
      <w:r>
        <w:tab/>
      </w:r>
      <w:proofErr w:type="gramStart"/>
      <w:r>
        <w:t>Justin</w:t>
      </w:r>
      <w:r w:rsidRPr="00F0217C">
        <w:t xml:space="preserve"> Martin &amp; Fiery Cushman</w:t>
      </w:r>
      <w:r>
        <w:t xml:space="preserve">, note </w:t>
      </w:r>
      <w:r>
        <w:fldChar w:fldCharType="begin"/>
      </w:r>
      <w:r>
        <w:instrText xml:space="preserve"> NOTEREF _Ref427587494 \h </w:instrText>
      </w:r>
      <w:r>
        <w:fldChar w:fldCharType="separate"/>
      </w:r>
      <w:r w:rsidR="00B85818">
        <w:t>13</w:t>
      </w:r>
      <w:r>
        <w:fldChar w:fldCharType="end"/>
      </w:r>
      <w:r>
        <w:t xml:space="preserve">, citing Elaine </w:t>
      </w:r>
      <w:proofErr w:type="spellStart"/>
      <w:r w:rsidRPr="00F0217C">
        <w:t>Walster</w:t>
      </w:r>
      <w:proofErr w:type="spellEnd"/>
      <w:r w:rsidRPr="00F0217C">
        <w:t xml:space="preserve">, </w:t>
      </w:r>
      <w:r>
        <w:t>‘</w:t>
      </w:r>
      <w:r w:rsidRPr="00F0217C">
        <w:t>Assignment of</w:t>
      </w:r>
      <w:r>
        <w:t xml:space="preserve"> responsibility for an accident’</w:t>
      </w:r>
      <w:r w:rsidRPr="00F0217C">
        <w:t xml:space="preserve"> </w:t>
      </w:r>
      <w:r>
        <w:t>(1966)</w:t>
      </w:r>
      <w:r w:rsidRPr="00F0217C">
        <w:t xml:space="preserve"> 3(1) </w:t>
      </w:r>
      <w:r w:rsidRPr="00F0217C">
        <w:rPr>
          <w:i/>
        </w:rPr>
        <w:t>Journal of Personality and Social Psychology</w:t>
      </w:r>
      <w:r>
        <w:t xml:space="preserve"> </w:t>
      </w:r>
      <w:r w:rsidRPr="00F0217C">
        <w:t>73–</w:t>
      </w:r>
      <w:r>
        <w:t>7</w:t>
      </w:r>
      <w:r w:rsidRPr="00F0217C">
        <w:t>9.</w:t>
      </w:r>
      <w:proofErr w:type="gramEnd"/>
    </w:p>
  </w:footnote>
  <w:footnote w:id="15">
    <w:p w14:paraId="5DAE972C" w14:textId="77777777" w:rsidR="00E6564D" w:rsidRPr="00BC7439" w:rsidRDefault="00E6564D" w:rsidP="0027754B">
      <w:pPr>
        <w:pStyle w:val="FootnoteText"/>
      </w:pPr>
      <w:r w:rsidRPr="00BC7439">
        <w:rPr>
          <w:rStyle w:val="FootnoteReference"/>
          <w:vertAlign w:val="baseline"/>
        </w:rPr>
        <w:footnoteRef/>
      </w:r>
      <w:r>
        <w:t xml:space="preserve"> </w:t>
      </w:r>
      <w:r>
        <w:tab/>
      </w:r>
      <w:proofErr w:type="gramStart"/>
      <w:r>
        <w:t xml:space="preserve">Note </w:t>
      </w:r>
      <w:r>
        <w:fldChar w:fldCharType="begin"/>
      </w:r>
      <w:r>
        <w:instrText xml:space="preserve"> NOTEREF _Ref427059852 \h </w:instrText>
      </w:r>
      <w:r>
        <w:fldChar w:fldCharType="separate"/>
      </w:r>
      <w:r w:rsidR="00B85818">
        <w:t>10</w:t>
      </w:r>
      <w:r>
        <w:fldChar w:fldCharType="end"/>
      </w:r>
      <w:r>
        <w:t>.</w:t>
      </w:r>
      <w:proofErr w:type="gramEnd"/>
    </w:p>
  </w:footnote>
  <w:footnote w:id="16">
    <w:p w14:paraId="303C4675" w14:textId="2426506A" w:rsidR="00E6564D" w:rsidRDefault="00E6564D" w:rsidP="00791A54">
      <w:pPr>
        <w:pStyle w:val="FootnoteText"/>
      </w:pPr>
      <w:r w:rsidRPr="00D70A93">
        <w:rPr>
          <w:rStyle w:val="FootnoteReference"/>
          <w:vertAlign w:val="baseline"/>
        </w:rPr>
        <w:footnoteRef/>
      </w:r>
      <w:r>
        <w:t xml:space="preserve"> </w:t>
      </w:r>
      <w:r>
        <w:tab/>
      </w:r>
      <w:proofErr w:type="gramStart"/>
      <w:r>
        <w:t>[1932] AC 562, 580.</w:t>
      </w:r>
      <w:proofErr w:type="gramEnd"/>
    </w:p>
  </w:footnote>
  <w:footnote w:id="17">
    <w:p w14:paraId="4E85B113" w14:textId="3A48A348" w:rsidR="00E6564D" w:rsidRDefault="00E6564D" w:rsidP="00791A54">
      <w:pPr>
        <w:pStyle w:val="FootnoteText"/>
      </w:pPr>
      <w:r w:rsidRPr="003E6E02">
        <w:rPr>
          <w:rStyle w:val="FootnoteReference"/>
          <w:vertAlign w:val="baseline"/>
        </w:rPr>
        <w:footnoteRef/>
      </w:r>
      <w:r w:rsidRPr="003E6E02">
        <w:t xml:space="preserve"> </w:t>
      </w:r>
      <w:r>
        <w:tab/>
      </w:r>
      <w:proofErr w:type="gramStart"/>
      <w:r w:rsidRPr="003E6E02">
        <w:rPr>
          <w:i/>
        </w:rPr>
        <w:t>WM1</w:t>
      </w:r>
      <w:r>
        <w:t xml:space="preserve"> 426.</w:t>
      </w:r>
      <w:proofErr w:type="gramEnd"/>
      <w:r>
        <w:t xml:space="preserve"> On the background to, and wisdom of, </w:t>
      </w:r>
      <w:r w:rsidRPr="00D01F34">
        <w:rPr>
          <w:i/>
        </w:rPr>
        <w:t>WM1</w:t>
      </w:r>
      <w:r>
        <w:t xml:space="preserve">, see Martin Davies, ‘The Road from Morocco’ (1982) 45 </w:t>
      </w:r>
      <w:r w:rsidRPr="003E6E02">
        <w:rPr>
          <w:i/>
        </w:rPr>
        <w:t>Modern Law Review</w:t>
      </w:r>
      <w:r>
        <w:t xml:space="preserve"> 534-555, especially 552-553 and note 9.</w:t>
      </w:r>
    </w:p>
  </w:footnote>
  <w:footnote w:id="18">
    <w:p w14:paraId="0A492A39" w14:textId="157BA8AC" w:rsidR="00E6564D" w:rsidRPr="00E52CCC" w:rsidRDefault="00E6564D" w:rsidP="00791A54">
      <w:pPr>
        <w:pStyle w:val="FootnoteText"/>
      </w:pPr>
      <w:r w:rsidRPr="00E52CCC">
        <w:rPr>
          <w:rStyle w:val="FootnoteReference"/>
          <w:vertAlign w:val="baseline"/>
        </w:rPr>
        <w:footnoteRef/>
      </w:r>
      <w:r w:rsidRPr="00E52CCC">
        <w:t xml:space="preserve"> </w:t>
      </w:r>
      <w:r w:rsidRPr="00E52CCC">
        <w:tab/>
        <w:t>See</w:t>
      </w:r>
      <w:r>
        <w:t>:</w:t>
      </w:r>
      <w:r w:rsidRPr="00E52CCC">
        <w:t xml:space="preserve"> </w:t>
      </w:r>
      <w:r>
        <w:t xml:space="preserve">text at notes </w:t>
      </w:r>
      <w:r>
        <w:fldChar w:fldCharType="begin"/>
      </w:r>
      <w:r>
        <w:instrText xml:space="preserve"> NOTEREF _Ref427070674 \h </w:instrText>
      </w:r>
      <w:r>
        <w:fldChar w:fldCharType="separate"/>
      </w:r>
      <w:r w:rsidR="00B85818">
        <w:t>69</w:t>
      </w:r>
      <w:r>
        <w:fldChar w:fldCharType="end"/>
      </w:r>
      <w:r>
        <w:t xml:space="preserve"> to </w:t>
      </w:r>
      <w:r>
        <w:fldChar w:fldCharType="begin"/>
      </w:r>
      <w:r>
        <w:instrText xml:space="preserve"> NOTEREF _Ref427158679 \h </w:instrText>
      </w:r>
      <w:r>
        <w:fldChar w:fldCharType="separate"/>
      </w:r>
      <w:r w:rsidR="00B85818">
        <w:t>72</w:t>
      </w:r>
      <w:r>
        <w:fldChar w:fldCharType="end"/>
      </w:r>
      <w:r>
        <w:t xml:space="preserve">; and Max </w:t>
      </w:r>
      <w:r w:rsidRPr="00E52CCC">
        <w:t xml:space="preserve">Weaver, ‘Redress and Distress: a note on </w:t>
      </w:r>
      <w:r w:rsidRPr="00E52CCC">
        <w:rPr>
          <w:i/>
        </w:rPr>
        <w:t>Rhodes</w:t>
      </w:r>
      <w:r w:rsidRPr="00E52CCC">
        <w:t xml:space="preserve"> and </w:t>
      </w:r>
      <w:r w:rsidRPr="00E52CCC">
        <w:rPr>
          <w:i/>
        </w:rPr>
        <w:t>Gulati</w:t>
      </w:r>
      <w:r w:rsidRPr="00E52CCC">
        <w:t>’ (2015) under review.</w:t>
      </w:r>
    </w:p>
  </w:footnote>
  <w:footnote w:id="19">
    <w:p w14:paraId="12E47DFA" w14:textId="26A64EE5" w:rsidR="00E6564D" w:rsidRDefault="00E6564D" w:rsidP="00791A54">
      <w:pPr>
        <w:pStyle w:val="FootnoteText"/>
      </w:pPr>
      <w:r w:rsidRPr="002970DF">
        <w:rPr>
          <w:rStyle w:val="FootnoteReference"/>
          <w:vertAlign w:val="baseline"/>
        </w:rPr>
        <w:footnoteRef/>
      </w:r>
      <w:r w:rsidRPr="002970DF">
        <w:t xml:space="preserve"> </w:t>
      </w:r>
      <w:r>
        <w:tab/>
        <w:t>A ‘factive’ verb assigns (or attributes) the status of established fact to its object: see oxforddictionaries.com.</w:t>
      </w:r>
    </w:p>
  </w:footnote>
  <w:footnote w:id="20">
    <w:p w14:paraId="49767FAF" w14:textId="44028A94" w:rsidR="00E6564D" w:rsidRDefault="00E6564D" w:rsidP="00791A54">
      <w:pPr>
        <w:pStyle w:val="FootnoteText"/>
      </w:pPr>
      <w:r w:rsidRPr="007B7140">
        <w:rPr>
          <w:rStyle w:val="FootnoteReference"/>
          <w:vertAlign w:val="baseline"/>
        </w:rPr>
        <w:footnoteRef/>
      </w:r>
      <w:r w:rsidRPr="007B7140">
        <w:t xml:space="preserve"> </w:t>
      </w:r>
      <w:r>
        <w:tab/>
        <w:t xml:space="preserve">See </w:t>
      </w:r>
      <w:r w:rsidRPr="007B7140">
        <w:t xml:space="preserve">Mitchell Green, ‘Speech Acts’, </w:t>
      </w:r>
      <w:r w:rsidRPr="007B7140">
        <w:rPr>
          <w:i/>
        </w:rPr>
        <w:t xml:space="preserve">Stanford </w:t>
      </w:r>
      <w:proofErr w:type="spellStart"/>
      <w:r w:rsidRPr="007B7140">
        <w:rPr>
          <w:i/>
        </w:rPr>
        <w:t>Encyclopedia</w:t>
      </w:r>
      <w:proofErr w:type="spellEnd"/>
      <w:r w:rsidRPr="007B7140">
        <w:rPr>
          <w:i/>
        </w:rPr>
        <w:t xml:space="preserve"> of Philosophy</w:t>
      </w:r>
      <w:r w:rsidRPr="007B7140">
        <w:t xml:space="preserve"> (Summer 2015 Edition), </w:t>
      </w:r>
      <w:r w:rsidRPr="00D01F34">
        <w:t>http://plato.stanford.edu/archives/sum2015/entries/speech-acts/</w:t>
      </w:r>
      <w:r>
        <w:t xml:space="preserve"> at §3.1</w:t>
      </w:r>
    </w:p>
  </w:footnote>
  <w:footnote w:id="21">
    <w:p w14:paraId="7689322D" w14:textId="55BC0502" w:rsidR="00E6564D" w:rsidRDefault="00E6564D" w:rsidP="00791A54">
      <w:pPr>
        <w:pStyle w:val="FootnoteText"/>
      </w:pPr>
      <w:r w:rsidRPr="003962BD">
        <w:rPr>
          <w:rStyle w:val="FootnoteReference"/>
          <w:vertAlign w:val="baseline"/>
        </w:rPr>
        <w:footnoteRef/>
      </w:r>
      <w:r w:rsidRPr="003962BD">
        <w:t xml:space="preserve"> </w:t>
      </w:r>
      <w:r>
        <w:tab/>
      </w:r>
      <w:r w:rsidRPr="003962BD">
        <w:t>Lord Macmillan</w:t>
      </w:r>
      <w:r>
        <w:t xml:space="preserve"> said</w:t>
      </w:r>
      <w:r w:rsidRPr="003962BD">
        <w:t xml:space="preserve"> </w:t>
      </w:r>
      <w:r>
        <w:t xml:space="preserve">in </w:t>
      </w:r>
      <w:proofErr w:type="spellStart"/>
      <w:r w:rsidRPr="003962BD">
        <w:rPr>
          <w:i/>
        </w:rPr>
        <w:t>Bourhill</w:t>
      </w:r>
      <w:proofErr w:type="spellEnd"/>
      <w:r w:rsidRPr="003962BD">
        <w:t xml:space="preserve"> v </w:t>
      </w:r>
      <w:r w:rsidRPr="003962BD">
        <w:rPr>
          <w:i/>
        </w:rPr>
        <w:t>Young</w:t>
      </w:r>
      <w:r>
        <w:t xml:space="preserve"> </w:t>
      </w:r>
      <w:r w:rsidRPr="003962BD">
        <w:t>[1943] A.C. 92, 104</w:t>
      </w:r>
      <w:r>
        <w:t>, ‘</w:t>
      </w:r>
      <w:r w:rsidRPr="003962BD">
        <w:t>There is no absolute standard of what is reasonable and probable. It must depend on circumstances and must always be a question of degree.</w:t>
      </w:r>
      <w:r>
        <w:t>’</w:t>
      </w:r>
    </w:p>
  </w:footnote>
  <w:footnote w:id="22">
    <w:p w14:paraId="1DC7C5C1" w14:textId="669D3DAD" w:rsidR="00E6564D" w:rsidRDefault="00E6564D" w:rsidP="00791A54">
      <w:pPr>
        <w:pStyle w:val="FootnoteText"/>
      </w:pPr>
      <w:r w:rsidRPr="006B2C0F">
        <w:rPr>
          <w:rStyle w:val="FootnoteReference"/>
          <w:vertAlign w:val="baseline"/>
        </w:rPr>
        <w:footnoteRef/>
      </w:r>
      <w:r w:rsidRPr="006B2C0F">
        <w:t xml:space="preserve"> </w:t>
      </w:r>
      <w:r>
        <w:tab/>
        <w:t>Roughly: description is world-to-word; prescription is word-to-world; attribution is retrospective prescription. The simplistic temptation to see foresight as prospective and attributive foreseeability as retrospective should be resisted. Responsibilities can be allocated in advance—‘take care of my child’.</w:t>
      </w:r>
    </w:p>
  </w:footnote>
  <w:footnote w:id="23">
    <w:p w14:paraId="13D1F47A" w14:textId="50C7BF3B" w:rsidR="00E6564D" w:rsidRDefault="00E6564D" w:rsidP="00791A54">
      <w:pPr>
        <w:pStyle w:val="FootnoteText"/>
      </w:pPr>
      <w:r w:rsidRPr="00512E7E">
        <w:rPr>
          <w:rStyle w:val="FootnoteReference"/>
          <w:vertAlign w:val="baseline"/>
        </w:rPr>
        <w:footnoteRef/>
      </w:r>
      <w:r w:rsidRPr="00512E7E">
        <w:t xml:space="preserve"> </w:t>
      </w:r>
      <w:r>
        <w:tab/>
        <w:t xml:space="preserve">See Hurd, note </w:t>
      </w:r>
      <w:r>
        <w:fldChar w:fldCharType="begin"/>
      </w:r>
      <w:r>
        <w:instrText xml:space="preserve"> NOTEREF _Ref427215972 \h </w:instrText>
      </w:r>
      <w:r>
        <w:fldChar w:fldCharType="separate"/>
      </w:r>
      <w:r w:rsidR="00B85818">
        <w:t>9</w:t>
      </w:r>
      <w:r>
        <w:fldChar w:fldCharType="end"/>
      </w:r>
      <w:r>
        <w:t>, for an argument that—because it is not based on actual foresight, which would signal recklessness of intention—negligence is a strict liability tort.</w:t>
      </w:r>
    </w:p>
  </w:footnote>
  <w:footnote w:id="24">
    <w:p w14:paraId="4D77DF7B" w14:textId="16260413" w:rsidR="00E6564D" w:rsidRDefault="00E6564D" w:rsidP="00791A54">
      <w:pPr>
        <w:pStyle w:val="FootnoteText"/>
      </w:pPr>
      <w:r w:rsidRPr="00CA1295">
        <w:rPr>
          <w:rStyle w:val="FootnoteReference"/>
          <w:vertAlign w:val="baseline"/>
        </w:rPr>
        <w:footnoteRef/>
      </w:r>
      <w:r w:rsidRPr="00CA1295">
        <w:t xml:space="preserve"> </w:t>
      </w:r>
      <w:r>
        <w:tab/>
        <w:t xml:space="preserve">Other terms, such as proximity and ‘fair, just and reasonable’ are similarly open-textured and subjective. </w:t>
      </w:r>
    </w:p>
  </w:footnote>
  <w:footnote w:id="25">
    <w:p w14:paraId="7941624B" w14:textId="2A796092" w:rsidR="00E6564D" w:rsidRPr="00E52CCC" w:rsidRDefault="00E6564D" w:rsidP="00791A54">
      <w:pPr>
        <w:pStyle w:val="FootnoteText"/>
      </w:pPr>
      <w:r w:rsidRPr="00E52CCC">
        <w:rPr>
          <w:rStyle w:val="FootnoteReference"/>
          <w:vertAlign w:val="baseline"/>
        </w:rPr>
        <w:footnoteRef/>
      </w:r>
      <w:r w:rsidRPr="00E52CCC">
        <w:t xml:space="preserve"> </w:t>
      </w:r>
      <w:r w:rsidRPr="00E52CCC">
        <w:tab/>
      </w:r>
      <w:r w:rsidRPr="00D3253A">
        <w:t>For the more-or-less synonymous term ‘conclusory’</w:t>
      </w:r>
      <w:r>
        <w:t xml:space="preserve"> (rather than the more decisive ‘conclusive’)</w:t>
      </w:r>
      <w:r w:rsidRPr="00D3253A">
        <w:t xml:space="preserve"> see Guido </w:t>
      </w:r>
      <w:proofErr w:type="spellStart"/>
      <w:proofErr w:type="gramStart"/>
      <w:r w:rsidRPr="00D3253A">
        <w:t>Calabresi</w:t>
      </w:r>
      <w:proofErr w:type="spellEnd"/>
      <w:r w:rsidRPr="00D3253A">
        <w:t xml:space="preserve"> ,</w:t>
      </w:r>
      <w:proofErr w:type="gramEnd"/>
      <w:r w:rsidRPr="00D3253A">
        <w:t xml:space="preserve"> ‘Concerning Cause and the Law of Torts</w:t>
      </w:r>
      <w:r>
        <w:t>’</w:t>
      </w:r>
      <w:r w:rsidRPr="00D3253A">
        <w:t xml:space="preserve"> (1975) 43 U. Chi. L. Rev. 69, 72. Faculty Scholarship Series, paper 2001, http://digitalcommons.law.yale.edu/fss_papers/2001 (1975-1976).</w:t>
      </w:r>
      <w:r>
        <w:t xml:space="preserve"> ‘Conclusory’ does not fit well with knee-jerk verdicts.</w:t>
      </w:r>
    </w:p>
  </w:footnote>
  <w:footnote w:id="26">
    <w:p w14:paraId="43DC3136" w14:textId="30DCDAB5" w:rsidR="00E6564D" w:rsidRPr="00ED3B3D" w:rsidRDefault="00E6564D" w:rsidP="00791A54">
      <w:pPr>
        <w:pStyle w:val="FootnoteText"/>
      </w:pPr>
      <w:r w:rsidRPr="00ED3B3D">
        <w:rPr>
          <w:rStyle w:val="FootnoteReference"/>
          <w:vertAlign w:val="baseline"/>
        </w:rPr>
        <w:footnoteRef/>
      </w:r>
      <w:r w:rsidRPr="00ED3B3D">
        <w:t xml:space="preserve"> </w:t>
      </w:r>
      <w:r w:rsidRPr="00ED3B3D">
        <w:tab/>
        <w:t>J</w:t>
      </w:r>
      <w:r>
        <w:t>.</w:t>
      </w:r>
      <w:r w:rsidRPr="00ED3B3D">
        <w:t>L</w:t>
      </w:r>
      <w:r>
        <w:t>.</w:t>
      </w:r>
      <w:r w:rsidRPr="00ED3B3D">
        <w:t xml:space="preserve"> Austin (eds. JO </w:t>
      </w:r>
      <w:proofErr w:type="spellStart"/>
      <w:r w:rsidRPr="00ED3B3D">
        <w:t>Urmson</w:t>
      </w:r>
      <w:proofErr w:type="spellEnd"/>
      <w:r w:rsidRPr="00ED3B3D">
        <w:t xml:space="preserve"> &amp; Marina </w:t>
      </w:r>
      <w:proofErr w:type="spellStart"/>
      <w:r w:rsidRPr="00ED3B3D">
        <w:t>Sbisà</w:t>
      </w:r>
      <w:proofErr w:type="spellEnd"/>
      <w:r w:rsidRPr="00ED3B3D">
        <w:t xml:space="preserve">), </w:t>
      </w:r>
      <w:r w:rsidRPr="00ED3B3D">
        <w:rPr>
          <w:i/>
        </w:rPr>
        <w:t>How to do Things with Words</w:t>
      </w:r>
      <w:r w:rsidRPr="00ED3B3D">
        <w:t xml:space="preserve"> </w:t>
      </w:r>
      <w:r>
        <w:rPr>
          <w:strike/>
        </w:rPr>
        <w:t>(</w:t>
      </w:r>
      <w:r w:rsidRPr="00B76F15">
        <w:t>1975</w:t>
      </w:r>
      <w:r>
        <w:t>, 2</w:t>
      </w:r>
      <w:r w:rsidRPr="00E06CB5">
        <w:rPr>
          <w:vertAlign w:val="superscript"/>
        </w:rPr>
        <w:t>nd</w:t>
      </w:r>
      <w:r>
        <w:t xml:space="preserve"> </w:t>
      </w:r>
      <w:proofErr w:type="spellStart"/>
      <w:r>
        <w:t>edn</w:t>
      </w:r>
      <w:proofErr w:type="spellEnd"/>
      <w:r w:rsidRPr="00B76F15">
        <w:t>: Cambridge MS, Harvard University Press</w:t>
      </w:r>
      <w:r w:rsidRPr="00ED3B3D">
        <w:t>) hereinafter ‘</w:t>
      </w:r>
      <w:r w:rsidRPr="00ED3B3D">
        <w:rPr>
          <w:i/>
        </w:rPr>
        <w:t>HTDTWW</w:t>
      </w:r>
      <w:r w:rsidRPr="00ED3B3D">
        <w:t>’. A</w:t>
      </w:r>
      <w:r>
        <w:t>t 163</w:t>
      </w:r>
      <w:r w:rsidRPr="00ED3B3D">
        <w:t xml:space="preserve">, Austin summarises several </w:t>
      </w:r>
      <w:r>
        <w:t xml:space="preserve">other </w:t>
      </w:r>
      <w:r w:rsidRPr="00B76F15">
        <w:rPr>
          <w:i/>
        </w:rPr>
        <w:t>performative</w:t>
      </w:r>
      <w:r>
        <w:rPr>
          <w:i/>
        </w:rPr>
        <w:t xml:space="preserve"> </w:t>
      </w:r>
      <w:r w:rsidRPr="00FE1D67">
        <w:t>functions</w:t>
      </w:r>
      <w:r w:rsidRPr="00ED3B3D">
        <w:t xml:space="preserve">: ‘To sum up, we may say that the verdictive is an exercise of judgment, the exercitive is an assertion of influence or exercising of power, the </w:t>
      </w:r>
      <w:proofErr w:type="spellStart"/>
      <w:r w:rsidRPr="00ED3B3D">
        <w:t>commissive</w:t>
      </w:r>
      <w:proofErr w:type="spellEnd"/>
      <w:r w:rsidRPr="00ED3B3D">
        <w:t xml:space="preserve"> is an assuming of an obligation or declaring of an intention, the </w:t>
      </w:r>
      <w:proofErr w:type="spellStart"/>
      <w:r w:rsidRPr="00ED3B3D">
        <w:t>behabitive</w:t>
      </w:r>
      <w:proofErr w:type="spellEnd"/>
      <w:r w:rsidRPr="00ED3B3D">
        <w:t xml:space="preserve"> is the adopting of an attitude, and the expositive is the clarifying of reasons, arguments, and communications.’ </w:t>
      </w:r>
    </w:p>
  </w:footnote>
  <w:footnote w:id="27">
    <w:p w14:paraId="7158C725" w14:textId="683632CB"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proofErr w:type="gramStart"/>
      <w:r w:rsidRPr="00ED3B3D">
        <w:rPr>
          <w:i/>
        </w:rPr>
        <w:t>HTDWW</w:t>
      </w:r>
      <w:r>
        <w:t xml:space="preserve"> 151.</w:t>
      </w:r>
      <w:proofErr w:type="gramEnd"/>
      <w:r>
        <w:t xml:space="preserve"> At 161, Austin gives ‘analyse’, ‘class’ and ‘interpret’ as verbs</w:t>
      </w:r>
      <w:r w:rsidRPr="00974810">
        <w:t xml:space="preserve"> </w:t>
      </w:r>
      <w:r>
        <w:t>capable of verdictive use. But ‘holding’ and ‘interpreting’ ‘may, if official, be exercitive acts [exercises of official power]...Furthermore, “I award” and “I absolve” are exercitives, which will be based on verdicts’ (</w:t>
      </w:r>
      <w:r w:rsidRPr="00FE1D67">
        <w:rPr>
          <w:i/>
        </w:rPr>
        <w:t xml:space="preserve">HTDWW </w:t>
      </w:r>
      <w:r>
        <w:t>156).</w:t>
      </w:r>
      <w:r w:rsidRPr="00B20C2E">
        <w:t xml:space="preserve"> </w:t>
      </w:r>
      <w:r>
        <w:t>‘Also, by an interpretation of the facts we may commit ourselves to a certain verdict or estimate’ (</w:t>
      </w:r>
      <w:r w:rsidRPr="00FE1D67">
        <w:rPr>
          <w:i/>
        </w:rPr>
        <w:t xml:space="preserve">HTDWW </w:t>
      </w:r>
      <w:r>
        <w:t>154).</w:t>
      </w:r>
    </w:p>
  </w:footnote>
  <w:footnote w:id="28">
    <w:p w14:paraId="75D18768" w14:textId="19C8E8A3" w:rsidR="00E6564D" w:rsidRDefault="00E6564D" w:rsidP="00791A54">
      <w:pPr>
        <w:pStyle w:val="FootnoteText"/>
      </w:pPr>
      <w:r w:rsidRPr="00551C2A">
        <w:rPr>
          <w:rStyle w:val="FootnoteReference"/>
          <w:vertAlign w:val="baseline"/>
        </w:rPr>
        <w:footnoteRef/>
      </w:r>
      <w:r w:rsidRPr="00551C2A">
        <w:t xml:space="preserve"> </w:t>
      </w:r>
      <w:r>
        <w:tab/>
      </w:r>
      <w:proofErr w:type="gramStart"/>
      <w:r w:rsidRPr="00551C2A">
        <w:rPr>
          <w:i/>
        </w:rPr>
        <w:t>HTDWW</w:t>
      </w:r>
      <w:r>
        <w:rPr>
          <w:i/>
        </w:rPr>
        <w:t xml:space="preserve"> </w:t>
      </w:r>
      <w:r w:rsidRPr="00551C2A">
        <w:t>7.</w:t>
      </w:r>
      <w:proofErr w:type="gramEnd"/>
    </w:p>
  </w:footnote>
  <w:footnote w:id="29">
    <w:p w14:paraId="7F76564D" w14:textId="3BD719AE" w:rsidR="00E6564D" w:rsidRDefault="00E6564D" w:rsidP="00791A54">
      <w:pPr>
        <w:pStyle w:val="FootnoteText"/>
      </w:pPr>
      <w:r w:rsidRPr="008C254D">
        <w:rPr>
          <w:rStyle w:val="FootnoteReference"/>
          <w:vertAlign w:val="baseline"/>
        </w:rPr>
        <w:footnoteRef/>
      </w:r>
      <w:r>
        <w:t xml:space="preserve"> </w:t>
      </w:r>
      <w:r>
        <w:tab/>
        <w:t>‘He took only ten seconds to give his verdict’ relates to the act of giving it (perhaps, ‘</w:t>
      </w:r>
      <w:proofErr w:type="spellStart"/>
      <w:r>
        <w:t>verdicting</w:t>
      </w:r>
      <w:proofErr w:type="spellEnd"/>
      <w:r>
        <w:t xml:space="preserve">’). But ‘His verdict was correct in law’ refers to the verdict itself. </w:t>
      </w:r>
      <w:proofErr w:type="spellStart"/>
      <w:r>
        <w:t>Cf</w:t>
      </w:r>
      <w:proofErr w:type="spellEnd"/>
      <w:r>
        <w:t xml:space="preserve"> John Searle, ‘Austin on Locutionary and Illocutionary Acts’ (1968) 77(4) </w:t>
      </w:r>
      <w:r w:rsidRPr="00537250">
        <w:rPr>
          <w:i/>
        </w:rPr>
        <w:t xml:space="preserve">Philosophical </w:t>
      </w:r>
      <w:proofErr w:type="gramStart"/>
      <w:r w:rsidRPr="00537250">
        <w:rPr>
          <w:i/>
        </w:rPr>
        <w:t>Review</w:t>
      </w:r>
      <w:proofErr w:type="gramEnd"/>
      <w:r>
        <w:t xml:space="preserve"> 405-424,422.</w:t>
      </w:r>
    </w:p>
  </w:footnote>
  <w:footnote w:id="30">
    <w:p w14:paraId="43632522" w14:textId="156AF42C" w:rsidR="00E6564D" w:rsidRDefault="00E6564D" w:rsidP="00791A54">
      <w:pPr>
        <w:pStyle w:val="FootnoteText"/>
      </w:pPr>
      <w:r w:rsidRPr="00651062">
        <w:rPr>
          <w:rStyle w:val="FootnoteReference"/>
          <w:vertAlign w:val="baseline"/>
        </w:rPr>
        <w:footnoteRef/>
      </w:r>
      <w:r w:rsidRPr="00651062">
        <w:t xml:space="preserve"> </w:t>
      </w:r>
      <w:r>
        <w:tab/>
      </w:r>
      <w:proofErr w:type="gramStart"/>
      <w:r w:rsidRPr="00425BC9">
        <w:rPr>
          <w:i/>
        </w:rPr>
        <w:t>HTDTWW</w:t>
      </w:r>
      <w:r>
        <w:t xml:space="preserve"> 139.</w:t>
      </w:r>
      <w:proofErr w:type="gramEnd"/>
      <w:r>
        <w:t xml:space="preserve"> </w:t>
      </w:r>
      <w:proofErr w:type="spellStart"/>
      <w:r>
        <w:t>Cf</w:t>
      </w:r>
      <w:proofErr w:type="spellEnd"/>
      <w:r>
        <w:t xml:space="preserve"> Paul </w:t>
      </w:r>
      <w:proofErr w:type="spellStart"/>
      <w:r>
        <w:t>Ricoeur</w:t>
      </w:r>
      <w:proofErr w:type="spellEnd"/>
      <w:r>
        <w:t xml:space="preserve">, ‘Creativity in Language’, (1973) 17(2) </w:t>
      </w:r>
      <w:r w:rsidRPr="00651062">
        <w:rPr>
          <w:i/>
        </w:rPr>
        <w:t>Philosophy Today</w:t>
      </w:r>
      <w:r>
        <w:t>, 97-111, 99, ‘[T]he sentence as a whole is the bearer of meaning</w:t>
      </w:r>
      <w:proofErr w:type="gramStart"/>
      <w:r>
        <w:t>…[</w:t>
      </w:r>
      <w:proofErr w:type="gramEnd"/>
      <w:r>
        <w:t>which] should be called the intended rather than the signified of the sentence’.</w:t>
      </w:r>
    </w:p>
  </w:footnote>
  <w:footnote w:id="31">
    <w:p w14:paraId="56BD7339" w14:textId="33BDC011"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proofErr w:type="gramStart"/>
      <w:r w:rsidRPr="00ED3B3D">
        <w:t xml:space="preserve">Cf. </w:t>
      </w:r>
      <w:r w:rsidRPr="00ED3B3D">
        <w:rPr>
          <w:i/>
        </w:rPr>
        <w:t xml:space="preserve">Chaudhry </w:t>
      </w:r>
      <w:r w:rsidRPr="00ED3B3D">
        <w:t xml:space="preserve">v </w:t>
      </w:r>
      <w:proofErr w:type="spellStart"/>
      <w:r w:rsidRPr="00ED3B3D">
        <w:rPr>
          <w:i/>
        </w:rPr>
        <w:t>Prabhakar</w:t>
      </w:r>
      <w:proofErr w:type="spellEnd"/>
      <w:r w:rsidRPr="00ED3B3D">
        <w:rPr>
          <w:i/>
        </w:rPr>
        <w:t xml:space="preserve"> </w:t>
      </w:r>
      <w:r w:rsidRPr="00ED3B3D">
        <w:t>[1988] 3 All ER 718,</w:t>
      </w:r>
      <w:r>
        <w:t xml:space="preserve"> </w:t>
      </w:r>
      <w:r w:rsidRPr="00ED3B3D">
        <w:t>[1989] 1 WLR 29.</w:t>
      </w:r>
      <w:proofErr w:type="gramEnd"/>
    </w:p>
  </w:footnote>
  <w:footnote w:id="32">
    <w:p w14:paraId="0DEED56E" w14:textId="6CBA98EF" w:rsidR="00E6564D" w:rsidRDefault="00E6564D" w:rsidP="00791A54">
      <w:pPr>
        <w:pStyle w:val="FootnoteText"/>
      </w:pPr>
      <w:r w:rsidRPr="00DE108C">
        <w:rPr>
          <w:rStyle w:val="FootnoteReference"/>
          <w:vertAlign w:val="baseline"/>
        </w:rPr>
        <w:footnoteRef/>
      </w:r>
      <w:r w:rsidRPr="00DE108C">
        <w:t xml:space="preserve"> </w:t>
      </w:r>
      <w:r>
        <w:tab/>
      </w:r>
      <w:proofErr w:type="gramStart"/>
      <w:r w:rsidRPr="00DE108C">
        <w:rPr>
          <w:i/>
        </w:rPr>
        <w:t>HTDTWW</w:t>
      </w:r>
      <w:r>
        <w:t xml:space="preserve"> 117.</w:t>
      </w:r>
      <w:proofErr w:type="gramEnd"/>
    </w:p>
  </w:footnote>
  <w:footnote w:id="33">
    <w:p w14:paraId="3CFA29AC" w14:textId="07411FEA" w:rsidR="00E6564D" w:rsidRPr="00ED3B3D" w:rsidRDefault="00E6564D" w:rsidP="00791A54">
      <w:pPr>
        <w:pStyle w:val="FootnoteText"/>
      </w:pPr>
      <w:r w:rsidRPr="00ED3B3D">
        <w:rPr>
          <w:rStyle w:val="FootnoteReference"/>
          <w:vertAlign w:val="baseline"/>
        </w:rPr>
        <w:footnoteRef/>
      </w:r>
      <w:r w:rsidRPr="00ED3B3D">
        <w:t xml:space="preserve"> </w:t>
      </w:r>
      <w:r w:rsidRPr="00ED3B3D">
        <w:tab/>
        <w:t xml:space="preserve">Even when you have such status, your verdicts might misfire for breach of procedural rules or other infelicities. ‘Thus if you are a judge and say “I hold that….” then </w:t>
      </w:r>
      <w:r w:rsidRPr="00ED3B3D">
        <w:rPr>
          <w:i/>
        </w:rPr>
        <w:t>to say you hold is to hold</w:t>
      </w:r>
      <w:r w:rsidRPr="00ED3B3D">
        <w:t>; with less official persons it is not so clearly so: it may be merely descriptive of a state of mind.’ (</w:t>
      </w:r>
      <w:r w:rsidRPr="00ED3B3D">
        <w:rPr>
          <w:i/>
        </w:rPr>
        <w:t>HTDTWW</w:t>
      </w:r>
      <w:r w:rsidRPr="00ED3B3D">
        <w:t xml:space="preserve"> 88, emphasis added).</w:t>
      </w:r>
      <w:r>
        <w:t xml:space="preserve"> </w:t>
      </w:r>
    </w:p>
  </w:footnote>
  <w:footnote w:id="34">
    <w:p w14:paraId="6FC290C0" w14:textId="62198C8A" w:rsidR="00E6564D" w:rsidRDefault="00E6564D" w:rsidP="00791A54">
      <w:pPr>
        <w:pStyle w:val="FootnoteText"/>
      </w:pPr>
      <w:r w:rsidRPr="00DE108C">
        <w:rPr>
          <w:rStyle w:val="FootnoteReference"/>
          <w:vertAlign w:val="baseline"/>
        </w:rPr>
        <w:footnoteRef/>
      </w:r>
      <w:r w:rsidRPr="00DE108C">
        <w:t xml:space="preserve"> </w:t>
      </w:r>
      <w:r>
        <w:tab/>
        <w:t xml:space="preserve">Is ‘I shall be there’ a prediction, threat or a promise? See </w:t>
      </w:r>
      <w:r w:rsidRPr="00DE108C">
        <w:rPr>
          <w:i/>
        </w:rPr>
        <w:t>HTDTWW</w:t>
      </w:r>
      <w:r>
        <w:t xml:space="preserve"> 33.</w:t>
      </w:r>
    </w:p>
  </w:footnote>
  <w:footnote w:id="35">
    <w:p w14:paraId="10F96070" w14:textId="6DA47811" w:rsidR="00E6564D" w:rsidRDefault="00E6564D" w:rsidP="00791A54">
      <w:pPr>
        <w:pStyle w:val="FootnoteText"/>
      </w:pPr>
      <w:r w:rsidRPr="00D64AB3">
        <w:rPr>
          <w:rStyle w:val="FootnoteReference"/>
          <w:vertAlign w:val="baseline"/>
        </w:rPr>
        <w:footnoteRef/>
      </w:r>
      <w:r w:rsidRPr="00D64AB3">
        <w:t xml:space="preserve"> </w:t>
      </w:r>
      <w:r>
        <w:tab/>
        <w:t xml:space="preserve">For a full list see </w:t>
      </w:r>
      <w:r w:rsidRPr="00D64AB3">
        <w:rPr>
          <w:i/>
        </w:rPr>
        <w:t>HTDTWW</w:t>
      </w:r>
      <w:r>
        <w:t xml:space="preserve"> 148-164.</w:t>
      </w:r>
    </w:p>
  </w:footnote>
  <w:footnote w:id="36">
    <w:p w14:paraId="6AD44F8B" w14:textId="10D39498" w:rsidR="00E6564D" w:rsidRPr="00ED3B3D" w:rsidRDefault="00E6564D" w:rsidP="00791A54">
      <w:pPr>
        <w:widowControl w:val="0"/>
        <w:autoSpaceDE w:val="0"/>
        <w:autoSpaceDN w:val="0"/>
        <w:adjustRightInd w:val="0"/>
        <w:spacing w:after="60" w:line="240" w:lineRule="auto"/>
        <w:ind w:left="720" w:hanging="720"/>
        <w:rPr>
          <w:sz w:val="20"/>
        </w:rPr>
      </w:pPr>
      <w:r w:rsidRPr="00ED3B3D">
        <w:rPr>
          <w:rStyle w:val="FootnoteReference"/>
          <w:vertAlign w:val="baseline"/>
        </w:rPr>
        <w:footnoteRef/>
      </w:r>
      <w:r w:rsidRPr="00ED3B3D">
        <w:t xml:space="preserve"> </w:t>
      </w:r>
      <w:r w:rsidRPr="00ED3B3D">
        <w:tab/>
      </w:r>
      <w:r w:rsidRPr="00ED3B3D">
        <w:rPr>
          <w:i/>
          <w:sz w:val="20"/>
        </w:rPr>
        <w:t>HTDTWW</w:t>
      </w:r>
      <w:r w:rsidRPr="00ED3B3D">
        <w:rPr>
          <w:sz w:val="20"/>
        </w:rPr>
        <w:t xml:space="preserve"> 14</w:t>
      </w:r>
      <w:r>
        <w:rPr>
          <w:sz w:val="20"/>
        </w:rPr>
        <w:t>6,</w:t>
      </w:r>
      <w:r w:rsidRPr="00ED3B3D">
        <w:rPr>
          <w:sz w:val="20"/>
        </w:rPr>
        <w:t xml:space="preserve"> ‘With the performative utterance, we attend as much as possible to the illocutionary force of the utterance, and abstract from the dimension of correspondence with facts.’</w:t>
      </w:r>
      <w:r>
        <w:rPr>
          <w:sz w:val="20"/>
        </w:rPr>
        <w:t xml:space="preserve"> To say ‘The cat is on the mat’ is very different from saying ‘I apologize’.</w:t>
      </w:r>
    </w:p>
  </w:footnote>
  <w:footnote w:id="37">
    <w:p w14:paraId="2E2DFB90" w14:textId="66B706BC" w:rsidR="00E6564D" w:rsidRDefault="00E6564D" w:rsidP="00791A54">
      <w:pPr>
        <w:pStyle w:val="FootnoteText"/>
      </w:pPr>
      <w:r w:rsidRPr="004B4CF5">
        <w:rPr>
          <w:rStyle w:val="FootnoteReference"/>
          <w:vertAlign w:val="baseline"/>
        </w:rPr>
        <w:footnoteRef/>
      </w:r>
      <w:r>
        <w:t xml:space="preserve"> </w:t>
      </w:r>
      <w:r>
        <w:tab/>
      </w:r>
      <w:proofErr w:type="gramStart"/>
      <w:r w:rsidRPr="004B4CF5">
        <w:rPr>
          <w:i/>
        </w:rPr>
        <w:t>HTDTWW</w:t>
      </w:r>
      <w:r w:rsidRPr="004B4CF5">
        <w:t xml:space="preserve"> </w:t>
      </w:r>
      <w:r>
        <w:t xml:space="preserve">1, 5-6, </w:t>
      </w:r>
      <w:r w:rsidRPr="004B4CF5">
        <w:t>1</w:t>
      </w:r>
      <w:r>
        <w:t>2.</w:t>
      </w:r>
      <w:proofErr w:type="gramEnd"/>
      <w:r>
        <w:t xml:space="preserve"> At 151, Austin refers to the ‘true/false fetish’ and to the ‘value/fact fetish’. I fear that in emphasising the distinction between foresight and attributive foreseeability I might be guilty of the latter. See also, 149 (D) and, at 140,</w:t>
      </w:r>
      <w:r w:rsidRPr="00237A38">
        <w:t xml:space="preserve"> </w:t>
      </w:r>
      <w:r>
        <w:t>‘</w:t>
      </w:r>
      <w:r w:rsidRPr="00237A38">
        <w:t>Performatives are, of course, incidentally saying something as well as doing something, but we may feel that they are not essentially true or false as statements are.</w:t>
      </w:r>
      <w:r>
        <w:t>’</w:t>
      </w:r>
    </w:p>
  </w:footnote>
  <w:footnote w:id="38">
    <w:p w14:paraId="4B2A513F" w14:textId="28C6BE3E" w:rsidR="00E6564D" w:rsidRDefault="00E6564D" w:rsidP="00791A54">
      <w:pPr>
        <w:pStyle w:val="FootnoteText"/>
      </w:pPr>
      <w:r w:rsidRPr="00F66400">
        <w:rPr>
          <w:rStyle w:val="FootnoteReference"/>
          <w:vertAlign w:val="baseline"/>
        </w:rPr>
        <w:footnoteRef/>
      </w:r>
      <w:r w:rsidRPr="00F66400">
        <w:t xml:space="preserve"> </w:t>
      </w:r>
      <w:r>
        <w:tab/>
      </w:r>
      <w:proofErr w:type="gramStart"/>
      <w:r w:rsidRPr="00F66400">
        <w:rPr>
          <w:i/>
        </w:rPr>
        <w:t>HTDTWW</w:t>
      </w:r>
      <w:r>
        <w:t xml:space="preserve"> 154.</w:t>
      </w:r>
      <w:proofErr w:type="gramEnd"/>
    </w:p>
  </w:footnote>
  <w:footnote w:id="39">
    <w:p w14:paraId="1A477B99" w14:textId="5CB05B52" w:rsidR="00E6564D" w:rsidRDefault="00E6564D" w:rsidP="00791A54">
      <w:pPr>
        <w:pStyle w:val="FootnoteText"/>
      </w:pPr>
      <w:r w:rsidRPr="00237A38">
        <w:rPr>
          <w:rStyle w:val="FootnoteReference"/>
          <w:vertAlign w:val="baseline"/>
        </w:rPr>
        <w:footnoteRef/>
      </w:r>
      <w:r w:rsidRPr="00237A38">
        <w:t xml:space="preserve"> </w:t>
      </w:r>
      <w:r>
        <w:tab/>
      </w:r>
      <w:proofErr w:type="gramStart"/>
      <w:r w:rsidRPr="00237A38">
        <w:rPr>
          <w:i/>
        </w:rPr>
        <w:t>HTDTWW</w:t>
      </w:r>
      <w:r>
        <w:t xml:space="preserve"> 150 and 151.</w:t>
      </w:r>
      <w:proofErr w:type="gramEnd"/>
    </w:p>
  </w:footnote>
  <w:footnote w:id="40">
    <w:p w14:paraId="7BBA8745" w14:textId="69365D5C" w:rsidR="00E6564D" w:rsidRDefault="00E6564D" w:rsidP="00791A54">
      <w:pPr>
        <w:pStyle w:val="FootnoteText"/>
      </w:pPr>
      <w:r w:rsidRPr="00E45864">
        <w:rPr>
          <w:rStyle w:val="FootnoteReference"/>
          <w:vertAlign w:val="baseline"/>
        </w:rPr>
        <w:footnoteRef/>
      </w:r>
      <w:r w:rsidRPr="00E45864">
        <w:t xml:space="preserve"> </w:t>
      </w:r>
      <w:r>
        <w:tab/>
      </w:r>
      <w:r w:rsidRPr="00610AC5">
        <w:rPr>
          <w:i/>
        </w:rPr>
        <w:t>HTDTWW</w:t>
      </w:r>
      <w:r>
        <w:rPr>
          <w:i/>
        </w:rPr>
        <w:t xml:space="preserve"> </w:t>
      </w:r>
      <w:r w:rsidRPr="00610AC5">
        <w:t>135-136.</w:t>
      </w:r>
      <w:r>
        <w:rPr>
          <w:i/>
        </w:rPr>
        <w:t xml:space="preserve"> </w:t>
      </w:r>
      <w:r w:rsidRPr="00610AC5">
        <w:t>Austin adds</w:t>
      </w:r>
      <w:r>
        <w:t xml:space="preserve"> that true/false ‘</w:t>
      </w:r>
      <w:r w:rsidRPr="00610AC5">
        <w:t>comes in in appraising the warning just as much as, though not quite in the same way as, in appraising the statement</w:t>
      </w:r>
      <w:r>
        <w:t>.’ At 141, he says, ‘</w:t>
      </w:r>
      <w:r w:rsidRPr="00E45864">
        <w:t>there is an obvious slide towards truth or falsity in the case of</w:t>
      </w:r>
      <w:r>
        <w:t xml:space="preserve"> (e.g.)</w:t>
      </w:r>
      <w:r w:rsidRPr="00E45864">
        <w:t xml:space="preserve"> verdictives, such as estimating, finding, and pronouncing.</w:t>
      </w:r>
      <w:r>
        <w:t>’</w:t>
      </w:r>
    </w:p>
  </w:footnote>
  <w:footnote w:id="41">
    <w:p w14:paraId="60881442" w14:textId="29469A34" w:rsidR="00E6564D" w:rsidRDefault="00E6564D" w:rsidP="00791A54">
      <w:pPr>
        <w:pStyle w:val="FootnoteText"/>
      </w:pPr>
      <w:r w:rsidRPr="00C91813">
        <w:rPr>
          <w:rStyle w:val="FootnoteReference"/>
          <w:vertAlign w:val="baseline"/>
        </w:rPr>
        <w:footnoteRef/>
      </w:r>
      <w:r>
        <w:t xml:space="preserve"> </w:t>
      </w:r>
      <w:r>
        <w:tab/>
        <w:t xml:space="preserve">See Green, note </w:t>
      </w:r>
      <w:r>
        <w:fldChar w:fldCharType="begin"/>
      </w:r>
      <w:r>
        <w:instrText xml:space="preserve"> NOTEREF _Ref425865378 \h </w:instrText>
      </w:r>
      <w:r>
        <w:fldChar w:fldCharType="separate"/>
      </w:r>
      <w:r w:rsidR="00B85818">
        <w:t>20</w:t>
      </w:r>
      <w:r>
        <w:fldChar w:fldCharType="end"/>
      </w:r>
      <w:r>
        <w:t>, §3 and §5.</w:t>
      </w:r>
    </w:p>
  </w:footnote>
  <w:footnote w:id="42">
    <w:p w14:paraId="79C4AC4C" w14:textId="77777777" w:rsidR="00E6564D" w:rsidRPr="004C2E20" w:rsidRDefault="00E6564D" w:rsidP="00791A54">
      <w:pPr>
        <w:pStyle w:val="FootnoteText"/>
      </w:pPr>
      <w:r w:rsidRPr="004C2E20">
        <w:rPr>
          <w:rStyle w:val="FootnoteReference"/>
          <w:vertAlign w:val="baseline"/>
        </w:rPr>
        <w:footnoteRef/>
      </w:r>
      <w:r w:rsidRPr="004C2E20">
        <w:t xml:space="preserve"> </w:t>
      </w:r>
      <w:r>
        <w:tab/>
      </w:r>
      <w:proofErr w:type="gramStart"/>
      <w:r w:rsidRPr="004C2E20">
        <w:rPr>
          <w:i/>
        </w:rPr>
        <w:t>HTDTWW</w:t>
      </w:r>
      <w:r>
        <w:rPr>
          <w:i/>
        </w:rPr>
        <w:t xml:space="preserve"> </w:t>
      </w:r>
      <w:r>
        <w:t>142.</w:t>
      </w:r>
      <w:proofErr w:type="gramEnd"/>
    </w:p>
  </w:footnote>
  <w:footnote w:id="43">
    <w:p w14:paraId="5A3B602D" w14:textId="14967637" w:rsidR="00E6564D" w:rsidRDefault="00E6564D" w:rsidP="00791A54">
      <w:pPr>
        <w:pStyle w:val="FootnoteText"/>
      </w:pPr>
      <w:r w:rsidRPr="005D3AF1">
        <w:rPr>
          <w:rStyle w:val="FootnoteReference"/>
          <w:vertAlign w:val="baseline"/>
        </w:rPr>
        <w:footnoteRef/>
      </w:r>
      <w:r w:rsidRPr="005D3AF1">
        <w:t xml:space="preserve"> </w:t>
      </w:r>
      <w:r>
        <w:tab/>
      </w:r>
      <w:proofErr w:type="gramStart"/>
      <w:r w:rsidRPr="005D3AF1">
        <w:rPr>
          <w:i/>
        </w:rPr>
        <w:t xml:space="preserve">HTDTWW </w:t>
      </w:r>
      <w:r>
        <w:t>148.</w:t>
      </w:r>
      <w:proofErr w:type="gramEnd"/>
      <w:r>
        <w:t xml:space="preserve"> See also 146-147. </w:t>
      </w:r>
      <w:proofErr w:type="spellStart"/>
      <w:r>
        <w:t>Ricoeur</w:t>
      </w:r>
      <w:proofErr w:type="spellEnd"/>
      <w:r>
        <w:t xml:space="preserve">, note </w:t>
      </w:r>
      <w:r>
        <w:fldChar w:fldCharType="begin"/>
      </w:r>
      <w:r>
        <w:instrText xml:space="preserve"> NOTEREF _Ref426993928 \h </w:instrText>
      </w:r>
      <w:r>
        <w:fldChar w:fldCharType="separate"/>
      </w:r>
      <w:r w:rsidR="00B85818">
        <w:t>30</w:t>
      </w:r>
      <w:r>
        <w:fldChar w:fldCharType="end"/>
      </w:r>
      <w:r>
        <w:t>, 101, says, ‘</w:t>
      </w:r>
      <w:proofErr w:type="gramStart"/>
      <w:r>
        <w:t>By</w:t>
      </w:r>
      <w:proofErr w:type="gramEnd"/>
      <w:r>
        <w:t xml:space="preserve"> context we mean not only the linguistic environment of the actual words, but the speaker’s and the hearer’s behaviour, the situation common to both, and…the horizon of reality surrounding the speech situation.’</w:t>
      </w:r>
    </w:p>
  </w:footnote>
  <w:footnote w:id="44">
    <w:p w14:paraId="26CA8EB9" w14:textId="6B41CDBB" w:rsidR="00E6564D" w:rsidRDefault="00E6564D" w:rsidP="00791A54">
      <w:pPr>
        <w:pStyle w:val="FootnoteText"/>
      </w:pPr>
      <w:r w:rsidRPr="00417691">
        <w:rPr>
          <w:rStyle w:val="FootnoteReference"/>
          <w:vertAlign w:val="baseline"/>
        </w:rPr>
        <w:footnoteRef/>
      </w:r>
      <w:r>
        <w:t xml:space="preserve"> </w:t>
      </w:r>
      <w:r>
        <w:tab/>
        <w:t xml:space="preserve">A quasi-scientific language—as in legal judgements—is usually more disciplined in its use of terms than ordinary discourse is. </w:t>
      </w:r>
      <w:proofErr w:type="spellStart"/>
      <w:r>
        <w:t>Ricoeur</w:t>
      </w:r>
      <w:proofErr w:type="spellEnd"/>
      <w:r>
        <w:t xml:space="preserve">, </w:t>
      </w:r>
      <w:r w:rsidRPr="008B42E4">
        <w:t>note 28</w:t>
      </w:r>
      <w:r>
        <w:t>, 103-105 likens scientific language to formal logic and mathematical language.</w:t>
      </w:r>
    </w:p>
  </w:footnote>
  <w:footnote w:id="45">
    <w:p w14:paraId="101DFE88" w14:textId="7E2E93DA" w:rsidR="00E6564D" w:rsidRDefault="00E6564D" w:rsidP="00791A54">
      <w:pPr>
        <w:pStyle w:val="FootnoteText"/>
      </w:pPr>
      <w:r w:rsidRPr="0096016F">
        <w:rPr>
          <w:rStyle w:val="FootnoteReference"/>
          <w:vertAlign w:val="baseline"/>
        </w:rPr>
        <w:footnoteRef/>
      </w:r>
      <w:r w:rsidRPr="0096016F">
        <w:t xml:space="preserve"> </w:t>
      </w:r>
      <w:r>
        <w:tab/>
        <w:t>‘Fault’ is used here to include intentional, reckless and negligent conduct. The ‘fault’ might lie in D’s conduct or in its consequences.</w:t>
      </w:r>
    </w:p>
  </w:footnote>
  <w:footnote w:id="46">
    <w:p w14:paraId="509FEBA3" w14:textId="567E7026" w:rsidR="00E6564D" w:rsidRDefault="00E6564D" w:rsidP="00791A54">
      <w:pPr>
        <w:pStyle w:val="FootnoteText"/>
      </w:pPr>
      <w:r w:rsidRPr="00795695">
        <w:rPr>
          <w:rStyle w:val="FootnoteReference"/>
          <w:vertAlign w:val="baseline"/>
        </w:rPr>
        <w:footnoteRef/>
      </w:r>
      <w:r w:rsidRPr="00795695">
        <w:t xml:space="preserve"> </w:t>
      </w:r>
      <w:r>
        <w:tab/>
        <w:t xml:space="preserve">P.F. </w:t>
      </w:r>
      <w:proofErr w:type="spellStart"/>
      <w:r>
        <w:t>Strawson</w:t>
      </w:r>
      <w:proofErr w:type="spellEnd"/>
      <w:r>
        <w:t xml:space="preserve">, ‘Intention and Convention in Speech Acts’ (1964) 73(4) </w:t>
      </w:r>
      <w:r w:rsidRPr="00795695">
        <w:rPr>
          <w:i/>
          <w:iCs/>
        </w:rPr>
        <w:t>Philosophical Review</w:t>
      </w:r>
      <w:r w:rsidRPr="00795695">
        <w:t>, 439-460</w:t>
      </w:r>
      <w:r>
        <w:t xml:space="preserve">, 454 and, at 459-460, ‘[T]he illocutionary force of an utterance is essentially something that is intended to be understood…[T]he types of audience-directed intention involved may be very various and…different types may be exemplified by one and the same utterance.’ See also Green, n </w:t>
      </w:r>
      <w:r>
        <w:fldChar w:fldCharType="begin"/>
      </w:r>
      <w:r>
        <w:instrText xml:space="preserve"> NOTEREF _Ref425865378 \h </w:instrText>
      </w:r>
      <w:r>
        <w:fldChar w:fldCharType="separate"/>
      </w:r>
      <w:r w:rsidR="00B85818">
        <w:t>20</w:t>
      </w:r>
      <w:r>
        <w:fldChar w:fldCharType="end"/>
      </w:r>
      <w:r>
        <w:t xml:space="preserve">, §5.3. </w:t>
      </w:r>
    </w:p>
  </w:footnote>
  <w:footnote w:id="47">
    <w:p w14:paraId="0F6164BF" w14:textId="02478A90" w:rsidR="00E6564D" w:rsidRDefault="00E6564D" w:rsidP="00791A54">
      <w:pPr>
        <w:pStyle w:val="FootnoteText"/>
      </w:pPr>
      <w:r w:rsidRPr="00886607">
        <w:rPr>
          <w:rStyle w:val="FootnoteReference"/>
          <w:vertAlign w:val="baseline"/>
        </w:rPr>
        <w:footnoteRef/>
      </w:r>
      <w:r w:rsidRPr="00886607">
        <w:t xml:space="preserve"> </w:t>
      </w:r>
      <w:r>
        <w:tab/>
        <w:t xml:space="preserve">In this context, we can probably disregard Austin’s concern, </w:t>
      </w:r>
      <w:r w:rsidRPr="00795695">
        <w:rPr>
          <w:i/>
        </w:rPr>
        <w:t>HTDTWW</w:t>
      </w:r>
      <w:r>
        <w:t xml:space="preserve"> 104-107, that a speaker might, for example, be joking, insinuating, swearing to relieve feelings, speaking under duress or showing off (</w:t>
      </w:r>
      <w:r>
        <w:rPr>
          <w:i/>
        </w:rPr>
        <w:t xml:space="preserve">HTDTWW </w:t>
      </w:r>
      <w:r>
        <w:t>122), which matters he wanted to exclude from illocutionary forces.</w:t>
      </w:r>
    </w:p>
  </w:footnote>
  <w:footnote w:id="48">
    <w:p w14:paraId="7E5B7079" w14:textId="7EA1CBF7" w:rsidR="00E6564D" w:rsidRDefault="00E6564D" w:rsidP="00791A54">
      <w:pPr>
        <w:pStyle w:val="FootnoteText"/>
      </w:pPr>
      <w:r w:rsidRPr="00F1666D">
        <w:rPr>
          <w:rStyle w:val="FootnoteReference"/>
          <w:vertAlign w:val="baseline"/>
        </w:rPr>
        <w:footnoteRef/>
      </w:r>
      <w:r w:rsidRPr="00F1666D">
        <w:t xml:space="preserve"> </w:t>
      </w:r>
      <w:r>
        <w:tab/>
        <w:t xml:space="preserve">See later discussion of </w:t>
      </w:r>
      <w:r w:rsidRPr="00AA10E8">
        <w:rPr>
          <w:i/>
        </w:rPr>
        <w:t>Rhodes</w:t>
      </w:r>
      <w:r>
        <w:t xml:space="preserve"> v </w:t>
      </w:r>
      <w:r w:rsidRPr="00AA10E8">
        <w:rPr>
          <w:i/>
        </w:rPr>
        <w:t>OPO</w:t>
      </w:r>
      <w:r>
        <w:t xml:space="preserve"> </w:t>
      </w:r>
      <w:r w:rsidRPr="00AA10E8">
        <w:t xml:space="preserve">[2015] UKSC 32 </w:t>
      </w:r>
      <w:r>
        <w:t xml:space="preserve">and </w:t>
      </w:r>
      <w:r w:rsidRPr="00AA10E8">
        <w:rPr>
          <w:i/>
        </w:rPr>
        <w:t>Yapp</w:t>
      </w:r>
      <w:r>
        <w:t xml:space="preserve"> v </w:t>
      </w:r>
      <w:r w:rsidRPr="00AA10E8">
        <w:rPr>
          <w:i/>
        </w:rPr>
        <w:t>Foreign &amp; Commonwealth Office</w:t>
      </w:r>
      <w:r>
        <w:t xml:space="preserve"> </w:t>
      </w:r>
      <w:r w:rsidRPr="00AA10E8">
        <w:t xml:space="preserve">[2014] EWCA </w:t>
      </w:r>
      <w:proofErr w:type="spellStart"/>
      <w:r w:rsidRPr="00AA10E8">
        <w:t>Civ</w:t>
      </w:r>
      <w:proofErr w:type="spellEnd"/>
      <w:r w:rsidRPr="00AA10E8">
        <w:t xml:space="preserve"> 1512</w:t>
      </w:r>
      <w:r>
        <w:t>.</w:t>
      </w:r>
    </w:p>
  </w:footnote>
  <w:footnote w:id="49">
    <w:p w14:paraId="73DBE154" w14:textId="28FB8D8B" w:rsidR="00E6564D" w:rsidRDefault="00E6564D" w:rsidP="00791A54">
      <w:pPr>
        <w:pStyle w:val="FootnoteText"/>
      </w:pPr>
      <w:r w:rsidRPr="00106799">
        <w:rPr>
          <w:rStyle w:val="FootnoteReference"/>
          <w:vertAlign w:val="baseline"/>
        </w:rPr>
        <w:footnoteRef/>
      </w:r>
      <w:r w:rsidRPr="00106799">
        <w:t xml:space="preserve"> </w:t>
      </w:r>
      <w:r>
        <w:tab/>
        <w:t xml:space="preserve">See note </w:t>
      </w:r>
      <w:r>
        <w:fldChar w:fldCharType="begin"/>
      </w:r>
      <w:r>
        <w:instrText xml:space="preserve"> NOTEREF _Ref427168730 \h </w:instrText>
      </w:r>
      <w:r>
        <w:fldChar w:fldCharType="separate"/>
      </w:r>
      <w:r w:rsidR="00B85818">
        <w:t>16</w:t>
      </w:r>
      <w:r>
        <w:fldChar w:fldCharType="end"/>
      </w:r>
      <w:r>
        <w:t>.</w:t>
      </w:r>
    </w:p>
  </w:footnote>
  <w:footnote w:id="50">
    <w:p w14:paraId="7A7D111F" w14:textId="0AF04082" w:rsidR="00E6564D" w:rsidRDefault="00E6564D" w:rsidP="00791A54">
      <w:pPr>
        <w:pStyle w:val="FootnoteText"/>
      </w:pPr>
      <w:r w:rsidRPr="00915C70">
        <w:rPr>
          <w:rStyle w:val="FootnoteReference"/>
          <w:vertAlign w:val="baseline"/>
        </w:rPr>
        <w:footnoteRef/>
      </w:r>
      <w:r w:rsidRPr="00915C70">
        <w:t xml:space="preserve"> </w:t>
      </w:r>
      <w:r>
        <w:tab/>
        <w:t xml:space="preserve">At first instance in </w:t>
      </w:r>
      <w:r w:rsidRPr="009A6034">
        <w:rPr>
          <w:i/>
        </w:rPr>
        <w:t>Wagon Mound No 2</w:t>
      </w:r>
      <w:r w:rsidRPr="009A6034">
        <w:t xml:space="preserve">, </w:t>
      </w:r>
      <w:r w:rsidRPr="00E536D2">
        <w:t>[1963] 1 Lloyd’s Reports 402</w:t>
      </w:r>
      <w:r>
        <w:t xml:space="preserve">, 412, Walsh J cited Dixon CJ’s remark in </w:t>
      </w:r>
      <w:r w:rsidRPr="00964A6A">
        <w:rPr>
          <w:i/>
        </w:rPr>
        <w:t>Chapman</w:t>
      </w:r>
      <w:r>
        <w:t xml:space="preserve"> v </w:t>
      </w:r>
      <w:r w:rsidRPr="00964A6A">
        <w:rPr>
          <w:i/>
        </w:rPr>
        <w:t>Hearse</w:t>
      </w:r>
      <w:r>
        <w:t xml:space="preserve"> (1961) CLR 112, 115, that ‘foreseeability does not include any idea of likelihood at all. I cannot understand why any event which does happen is not foreseeable by a person of sufficient imagination and intelligence.’</w:t>
      </w:r>
    </w:p>
  </w:footnote>
  <w:footnote w:id="51">
    <w:p w14:paraId="1E9A7696" w14:textId="47F987D8" w:rsidR="00E6564D" w:rsidRDefault="00E6564D" w:rsidP="00AA5EDD">
      <w:pPr>
        <w:pStyle w:val="FootnoteText"/>
      </w:pPr>
      <w:r w:rsidRPr="00FD682B">
        <w:rPr>
          <w:rStyle w:val="FootnoteReference"/>
          <w:vertAlign w:val="baseline"/>
        </w:rPr>
        <w:footnoteRef/>
      </w:r>
      <w:r w:rsidRPr="00FD682B">
        <w:t xml:space="preserve"> </w:t>
      </w:r>
      <w:r>
        <w:tab/>
      </w:r>
      <w:r w:rsidRPr="00FD682B">
        <w:rPr>
          <w:lang w:val="en-US"/>
        </w:rPr>
        <w:t xml:space="preserve">In </w:t>
      </w:r>
      <w:r w:rsidRPr="00FD682B">
        <w:rPr>
          <w:i/>
          <w:lang w:val="en-US"/>
        </w:rPr>
        <w:t>Quinn</w:t>
      </w:r>
      <w:r w:rsidRPr="00FD682B">
        <w:rPr>
          <w:lang w:val="en-US"/>
        </w:rPr>
        <w:t xml:space="preserve"> v </w:t>
      </w:r>
      <w:proofErr w:type="spellStart"/>
      <w:r w:rsidRPr="00FD682B">
        <w:rPr>
          <w:i/>
          <w:lang w:val="en-US"/>
        </w:rPr>
        <w:t>Leatham</w:t>
      </w:r>
      <w:proofErr w:type="spellEnd"/>
      <w:r w:rsidRPr="00FD682B">
        <w:rPr>
          <w:lang w:val="en-US"/>
        </w:rPr>
        <w:t xml:space="preserve"> [1901] AC 495 at 537, Lord Lindley said, ‘The intention to injure the plaintiff negatives all excuses and disposes of any question of remoteness of damage.’</w:t>
      </w:r>
    </w:p>
  </w:footnote>
  <w:footnote w:id="52">
    <w:p w14:paraId="5444C293" w14:textId="3CFD0BA6" w:rsidR="00E6564D" w:rsidRDefault="00E6564D" w:rsidP="00791A54">
      <w:pPr>
        <w:pStyle w:val="FootnoteText"/>
      </w:pPr>
      <w:r w:rsidRPr="00C11D27">
        <w:rPr>
          <w:rStyle w:val="FootnoteReference"/>
          <w:vertAlign w:val="baseline"/>
        </w:rPr>
        <w:footnoteRef/>
      </w:r>
      <w:r w:rsidRPr="00C11D27">
        <w:t xml:space="preserve"> </w:t>
      </w:r>
      <w:r>
        <w:tab/>
      </w:r>
      <w:proofErr w:type="gramStart"/>
      <w:r>
        <w:t>Civil Aviation Act 1982, §76(2).</w:t>
      </w:r>
      <w:proofErr w:type="gramEnd"/>
    </w:p>
  </w:footnote>
  <w:footnote w:id="53">
    <w:p w14:paraId="16C1DB19" w14:textId="77777777" w:rsidR="00E6564D" w:rsidRPr="00E52CCC" w:rsidRDefault="00E6564D" w:rsidP="00791A54">
      <w:pPr>
        <w:pStyle w:val="FootnoteText"/>
      </w:pPr>
      <w:r w:rsidRPr="00E52CCC">
        <w:rPr>
          <w:rStyle w:val="FootnoteReference"/>
          <w:vertAlign w:val="baseline"/>
        </w:rPr>
        <w:footnoteRef/>
      </w:r>
      <w:r w:rsidRPr="00E52CCC">
        <w:t xml:space="preserve"> </w:t>
      </w:r>
      <w:r w:rsidRPr="00E52CCC">
        <w:tab/>
      </w:r>
      <w:proofErr w:type="gramStart"/>
      <w:r w:rsidRPr="00D5313F">
        <w:t>[1954] 2 Q.B. 66, 77</w:t>
      </w:r>
      <w:r>
        <w:t>.</w:t>
      </w:r>
      <w:proofErr w:type="gramEnd"/>
    </w:p>
  </w:footnote>
  <w:footnote w:id="54">
    <w:p w14:paraId="659F04EA" w14:textId="2A3FF14B" w:rsidR="00E6564D" w:rsidRDefault="00E6564D" w:rsidP="00791A54">
      <w:pPr>
        <w:pStyle w:val="FootnoteText"/>
      </w:pPr>
      <w:r w:rsidRPr="0076410A">
        <w:rPr>
          <w:rStyle w:val="FootnoteReference"/>
          <w:vertAlign w:val="baseline"/>
        </w:rPr>
        <w:footnoteRef/>
      </w:r>
      <w:r w:rsidRPr="0076410A">
        <w:t xml:space="preserve"> </w:t>
      </w:r>
      <w:r>
        <w:tab/>
      </w:r>
      <w:r w:rsidRPr="0076410A">
        <w:t>Had the anaesthetist actually foreseen the hairline risk and nevertheless proceeded, he would have been reckless rather than merely negligent.</w:t>
      </w:r>
    </w:p>
  </w:footnote>
  <w:footnote w:id="55">
    <w:p w14:paraId="214E0FA5" w14:textId="681632C1" w:rsidR="00E6564D" w:rsidRDefault="00E6564D">
      <w:pPr>
        <w:pStyle w:val="FootnoteText"/>
      </w:pPr>
      <w:r w:rsidRPr="00AA5EDD">
        <w:rPr>
          <w:rStyle w:val="FootnoteReference"/>
          <w:vertAlign w:val="baseline"/>
        </w:rPr>
        <w:footnoteRef/>
      </w:r>
      <w:r w:rsidRPr="00AA5EDD">
        <w:t xml:space="preserve"> </w:t>
      </w:r>
      <w:r>
        <w:tab/>
        <w:t>Bruce Chapman,</w:t>
      </w:r>
      <w:r>
        <w:rPr>
          <w:i/>
        </w:rPr>
        <w:t xml:space="preserve"> ‘</w:t>
      </w:r>
      <w:r w:rsidRPr="00AA5EDD">
        <w:t>Law, Incommensurability, and Conceptually Sequenced Argument</w:t>
      </w:r>
      <w:r>
        <w:t>’</w:t>
      </w:r>
      <w:r w:rsidRPr="00AA5EDD">
        <w:t xml:space="preserve"> </w:t>
      </w:r>
      <w:r>
        <w:t>(</w:t>
      </w:r>
      <w:r w:rsidRPr="00AA5EDD">
        <w:t>1998</w:t>
      </w:r>
      <w:r>
        <w:t xml:space="preserve">) 146 </w:t>
      </w:r>
      <w:r w:rsidRPr="00AA5EDD">
        <w:rPr>
          <w:i/>
        </w:rPr>
        <w:t>University of Pennsylvania Law Review</w:t>
      </w:r>
      <w:r w:rsidRPr="00AA5EDD">
        <w:t xml:space="preserve"> 1487-1528</w:t>
      </w:r>
      <w:r>
        <w:t>.</w:t>
      </w:r>
    </w:p>
  </w:footnote>
  <w:footnote w:id="56">
    <w:p w14:paraId="2E0B3AFB" w14:textId="683D9296" w:rsidR="00E6564D" w:rsidRPr="002D24AE" w:rsidRDefault="00E6564D" w:rsidP="00791A54">
      <w:pPr>
        <w:pStyle w:val="FootnoteText"/>
        <w:rPr>
          <w:highlight w:val="yellow"/>
        </w:rPr>
      </w:pPr>
      <w:r w:rsidRPr="002D24AE">
        <w:rPr>
          <w:rStyle w:val="FootnoteReference"/>
          <w:vertAlign w:val="baseline"/>
        </w:rPr>
        <w:footnoteRef/>
      </w:r>
      <w:r w:rsidRPr="002D24AE">
        <w:t xml:space="preserve"> </w:t>
      </w:r>
      <w:r w:rsidRPr="002D24AE">
        <w:tab/>
      </w:r>
      <w:proofErr w:type="spellStart"/>
      <w:proofErr w:type="gramStart"/>
      <w:r w:rsidRPr="002D24AE">
        <w:rPr>
          <w:i/>
        </w:rPr>
        <w:t>Caparo</w:t>
      </w:r>
      <w:proofErr w:type="spellEnd"/>
      <w:r w:rsidRPr="002D24AE">
        <w:rPr>
          <w:i/>
        </w:rPr>
        <w:t xml:space="preserve"> Industries plc </w:t>
      </w:r>
      <w:r w:rsidRPr="002D24AE">
        <w:t>v</w:t>
      </w:r>
      <w:r w:rsidRPr="002D24AE">
        <w:rPr>
          <w:i/>
        </w:rPr>
        <w:t xml:space="preserve"> </w:t>
      </w:r>
      <w:proofErr w:type="spellStart"/>
      <w:r w:rsidRPr="002D24AE">
        <w:rPr>
          <w:i/>
        </w:rPr>
        <w:t>Dickman</w:t>
      </w:r>
      <w:proofErr w:type="spellEnd"/>
      <w:r w:rsidRPr="002D24AE">
        <w:rPr>
          <w:i/>
        </w:rPr>
        <w:t xml:space="preserve"> </w:t>
      </w:r>
      <w:r w:rsidRPr="002D24AE">
        <w:t>[1990] 2 AC 605.</w:t>
      </w:r>
      <w:proofErr w:type="gramEnd"/>
    </w:p>
  </w:footnote>
  <w:footnote w:id="57">
    <w:p w14:paraId="72DAF186" w14:textId="77777777" w:rsidR="00E6564D" w:rsidRPr="00EA137E" w:rsidRDefault="00E6564D" w:rsidP="00F77330">
      <w:pPr>
        <w:pStyle w:val="FootnoteText"/>
        <w:rPr>
          <w:highlight w:val="yellow"/>
        </w:rPr>
      </w:pPr>
      <w:r w:rsidRPr="009E360A">
        <w:rPr>
          <w:rStyle w:val="FootnoteReference"/>
          <w:vertAlign w:val="baseline"/>
        </w:rPr>
        <w:footnoteRef/>
      </w:r>
      <w:r w:rsidRPr="009E360A">
        <w:t xml:space="preserve"> </w:t>
      </w:r>
      <w:r w:rsidRPr="009E360A">
        <w:tab/>
      </w:r>
      <w:r w:rsidRPr="009E360A">
        <w:rPr>
          <w:i/>
        </w:rPr>
        <w:t xml:space="preserve">Michael v Chief Constable of South Wales Police and another </w:t>
      </w:r>
      <w:r w:rsidRPr="009E360A">
        <w:t>[2015] UKSC 2</w:t>
      </w:r>
      <w:r w:rsidRPr="009E360A">
        <w:rPr>
          <w:i/>
        </w:rPr>
        <w:t xml:space="preserve"> </w:t>
      </w:r>
      <w:r w:rsidRPr="009E360A">
        <w:t>is not really about omissions but about a public policy of leaving decisions about the disposition of police resources to the police.</w:t>
      </w:r>
    </w:p>
  </w:footnote>
  <w:footnote w:id="58">
    <w:p w14:paraId="10F1AA33" w14:textId="69705EB8" w:rsidR="00E6564D" w:rsidRDefault="00E6564D">
      <w:pPr>
        <w:pStyle w:val="FootnoteText"/>
      </w:pPr>
      <w:r w:rsidRPr="00F864F3">
        <w:rPr>
          <w:rStyle w:val="FootnoteReference"/>
          <w:vertAlign w:val="baseline"/>
        </w:rPr>
        <w:footnoteRef/>
      </w:r>
      <w:r w:rsidRPr="00F864F3">
        <w:t xml:space="preserve"> </w:t>
      </w:r>
      <w:r>
        <w:tab/>
      </w:r>
      <w:proofErr w:type="spellStart"/>
      <w:r w:rsidRPr="00F864F3">
        <w:t>Cf</w:t>
      </w:r>
      <w:proofErr w:type="spellEnd"/>
      <w:r w:rsidRPr="00F864F3">
        <w:t xml:space="preserve"> note </w:t>
      </w:r>
      <w:r w:rsidRPr="00F864F3">
        <w:fldChar w:fldCharType="begin"/>
      </w:r>
      <w:r w:rsidRPr="00F864F3">
        <w:instrText xml:space="preserve"> NOTEREF _Ref427221958 \h  \* MERGEFORMAT </w:instrText>
      </w:r>
      <w:r w:rsidRPr="00F864F3">
        <w:fldChar w:fldCharType="separate"/>
      </w:r>
      <w:r w:rsidR="00B85818">
        <w:t>44</w:t>
      </w:r>
      <w:r w:rsidRPr="00F864F3">
        <w:fldChar w:fldCharType="end"/>
      </w:r>
      <w:r w:rsidRPr="00F864F3">
        <w:t>.</w:t>
      </w:r>
    </w:p>
  </w:footnote>
  <w:footnote w:id="59">
    <w:p w14:paraId="5BBB9AAC" w14:textId="5DED174B" w:rsidR="00E6564D" w:rsidRDefault="00E6564D" w:rsidP="00791A54">
      <w:pPr>
        <w:pStyle w:val="FootnoteText"/>
      </w:pPr>
      <w:r w:rsidRPr="00E96C9F">
        <w:rPr>
          <w:rStyle w:val="FootnoteReference"/>
          <w:vertAlign w:val="baseline"/>
        </w:rPr>
        <w:footnoteRef/>
      </w:r>
      <w:r w:rsidRPr="00E96C9F">
        <w:t xml:space="preserve"> </w:t>
      </w:r>
      <w:r w:rsidRPr="00E96C9F">
        <w:tab/>
      </w:r>
      <w:proofErr w:type="spellStart"/>
      <w:r w:rsidRPr="00E96C9F">
        <w:rPr>
          <w:i/>
        </w:rPr>
        <w:t>Anns</w:t>
      </w:r>
      <w:proofErr w:type="spellEnd"/>
      <w:r w:rsidRPr="00E96C9F">
        <w:rPr>
          <w:i/>
        </w:rPr>
        <w:t xml:space="preserve"> </w:t>
      </w:r>
      <w:r w:rsidRPr="00E96C9F">
        <w:t xml:space="preserve">v </w:t>
      </w:r>
      <w:r w:rsidRPr="00E96C9F">
        <w:rPr>
          <w:i/>
        </w:rPr>
        <w:t xml:space="preserve">Merton LBC </w:t>
      </w:r>
      <w:r w:rsidRPr="00E96C9F">
        <w:t xml:space="preserve">[1978] AC 728, overruled by </w:t>
      </w:r>
      <w:r w:rsidRPr="00E96C9F">
        <w:rPr>
          <w:i/>
        </w:rPr>
        <w:t xml:space="preserve">Murphy </w:t>
      </w:r>
      <w:r w:rsidRPr="00E96C9F">
        <w:t xml:space="preserve">v </w:t>
      </w:r>
      <w:r w:rsidRPr="00E96C9F">
        <w:rPr>
          <w:i/>
        </w:rPr>
        <w:t xml:space="preserve">Brentwood DC </w:t>
      </w:r>
      <w:r w:rsidRPr="00E96C9F">
        <w:t>[1991] AC 398</w:t>
      </w:r>
      <w:r w:rsidRPr="00E96C9F">
        <w:rPr>
          <w:i/>
        </w:rPr>
        <w:t xml:space="preserve">. </w:t>
      </w:r>
      <w:r>
        <w:t>H</w:t>
      </w:r>
      <w:r w:rsidRPr="009E1B58">
        <w:t xml:space="preserve">arm-within-the-risk thinking </w:t>
      </w:r>
      <w:r>
        <w:t xml:space="preserve">reduces the number of stages and threatens algorithmic discipline less than does </w:t>
      </w:r>
      <w:r w:rsidRPr="009E1B58">
        <w:t>the conventional cause-duty-breach-remoteness approach to the negligence tort.</w:t>
      </w:r>
      <w:r>
        <w:t xml:space="preserve"> In </w:t>
      </w:r>
      <w:r w:rsidRPr="00756F60">
        <w:rPr>
          <w:i/>
        </w:rPr>
        <w:t>Wagon Mound No 2</w:t>
      </w:r>
      <w:r>
        <w:t xml:space="preserve"> </w:t>
      </w:r>
      <w:r w:rsidRPr="00756F60">
        <w:t>[1963] 1 Lloyd’s Reports 402</w:t>
      </w:r>
      <w:r>
        <w:t xml:space="preserve">, </w:t>
      </w:r>
      <w:r w:rsidRPr="00756F60">
        <w:t>406, 408</w:t>
      </w:r>
      <w:r>
        <w:t>, Walsh J,</w:t>
      </w:r>
      <w:r w:rsidRPr="006E39F9">
        <w:t xml:space="preserve"> </w:t>
      </w:r>
      <w:r>
        <w:t>at first instance, made no</w:t>
      </w:r>
      <w:r w:rsidRPr="00756F60">
        <w:t xml:space="preserve"> division between duty, s</w:t>
      </w:r>
      <w:r>
        <w:t>tandard and remoteness.</w:t>
      </w:r>
    </w:p>
  </w:footnote>
  <w:footnote w:id="60">
    <w:p w14:paraId="5FABB318" w14:textId="11F69733" w:rsidR="00E6564D" w:rsidRDefault="00E6564D" w:rsidP="00791A54">
      <w:pPr>
        <w:pStyle w:val="FootnoteText"/>
      </w:pPr>
      <w:r w:rsidRPr="00B36616">
        <w:rPr>
          <w:rStyle w:val="FootnoteReference"/>
          <w:vertAlign w:val="baseline"/>
        </w:rPr>
        <w:footnoteRef/>
      </w:r>
      <w:r w:rsidRPr="00B36616">
        <w:t xml:space="preserve"> </w:t>
      </w:r>
      <w:r>
        <w:tab/>
      </w:r>
      <w:proofErr w:type="spellStart"/>
      <w:r>
        <w:t>Cf</w:t>
      </w:r>
      <w:proofErr w:type="spellEnd"/>
      <w:r>
        <w:t xml:space="preserve"> Goff LJ </w:t>
      </w:r>
      <w:r w:rsidRPr="00B36616">
        <w:t xml:space="preserve">in </w:t>
      </w:r>
      <w:r w:rsidRPr="00B36616">
        <w:rPr>
          <w:i/>
        </w:rPr>
        <w:t xml:space="preserve">Leigh &amp; </w:t>
      </w:r>
      <w:proofErr w:type="spellStart"/>
      <w:r w:rsidRPr="00B36616">
        <w:rPr>
          <w:i/>
        </w:rPr>
        <w:t>Sillavan</w:t>
      </w:r>
      <w:proofErr w:type="spellEnd"/>
      <w:r w:rsidRPr="00B36616">
        <w:rPr>
          <w:i/>
        </w:rPr>
        <w:t xml:space="preserve"> Ltd</w:t>
      </w:r>
      <w:r w:rsidRPr="00B36616">
        <w:t xml:space="preserve"> v </w:t>
      </w:r>
      <w:r w:rsidRPr="00B36616">
        <w:rPr>
          <w:i/>
        </w:rPr>
        <w:t>Aliakmon Shipping Co Ltd</w:t>
      </w:r>
      <w:r w:rsidRPr="00B36616">
        <w:t xml:space="preserve"> [1985] 2 All ER 44, 74</w:t>
      </w:r>
      <w:r>
        <w:t>,</w:t>
      </w:r>
      <w:r w:rsidRPr="00B36616">
        <w:t xml:space="preserve"> </w:t>
      </w:r>
      <w:r>
        <w:t>‘</w:t>
      </w:r>
      <w:r w:rsidRPr="00B36616">
        <w:t>Once proximity is no longer treated as expressing a relationship founded simply on foreseeability of damage, it ceases to have an ascertainable meaning, and it cannot therefore provide a criterion for liability.</w:t>
      </w:r>
      <w:r>
        <w:t>’</w:t>
      </w:r>
    </w:p>
  </w:footnote>
  <w:footnote w:id="61">
    <w:p w14:paraId="222D704D" w14:textId="195BEE7E" w:rsidR="00E6564D" w:rsidRDefault="00E6564D" w:rsidP="00791A54">
      <w:pPr>
        <w:pStyle w:val="FootnoteText"/>
      </w:pPr>
      <w:r w:rsidRPr="0073728F">
        <w:rPr>
          <w:rStyle w:val="FootnoteReference"/>
          <w:vertAlign w:val="baseline"/>
        </w:rPr>
        <w:footnoteRef/>
      </w:r>
      <w:r>
        <w:t xml:space="preserve"> </w:t>
      </w:r>
      <w:r>
        <w:tab/>
      </w:r>
      <w:proofErr w:type="gramStart"/>
      <w:r w:rsidRPr="0073728F">
        <w:rPr>
          <w:i/>
        </w:rPr>
        <w:t>Michael</w:t>
      </w:r>
      <w:r>
        <w:t xml:space="preserve">, note </w:t>
      </w:r>
      <w:r>
        <w:fldChar w:fldCharType="begin"/>
      </w:r>
      <w:r>
        <w:instrText xml:space="preserve"> NOTEREF _Ref427306521 \h </w:instrText>
      </w:r>
      <w:r>
        <w:fldChar w:fldCharType="separate"/>
      </w:r>
      <w:r w:rsidR="00B85818">
        <w:t>57</w:t>
      </w:r>
      <w:r>
        <w:fldChar w:fldCharType="end"/>
      </w:r>
      <w:r>
        <w:t>, [144].</w:t>
      </w:r>
      <w:proofErr w:type="gramEnd"/>
    </w:p>
  </w:footnote>
  <w:footnote w:id="62">
    <w:p w14:paraId="028A0A93" w14:textId="03AF9311" w:rsidR="00E6564D" w:rsidRDefault="00E6564D" w:rsidP="00791A54">
      <w:pPr>
        <w:pStyle w:val="FootnoteText"/>
      </w:pPr>
      <w:r w:rsidRPr="006762F4">
        <w:rPr>
          <w:rStyle w:val="FootnoteReference"/>
          <w:vertAlign w:val="baseline"/>
        </w:rPr>
        <w:footnoteRef/>
      </w:r>
      <w:r w:rsidRPr="006762F4">
        <w:t xml:space="preserve"> </w:t>
      </w:r>
      <w:r>
        <w:tab/>
      </w:r>
      <w:proofErr w:type="gramStart"/>
      <w:r w:rsidRPr="006762F4">
        <w:rPr>
          <w:i/>
        </w:rPr>
        <w:t>ibid</w:t>
      </w:r>
      <w:r>
        <w:t xml:space="preserve"> [133].</w:t>
      </w:r>
      <w:proofErr w:type="gramEnd"/>
    </w:p>
  </w:footnote>
  <w:footnote w:id="63">
    <w:p w14:paraId="71C9B4C2" w14:textId="28ED4292" w:rsidR="00E6564D" w:rsidRDefault="00E6564D" w:rsidP="00791A54">
      <w:pPr>
        <w:pStyle w:val="FootnoteText"/>
      </w:pPr>
      <w:r w:rsidRPr="006762F4">
        <w:rPr>
          <w:rStyle w:val="FootnoteReference"/>
          <w:vertAlign w:val="baseline"/>
        </w:rPr>
        <w:footnoteRef/>
      </w:r>
      <w:r w:rsidRPr="006762F4">
        <w:t xml:space="preserve"> </w:t>
      </w:r>
      <w:r>
        <w:tab/>
      </w:r>
      <w:proofErr w:type="gramStart"/>
      <w:r w:rsidRPr="006762F4">
        <w:rPr>
          <w:i/>
        </w:rPr>
        <w:t>Hill</w:t>
      </w:r>
      <w:r>
        <w:t xml:space="preserve"> v </w:t>
      </w:r>
      <w:r w:rsidRPr="006762F4">
        <w:rPr>
          <w:i/>
        </w:rPr>
        <w:t>Chief Constable of West Yorkshire</w:t>
      </w:r>
      <w:r>
        <w:t xml:space="preserve"> [1989] AC 53, the ‘Yorkshire Ripper’ case.</w:t>
      </w:r>
      <w:proofErr w:type="gramEnd"/>
    </w:p>
  </w:footnote>
  <w:footnote w:id="64">
    <w:p w14:paraId="7AD26FF7" w14:textId="76D906AD" w:rsidR="00E6564D" w:rsidRDefault="00E6564D" w:rsidP="00791A54">
      <w:pPr>
        <w:pStyle w:val="FootnoteText"/>
      </w:pPr>
      <w:r w:rsidRPr="0073728F">
        <w:rPr>
          <w:rStyle w:val="FootnoteReference"/>
          <w:vertAlign w:val="baseline"/>
        </w:rPr>
        <w:footnoteRef/>
      </w:r>
      <w:r w:rsidRPr="0073728F">
        <w:t xml:space="preserve"> </w:t>
      </w:r>
      <w:r>
        <w:tab/>
      </w:r>
      <w:r>
        <w:rPr>
          <w:i/>
        </w:rPr>
        <w:t xml:space="preserve">Michael, </w:t>
      </w:r>
      <w:r w:rsidRPr="0073728F">
        <w:t>note 61</w:t>
      </w:r>
      <w:r>
        <w:t>, [147]</w:t>
      </w:r>
    </w:p>
  </w:footnote>
  <w:footnote w:id="65">
    <w:p w14:paraId="51F22A9E" w14:textId="339CA583" w:rsidR="00E6564D" w:rsidRDefault="00E6564D" w:rsidP="00791A54">
      <w:pPr>
        <w:pStyle w:val="FootnoteText"/>
      </w:pPr>
      <w:r w:rsidRPr="00EA7227">
        <w:rPr>
          <w:rStyle w:val="FootnoteReference"/>
          <w:vertAlign w:val="baseline"/>
        </w:rPr>
        <w:footnoteRef/>
      </w:r>
      <w:r w:rsidRPr="00EA7227">
        <w:t xml:space="preserve"> </w:t>
      </w:r>
      <w:r>
        <w:tab/>
        <w:t>See Stephen Perry</w:t>
      </w:r>
      <w:r w:rsidR="00F67F9E">
        <w:t>,</w:t>
      </w:r>
      <w:r>
        <w:t xml:space="preserve"> ‘Torts, Rights and Risks’ in </w:t>
      </w:r>
      <w:proofErr w:type="spellStart"/>
      <w:r>
        <w:t>Oberdiek</w:t>
      </w:r>
      <w:proofErr w:type="spellEnd"/>
      <w:r>
        <w:t xml:space="preserve"> </w:t>
      </w:r>
      <w:proofErr w:type="spellStart"/>
      <w:proofErr w:type="gramStart"/>
      <w:r>
        <w:t>ed</w:t>
      </w:r>
      <w:proofErr w:type="spellEnd"/>
      <w:proofErr w:type="gramEnd"/>
      <w:r>
        <w:t xml:space="preserve">, note </w:t>
      </w:r>
      <w:r>
        <w:fldChar w:fldCharType="begin"/>
      </w:r>
      <w:r>
        <w:instrText xml:space="preserve"> NOTEREF _Ref427215972 \h </w:instrText>
      </w:r>
      <w:r>
        <w:fldChar w:fldCharType="separate"/>
      </w:r>
      <w:r w:rsidR="00B85818">
        <w:t>9</w:t>
      </w:r>
      <w:r>
        <w:fldChar w:fldCharType="end"/>
      </w:r>
      <w:r>
        <w:t>, 39-34, especially 40-44.</w:t>
      </w:r>
    </w:p>
  </w:footnote>
  <w:footnote w:id="66">
    <w:p w14:paraId="025CEEAF" w14:textId="26FEC3CA" w:rsidR="00BE23DF" w:rsidRDefault="00BE23DF">
      <w:pPr>
        <w:pStyle w:val="FootnoteText"/>
      </w:pPr>
      <w:r w:rsidRPr="00BE23DF">
        <w:rPr>
          <w:rStyle w:val="FootnoteReference"/>
          <w:vertAlign w:val="baseline"/>
        </w:rPr>
        <w:footnoteRef/>
      </w:r>
      <w:r w:rsidRPr="00BE23DF">
        <w:t xml:space="preserve"> </w:t>
      </w:r>
      <w:r>
        <w:tab/>
      </w:r>
      <w:proofErr w:type="spellStart"/>
      <w:proofErr w:type="gramStart"/>
      <w:r w:rsidRPr="00BE23DF">
        <w:rPr>
          <w:i/>
        </w:rPr>
        <w:t>Alcock</w:t>
      </w:r>
      <w:proofErr w:type="spellEnd"/>
      <w:r w:rsidRPr="00BE23DF">
        <w:rPr>
          <w:i/>
        </w:rPr>
        <w:t xml:space="preserve"> </w:t>
      </w:r>
      <w:r w:rsidRPr="00BE23DF">
        <w:t xml:space="preserve">v </w:t>
      </w:r>
      <w:r w:rsidRPr="00BE23DF">
        <w:rPr>
          <w:i/>
        </w:rPr>
        <w:t>Chief Constable of South Yorkshire</w:t>
      </w:r>
      <w:r w:rsidRPr="00BE23DF">
        <w:t xml:space="preserve"> [1992] AC 310, 411</w:t>
      </w:r>
      <w:r>
        <w:t>.</w:t>
      </w:r>
      <w:proofErr w:type="gramEnd"/>
    </w:p>
  </w:footnote>
  <w:footnote w:id="67">
    <w:p w14:paraId="028AA057" w14:textId="411FAF0C" w:rsidR="00E6564D" w:rsidRDefault="00E6564D" w:rsidP="00791A54">
      <w:pPr>
        <w:pStyle w:val="FootnoteText"/>
      </w:pPr>
      <w:r w:rsidRPr="00AB2A38">
        <w:rPr>
          <w:rStyle w:val="FootnoteReference"/>
          <w:vertAlign w:val="baseline"/>
        </w:rPr>
        <w:footnoteRef/>
      </w:r>
      <w:r>
        <w:t xml:space="preserve"> </w:t>
      </w:r>
      <w:r>
        <w:tab/>
        <w:t xml:space="preserve">Examples include: </w:t>
      </w:r>
      <w:r w:rsidRPr="00AB2A38">
        <w:rPr>
          <w:i/>
        </w:rPr>
        <w:t>Hill</w:t>
      </w:r>
      <w:r>
        <w:t xml:space="preserve">, note </w:t>
      </w:r>
      <w:r>
        <w:fldChar w:fldCharType="begin"/>
      </w:r>
      <w:r>
        <w:instrText xml:space="preserve"> NOTEREF _Ref427319842 \h </w:instrText>
      </w:r>
      <w:r>
        <w:fldChar w:fldCharType="separate"/>
      </w:r>
      <w:r w:rsidR="00B85818">
        <w:t>63</w:t>
      </w:r>
      <w:r>
        <w:fldChar w:fldCharType="end"/>
      </w:r>
      <w:r>
        <w:t xml:space="preserve">; </w:t>
      </w:r>
      <w:proofErr w:type="spellStart"/>
      <w:r w:rsidRPr="00B66594">
        <w:rPr>
          <w:i/>
        </w:rPr>
        <w:t>Alcock</w:t>
      </w:r>
      <w:proofErr w:type="spellEnd"/>
      <w:r w:rsidR="00F67F9E">
        <w:rPr>
          <w:i/>
        </w:rPr>
        <w:t xml:space="preserve"> </w:t>
      </w:r>
      <w:r w:rsidR="00F67F9E" w:rsidRPr="00F67F9E">
        <w:t xml:space="preserve">note </w:t>
      </w:r>
      <w:r w:rsidR="00F67F9E" w:rsidRPr="00F67F9E">
        <w:fldChar w:fldCharType="begin"/>
      </w:r>
      <w:r w:rsidR="00F67F9E" w:rsidRPr="00F67F9E">
        <w:instrText xml:space="preserve"> NOTEREF _Ref428000118 \h </w:instrText>
      </w:r>
      <w:r w:rsidR="00F67F9E">
        <w:instrText xml:space="preserve"> \* MERGEFORMAT </w:instrText>
      </w:r>
      <w:r w:rsidR="00F67F9E" w:rsidRPr="00F67F9E">
        <w:fldChar w:fldCharType="separate"/>
      </w:r>
      <w:r w:rsidR="00B85818">
        <w:t>66</w:t>
      </w:r>
      <w:r w:rsidR="00F67F9E" w:rsidRPr="00F67F9E">
        <w:fldChar w:fldCharType="end"/>
      </w:r>
      <w:r>
        <w:t xml:space="preserve">; </w:t>
      </w:r>
      <w:proofErr w:type="spellStart"/>
      <w:r w:rsidRPr="00B66594">
        <w:rPr>
          <w:i/>
        </w:rPr>
        <w:t>McL</w:t>
      </w:r>
      <w:r>
        <w:rPr>
          <w:i/>
        </w:rPr>
        <w:t>o</w:t>
      </w:r>
      <w:r w:rsidRPr="00B66594">
        <w:rPr>
          <w:i/>
        </w:rPr>
        <w:t>ughlin</w:t>
      </w:r>
      <w:proofErr w:type="spellEnd"/>
      <w:r>
        <w:t xml:space="preserve"> v </w:t>
      </w:r>
      <w:r w:rsidRPr="00B66594">
        <w:rPr>
          <w:i/>
        </w:rPr>
        <w:t>O’Brian</w:t>
      </w:r>
      <w:r>
        <w:rPr>
          <w:i/>
        </w:rPr>
        <w:t xml:space="preserve"> </w:t>
      </w:r>
      <w:r w:rsidRPr="00B66594">
        <w:t>[1983] 1 AC 410</w:t>
      </w:r>
      <w:r>
        <w:t xml:space="preserve">; </w:t>
      </w:r>
      <w:r w:rsidRPr="00B66594">
        <w:rPr>
          <w:i/>
        </w:rPr>
        <w:t>Spartan Steel and Alloys Ltd</w:t>
      </w:r>
      <w:r>
        <w:t xml:space="preserve"> v </w:t>
      </w:r>
      <w:r w:rsidRPr="00B66594">
        <w:rPr>
          <w:i/>
        </w:rPr>
        <w:t>Martin &amp; Co</w:t>
      </w:r>
      <w:r>
        <w:t xml:space="preserve"> [1973] QB 27.</w:t>
      </w:r>
    </w:p>
  </w:footnote>
  <w:footnote w:id="68">
    <w:p w14:paraId="38349675" w14:textId="0AEBB3FA" w:rsidR="00E6564D" w:rsidRDefault="00E6564D">
      <w:pPr>
        <w:pStyle w:val="FootnoteText"/>
      </w:pPr>
      <w:r w:rsidRPr="00941294">
        <w:rPr>
          <w:rStyle w:val="FootnoteReference"/>
          <w:vertAlign w:val="baseline"/>
        </w:rPr>
        <w:footnoteRef/>
      </w:r>
      <w:r>
        <w:t xml:space="preserve"> </w:t>
      </w:r>
      <w:r>
        <w:tab/>
      </w:r>
      <w:proofErr w:type="gramStart"/>
      <w:r w:rsidRPr="00941294">
        <w:t>[1897] 2 QB 57</w:t>
      </w:r>
      <w:r>
        <w:t>.</w:t>
      </w:r>
      <w:proofErr w:type="gramEnd"/>
    </w:p>
  </w:footnote>
  <w:footnote w:id="69">
    <w:p w14:paraId="496C0A59" w14:textId="7663D0EC" w:rsidR="00E6564D" w:rsidRDefault="00E6564D" w:rsidP="00791A54">
      <w:pPr>
        <w:pStyle w:val="FootnoteText"/>
      </w:pPr>
      <w:r w:rsidRPr="00D74770">
        <w:rPr>
          <w:rStyle w:val="FootnoteReference"/>
          <w:vertAlign w:val="baseline"/>
        </w:rPr>
        <w:footnoteRef/>
      </w:r>
      <w:r w:rsidRPr="00D74770">
        <w:t xml:space="preserve"> </w:t>
      </w:r>
      <w:r>
        <w:tab/>
      </w:r>
      <w:r>
        <w:rPr>
          <w:i/>
        </w:rPr>
        <w:t>Rhodes</w:t>
      </w:r>
      <w:r w:rsidRPr="00F23B7C">
        <w:t xml:space="preserve"> v </w:t>
      </w:r>
      <w:r w:rsidRPr="00F23B7C">
        <w:rPr>
          <w:i/>
        </w:rPr>
        <w:t xml:space="preserve">OPO </w:t>
      </w:r>
      <w:r w:rsidRPr="00F23B7C">
        <w:t xml:space="preserve">[2015] UKSC 32 </w:t>
      </w:r>
      <w:r>
        <w:t>[81] emphases added.</w:t>
      </w:r>
    </w:p>
  </w:footnote>
  <w:footnote w:id="70">
    <w:p w14:paraId="5A8D1850" w14:textId="35ACFFFE" w:rsidR="00E6564D" w:rsidRDefault="00E6564D" w:rsidP="00791A54">
      <w:pPr>
        <w:pStyle w:val="FootnoteText"/>
      </w:pPr>
      <w:r w:rsidRPr="00F23B7C">
        <w:rPr>
          <w:rStyle w:val="FootnoteReference"/>
          <w:vertAlign w:val="baseline"/>
        </w:rPr>
        <w:footnoteRef/>
      </w:r>
      <w:r w:rsidRPr="00F23B7C">
        <w:t xml:space="preserve"> </w:t>
      </w:r>
      <w:r>
        <w:tab/>
      </w:r>
      <w:proofErr w:type="gramStart"/>
      <w:r>
        <w:t>Shades here of collateral damage and the slippery doctrine of double effect.</w:t>
      </w:r>
      <w:proofErr w:type="gramEnd"/>
      <w:r>
        <w:t xml:space="preserve"> See </w:t>
      </w:r>
      <w:r w:rsidRPr="0081613F">
        <w:t>P</w:t>
      </w:r>
      <w:r>
        <w:t>hilippa</w:t>
      </w:r>
      <w:r w:rsidRPr="0081613F">
        <w:t xml:space="preserve"> Foot, </w:t>
      </w:r>
      <w:r>
        <w:t>‘</w:t>
      </w:r>
      <w:r w:rsidRPr="0081613F">
        <w:t>The Problem of Abortion and the Doctrine of the Double Effect</w:t>
      </w:r>
      <w:r>
        <w:t xml:space="preserve">’ (1967) Oxford Review, No. 5, </w:t>
      </w:r>
      <w:hyperlink r:id="rId1" w:history="1">
        <w:r w:rsidRPr="00C628FD">
          <w:rPr>
            <w:rStyle w:val="Hyperlink"/>
            <w:color w:val="000000" w:themeColor="text1"/>
            <w:u w:val="none"/>
          </w:rPr>
          <w:t>http://philpapers.org/rec/FOOTPO-2</w:t>
        </w:r>
      </w:hyperlink>
      <w:r>
        <w:t xml:space="preserve"> (visited 11 August 2015).But </w:t>
      </w:r>
      <w:r w:rsidRPr="003537F8">
        <w:t xml:space="preserve">Stephen Pinker, </w:t>
      </w:r>
      <w:r w:rsidRPr="003537F8">
        <w:rPr>
          <w:i/>
        </w:rPr>
        <w:t>The Stuff of Thought: Language as a Window into Human Nature</w:t>
      </w:r>
      <w:r w:rsidRPr="003537F8">
        <w:t xml:space="preserve"> (London: Penguin Books, 2008)</w:t>
      </w:r>
      <w:r>
        <w:t>, 218, distinguishes helping, hindering, allowing and preventing as modes of causation. Arguably Rhodes allowed harm to his son and, having adverted to R, can be said to have intended.</w:t>
      </w:r>
    </w:p>
  </w:footnote>
  <w:footnote w:id="71">
    <w:p w14:paraId="21E5CD12" w14:textId="7776DFE1" w:rsidR="00E6564D" w:rsidRDefault="00E6564D" w:rsidP="00791A54">
      <w:pPr>
        <w:pStyle w:val="FootnoteText"/>
      </w:pPr>
      <w:r w:rsidRPr="00F23B7C">
        <w:rPr>
          <w:rStyle w:val="FootnoteReference"/>
          <w:vertAlign w:val="baseline"/>
        </w:rPr>
        <w:footnoteRef/>
      </w:r>
      <w:r w:rsidRPr="00F23B7C">
        <w:t xml:space="preserve"> </w:t>
      </w:r>
      <w:r>
        <w:tab/>
      </w:r>
      <w:proofErr w:type="gramStart"/>
      <w:r>
        <w:t xml:space="preserve">Note </w:t>
      </w:r>
      <w:r>
        <w:fldChar w:fldCharType="begin"/>
      </w:r>
      <w:r>
        <w:instrText xml:space="preserve"> NOTEREF _Ref427597390 \h </w:instrText>
      </w:r>
      <w:r>
        <w:fldChar w:fldCharType="separate"/>
      </w:r>
      <w:r w:rsidR="00B85818">
        <w:t>68</w:t>
      </w:r>
      <w:r>
        <w:fldChar w:fldCharType="end"/>
      </w:r>
      <w:r>
        <w:t>, 59.</w:t>
      </w:r>
      <w:proofErr w:type="gramEnd"/>
    </w:p>
  </w:footnote>
  <w:footnote w:id="72">
    <w:p w14:paraId="0163148C" w14:textId="518D90C4" w:rsidR="00E6564D" w:rsidRDefault="00E6564D" w:rsidP="00791A54">
      <w:pPr>
        <w:pStyle w:val="FootnoteText"/>
      </w:pPr>
      <w:r w:rsidRPr="00D74770">
        <w:rPr>
          <w:rStyle w:val="FootnoteReference"/>
          <w:vertAlign w:val="baseline"/>
        </w:rPr>
        <w:footnoteRef/>
      </w:r>
      <w:r w:rsidRPr="00D74770">
        <w:t xml:space="preserve"> </w:t>
      </w:r>
      <w:r>
        <w:tab/>
      </w:r>
      <w:r>
        <w:rPr>
          <w:i/>
        </w:rPr>
        <w:t xml:space="preserve">Rhodes, </w:t>
      </w:r>
      <w:r w:rsidRPr="00F23B7C">
        <w:t xml:space="preserve">note </w:t>
      </w:r>
      <w:r>
        <w:fldChar w:fldCharType="begin"/>
      </w:r>
      <w:r>
        <w:instrText xml:space="preserve"> NOTEREF _Ref427070674 \h </w:instrText>
      </w:r>
      <w:r>
        <w:fldChar w:fldCharType="separate"/>
      </w:r>
      <w:r w:rsidR="00B85818">
        <w:t>69</w:t>
      </w:r>
      <w:r>
        <w:fldChar w:fldCharType="end"/>
      </w:r>
      <w:r>
        <w:t>,</w:t>
      </w:r>
      <w:r w:rsidRPr="00F23B7C">
        <w:t xml:space="preserve"> </w:t>
      </w:r>
      <w:r>
        <w:t>[112] emphases added.</w:t>
      </w:r>
    </w:p>
  </w:footnote>
  <w:footnote w:id="73">
    <w:p w14:paraId="011A53E9" w14:textId="77777777"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proofErr w:type="gramStart"/>
      <w:r w:rsidRPr="00ED3B3D">
        <w:t>[1996] AC 155, 189.</w:t>
      </w:r>
      <w:proofErr w:type="gramEnd"/>
    </w:p>
  </w:footnote>
  <w:footnote w:id="74">
    <w:p w14:paraId="6A11BE73" w14:textId="4825C05C"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r w:rsidRPr="00F337CE">
        <w:rPr>
          <w:i/>
        </w:rPr>
        <w:t xml:space="preserve">ibid </w:t>
      </w:r>
      <w:r w:rsidRPr="00ED3B3D">
        <w:t>197</w:t>
      </w:r>
      <w:r>
        <w:t>,</w:t>
      </w:r>
      <w:r w:rsidRPr="00FE1D67">
        <w:t xml:space="preserve"> </w:t>
      </w:r>
      <w:r>
        <w:t>emphases and bracketed interpolations added</w:t>
      </w:r>
      <w:r w:rsidRPr="00ED3B3D">
        <w:t>. Furthermore his language purports to fo</w:t>
      </w:r>
      <w:r>
        <w:t xml:space="preserve">cus on the particular defendant. The Supreme Court of New South Wales recently adopted the same approach in </w:t>
      </w:r>
      <w:r w:rsidRPr="009B5A12">
        <w:rPr>
          <w:i/>
        </w:rPr>
        <w:t>Casey</w:t>
      </w:r>
      <w:r w:rsidRPr="009B5A12">
        <w:t xml:space="preserve"> v </w:t>
      </w:r>
      <w:proofErr w:type="spellStart"/>
      <w:r w:rsidRPr="009B5A12">
        <w:rPr>
          <w:i/>
        </w:rPr>
        <w:t>Pel</w:t>
      </w:r>
      <w:proofErr w:type="spellEnd"/>
      <w:r w:rsidRPr="009B5A12">
        <w:rPr>
          <w:i/>
        </w:rPr>
        <w:t>-Air Aviation Pty Ltd</w:t>
      </w:r>
      <w:r>
        <w:t xml:space="preserve"> </w:t>
      </w:r>
      <w:r w:rsidRPr="009B5A12">
        <w:t>[2015] NSWSC 566</w:t>
      </w:r>
      <w:r>
        <w:t>.</w:t>
      </w:r>
    </w:p>
  </w:footnote>
  <w:footnote w:id="75">
    <w:p w14:paraId="661C0D79" w14:textId="4FFEC8E0" w:rsidR="00E6564D" w:rsidRDefault="00E6564D" w:rsidP="00791A54">
      <w:pPr>
        <w:pStyle w:val="FootnoteText"/>
      </w:pPr>
      <w:r w:rsidRPr="005A362E">
        <w:rPr>
          <w:rStyle w:val="FootnoteReference"/>
          <w:vertAlign w:val="baseline"/>
        </w:rPr>
        <w:footnoteRef/>
      </w:r>
      <w:r w:rsidRPr="005A362E">
        <w:t xml:space="preserve"> </w:t>
      </w:r>
      <w:r>
        <w:tab/>
      </w:r>
      <w:proofErr w:type="gramStart"/>
      <w:r>
        <w:t>Another interpretive term that exhibits factive-attributive ambivalence.</w:t>
      </w:r>
      <w:proofErr w:type="gramEnd"/>
    </w:p>
  </w:footnote>
  <w:footnote w:id="76">
    <w:p w14:paraId="45F359A8" w14:textId="77777777" w:rsidR="00A2669F" w:rsidRDefault="00A2669F" w:rsidP="00A2669F">
      <w:pPr>
        <w:pStyle w:val="FootnoteText"/>
      </w:pPr>
      <w:r w:rsidRPr="00355E7B">
        <w:rPr>
          <w:rStyle w:val="FootnoteReference"/>
          <w:vertAlign w:val="baseline"/>
        </w:rPr>
        <w:footnoteRef/>
      </w:r>
      <w:r w:rsidRPr="00355E7B">
        <w:t xml:space="preserve"> </w:t>
      </w:r>
      <w:r>
        <w:tab/>
      </w:r>
      <w:r w:rsidRPr="001E4A44">
        <w:t xml:space="preserve">Hurd, note </w:t>
      </w:r>
      <w:r w:rsidRPr="001E4A44">
        <w:fldChar w:fldCharType="begin"/>
      </w:r>
      <w:r w:rsidRPr="001E4A44">
        <w:instrText xml:space="preserve"> NOTEREF _Ref427215972 \h </w:instrText>
      </w:r>
      <w:r>
        <w:instrText xml:space="preserve"> \* MERGEFORMAT </w:instrText>
      </w:r>
      <w:r w:rsidRPr="001E4A44">
        <w:fldChar w:fldCharType="separate"/>
      </w:r>
      <w:r w:rsidR="00B85818">
        <w:t>9</w:t>
      </w:r>
      <w:r w:rsidRPr="001E4A44">
        <w:fldChar w:fldCharType="end"/>
      </w:r>
      <w:r w:rsidRPr="001E4A44">
        <w:t>, 405, argues that</w:t>
      </w:r>
      <w:r>
        <w:t xml:space="preserve">, when D consciously choose (e.g.) not to have an eye test and D’s poor eyesight causes a crash that injures C, D is D morally </w:t>
      </w:r>
      <w:r w:rsidRPr="001E4A44">
        <w:rPr>
          <w:i/>
        </w:rPr>
        <w:t xml:space="preserve">reckless </w:t>
      </w:r>
      <w:r>
        <w:t>although the common law persists in calling D ‘negligent’.</w:t>
      </w:r>
    </w:p>
  </w:footnote>
  <w:footnote w:id="77">
    <w:p w14:paraId="45C43372" w14:textId="20C24073"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r w:rsidRPr="00F337CE">
        <w:t xml:space="preserve">‘Liability for negligence depends upon </w:t>
      </w:r>
      <w:r w:rsidRPr="00F337CE">
        <w:rPr>
          <w:i/>
        </w:rPr>
        <w:t xml:space="preserve">proof </w:t>
      </w:r>
      <w:r w:rsidRPr="00F337CE">
        <w:t xml:space="preserve">both </w:t>
      </w:r>
      <w:r w:rsidRPr="00F337CE">
        <w:rPr>
          <w:i/>
        </w:rPr>
        <w:t>that it was reasonably foreseeable</w:t>
      </w:r>
      <w:r>
        <w:rPr>
          <w:i/>
        </w:rPr>
        <w:t xml:space="preserve"> </w:t>
      </w:r>
      <w:r w:rsidRPr="00F337CE">
        <w:t xml:space="preserve">that injury </w:t>
      </w:r>
      <w:r w:rsidRPr="00C1261A">
        <w:rPr>
          <w:i/>
        </w:rPr>
        <w:t>would</w:t>
      </w:r>
      <w:r w:rsidRPr="00F337CE">
        <w:t xml:space="preserve"> result from the act or omission called in question</w:t>
      </w:r>
      <w:r>
        <w:t>…</w:t>
      </w:r>
      <w:proofErr w:type="gramStart"/>
      <w:r>
        <w:rPr>
          <w:i/>
        </w:rPr>
        <w:t>’</w:t>
      </w:r>
      <w:r>
        <w:t>.</w:t>
      </w:r>
      <w:proofErr w:type="gramEnd"/>
      <w:r>
        <w:t xml:space="preserve"> When taken literally, this does no more than invoke the factive foreseeability filter. But he added, attributively, ‘…</w:t>
      </w:r>
      <w:r w:rsidRPr="00F337CE">
        <w:rPr>
          <w:i/>
        </w:rPr>
        <w:t xml:space="preserve">and that a relationship of proximity </w:t>
      </w:r>
      <w:r w:rsidRPr="00F337CE">
        <w:t xml:space="preserve">existed </w:t>
      </w:r>
      <w:r>
        <w:t>between plaintiff and defendant’. (</w:t>
      </w:r>
      <w:r>
        <w:rPr>
          <w:i/>
        </w:rPr>
        <w:t>Page</w:t>
      </w:r>
      <w:r w:rsidRPr="00AE3969">
        <w:t>, note</w:t>
      </w:r>
      <w:r>
        <w:rPr>
          <w:i/>
        </w:rPr>
        <w:t xml:space="preserve"> </w:t>
      </w:r>
      <w:r w:rsidRPr="00AE3969">
        <w:fldChar w:fldCharType="begin"/>
      </w:r>
      <w:r w:rsidRPr="00AE3969">
        <w:instrText xml:space="preserve"> NOTEREF _Ref427598225 \h  \* MERGEFORMAT </w:instrText>
      </w:r>
      <w:r w:rsidRPr="00AE3969">
        <w:fldChar w:fldCharType="separate"/>
      </w:r>
      <w:r w:rsidR="00B85818">
        <w:t>73</w:t>
      </w:r>
      <w:r w:rsidRPr="00AE3969">
        <w:fldChar w:fldCharType="end"/>
      </w:r>
      <w:r>
        <w:t xml:space="preserve">, </w:t>
      </w:r>
      <w:r w:rsidRPr="00ED3B3D">
        <w:t>167</w:t>
      </w:r>
      <w:r>
        <w:t>, emphases added)</w:t>
      </w:r>
      <w:r w:rsidRPr="00ED3B3D">
        <w:t>.</w:t>
      </w:r>
    </w:p>
  </w:footnote>
  <w:footnote w:id="78">
    <w:p w14:paraId="74D2BCA8" w14:textId="12420FDD" w:rsidR="00E6564D" w:rsidRDefault="00E6564D" w:rsidP="00791A54">
      <w:pPr>
        <w:pStyle w:val="FootnoteText"/>
      </w:pPr>
      <w:r w:rsidRPr="00D057DC">
        <w:rPr>
          <w:rStyle w:val="FootnoteReference"/>
          <w:vertAlign w:val="baseline"/>
        </w:rPr>
        <w:footnoteRef/>
      </w:r>
      <w:r w:rsidRPr="00D057DC">
        <w:t xml:space="preserve"> </w:t>
      </w:r>
      <w:r>
        <w:tab/>
        <w:t>Here present probability judgements about D’s future conduct are extrapolations from past behaviours.</w:t>
      </w:r>
    </w:p>
  </w:footnote>
  <w:footnote w:id="79">
    <w:p w14:paraId="49A980A3" w14:textId="6081BF9F" w:rsidR="00E6564D" w:rsidRDefault="00E6564D" w:rsidP="00791A54">
      <w:pPr>
        <w:pStyle w:val="FootnoteText"/>
      </w:pPr>
      <w:r w:rsidRPr="007132F1">
        <w:rPr>
          <w:rStyle w:val="FootnoteReference"/>
          <w:vertAlign w:val="baseline"/>
        </w:rPr>
        <w:footnoteRef/>
      </w:r>
      <w:r w:rsidRPr="007132F1">
        <w:t xml:space="preserve"> </w:t>
      </w:r>
      <w:r>
        <w:tab/>
        <w:t>Cushman, ‘</w:t>
      </w:r>
      <w:r w:rsidRPr="00416E8C">
        <w:t>Deconstructing intent to reconstruct morality</w:t>
      </w:r>
      <w:r>
        <w:t>’, (</w:t>
      </w:r>
      <w:r w:rsidRPr="00416E8C">
        <w:t>2015</w:t>
      </w:r>
      <w:r>
        <w:t xml:space="preserve">) 6 </w:t>
      </w:r>
      <w:r w:rsidRPr="00416E8C">
        <w:rPr>
          <w:i/>
        </w:rPr>
        <w:t>Current Opinion in Psychology</w:t>
      </w:r>
      <w:r>
        <w:t xml:space="preserve"> 97-</w:t>
      </w:r>
      <w:r w:rsidRPr="00416E8C">
        <w:t>103</w:t>
      </w:r>
      <w:r>
        <w:t>,</w:t>
      </w:r>
      <w:r w:rsidRPr="00416E8C">
        <w:t xml:space="preserve"> </w:t>
      </w:r>
      <w:r>
        <w:t>100, argues that, in negligence, the ‘</w:t>
      </w:r>
      <w:r w:rsidRPr="009B3C28">
        <w:t>moral failing consists in planning that is insufficient or misdirected: an inattention to the likely consequences of their action.</w:t>
      </w:r>
      <w:r>
        <w:t>’ The ‘path model’ of blame (</w:t>
      </w:r>
      <w:proofErr w:type="spellStart"/>
      <w:r w:rsidRPr="00932E88">
        <w:t>Ma</w:t>
      </w:r>
      <w:r>
        <w:t>lle</w:t>
      </w:r>
      <w:proofErr w:type="spellEnd"/>
      <w:r>
        <w:t xml:space="preserve"> </w:t>
      </w:r>
      <w:r w:rsidRPr="00416E8C">
        <w:rPr>
          <w:i/>
        </w:rPr>
        <w:t>et al</w:t>
      </w:r>
      <w:r>
        <w:t xml:space="preserve">, note </w:t>
      </w:r>
      <w:r>
        <w:fldChar w:fldCharType="begin"/>
      </w:r>
      <w:r>
        <w:instrText xml:space="preserve"> NOTEREF _Ref427240039 \h </w:instrText>
      </w:r>
      <w:r>
        <w:fldChar w:fldCharType="separate"/>
      </w:r>
      <w:r w:rsidR="00B85818">
        <w:t>8</w:t>
      </w:r>
      <w:r>
        <w:fldChar w:fldCharType="end"/>
      </w:r>
      <w:r>
        <w:t xml:space="preserve">) </w:t>
      </w:r>
      <w:r w:rsidRPr="009B3C28">
        <w:t xml:space="preserve">posits that we ask whether </w:t>
      </w:r>
      <w:r>
        <w:t xml:space="preserve">[D] </w:t>
      </w:r>
      <w:r w:rsidRPr="009B3C28">
        <w:t>had both the ‘obligation’ and ‘capacity’ to have prevented their harmful conduct.</w:t>
      </w:r>
      <w:r>
        <w:t>’ Cushman comments that ‘</w:t>
      </w:r>
      <w:r w:rsidRPr="009B3C28">
        <w:t>capacity</w:t>
      </w:r>
      <w:r>
        <w:t>…</w:t>
      </w:r>
      <w:r w:rsidRPr="009B3C28">
        <w:t>specifi</w:t>
      </w:r>
      <w:r>
        <w:t xml:space="preserve">es </w:t>
      </w:r>
      <w:r w:rsidRPr="0014690B">
        <w:rPr>
          <w:i/>
        </w:rPr>
        <w:t>counterfactual</w:t>
      </w:r>
      <w:r>
        <w:t xml:space="preserve"> possibility—</w:t>
      </w:r>
      <w:r w:rsidRPr="009B3C28">
        <w:t>a person could have prevented their harmful conduct, even though they did not.</w:t>
      </w:r>
      <w:r>
        <w:t xml:space="preserve">’ See also: Hurd, </w:t>
      </w:r>
      <w:r w:rsidRPr="001E4A44">
        <w:t xml:space="preserve">note </w:t>
      </w:r>
      <w:r w:rsidRPr="001E4A44">
        <w:fldChar w:fldCharType="begin"/>
      </w:r>
      <w:r w:rsidRPr="001E4A44">
        <w:instrText xml:space="preserve"> NOTEREF _Ref427215972 \h </w:instrText>
      </w:r>
      <w:r w:rsidRPr="001E4A44">
        <w:fldChar w:fldCharType="separate"/>
      </w:r>
      <w:r w:rsidR="00B85818">
        <w:t>9</w:t>
      </w:r>
      <w:r w:rsidRPr="001E4A44">
        <w:fldChar w:fldCharType="end"/>
      </w:r>
      <w:r>
        <w:t xml:space="preserve">: and Larry Alexander &amp; Kimberley Ferzan, ‘Confused Culpability, Contrived Causation and the Collapse of Tort Theory’ in </w:t>
      </w:r>
      <w:proofErr w:type="spellStart"/>
      <w:r>
        <w:t>Oberdiek</w:t>
      </w:r>
      <w:proofErr w:type="spellEnd"/>
      <w:r>
        <w:t xml:space="preserve"> (</w:t>
      </w:r>
      <w:proofErr w:type="spellStart"/>
      <w:proofErr w:type="gramStart"/>
      <w:r>
        <w:t>ed</w:t>
      </w:r>
      <w:proofErr w:type="spellEnd"/>
      <w:proofErr w:type="gramEnd"/>
      <w:r>
        <w:t xml:space="preserve">) n </w:t>
      </w:r>
      <w:r w:rsidRPr="00653B76">
        <w:t>15</w:t>
      </w:r>
      <w:r>
        <w:t>, 406-425.</w:t>
      </w:r>
    </w:p>
  </w:footnote>
  <w:footnote w:id="80">
    <w:p w14:paraId="3BF15449" w14:textId="22A78446" w:rsidR="00E6564D" w:rsidRDefault="00E6564D" w:rsidP="00791A54">
      <w:pPr>
        <w:pStyle w:val="FootnoteText"/>
      </w:pPr>
      <w:r w:rsidRPr="003E5757">
        <w:rPr>
          <w:rStyle w:val="FootnoteReference"/>
          <w:vertAlign w:val="baseline"/>
        </w:rPr>
        <w:footnoteRef/>
      </w:r>
      <w:r w:rsidRPr="003E5757">
        <w:t xml:space="preserve"> </w:t>
      </w:r>
      <w:r>
        <w:tab/>
      </w:r>
      <w:r w:rsidRPr="003E5757">
        <w:rPr>
          <w:i/>
        </w:rPr>
        <w:t>Per</w:t>
      </w:r>
      <w:r>
        <w:t xml:space="preserve"> Lord Lloyd, note </w:t>
      </w:r>
      <w:r>
        <w:fldChar w:fldCharType="begin"/>
      </w:r>
      <w:r>
        <w:instrText xml:space="preserve"> NOTEREF _Ref427598225 \h </w:instrText>
      </w:r>
      <w:r>
        <w:fldChar w:fldCharType="separate"/>
      </w:r>
      <w:r w:rsidR="00B85818">
        <w:t>73</w:t>
      </w:r>
      <w:r>
        <w:fldChar w:fldCharType="end"/>
      </w:r>
      <w:r>
        <w:t xml:space="preserve">, </w:t>
      </w:r>
      <w:r w:rsidRPr="003E5757">
        <w:t>188-</w:t>
      </w:r>
      <w:r>
        <w:t>18</w:t>
      </w:r>
      <w:r w:rsidRPr="003E5757">
        <w:t>9</w:t>
      </w:r>
      <w:proofErr w:type="gramStart"/>
      <w:r>
        <w:t>, citing</w:t>
      </w:r>
      <w:proofErr w:type="gramEnd"/>
      <w:r w:rsidRPr="003E5757">
        <w:rPr>
          <w:sz w:val="22"/>
        </w:rPr>
        <w:t xml:space="preserve"> </w:t>
      </w:r>
      <w:r w:rsidRPr="003E5757">
        <w:t xml:space="preserve">Lord Wright in </w:t>
      </w:r>
      <w:proofErr w:type="spellStart"/>
      <w:r w:rsidRPr="003E5757">
        <w:rPr>
          <w:i/>
          <w:iCs/>
        </w:rPr>
        <w:t>Bourhill</w:t>
      </w:r>
      <w:proofErr w:type="spellEnd"/>
      <w:r w:rsidRPr="003E5757">
        <w:rPr>
          <w:i/>
          <w:iCs/>
        </w:rPr>
        <w:t xml:space="preserve"> </w:t>
      </w:r>
      <w:r w:rsidRPr="00F87A31">
        <w:rPr>
          <w:iCs/>
        </w:rPr>
        <w:t>v</w:t>
      </w:r>
      <w:r w:rsidRPr="003E5757">
        <w:rPr>
          <w:i/>
          <w:iCs/>
        </w:rPr>
        <w:t xml:space="preserve"> Young</w:t>
      </w:r>
      <w:r w:rsidRPr="003E5757">
        <w:t xml:space="preserve"> </w:t>
      </w:r>
      <w:r>
        <w:t>[1943] AC</w:t>
      </w:r>
      <w:r w:rsidRPr="003E5757">
        <w:t xml:space="preserve"> 92, 110</w:t>
      </w:r>
      <w:r>
        <w:t xml:space="preserve"> and </w:t>
      </w:r>
      <w:r w:rsidRPr="003E5757">
        <w:t xml:space="preserve">Lord Bridge in </w:t>
      </w:r>
      <w:proofErr w:type="spellStart"/>
      <w:r w:rsidRPr="003E5757">
        <w:rPr>
          <w:i/>
          <w:iCs/>
        </w:rPr>
        <w:t>McLoughlin</w:t>
      </w:r>
      <w:proofErr w:type="spellEnd"/>
      <w:r w:rsidRPr="003E5757">
        <w:t>,</w:t>
      </w:r>
      <w:r>
        <w:t xml:space="preserve"> note </w:t>
      </w:r>
      <w:r>
        <w:fldChar w:fldCharType="begin"/>
      </w:r>
      <w:r>
        <w:instrText xml:space="preserve"> NOTEREF _Ref427344279 \h </w:instrText>
      </w:r>
      <w:r>
        <w:fldChar w:fldCharType="separate"/>
      </w:r>
      <w:r w:rsidR="00B85818">
        <w:t>67</w:t>
      </w:r>
      <w:r>
        <w:fldChar w:fldCharType="end"/>
      </w:r>
      <w:r>
        <w:t>,</w:t>
      </w:r>
      <w:r w:rsidRPr="003E5757">
        <w:t xml:space="preserve"> 420 and 432</w:t>
      </w:r>
      <w:r>
        <w:t>.</w:t>
      </w:r>
    </w:p>
  </w:footnote>
  <w:footnote w:id="81">
    <w:p w14:paraId="6721D2D9" w14:textId="59B34847" w:rsidR="00E6564D" w:rsidRDefault="00E6564D" w:rsidP="00791A54">
      <w:pPr>
        <w:pStyle w:val="FootnoteText"/>
      </w:pPr>
      <w:r w:rsidRPr="00A71D5D">
        <w:rPr>
          <w:rStyle w:val="FootnoteReference"/>
          <w:vertAlign w:val="baseline"/>
        </w:rPr>
        <w:footnoteRef/>
      </w:r>
      <w:r w:rsidRPr="00A71D5D">
        <w:t xml:space="preserve"> </w:t>
      </w:r>
      <w:r>
        <w:tab/>
      </w:r>
      <w:proofErr w:type="gramStart"/>
      <w:r>
        <w:rPr>
          <w:i/>
        </w:rPr>
        <w:t xml:space="preserve">Page, </w:t>
      </w:r>
      <w:r w:rsidRPr="008D14AA">
        <w:t xml:space="preserve">note </w:t>
      </w:r>
      <w:r w:rsidRPr="008D14AA">
        <w:fldChar w:fldCharType="begin"/>
      </w:r>
      <w:r w:rsidRPr="008D14AA">
        <w:instrText xml:space="preserve"> NOTEREF _Ref427598225 \h </w:instrText>
      </w:r>
      <w:r>
        <w:instrText xml:space="preserve"> \* MERGEFORMAT </w:instrText>
      </w:r>
      <w:r w:rsidRPr="008D14AA">
        <w:fldChar w:fldCharType="separate"/>
      </w:r>
      <w:r w:rsidR="00B85818">
        <w:t>73</w:t>
      </w:r>
      <w:r w:rsidRPr="008D14AA">
        <w:fldChar w:fldCharType="end"/>
      </w:r>
      <w:r>
        <w:rPr>
          <w:i/>
        </w:rPr>
        <w:t>,</w:t>
      </w:r>
      <w:r w:rsidRPr="00A71D5D">
        <w:rPr>
          <w:i/>
        </w:rPr>
        <w:t xml:space="preserve"> </w:t>
      </w:r>
      <w:r>
        <w:t>189.</w:t>
      </w:r>
      <w:proofErr w:type="gramEnd"/>
    </w:p>
  </w:footnote>
  <w:footnote w:id="82">
    <w:p w14:paraId="77EB797B" w14:textId="01FC7A56" w:rsidR="00E6564D" w:rsidRPr="00302CE7" w:rsidRDefault="00E6564D" w:rsidP="00791A54">
      <w:pPr>
        <w:pStyle w:val="FootnoteText"/>
      </w:pPr>
      <w:r w:rsidRPr="00302CE7">
        <w:rPr>
          <w:rStyle w:val="FootnoteReference"/>
          <w:vertAlign w:val="baseline"/>
        </w:rPr>
        <w:footnoteRef/>
      </w:r>
      <w:r w:rsidRPr="00302CE7">
        <w:t xml:space="preserve"> </w:t>
      </w:r>
      <w:r>
        <w:tab/>
      </w:r>
      <w:proofErr w:type="spellStart"/>
      <w:proofErr w:type="gramStart"/>
      <w:r w:rsidRPr="00302CE7">
        <w:rPr>
          <w:i/>
        </w:rPr>
        <w:t>Alcock</w:t>
      </w:r>
      <w:proofErr w:type="spellEnd"/>
      <w:r>
        <w:t xml:space="preserve">, note </w:t>
      </w:r>
      <w:r>
        <w:fldChar w:fldCharType="begin"/>
      </w:r>
      <w:r>
        <w:instrText xml:space="preserve"> NOTEREF _Ref427344279 \h </w:instrText>
      </w:r>
      <w:r>
        <w:fldChar w:fldCharType="separate"/>
      </w:r>
      <w:r w:rsidR="00B85818">
        <w:t>67</w:t>
      </w:r>
      <w:r>
        <w:fldChar w:fldCharType="end"/>
      </w:r>
      <w:r>
        <w:t>, 410.</w:t>
      </w:r>
      <w:proofErr w:type="gramEnd"/>
      <w:r>
        <w:t xml:space="preserve"> See also </w:t>
      </w:r>
      <w:r w:rsidRPr="004738FA">
        <w:rPr>
          <w:i/>
        </w:rPr>
        <w:t>Liverpool Women's Hospital NHS Foundation Trust</w:t>
      </w:r>
      <w:r w:rsidRPr="004738FA">
        <w:t xml:space="preserve"> v </w:t>
      </w:r>
      <w:proofErr w:type="spellStart"/>
      <w:r w:rsidRPr="004738FA">
        <w:rPr>
          <w:i/>
        </w:rPr>
        <w:t>Ronayne</w:t>
      </w:r>
      <w:proofErr w:type="spellEnd"/>
      <w:r w:rsidRPr="004738FA">
        <w:rPr>
          <w:i/>
        </w:rPr>
        <w:t xml:space="preserve"> </w:t>
      </w:r>
      <w:r w:rsidRPr="004738FA">
        <w:t xml:space="preserve">[2015] EWCA </w:t>
      </w:r>
      <w:proofErr w:type="spellStart"/>
      <w:r w:rsidRPr="004738FA">
        <w:t>Civ</w:t>
      </w:r>
      <w:proofErr w:type="spellEnd"/>
      <w:r w:rsidRPr="004738FA">
        <w:t xml:space="preserve"> 588</w:t>
      </w:r>
      <w:r>
        <w:t xml:space="preserve"> (there must be a ‘</w:t>
      </w:r>
      <w:r w:rsidRPr="004738FA">
        <w:t>sudden shocking event</w:t>
      </w:r>
      <w:r>
        <w:t>’ [10], ‘</w:t>
      </w:r>
      <w:r w:rsidRPr="007E536F">
        <w:t xml:space="preserve">'horrifying' </w:t>
      </w:r>
      <w:r>
        <w:t>[to]</w:t>
      </w:r>
      <w:r w:rsidRPr="007E536F">
        <w:t xml:space="preserve"> a person of ordinary susceptibility</w:t>
      </w:r>
      <w:r>
        <w:t xml:space="preserve">’ [14]). ‘Sudden’ ‘shocking’ and ‘horrifying’ are each interpretive concepts that exhibit factive-attributive ambivalence. </w:t>
      </w:r>
    </w:p>
  </w:footnote>
  <w:footnote w:id="83">
    <w:p w14:paraId="2686BB85" w14:textId="07DA5E17" w:rsidR="00E6564D" w:rsidRDefault="00E6564D" w:rsidP="00082B2C">
      <w:pPr>
        <w:pStyle w:val="FootnoteText"/>
      </w:pPr>
      <w:r w:rsidRPr="00BF27C3">
        <w:rPr>
          <w:rStyle w:val="FootnoteReference"/>
          <w:vertAlign w:val="baseline"/>
        </w:rPr>
        <w:footnoteRef/>
      </w:r>
      <w:r w:rsidRPr="00BF27C3">
        <w:t xml:space="preserve"> </w:t>
      </w:r>
      <w:r>
        <w:tab/>
      </w:r>
      <w:r w:rsidRPr="00BF27C3">
        <w:t xml:space="preserve">Kenneth Abraham, </w:t>
      </w:r>
      <w:r>
        <w:t>‘The Trouble w</w:t>
      </w:r>
      <w:r w:rsidRPr="00BF27C3">
        <w:t>ith Negligence</w:t>
      </w:r>
      <w:r>
        <w:t>’</w:t>
      </w:r>
      <w:r w:rsidRPr="00BF27C3">
        <w:t>, (2001)</w:t>
      </w:r>
      <w:r>
        <w:t xml:space="preserve"> </w:t>
      </w:r>
      <w:r w:rsidRPr="00BF27C3">
        <w:t xml:space="preserve">54 </w:t>
      </w:r>
      <w:r w:rsidRPr="00BF27C3">
        <w:rPr>
          <w:i/>
        </w:rPr>
        <w:t>Vanderbilt Law Review</w:t>
      </w:r>
      <w:r>
        <w:t xml:space="preserve"> 1187</w:t>
      </w:r>
      <w:r w:rsidR="00134DFF">
        <w:t>-1223</w:t>
      </w:r>
      <w:r>
        <w:t>, 1190,</w:t>
      </w:r>
      <w:r w:rsidRPr="00761D1F">
        <w:t xml:space="preserve"> 1199–1202</w:t>
      </w:r>
      <w:r>
        <w:t>.</w:t>
      </w:r>
      <w:r w:rsidRPr="00BF27C3">
        <w:t xml:space="preserve"> </w:t>
      </w:r>
    </w:p>
  </w:footnote>
  <w:footnote w:id="84">
    <w:p w14:paraId="208C0228" w14:textId="6CA11911" w:rsidR="00E6564D" w:rsidRPr="00334E10" w:rsidRDefault="00E6564D" w:rsidP="00791A54">
      <w:pPr>
        <w:pStyle w:val="FootnoteText"/>
      </w:pPr>
      <w:r w:rsidRPr="00DE7517">
        <w:rPr>
          <w:rStyle w:val="FootnoteReference"/>
          <w:vertAlign w:val="baseline"/>
        </w:rPr>
        <w:footnoteRef/>
      </w:r>
      <w:r w:rsidRPr="00DE7517">
        <w:t xml:space="preserve"> </w:t>
      </w:r>
      <w:r>
        <w:tab/>
        <w:t xml:space="preserve">As reflected in </w:t>
      </w:r>
      <w:r w:rsidRPr="00DE7517">
        <w:rPr>
          <w:i/>
        </w:rPr>
        <w:t>Hughes</w:t>
      </w:r>
      <w:r>
        <w:t xml:space="preserve"> v </w:t>
      </w:r>
      <w:r w:rsidRPr="00DE7517">
        <w:rPr>
          <w:i/>
        </w:rPr>
        <w:t>Lord Advocate</w:t>
      </w:r>
      <w:r>
        <w:rPr>
          <w:i/>
        </w:rPr>
        <w:t xml:space="preserve"> </w:t>
      </w:r>
      <w:r>
        <w:t>[1963] AC 837. B</w:t>
      </w:r>
      <w:r w:rsidRPr="00DE7517">
        <w:t xml:space="preserve">ut </w:t>
      </w:r>
      <w:proofErr w:type="spellStart"/>
      <w:r w:rsidRPr="00DE7517">
        <w:t>cf</w:t>
      </w:r>
      <w:proofErr w:type="spellEnd"/>
      <w:r w:rsidRPr="00DE7517">
        <w:t xml:space="preserve"> the</w:t>
      </w:r>
      <w:r>
        <w:rPr>
          <w:i/>
        </w:rPr>
        <w:t xml:space="preserve"> Wagon Mound </w:t>
      </w:r>
      <w:r>
        <w:t>litigation, discussed below</w:t>
      </w:r>
      <w:r>
        <w:rPr>
          <w:i/>
        </w:rPr>
        <w:t xml:space="preserve">. </w:t>
      </w:r>
      <w:r>
        <w:t xml:space="preserve">See also note </w:t>
      </w:r>
      <w:r>
        <w:fldChar w:fldCharType="begin"/>
      </w:r>
      <w:r>
        <w:instrText xml:space="preserve"> NOTEREF _Ref427242501 \h </w:instrText>
      </w:r>
      <w:r>
        <w:fldChar w:fldCharType="separate"/>
      </w:r>
      <w:r w:rsidR="00B85818">
        <w:t>76</w:t>
      </w:r>
      <w:r>
        <w:fldChar w:fldCharType="end"/>
      </w:r>
      <w:r>
        <w:t>.</w:t>
      </w:r>
    </w:p>
  </w:footnote>
  <w:footnote w:id="85">
    <w:p w14:paraId="2867E984" w14:textId="20851971" w:rsidR="00E6564D" w:rsidRDefault="00E6564D" w:rsidP="00431A08">
      <w:pPr>
        <w:pStyle w:val="FootnoteText"/>
      </w:pPr>
      <w:r w:rsidRPr="0001331B">
        <w:rPr>
          <w:rStyle w:val="FootnoteReference"/>
          <w:vertAlign w:val="baseline"/>
        </w:rPr>
        <w:footnoteRef/>
      </w:r>
      <w:r w:rsidRPr="0001331B">
        <w:t xml:space="preserve"> </w:t>
      </w:r>
      <w:r>
        <w:tab/>
        <w:t>But neuroscience is beginning to measure its effects. See</w:t>
      </w:r>
      <w:r w:rsidRPr="00F6453B">
        <w:t xml:space="preserve"> </w:t>
      </w:r>
      <w:r>
        <w:t xml:space="preserve">(e.g.): </w:t>
      </w:r>
      <w:r w:rsidRPr="00F6453B">
        <w:t>Sara Reardon</w:t>
      </w:r>
      <w:r>
        <w:t>, ‘</w:t>
      </w:r>
      <w:r w:rsidRPr="00F6453B">
        <w:t>Neuroscience in court: The painful truth</w:t>
      </w:r>
      <w:r>
        <w:t xml:space="preserve">’, </w:t>
      </w:r>
      <w:r w:rsidRPr="00F6453B">
        <w:rPr>
          <w:i/>
        </w:rPr>
        <w:t>Nature</w:t>
      </w:r>
      <w:r w:rsidRPr="00F6453B">
        <w:t xml:space="preserve"> 518, 474–476 (26 February 2015) doi</w:t>
      </w:r>
      <w:proofErr w:type="gramStart"/>
      <w:r w:rsidRPr="00F6453B">
        <w:t>:10.1038</w:t>
      </w:r>
      <w:proofErr w:type="gramEnd"/>
      <w:r w:rsidRPr="00F6453B">
        <w:t>/518474a</w:t>
      </w:r>
      <w:r>
        <w:t>; and Frank Pasquale ‘Of Algorithms, Algometry, and Others: Pain Measurement &amp; the Quantification of Distrust’,</w:t>
      </w:r>
      <w:r w:rsidRPr="00431A08">
        <w:t xml:space="preserve"> http://clbb.mgh.harvard.edu/of-algorithms-algometry-and-others-pain-measurement-the-quantification-of-distrust/</w:t>
      </w:r>
      <w:r>
        <w:t xml:space="preserve"> (accessed 18 August 2015).</w:t>
      </w:r>
    </w:p>
  </w:footnote>
  <w:footnote w:id="86">
    <w:p w14:paraId="60E53AB7" w14:textId="5421B340" w:rsidR="00E6564D" w:rsidRDefault="00E6564D">
      <w:pPr>
        <w:pStyle w:val="FootnoteText"/>
      </w:pPr>
      <w:r w:rsidRPr="00761D1F">
        <w:rPr>
          <w:rStyle w:val="FootnoteReference"/>
          <w:vertAlign w:val="baseline"/>
        </w:rPr>
        <w:footnoteRef/>
      </w:r>
      <w:r w:rsidRPr="00761D1F">
        <w:t xml:space="preserve"> </w:t>
      </w:r>
      <w:r>
        <w:tab/>
      </w:r>
      <w:proofErr w:type="gramStart"/>
      <w:r>
        <w:t xml:space="preserve">Abraham, note </w:t>
      </w:r>
      <w:r>
        <w:fldChar w:fldCharType="begin"/>
      </w:r>
      <w:r>
        <w:instrText xml:space="preserve"> NOTEREF _Ref427563136 \h </w:instrText>
      </w:r>
      <w:r>
        <w:fldChar w:fldCharType="separate"/>
      </w:r>
      <w:r w:rsidR="00B85818">
        <w:t>83</w:t>
      </w:r>
      <w:r>
        <w:fldChar w:fldCharType="end"/>
      </w:r>
      <w:r>
        <w:t>, 1190.</w:t>
      </w:r>
      <w:proofErr w:type="gramEnd"/>
    </w:p>
  </w:footnote>
  <w:footnote w:id="87">
    <w:p w14:paraId="12F67069" w14:textId="62D544E9"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proofErr w:type="gramStart"/>
      <w:r w:rsidRPr="00ED3B3D">
        <w:t xml:space="preserve">[2014] EWCA </w:t>
      </w:r>
      <w:proofErr w:type="spellStart"/>
      <w:r w:rsidRPr="00ED3B3D">
        <w:t>Civ</w:t>
      </w:r>
      <w:proofErr w:type="spellEnd"/>
      <w:r w:rsidRPr="00ED3B3D">
        <w:t xml:space="preserve"> 1512 [125] and [104].</w:t>
      </w:r>
      <w:proofErr w:type="gramEnd"/>
      <w:r w:rsidRPr="00ED3B3D">
        <w:t xml:space="preserve"> For </w:t>
      </w:r>
      <w:r w:rsidRPr="00ED3B3D">
        <w:rPr>
          <w:i/>
        </w:rPr>
        <w:t>Croft</w:t>
      </w:r>
      <w:r w:rsidRPr="00ED3B3D">
        <w:t xml:space="preserve"> </w:t>
      </w:r>
      <w:r w:rsidRPr="00653B76">
        <w:t xml:space="preserve">v </w:t>
      </w:r>
      <w:proofErr w:type="spellStart"/>
      <w:r w:rsidRPr="00653B76">
        <w:rPr>
          <w:i/>
        </w:rPr>
        <w:t>Broadstairs</w:t>
      </w:r>
      <w:proofErr w:type="spellEnd"/>
      <w:r w:rsidRPr="00653B76">
        <w:rPr>
          <w:i/>
        </w:rPr>
        <w:t xml:space="preserve"> &amp; St Peter's Town Council</w:t>
      </w:r>
      <w:r>
        <w:t xml:space="preserve">, </w:t>
      </w:r>
      <w:r w:rsidRPr="00ED3B3D">
        <w:t xml:space="preserve">see [2003] EWCA </w:t>
      </w:r>
      <w:proofErr w:type="spellStart"/>
      <w:r w:rsidRPr="00ED3B3D">
        <w:t>Civ</w:t>
      </w:r>
      <w:proofErr w:type="spellEnd"/>
      <w:r w:rsidRPr="00ED3B3D">
        <w:t xml:space="preserve"> 676.</w:t>
      </w:r>
      <w:r>
        <w:t xml:space="preserve"> </w:t>
      </w:r>
      <w:r w:rsidRPr="00ED3B3D">
        <w:t xml:space="preserve">Douglas Brodie, ‘Risk Allocation and Psychiatric Harm’ (2015) 44(2) </w:t>
      </w:r>
      <w:r w:rsidRPr="00ED3B3D">
        <w:rPr>
          <w:i/>
        </w:rPr>
        <w:t>Industrial Law Journal</w:t>
      </w:r>
      <w:r w:rsidRPr="00ED3B3D">
        <w:t xml:space="preserve"> 270-280, 273-274</w:t>
      </w:r>
      <w:r>
        <w:t>, comments, ‘</w:t>
      </w:r>
      <w:r w:rsidRPr="0007761B">
        <w:t>The difficulty</w:t>
      </w:r>
      <w:r>
        <w:t>…lies in the application’.</w:t>
      </w:r>
    </w:p>
  </w:footnote>
  <w:footnote w:id="88">
    <w:p w14:paraId="7A9E77D3" w14:textId="0DD074F7" w:rsidR="00E6564D" w:rsidRDefault="00E6564D" w:rsidP="00791A54">
      <w:pPr>
        <w:pStyle w:val="FootnoteText"/>
      </w:pPr>
      <w:r w:rsidRPr="008B43EC">
        <w:rPr>
          <w:rStyle w:val="FootnoteReference"/>
          <w:vertAlign w:val="baseline"/>
        </w:rPr>
        <w:footnoteRef/>
      </w:r>
      <w:r w:rsidRPr="008B43EC">
        <w:t xml:space="preserve"> </w:t>
      </w:r>
      <w:r>
        <w:tab/>
        <w:t xml:space="preserve">These unforeseeability rules are, in Joseph </w:t>
      </w:r>
      <w:proofErr w:type="spellStart"/>
      <w:r>
        <w:t>Raz’s</w:t>
      </w:r>
      <w:proofErr w:type="spellEnd"/>
      <w:r>
        <w:t xml:space="preserve"> terminology, ‘exclusionary reasons’: see his </w:t>
      </w:r>
      <w:r w:rsidRPr="00F44E01">
        <w:rPr>
          <w:i/>
        </w:rPr>
        <w:t>Practical Reason and Norms</w:t>
      </w:r>
      <w:r>
        <w:t xml:space="preserve"> (London: Hutchinson. 1975)</w:t>
      </w:r>
      <w:r w:rsidRPr="00F44E01">
        <w:t xml:space="preserve"> </w:t>
      </w:r>
      <w:r>
        <w:t>40-48.</w:t>
      </w:r>
    </w:p>
  </w:footnote>
  <w:footnote w:id="89">
    <w:p w14:paraId="79B3953B" w14:textId="3F2D6000" w:rsidR="00E6564D" w:rsidRDefault="00E6564D" w:rsidP="00791A54">
      <w:pPr>
        <w:pStyle w:val="FootnoteText"/>
      </w:pPr>
      <w:r w:rsidRPr="00C43BFF">
        <w:rPr>
          <w:rStyle w:val="FootnoteReference"/>
          <w:vertAlign w:val="baseline"/>
        </w:rPr>
        <w:footnoteRef/>
      </w:r>
      <w:r w:rsidRPr="00C43BFF">
        <w:t xml:space="preserve"> </w:t>
      </w:r>
      <w:r>
        <w:tab/>
      </w:r>
      <w:proofErr w:type="gramStart"/>
      <w:r w:rsidRPr="00C43BFF">
        <w:t xml:space="preserve">Frederick </w:t>
      </w:r>
      <w:proofErr w:type="spellStart"/>
      <w:r w:rsidRPr="00C43BFF">
        <w:t>Schauer</w:t>
      </w:r>
      <w:proofErr w:type="spellEnd"/>
      <w:r w:rsidRPr="00C43BFF">
        <w:t xml:space="preserve">, </w:t>
      </w:r>
      <w:r>
        <w:t>‘</w:t>
      </w:r>
      <w:r w:rsidRPr="00C43BFF">
        <w:t>Formalism</w:t>
      </w:r>
      <w:r>
        <w:t>’,</w:t>
      </w:r>
      <w:r w:rsidRPr="00C43BFF">
        <w:t xml:space="preserve"> </w:t>
      </w:r>
      <w:r>
        <w:t xml:space="preserve">(1988) </w:t>
      </w:r>
      <w:r w:rsidRPr="00C43BFF">
        <w:t xml:space="preserve">97 </w:t>
      </w:r>
      <w:r w:rsidRPr="00C43BFF">
        <w:rPr>
          <w:i/>
        </w:rPr>
        <w:t>Yale Law Journal</w:t>
      </w:r>
      <w:r w:rsidRPr="00C43BFF">
        <w:t xml:space="preserve"> 509-548</w:t>
      </w:r>
      <w:r>
        <w:t>,</w:t>
      </w:r>
      <w:r w:rsidRPr="00C43BFF">
        <w:t xml:space="preserve"> 546</w:t>
      </w:r>
      <w:r>
        <w:t>.</w:t>
      </w:r>
      <w:proofErr w:type="gramEnd"/>
      <w:r w:rsidRPr="00C43BFF">
        <w:t xml:space="preserve"> </w:t>
      </w:r>
    </w:p>
  </w:footnote>
  <w:footnote w:id="90">
    <w:p w14:paraId="5426E4C2" w14:textId="340142B3" w:rsidR="00E6564D" w:rsidRDefault="00E6564D" w:rsidP="00791A54">
      <w:pPr>
        <w:pStyle w:val="FootnoteText"/>
      </w:pPr>
      <w:r w:rsidRPr="002D24AE">
        <w:rPr>
          <w:rStyle w:val="FootnoteReference"/>
          <w:vertAlign w:val="baseline"/>
        </w:rPr>
        <w:footnoteRef/>
      </w:r>
      <w:r w:rsidRPr="002D24AE">
        <w:t xml:space="preserve"> </w:t>
      </w:r>
      <w:r>
        <w:tab/>
      </w:r>
      <w:proofErr w:type="gramStart"/>
      <w:r w:rsidRPr="002D24AE">
        <w:rPr>
          <w:i/>
        </w:rPr>
        <w:t>Wagon Mound No 1</w:t>
      </w:r>
      <w:r>
        <w:t xml:space="preserve"> [1961] AC 688 (hereinafter ‘</w:t>
      </w:r>
      <w:r w:rsidRPr="002D24AE">
        <w:rPr>
          <w:i/>
        </w:rPr>
        <w:t>WM1</w:t>
      </w:r>
      <w:r>
        <w:t xml:space="preserve">’); </w:t>
      </w:r>
      <w:r w:rsidRPr="002D24AE">
        <w:rPr>
          <w:i/>
        </w:rPr>
        <w:t>Wagon Mound No 2</w:t>
      </w:r>
      <w:r>
        <w:t xml:space="preserve"> at first instance </w:t>
      </w:r>
      <w:r w:rsidRPr="00ED3B3D">
        <w:t>[1</w:t>
      </w:r>
      <w:r>
        <w:t>963] 1 Lloyd’s Reports 402 (hereinafter ‘</w:t>
      </w:r>
      <w:r w:rsidRPr="001E4428">
        <w:rPr>
          <w:i/>
        </w:rPr>
        <w:t>WM2FI</w:t>
      </w:r>
      <w:r>
        <w:t xml:space="preserve">’); and before the Privy Council </w:t>
      </w:r>
      <w:r w:rsidRPr="00E31AD7">
        <w:t>[1967] 1 AC 617</w:t>
      </w:r>
      <w:r>
        <w:t xml:space="preserve"> (hereinafter ‘</w:t>
      </w:r>
      <w:r w:rsidRPr="00E31AD7">
        <w:rPr>
          <w:i/>
        </w:rPr>
        <w:t>WM2PC</w:t>
      </w:r>
      <w:r>
        <w:t>’).</w:t>
      </w:r>
      <w:proofErr w:type="gramEnd"/>
    </w:p>
  </w:footnote>
  <w:footnote w:id="91">
    <w:p w14:paraId="244A9FB6" w14:textId="0782A8F9" w:rsidR="00E6564D" w:rsidRDefault="00E6564D" w:rsidP="00791A54">
      <w:pPr>
        <w:pStyle w:val="FootnoteText"/>
      </w:pPr>
      <w:r w:rsidRPr="0088546C">
        <w:rPr>
          <w:rStyle w:val="FootnoteReference"/>
          <w:vertAlign w:val="baseline"/>
        </w:rPr>
        <w:footnoteRef/>
      </w:r>
      <w:r w:rsidRPr="0088546C">
        <w:t xml:space="preserve"> </w:t>
      </w:r>
      <w:r>
        <w:tab/>
      </w:r>
      <w:r>
        <w:rPr>
          <w:i/>
        </w:rPr>
        <w:t>V</w:t>
      </w:r>
      <w:r w:rsidRPr="0088546C">
        <w:rPr>
          <w:i/>
        </w:rPr>
        <w:t>iz</w:t>
      </w:r>
      <w:r>
        <w:rPr>
          <w:i/>
        </w:rPr>
        <w:t>.</w:t>
      </w:r>
      <w:r>
        <w:t xml:space="preserve"> that once D is deemed negligent all damage caused in fact is recoverable: [1921] 3 KB 560.</w:t>
      </w:r>
    </w:p>
  </w:footnote>
  <w:footnote w:id="92">
    <w:p w14:paraId="14B01F71" w14:textId="1A907E57" w:rsidR="00E6564D" w:rsidRPr="00ED3B3D" w:rsidRDefault="00E6564D" w:rsidP="00791A54">
      <w:pPr>
        <w:pStyle w:val="FootnoteText"/>
      </w:pPr>
      <w:r w:rsidRPr="00ED3B3D">
        <w:rPr>
          <w:rStyle w:val="FootnoteReference"/>
          <w:vertAlign w:val="baseline"/>
        </w:rPr>
        <w:footnoteRef/>
      </w:r>
      <w:r w:rsidRPr="00ED3B3D">
        <w:t xml:space="preserve"> </w:t>
      </w:r>
      <w:r w:rsidRPr="00ED3B3D">
        <w:tab/>
        <w:t>[1959] 2 Lloyd’s Reports 697</w:t>
      </w:r>
      <w:r>
        <w:t>,</w:t>
      </w:r>
      <w:r w:rsidRPr="00ED3B3D">
        <w:t xml:space="preserve"> bracketed interpolations </w:t>
      </w:r>
      <w:r>
        <w:t>added</w:t>
      </w:r>
      <w:r w:rsidRPr="00ED3B3D">
        <w:t>.</w:t>
      </w:r>
    </w:p>
  </w:footnote>
  <w:footnote w:id="93">
    <w:p w14:paraId="43B2E30E" w14:textId="25436BEC" w:rsidR="00E6564D" w:rsidRPr="00ED3B3D" w:rsidRDefault="00E6564D" w:rsidP="00791A54">
      <w:pPr>
        <w:pStyle w:val="FootnoteText"/>
      </w:pPr>
      <w:r w:rsidRPr="00ED3B3D">
        <w:rPr>
          <w:rStyle w:val="FootnoteReference"/>
          <w:vertAlign w:val="baseline"/>
        </w:rPr>
        <w:footnoteRef/>
      </w:r>
      <w:r w:rsidRPr="00ED3B3D">
        <w:t xml:space="preserve"> </w:t>
      </w:r>
      <w:r w:rsidRPr="00ED3B3D">
        <w:tab/>
      </w:r>
      <w:proofErr w:type="gramStart"/>
      <w:r w:rsidRPr="00E31AD7">
        <w:rPr>
          <w:i/>
        </w:rPr>
        <w:t>WM</w:t>
      </w:r>
      <w:r>
        <w:rPr>
          <w:i/>
        </w:rPr>
        <w:t>1</w:t>
      </w:r>
      <w:r w:rsidRPr="00ED3B3D">
        <w:t xml:space="preserve"> 413</w:t>
      </w:r>
      <w:r>
        <w:t>.</w:t>
      </w:r>
      <w:proofErr w:type="gramEnd"/>
    </w:p>
  </w:footnote>
  <w:footnote w:id="94">
    <w:p w14:paraId="791FA793" w14:textId="77777777" w:rsidR="00E6564D" w:rsidRDefault="00E6564D" w:rsidP="001A43FB">
      <w:pPr>
        <w:pStyle w:val="FootnoteText"/>
      </w:pPr>
      <w:r w:rsidRPr="001A43FB">
        <w:rPr>
          <w:rStyle w:val="FootnoteReference"/>
          <w:vertAlign w:val="baseline"/>
        </w:rPr>
        <w:footnoteRef/>
      </w:r>
      <w:r w:rsidRPr="001A43FB">
        <w:t xml:space="preserve"> </w:t>
      </w:r>
      <w:r>
        <w:tab/>
      </w:r>
      <w:proofErr w:type="gramStart"/>
      <w:r w:rsidRPr="001A43FB">
        <w:rPr>
          <w:i/>
        </w:rPr>
        <w:t>WM1</w:t>
      </w:r>
      <w:r>
        <w:t xml:space="preserve"> 423.</w:t>
      </w:r>
      <w:proofErr w:type="gramEnd"/>
    </w:p>
  </w:footnote>
  <w:footnote w:id="95">
    <w:p w14:paraId="18AE22B2" w14:textId="7B90D1A4" w:rsidR="00E6564D" w:rsidRDefault="00E6564D" w:rsidP="00791A54">
      <w:pPr>
        <w:pStyle w:val="FootnoteText"/>
      </w:pPr>
      <w:r w:rsidRPr="00B15F1D">
        <w:rPr>
          <w:rStyle w:val="FootnoteReference"/>
          <w:vertAlign w:val="baseline"/>
        </w:rPr>
        <w:footnoteRef/>
      </w:r>
      <w:r w:rsidRPr="00B15F1D">
        <w:t xml:space="preserve"> </w:t>
      </w:r>
      <w:r>
        <w:tab/>
      </w:r>
      <w:proofErr w:type="gramStart"/>
      <w:r>
        <w:rPr>
          <w:i/>
        </w:rPr>
        <w:t>WM1</w:t>
      </w:r>
      <w:r w:rsidRPr="005E0EC8">
        <w:rPr>
          <w:i/>
        </w:rPr>
        <w:t xml:space="preserve"> </w:t>
      </w:r>
      <w:r w:rsidRPr="00B15F1D">
        <w:t>423</w:t>
      </w:r>
      <w:r>
        <w:t>.</w:t>
      </w:r>
      <w:proofErr w:type="gramEnd"/>
      <w:r>
        <w:t xml:space="preserve"> </w:t>
      </w:r>
      <w:proofErr w:type="gramStart"/>
      <w:r>
        <w:t xml:space="preserve">Hurd, note </w:t>
      </w:r>
      <w:r>
        <w:fldChar w:fldCharType="begin"/>
      </w:r>
      <w:r>
        <w:instrText xml:space="preserve"> NOTEREF _Ref427215972 \h </w:instrText>
      </w:r>
      <w:r>
        <w:fldChar w:fldCharType="separate"/>
      </w:r>
      <w:r w:rsidR="00B85818">
        <w:t>9</w:t>
      </w:r>
      <w:r>
        <w:fldChar w:fldCharType="end"/>
      </w:r>
      <w:r>
        <w:t>, 405.</w:t>
      </w:r>
      <w:proofErr w:type="gramEnd"/>
    </w:p>
  </w:footnote>
  <w:footnote w:id="96">
    <w:p w14:paraId="4E785E7F" w14:textId="273148E6" w:rsidR="00E6564D" w:rsidRDefault="00E6564D" w:rsidP="00791A54">
      <w:pPr>
        <w:pStyle w:val="FootnoteText"/>
      </w:pPr>
      <w:r w:rsidRPr="001B7259">
        <w:rPr>
          <w:rStyle w:val="FootnoteReference"/>
          <w:vertAlign w:val="baseline"/>
        </w:rPr>
        <w:footnoteRef/>
      </w:r>
      <w:r w:rsidRPr="001B7259">
        <w:t xml:space="preserve"> </w:t>
      </w:r>
      <w:r>
        <w:tab/>
        <w:t xml:space="preserve">See Pinker, note </w:t>
      </w:r>
      <w:r>
        <w:fldChar w:fldCharType="begin"/>
      </w:r>
      <w:r>
        <w:instrText xml:space="preserve"> NOTEREF _Ref427599826 \h </w:instrText>
      </w:r>
      <w:r>
        <w:fldChar w:fldCharType="separate"/>
      </w:r>
      <w:r w:rsidR="00B85818">
        <w:t>70</w:t>
      </w:r>
      <w:r>
        <w:fldChar w:fldCharType="end"/>
      </w:r>
      <w:r>
        <w:t xml:space="preserve">, </w:t>
      </w:r>
      <w:r w:rsidRPr="001A43FB">
        <w:t>223-227.</w:t>
      </w:r>
    </w:p>
  </w:footnote>
  <w:footnote w:id="97">
    <w:p w14:paraId="1C0002C1" w14:textId="42A40C97" w:rsidR="00E6564D" w:rsidRDefault="00E6564D" w:rsidP="00791A54">
      <w:pPr>
        <w:pStyle w:val="FootnoteText"/>
      </w:pPr>
      <w:r w:rsidRPr="001B7259">
        <w:rPr>
          <w:rStyle w:val="FootnoteReference"/>
          <w:vertAlign w:val="baseline"/>
        </w:rPr>
        <w:footnoteRef/>
      </w:r>
      <w:r w:rsidRPr="001B7259">
        <w:t xml:space="preserve"> </w:t>
      </w:r>
      <w:r>
        <w:tab/>
        <w:t xml:space="preserve">See </w:t>
      </w:r>
      <w:r w:rsidRPr="001B7259">
        <w:rPr>
          <w:lang w:val="en-US"/>
        </w:rPr>
        <w:t xml:space="preserve">Michael Moore, </w:t>
      </w:r>
      <w:r>
        <w:rPr>
          <w:lang w:val="en-US"/>
        </w:rPr>
        <w:t>‘</w:t>
      </w:r>
      <w:r w:rsidRPr="001B7259">
        <w:rPr>
          <w:lang w:val="en-US"/>
        </w:rPr>
        <w:t>Four friendly critics: a response</w:t>
      </w:r>
      <w:r>
        <w:rPr>
          <w:lang w:val="en-US"/>
        </w:rPr>
        <w:t>’</w:t>
      </w:r>
      <w:r w:rsidRPr="001B7259">
        <w:rPr>
          <w:lang w:val="en-US"/>
        </w:rPr>
        <w:t>, (2012</w:t>
      </w:r>
      <w:r>
        <w:rPr>
          <w:lang w:val="en-US"/>
        </w:rPr>
        <w:t xml:space="preserve">) </w:t>
      </w:r>
      <w:r w:rsidRPr="001B7259">
        <w:rPr>
          <w:lang w:val="en-US"/>
        </w:rPr>
        <w:t xml:space="preserve">18 </w:t>
      </w:r>
      <w:r w:rsidRPr="001B7259">
        <w:rPr>
          <w:i/>
          <w:lang w:val="en-US"/>
        </w:rPr>
        <w:t>Legal Theory</w:t>
      </w:r>
      <w:r w:rsidRPr="001B7259">
        <w:rPr>
          <w:lang w:val="en-US"/>
        </w:rPr>
        <w:t xml:space="preserve"> 491-542</w:t>
      </w:r>
      <w:r>
        <w:rPr>
          <w:lang w:val="en-US"/>
        </w:rPr>
        <w:t>.</w:t>
      </w:r>
    </w:p>
  </w:footnote>
  <w:footnote w:id="98">
    <w:p w14:paraId="1CCC16C7" w14:textId="4A5BC7CA" w:rsidR="00E6564D" w:rsidRDefault="00E6564D" w:rsidP="00791A54">
      <w:pPr>
        <w:pStyle w:val="FootnoteText"/>
      </w:pPr>
      <w:r w:rsidRPr="00021EBF">
        <w:rPr>
          <w:rStyle w:val="FootnoteReference"/>
          <w:vertAlign w:val="baseline"/>
        </w:rPr>
        <w:footnoteRef/>
      </w:r>
      <w:r w:rsidRPr="00021EBF">
        <w:t xml:space="preserve"> </w:t>
      </w:r>
      <w:r>
        <w:tab/>
      </w:r>
      <w:proofErr w:type="gramStart"/>
      <w:r w:rsidRPr="009E13DA">
        <w:rPr>
          <w:i/>
        </w:rPr>
        <w:t>WM2</w:t>
      </w:r>
      <w:r>
        <w:rPr>
          <w:i/>
        </w:rPr>
        <w:t>FI</w:t>
      </w:r>
      <w:r w:rsidRPr="009E13DA">
        <w:rPr>
          <w:i/>
        </w:rPr>
        <w:t xml:space="preserve"> </w:t>
      </w:r>
      <w:r>
        <w:t>408.</w:t>
      </w:r>
      <w:proofErr w:type="gramEnd"/>
    </w:p>
  </w:footnote>
  <w:footnote w:id="99">
    <w:p w14:paraId="434A19EF" w14:textId="073B7ABE" w:rsidR="00E6564D" w:rsidRDefault="00E6564D" w:rsidP="00791A54">
      <w:pPr>
        <w:pStyle w:val="FootnoteText"/>
      </w:pPr>
      <w:r w:rsidRPr="00DA4A91">
        <w:rPr>
          <w:rStyle w:val="FootnoteReference"/>
          <w:vertAlign w:val="baseline"/>
        </w:rPr>
        <w:footnoteRef/>
      </w:r>
      <w:r w:rsidRPr="00DA4A91">
        <w:t xml:space="preserve"> </w:t>
      </w:r>
      <w:r>
        <w:tab/>
        <w:t xml:space="preserve">He explicitly avoided the term ‘negligence’, which, he thought, would have signalled a liability verdict, </w:t>
      </w:r>
      <w:r w:rsidRPr="009E13DA">
        <w:rPr>
          <w:i/>
        </w:rPr>
        <w:t>WM2</w:t>
      </w:r>
      <w:r>
        <w:rPr>
          <w:i/>
        </w:rPr>
        <w:t>FI</w:t>
      </w:r>
      <w:r w:rsidRPr="009E13DA">
        <w:rPr>
          <w:i/>
        </w:rPr>
        <w:t xml:space="preserve"> </w:t>
      </w:r>
      <w:r w:rsidRPr="00DA4A91">
        <w:t>408</w:t>
      </w:r>
      <w:r>
        <w:t>.</w:t>
      </w:r>
    </w:p>
  </w:footnote>
  <w:footnote w:id="100">
    <w:p w14:paraId="3E0A75FE" w14:textId="062779AE" w:rsidR="00E6564D" w:rsidRDefault="00E6564D" w:rsidP="00791A54">
      <w:pPr>
        <w:pStyle w:val="FootnoteText"/>
      </w:pPr>
      <w:r w:rsidRPr="0048410C">
        <w:rPr>
          <w:rStyle w:val="FootnoteReference"/>
          <w:vertAlign w:val="baseline"/>
        </w:rPr>
        <w:footnoteRef/>
      </w:r>
      <w:r>
        <w:t xml:space="preserve"> </w:t>
      </w:r>
      <w:r>
        <w:tab/>
      </w:r>
      <w:proofErr w:type="gramStart"/>
      <w:r w:rsidRPr="009E13DA">
        <w:rPr>
          <w:i/>
        </w:rPr>
        <w:t>WM2</w:t>
      </w:r>
      <w:r>
        <w:rPr>
          <w:i/>
        </w:rPr>
        <w:t>FI</w:t>
      </w:r>
      <w:r w:rsidRPr="0048410C">
        <w:rPr>
          <w:i/>
        </w:rPr>
        <w:t xml:space="preserve"> </w:t>
      </w:r>
      <w:r>
        <w:t>406.</w:t>
      </w:r>
      <w:proofErr w:type="gramEnd"/>
      <w:r>
        <w:t xml:space="preserve"> </w:t>
      </w:r>
      <w:proofErr w:type="spellStart"/>
      <w:r>
        <w:t>Cf</w:t>
      </w:r>
      <w:proofErr w:type="spellEnd"/>
      <w:r>
        <w:t xml:space="preserve"> Abraham, note </w:t>
      </w:r>
      <w:r>
        <w:fldChar w:fldCharType="begin"/>
      </w:r>
      <w:r>
        <w:instrText xml:space="preserve"> NOTEREF _Ref427563136 \h </w:instrText>
      </w:r>
      <w:r>
        <w:fldChar w:fldCharType="separate"/>
      </w:r>
      <w:r w:rsidR="00B85818">
        <w:t>83</w:t>
      </w:r>
      <w:r>
        <w:fldChar w:fldCharType="end"/>
      </w:r>
      <w:r>
        <w:t>, 1190-1191.</w:t>
      </w:r>
    </w:p>
  </w:footnote>
  <w:footnote w:id="101">
    <w:p w14:paraId="32C4A55C" w14:textId="4926FFE5" w:rsidR="00E6564D" w:rsidRDefault="00E6564D" w:rsidP="00791A54">
      <w:pPr>
        <w:pStyle w:val="FootnoteText"/>
      </w:pPr>
      <w:r w:rsidRPr="00A3305C">
        <w:rPr>
          <w:rStyle w:val="FootnoteReference"/>
          <w:vertAlign w:val="baseline"/>
        </w:rPr>
        <w:footnoteRef/>
      </w:r>
      <w:r w:rsidRPr="00A3305C">
        <w:t xml:space="preserve"> </w:t>
      </w:r>
      <w:r>
        <w:tab/>
        <w:t xml:space="preserve">But Kinsella J found, on different </w:t>
      </w:r>
      <w:proofErr w:type="gramStart"/>
      <w:r>
        <w:t>evidence, that</w:t>
      </w:r>
      <w:proofErr w:type="gramEnd"/>
      <w:r>
        <w:t xml:space="preserve"> D did not know and could not reasonably be expected to have known of the fire risk. See </w:t>
      </w:r>
      <w:r w:rsidRPr="009E13DA">
        <w:rPr>
          <w:i/>
        </w:rPr>
        <w:t>WM2</w:t>
      </w:r>
      <w:r>
        <w:rPr>
          <w:i/>
        </w:rPr>
        <w:t>FI</w:t>
      </w:r>
      <w:r>
        <w:t xml:space="preserve"> 426.</w:t>
      </w:r>
    </w:p>
  </w:footnote>
  <w:footnote w:id="102">
    <w:p w14:paraId="260E6E9D" w14:textId="54FE390B" w:rsidR="00E6564D" w:rsidRDefault="00E6564D" w:rsidP="00791A54">
      <w:pPr>
        <w:pStyle w:val="FootnoteText"/>
      </w:pPr>
      <w:r w:rsidRPr="00A54B66">
        <w:rPr>
          <w:rStyle w:val="FootnoteReference"/>
          <w:vertAlign w:val="baseline"/>
        </w:rPr>
        <w:footnoteRef/>
      </w:r>
      <w:r>
        <w:t xml:space="preserve"> </w:t>
      </w:r>
      <w:r>
        <w:tab/>
      </w:r>
      <w:proofErr w:type="gramStart"/>
      <w:r w:rsidRPr="009E13DA">
        <w:rPr>
          <w:i/>
        </w:rPr>
        <w:t>WM2</w:t>
      </w:r>
      <w:r>
        <w:rPr>
          <w:i/>
        </w:rPr>
        <w:t>FI</w:t>
      </w:r>
      <w:r w:rsidRPr="00A54B66">
        <w:t xml:space="preserve"> 4</w:t>
      </w:r>
      <w:r>
        <w:t>26.</w:t>
      </w:r>
      <w:proofErr w:type="gramEnd"/>
    </w:p>
  </w:footnote>
  <w:footnote w:id="103">
    <w:p w14:paraId="071134AB" w14:textId="2A58EDF9" w:rsidR="00E6564D" w:rsidRDefault="00E6564D" w:rsidP="00791A54">
      <w:pPr>
        <w:pStyle w:val="FootnoteText"/>
      </w:pPr>
      <w:r w:rsidRPr="002B70D1">
        <w:rPr>
          <w:rStyle w:val="FootnoteReference"/>
          <w:vertAlign w:val="baseline"/>
        </w:rPr>
        <w:footnoteRef/>
      </w:r>
      <w:r w:rsidRPr="002B70D1">
        <w:t xml:space="preserve"> </w:t>
      </w:r>
      <w:r>
        <w:tab/>
      </w:r>
      <w:r w:rsidRPr="0091042E">
        <w:t>See</w:t>
      </w:r>
      <w:r>
        <w:rPr>
          <w:i/>
        </w:rPr>
        <w:t xml:space="preserve"> </w:t>
      </w:r>
      <w:proofErr w:type="gramStart"/>
      <w:r>
        <w:rPr>
          <w:i/>
        </w:rPr>
        <w:t>Edwards</w:t>
      </w:r>
      <w:proofErr w:type="gramEnd"/>
      <w:r w:rsidRPr="0091042E">
        <w:rPr>
          <w:i/>
        </w:rPr>
        <w:t xml:space="preserve"> </w:t>
      </w:r>
      <w:r w:rsidRPr="0091042E">
        <w:t>v</w:t>
      </w:r>
      <w:r w:rsidRPr="0091042E">
        <w:rPr>
          <w:i/>
        </w:rPr>
        <w:t xml:space="preserve"> </w:t>
      </w:r>
      <w:proofErr w:type="spellStart"/>
      <w:r w:rsidRPr="0091042E">
        <w:rPr>
          <w:i/>
        </w:rPr>
        <w:t>Bairstow</w:t>
      </w:r>
      <w:proofErr w:type="spellEnd"/>
      <w:r w:rsidRPr="0091042E">
        <w:rPr>
          <w:i/>
        </w:rPr>
        <w:t xml:space="preserve"> </w:t>
      </w:r>
      <w:r>
        <w:t>[1956] A</w:t>
      </w:r>
      <w:r w:rsidRPr="0091042E">
        <w:t>C 14</w:t>
      </w:r>
      <w:r>
        <w:t>.</w:t>
      </w:r>
    </w:p>
  </w:footnote>
  <w:footnote w:id="104">
    <w:p w14:paraId="539D42B9" w14:textId="1E831FF9" w:rsidR="00E6564D" w:rsidRDefault="00E6564D" w:rsidP="00791A54">
      <w:pPr>
        <w:pStyle w:val="FootnoteText"/>
      </w:pPr>
      <w:r w:rsidRPr="00633AA5">
        <w:rPr>
          <w:rStyle w:val="FootnoteReference"/>
          <w:vertAlign w:val="baseline"/>
        </w:rPr>
        <w:footnoteRef/>
      </w:r>
      <w:r w:rsidRPr="00633AA5">
        <w:t xml:space="preserve"> </w:t>
      </w:r>
      <w:r>
        <w:tab/>
      </w:r>
      <w:proofErr w:type="gramStart"/>
      <w:r>
        <w:rPr>
          <w:i/>
        </w:rPr>
        <w:t xml:space="preserve">WM2FI </w:t>
      </w:r>
      <w:r>
        <w:t>405.</w:t>
      </w:r>
      <w:proofErr w:type="gramEnd"/>
      <w:r>
        <w:t xml:space="preserve"> At 406, he describes his approach to ‘the issues of fact’.</w:t>
      </w:r>
    </w:p>
  </w:footnote>
  <w:footnote w:id="105">
    <w:p w14:paraId="22F92675" w14:textId="0A5CA0B5" w:rsidR="00E6564D" w:rsidRDefault="00E6564D" w:rsidP="00791A54">
      <w:pPr>
        <w:pStyle w:val="FootnoteText"/>
      </w:pPr>
      <w:r w:rsidRPr="0048410C">
        <w:rPr>
          <w:rStyle w:val="FootnoteReference"/>
          <w:vertAlign w:val="baseline"/>
        </w:rPr>
        <w:footnoteRef/>
      </w:r>
      <w:r>
        <w:t xml:space="preserve"> </w:t>
      </w:r>
      <w:r>
        <w:tab/>
      </w:r>
      <w:proofErr w:type="gramStart"/>
      <w:r>
        <w:rPr>
          <w:i/>
        </w:rPr>
        <w:t>WM2FI</w:t>
      </w:r>
      <w:r>
        <w:t xml:space="preserve"> 409.</w:t>
      </w:r>
      <w:proofErr w:type="gramEnd"/>
      <w:r>
        <w:t xml:space="preserve"> At 414, he constructed ‘a thoughtful man’. See also ‘</w:t>
      </w:r>
      <w:r w:rsidRPr="00613EC8">
        <w:t>a properly qualified and alert chief engineer</w:t>
      </w:r>
      <w:r>
        <w:t>’, WM2PC 643; and ‘</w:t>
      </w:r>
      <w:r w:rsidRPr="00613EC8">
        <w:t>a vigilant ship's engineer</w:t>
      </w:r>
      <w:r>
        <w:t>’, WM2PC 644.</w:t>
      </w:r>
    </w:p>
  </w:footnote>
  <w:footnote w:id="106">
    <w:p w14:paraId="7F189B0A" w14:textId="30AE2327" w:rsidR="00E6564D" w:rsidRDefault="00E6564D" w:rsidP="00791A54">
      <w:pPr>
        <w:pStyle w:val="FootnoteText"/>
      </w:pPr>
      <w:r w:rsidRPr="004D5FDC">
        <w:rPr>
          <w:rStyle w:val="FootnoteReference"/>
          <w:vertAlign w:val="baseline"/>
        </w:rPr>
        <w:footnoteRef/>
      </w:r>
      <w:r w:rsidRPr="004D5FDC">
        <w:t xml:space="preserve"> </w:t>
      </w:r>
      <w:r>
        <w:tab/>
      </w:r>
      <w:r>
        <w:rPr>
          <w:i/>
        </w:rPr>
        <w:t xml:space="preserve">WM2FI </w:t>
      </w:r>
      <w:r w:rsidRPr="004D5FDC">
        <w:t>409</w:t>
      </w:r>
      <w:r>
        <w:t xml:space="preserve"> emphasis added.</w:t>
      </w:r>
    </w:p>
  </w:footnote>
  <w:footnote w:id="107">
    <w:p w14:paraId="2568B3CA" w14:textId="20582B64" w:rsidR="00E6564D" w:rsidRDefault="00E6564D" w:rsidP="00791A54">
      <w:pPr>
        <w:pStyle w:val="FootnoteText"/>
      </w:pPr>
      <w:r w:rsidRPr="00920B23">
        <w:rPr>
          <w:rStyle w:val="FootnoteReference"/>
          <w:vertAlign w:val="baseline"/>
        </w:rPr>
        <w:footnoteRef/>
      </w:r>
      <w:r w:rsidRPr="00920B23">
        <w:t xml:space="preserve"> </w:t>
      </w:r>
      <w:r>
        <w:tab/>
        <w:t xml:space="preserve">See </w:t>
      </w:r>
      <w:r>
        <w:rPr>
          <w:i/>
        </w:rPr>
        <w:t>WM2FI,</w:t>
      </w:r>
      <w:r w:rsidRPr="00920B23">
        <w:t xml:space="preserve"> 409</w:t>
      </w:r>
      <w:r>
        <w:t xml:space="preserve">, ‘The inquiry…is not necessarily to be limited to the knowledge and experience the officers of the </w:t>
      </w:r>
      <w:r w:rsidRPr="00920B23">
        <w:rPr>
          <w:i/>
        </w:rPr>
        <w:t>Wagon Mound</w:t>
      </w:r>
      <w:r>
        <w:t xml:space="preserve"> themselves actually had’. </w:t>
      </w:r>
    </w:p>
  </w:footnote>
  <w:footnote w:id="108">
    <w:p w14:paraId="65218E47" w14:textId="25EB2578" w:rsidR="00E6564D" w:rsidRDefault="00E6564D" w:rsidP="00791A54">
      <w:pPr>
        <w:pStyle w:val="FootnoteText"/>
      </w:pPr>
      <w:r w:rsidRPr="00081FE1">
        <w:rPr>
          <w:rStyle w:val="FootnoteReference"/>
          <w:vertAlign w:val="baseline"/>
        </w:rPr>
        <w:footnoteRef/>
      </w:r>
      <w:r w:rsidRPr="00081FE1">
        <w:t xml:space="preserve"> </w:t>
      </w:r>
      <w:r>
        <w:tab/>
        <w:t xml:space="preserve">Including: </w:t>
      </w:r>
      <w:r w:rsidRPr="005B7F04">
        <w:rPr>
          <w:i/>
        </w:rPr>
        <w:t>Glasgow Corporation</w:t>
      </w:r>
      <w:r>
        <w:t xml:space="preserve"> v </w:t>
      </w:r>
      <w:r w:rsidRPr="005B7F04">
        <w:rPr>
          <w:i/>
        </w:rPr>
        <w:t>Muir</w:t>
      </w:r>
      <w:r>
        <w:t xml:space="preserve"> [1943] AC 448, 457; </w:t>
      </w:r>
      <w:proofErr w:type="spellStart"/>
      <w:r w:rsidRPr="005B7F04">
        <w:rPr>
          <w:i/>
        </w:rPr>
        <w:t>Bourhill</w:t>
      </w:r>
      <w:proofErr w:type="spellEnd"/>
      <w:r>
        <w:t xml:space="preserve"> v </w:t>
      </w:r>
      <w:r w:rsidRPr="005B7F04">
        <w:rPr>
          <w:i/>
        </w:rPr>
        <w:t xml:space="preserve">Young </w:t>
      </w:r>
      <w:r>
        <w:t xml:space="preserve">{1943] AC 92, 110; </w:t>
      </w:r>
      <w:r w:rsidRPr="005B7F04">
        <w:rPr>
          <w:i/>
        </w:rPr>
        <w:t>Bolton</w:t>
      </w:r>
      <w:r>
        <w:t xml:space="preserve"> v </w:t>
      </w:r>
      <w:r w:rsidRPr="005B7F04">
        <w:rPr>
          <w:i/>
        </w:rPr>
        <w:t>Stone</w:t>
      </w:r>
      <w:r>
        <w:t xml:space="preserve"> [1951] AC 850, 858, 861 and 865; and Lord Atkin’s reference in </w:t>
      </w:r>
      <w:r w:rsidRPr="005B7F04">
        <w:rPr>
          <w:i/>
        </w:rPr>
        <w:t>Donoghue</w:t>
      </w:r>
      <w:r>
        <w:t xml:space="preserve"> v </w:t>
      </w:r>
      <w:r w:rsidRPr="005B7F04">
        <w:rPr>
          <w:i/>
        </w:rPr>
        <w:t>Stevenson</w:t>
      </w:r>
      <w:r>
        <w:t xml:space="preserve"> [1932] AC 562, 580 to ‘acts and omissions…likely to injure’:</w:t>
      </w:r>
      <w:r w:rsidRPr="00662210">
        <w:rPr>
          <w:i/>
        </w:rPr>
        <w:t xml:space="preserve"> </w:t>
      </w:r>
      <w:r w:rsidRPr="00C13942">
        <w:rPr>
          <w:i/>
        </w:rPr>
        <w:t>WM2FI</w:t>
      </w:r>
      <w:r>
        <w:t xml:space="preserve"> 410-411. </w:t>
      </w:r>
      <w:proofErr w:type="spellStart"/>
      <w:r>
        <w:t>Cf</w:t>
      </w:r>
      <w:proofErr w:type="spellEnd"/>
      <w:r>
        <w:t xml:space="preserve"> Dixon CJ, cited in note </w:t>
      </w:r>
      <w:r>
        <w:fldChar w:fldCharType="begin"/>
      </w:r>
      <w:r>
        <w:instrText xml:space="preserve"> NOTEREF _Ref426639292 \h </w:instrText>
      </w:r>
      <w:r>
        <w:fldChar w:fldCharType="separate"/>
      </w:r>
      <w:r w:rsidR="00B85818">
        <w:t>50</w:t>
      </w:r>
      <w:r>
        <w:fldChar w:fldCharType="end"/>
      </w:r>
      <w:r>
        <w:t>.</w:t>
      </w:r>
    </w:p>
  </w:footnote>
  <w:footnote w:id="109">
    <w:p w14:paraId="21835662" w14:textId="49092CE2" w:rsidR="00E6564D" w:rsidRDefault="00E6564D" w:rsidP="00791A54">
      <w:pPr>
        <w:pStyle w:val="FootnoteText"/>
      </w:pPr>
      <w:r w:rsidRPr="00294E0B">
        <w:rPr>
          <w:rStyle w:val="FootnoteReference"/>
          <w:vertAlign w:val="baseline"/>
        </w:rPr>
        <w:footnoteRef/>
      </w:r>
      <w:r w:rsidRPr="00294E0B">
        <w:t xml:space="preserve"> </w:t>
      </w:r>
      <w:r>
        <w:tab/>
        <w:t xml:space="preserve">In </w:t>
      </w:r>
      <w:r w:rsidRPr="00294E0B">
        <w:rPr>
          <w:i/>
        </w:rPr>
        <w:t xml:space="preserve">Muir </w:t>
      </w:r>
      <w:r>
        <w:t xml:space="preserve">note </w:t>
      </w:r>
      <w:r>
        <w:fldChar w:fldCharType="begin"/>
      </w:r>
      <w:r>
        <w:instrText xml:space="preserve"> NOTEREF _Ref426637316 \h </w:instrText>
      </w:r>
      <w:r>
        <w:fldChar w:fldCharType="separate"/>
      </w:r>
      <w:r w:rsidR="00B85818">
        <w:t>108</w:t>
      </w:r>
      <w:r>
        <w:fldChar w:fldCharType="end"/>
      </w:r>
      <w:r>
        <w:t>, emphases added.</w:t>
      </w:r>
    </w:p>
  </w:footnote>
  <w:footnote w:id="110">
    <w:p w14:paraId="74E64613" w14:textId="000BAE1A" w:rsidR="00E6564D" w:rsidRDefault="00E6564D" w:rsidP="00791A54">
      <w:pPr>
        <w:pStyle w:val="FootnoteText"/>
      </w:pPr>
      <w:r w:rsidRPr="005F7F55">
        <w:rPr>
          <w:rStyle w:val="FootnoteReference"/>
          <w:vertAlign w:val="baseline"/>
        </w:rPr>
        <w:footnoteRef/>
      </w:r>
      <w:r w:rsidRPr="005F7F55">
        <w:t xml:space="preserve"> </w:t>
      </w:r>
      <w:r>
        <w:tab/>
      </w:r>
      <w:proofErr w:type="gramStart"/>
      <w:r>
        <w:rPr>
          <w:i/>
        </w:rPr>
        <w:t>WM2FI</w:t>
      </w:r>
      <w:r w:rsidRPr="005F7F55">
        <w:t xml:space="preserve"> note 58</w:t>
      </w:r>
      <w:r>
        <w:t>, 413.</w:t>
      </w:r>
      <w:proofErr w:type="gramEnd"/>
      <w:r>
        <w:t xml:space="preserve"> At 414 he talks of </w:t>
      </w:r>
      <w:r w:rsidRPr="003723D3">
        <w:rPr>
          <w:i/>
        </w:rPr>
        <w:t>attributing</w:t>
      </w:r>
      <w:r>
        <w:t xml:space="preserve"> knowledge, whereas at 413 he uses the </w:t>
      </w:r>
      <w:r w:rsidRPr="003723D3">
        <w:rPr>
          <w:i/>
        </w:rPr>
        <w:t>factive</w:t>
      </w:r>
      <w:r>
        <w:t xml:space="preserve"> term </w:t>
      </w:r>
      <w:r w:rsidRPr="003723D3">
        <w:rPr>
          <w:i/>
        </w:rPr>
        <w:t>inference</w:t>
      </w:r>
      <w:r>
        <w:t>.</w:t>
      </w:r>
    </w:p>
  </w:footnote>
  <w:footnote w:id="111">
    <w:p w14:paraId="3C604A36" w14:textId="1A379220" w:rsidR="00E6564D" w:rsidRDefault="00E6564D" w:rsidP="00791A54">
      <w:pPr>
        <w:pStyle w:val="FootnoteText"/>
      </w:pPr>
      <w:r w:rsidRPr="005F7F55">
        <w:rPr>
          <w:rStyle w:val="FootnoteReference"/>
          <w:vertAlign w:val="baseline"/>
        </w:rPr>
        <w:footnoteRef/>
      </w:r>
      <w:r w:rsidRPr="005F7F55">
        <w:t xml:space="preserve"> </w:t>
      </w:r>
      <w:r>
        <w:tab/>
      </w:r>
      <w:proofErr w:type="gramStart"/>
      <w:r>
        <w:t>(1963) NSWR 172.</w:t>
      </w:r>
      <w:proofErr w:type="gramEnd"/>
    </w:p>
  </w:footnote>
  <w:footnote w:id="112">
    <w:p w14:paraId="25CA302E" w14:textId="610EACFA" w:rsidR="00E6564D" w:rsidRDefault="00E6564D" w:rsidP="00791A54">
      <w:pPr>
        <w:pStyle w:val="FootnoteText"/>
      </w:pPr>
      <w:r w:rsidRPr="006D4DBB">
        <w:rPr>
          <w:rStyle w:val="FootnoteReference"/>
          <w:vertAlign w:val="baseline"/>
        </w:rPr>
        <w:footnoteRef/>
      </w:r>
      <w:r w:rsidRPr="006D4DBB">
        <w:t xml:space="preserve"> </w:t>
      </w:r>
      <w:r>
        <w:tab/>
      </w:r>
      <w:proofErr w:type="gramStart"/>
      <w:r>
        <w:rPr>
          <w:i/>
        </w:rPr>
        <w:t>WM2FI</w:t>
      </w:r>
      <w:r>
        <w:t xml:space="preserve"> 410.</w:t>
      </w:r>
      <w:proofErr w:type="gramEnd"/>
    </w:p>
  </w:footnote>
  <w:footnote w:id="113">
    <w:p w14:paraId="14942284" w14:textId="0B0EEFA8" w:rsidR="00E6564D" w:rsidRDefault="00E6564D" w:rsidP="00791A54">
      <w:pPr>
        <w:pStyle w:val="FootnoteText"/>
      </w:pPr>
      <w:r w:rsidRPr="00156D45">
        <w:rPr>
          <w:rStyle w:val="FootnoteReference"/>
          <w:vertAlign w:val="baseline"/>
        </w:rPr>
        <w:footnoteRef/>
      </w:r>
      <w:r w:rsidRPr="00156D45">
        <w:t xml:space="preserve"> </w:t>
      </w:r>
      <w:r>
        <w:tab/>
      </w:r>
      <w:r w:rsidRPr="00C13942">
        <w:rPr>
          <w:i/>
        </w:rPr>
        <w:t xml:space="preserve">WM2PC </w:t>
      </w:r>
      <w:r>
        <w:t>640-641.</w:t>
      </w:r>
    </w:p>
  </w:footnote>
  <w:footnote w:id="114">
    <w:p w14:paraId="57C943F0" w14:textId="10AB2F1F" w:rsidR="00E6564D" w:rsidRDefault="00E6564D" w:rsidP="00791A54">
      <w:pPr>
        <w:pStyle w:val="FootnoteText"/>
      </w:pPr>
      <w:r w:rsidRPr="003E5D9D">
        <w:rPr>
          <w:rStyle w:val="FootnoteReference"/>
          <w:vertAlign w:val="baseline"/>
        </w:rPr>
        <w:footnoteRef/>
      </w:r>
      <w:r w:rsidRPr="003E5D9D">
        <w:t xml:space="preserve"> </w:t>
      </w:r>
      <w:r>
        <w:tab/>
        <w:t xml:space="preserve">By contrast, in </w:t>
      </w:r>
      <w:r>
        <w:rPr>
          <w:i/>
        </w:rPr>
        <w:t>WM</w:t>
      </w:r>
      <w:r w:rsidRPr="003E5D9D">
        <w:rPr>
          <w:i/>
        </w:rPr>
        <w:t>1</w:t>
      </w:r>
      <w:r>
        <w:t xml:space="preserve"> the findings of fact (foreseeable pollution, unforeseeable fire damage) were not challenged by the Privy Council, which simply relished the opportunity to find </w:t>
      </w:r>
      <w:proofErr w:type="spellStart"/>
      <w:r w:rsidRPr="003E5D9D">
        <w:rPr>
          <w:i/>
        </w:rPr>
        <w:t>Polemis</w:t>
      </w:r>
      <w:proofErr w:type="spellEnd"/>
      <w:r>
        <w:t xml:space="preserve"> not good law and to exculpate D for the fire damage, at least in negligence.</w:t>
      </w:r>
      <w:r w:rsidRPr="003E5D9D">
        <w:t xml:space="preserve"> Nevertheless, the </w:t>
      </w:r>
      <w:r>
        <w:rPr>
          <w:i/>
        </w:rPr>
        <w:t>WM</w:t>
      </w:r>
      <w:r w:rsidRPr="003E5D9D">
        <w:rPr>
          <w:i/>
        </w:rPr>
        <w:t>1</w:t>
      </w:r>
      <w:r w:rsidRPr="003E5D9D">
        <w:t xml:space="preserve"> verdict of total unforeseeability looks odd</w:t>
      </w:r>
      <w:r>
        <w:t xml:space="preserve"> after </w:t>
      </w:r>
      <w:r>
        <w:rPr>
          <w:i/>
        </w:rPr>
        <w:t>WM2PC</w:t>
      </w:r>
      <w:r>
        <w:t>.</w:t>
      </w:r>
    </w:p>
  </w:footnote>
  <w:footnote w:id="115">
    <w:p w14:paraId="55C8558A" w14:textId="79D9C1B6" w:rsidR="00E6564D" w:rsidRDefault="00E6564D" w:rsidP="00791A54">
      <w:pPr>
        <w:pStyle w:val="FootnoteText"/>
      </w:pPr>
      <w:r w:rsidRPr="00081F94">
        <w:rPr>
          <w:rStyle w:val="FootnoteReference"/>
          <w:vertAlign w:val="baseline"/>
        </w:rPr>
        <w:footnoteRef/>
      </w:r>
      <w:r w:rsidRPr="00081F94">
        <w:t xml:space="preserve"> </w:t>
      </w:r>
      <w:r>
        <w:tab/>
      </w:r>
      <w:proofErr w:type="gramStart"/>
      <w:r w:rsidRPr="00081F94">
        <w:rPr>
          <w:i/>
        </w:rPr>
        <w:t>WM2</w:t>
      </w:r>
      <w:r>
        <w:rPr>
          <w:i/>
        </w:rPr>
        <w:t>PC</w:t>
      </w:r>
      <w:r w:rsidRPr="00081F94">
        <w:rPr>
          <w:i/>
        </w:rPr>
        <w:t xml:space="preserve"> </w:t>
      </w:r>
      <w:r>
        <w:t>641.</w:t>
      </w:r>
      <w:proofErr w:type="gramEnd"/>
      <w:r w:rsidRPr="003576F0">
        <w:t xml:space="preserve"> </w:t>
      </w:r>
      <w:r>
        <w:t xml:space="preserve">Discussing </w:t>
      </w:r>
      <w:r w:rsidRPr="00AE517A">
        <w:rPr>
          <w:i/>
        </w:rPr>
        <w:t>Sharp</w:t>
      </w:r>
      <w:r>
        <w:t xml:space="preserve"> v</w:t>
      </w:r>
      <w:r w:rsidRPr="00AE517A">
        <w:t xml:space="preserve"> </w:t>
      </w:r>
      <w:r w:rsidRPr="00AE517A">
        <w:rPr>
          <w:i/>
        </w:rPr>
        <w:t>Powell</w:t>
      </w:r>
      <w:r>
        <w:t xml:space="preserve"> (1872) LR 7 CP 253, at </w:t>
      </w:r>
      <w:r w:rsidRPr="00AB66CC">
        <w:rPr>
          <w:i/>
        </w:rPr>
        <w:t>WM2</w:t>
      </w:r>
      <w:r>
        <w:rPr>
          <w:i/>
        </w:rPr>
        <w:t>PC</w:t>
      </w:r>
      <w:r>
        <w:t xml:space="preserve"> 637, he described a patently attributive foreseeability verdict as a ‘finding of fact’.</w:t>
      </w:r>
    </w:p>
  </w:footnote>
  <w:footnote w:id="116">
    <w:p w14:paraId="30B93A93" w14:textId="4156E7D7" w:rsidR="00E6564D" w:rsidRDefault="00E6564D" w:rsidP="00791A54">
      <w:pPr>
        <w:pStyle w:val="FootnoteText"/>
      </w:pPr>
      <w:r w:rsidRPr="00081F94">
        <w:rPr>
          <w:rStyle w:val="FootnoteReference"/>
          <w:vertAlign w:val="baseline"/>
        </w:rPr>
        <w:footnoteRef/>
      </w:r>
      <w:r w:rsidRPr="00081F94">
        <w:t xml:space="preserve"> </w:t>
      </w:r>
      <w:r>
        <w:tab/>
      </w:r>
      <w:r w:rsidRPr="00C13942">
        <w:rPr>
          <w:i/>
        </w:rPr>
        <w:t>WM2PC</w:t>
      </w:r>
      <w:r>
        <w:t xml:space="preserve"> 643 emphasis added.</w:t>
      </w:r>
    </w:p>
  </w:footnote>
  <w:footnote w:id="117">
    <w:p w14:paraId="23B00A29" w14:textId="6D2DAF5E" w:rsidR="00E6564D" w:rsidRDefault="00E6564D" w:rsidP="00791A54">
      <w:pPr>
        <w:pStyle w:val="FootnoteText"/>
      </w:pPr>
      <w:r w:rsidRPr="00081F94">
        <w:rPr>
          <w:rStyle w:val="FootnoteReference"/>
          <w:vertAlign w:val="baseline"/>
        </w:rPr>
        <w:footnoteRef/>
      </w:r>
      <w:r w:rsidRPr="00081F94">
        <w:t xml:space="preserve"> </w:t>
      </w:r>
      <w:r>
        <w:tab/>
      </w:r>
      <w:r w:rsidRPr="005E0EC8">
        <w:rPr>
          <w:i/>
        </w:rPr>
        <w:t>WM2PC</w:t>
      </w:r>
      <w:r>
        <w:t xml:space="preserve"> 643-644. For a level of risk that can be brushed aside, see </w:t>
      </w:r>
      <w:r w:rsidRPr="009E54FD">
        <w:rPr>
          <w:i/>
        </w:rPr>
        <w:t>Bolton v Stone</w:t>
      </w:r>
      <w:r>
        <w:t xml:space="preserve"> [1951] AC 850 and for a standard-raising duty to inform patients about low probability risks, see </w:t>
      </w:r>
      <w:r w:rsidRPr="00773959">
        <w:rPr>
          <w:i/>
        </w:rPr>
        <w:t>Montgomery</w:t>
      </w:r>
      <w:r>
        <w:t xml:space="preserve"> v </w:t>
      </w:r>
      <w:r w:rsidRPr="00773959">
        <w:rPr>
          <w:i/>
        </w:rPr>
        <w:t>Lanarkshire Health Board</w:t>
      </w:r>
      <w:r>
        <w:t xml:space="preserve"> [2015] UKSC 11 [112]. At [75] Lords Kerr and Reed said that ‘</w:t>
      </w:r>
      <w:r w:rsidRPr="00773959">
        <w:t>patients are now widely regarded as persons holding rights, rather than as the passive recipients of the care of the medical profession. They are also widely treated as consumers exercising choices</w:t>
      </w:r>
      <w:r>
        <w:t>’.</w:t>
      </w:r>
    </w:p>
  </w:footnote>
  <w:footnote w:id="118">
    <w:p w14:paraId="5F7B6E38" w14:textId="75176B8A" w:rsidR="00E6564D" w:rsidRDefault="00E6564D">
      <w:pPr>
        <w:pStyle w:val="FootnoteText"/>
      </w:pPr>
      <w:r w:rsidRPr="0035061A">
        <w:rPr>
          <w:rStyle w:val="FootnoteReference"/>
          <w:vertAlign w:val="baseline"/>
        </w:rPr>
        <w:footnoteRef/>
      </w:r>
      <w:r>
        <w:t xml:space="preserve"> </w:t>
      </w:r>
      <w:r>
        <w:tab/>
      </w:r>
      <w:r w:rsidRPr="00DE1BEE">
        <w:t xml:space="preserve">Thomas Reed Powell, cited in Thurman Arnold, </w:t>
      </w:r>
      <w:r w:rsidRPr="00DE1BEE">
        <w:rPr>
          <w:i/>
        </w:rPr>
        <w:t>The Symbols of Government</w:t>
      </w:r>
      <w:r w:rsidRPr="00DE1BEE">
        <w:t xml:space="preserve"> (New Haven, CT: Yale University Press, 1935) 101</w:t>
      </w:r>
      <w:r>
        <w:t>.</w:t>
      </w:r>
    </w:p>
  </w:footnote>
  <w:footnote w:id="119">
    <w:p w14:paraId="36994EBF" w14:textId="144B92EE" w:rsidR="00E6564D" w:rsidRDefault="00E6564D">
      <w:pPr>
        <w:pStyle w:val="FootnoteText"/>
      </w:pPr>
      <w:r w:rsidRPr="009E54FD">
        <w:rPr>
          <w:rStyle w:val="FootnoteReference"/>
          <w:vertAlign w:val="baseline"/>
        </w:rPr>
        <w:footnoteRef/>
      </w:r>
      <w:r w:rsidRPr="009E54FD">
        <w:t xml:space="preserve"> </w:t>
      </w:r>
      <w:r>
        <w:tab/>
      </w:r>
      <w:proofErr w:type="gramStart"/>
      <w:r>
        <w:t xml:space="preserve">Note </w:t>
      </w:r>
      <w:r>
        <w:fldChar w:fldCharType="begin"/>
      </w:r>
      <w:r>
        <w:instrText xml:space="preserve"> NOTEREF _Ref427563136 \h </w:instrText>
      </w:r>
      <w:r>
        <w:fldChar w:fldCharType="separate"/>
      </w:r>
      <w:r w:rsidR="00B85818">
        <w:t>83</w:t>
      </w:r>
      <w:r>
        <w:fldChar w:fldCharType="end"/>
      </w:r>
      <w:r>
        <w:t>, 1191.</w:t>
      </w:r>
      <w:proofErr w:type="gramEnd"/>
    </w:p>
  </w:footnote>
  <w:footnote w:id="120">
    <w:p w14:paraId="6E4A3173" w14:textId="0C9BEAC1" w:rsidR="00E6564D" w:rsidRDefault="00E6564D">
      <w:pPr>
        <w:pStyle w:val="FootnoteText"/>
      </w:pPr>
      <w:r w:rsidRPr="00793055">
        <w:rPr>
          <w:rStyle w:val="FootnoteReference"/>
          <w:vertAlign w:val="baseline"/>
        </w:rPr>
        <w:footnoteRef/>
      </w:r>
      <w:r w:rsidRPr="00793055">
        <w:t xml:space="preserve"> </w:t>
      </w:r>
      <w:r>
        <w:tab/>
      </w:r>
      <w:proofErr w:type="gramStart"/>
      <w:r>
        <w:t xml:space="preserve">Oliver Wendell Holmes, </w:t>
      </w:r>
      <w:r w:rsidRPr="00793055">
        <w:rPr>
          <w:i/>
        </w:rPr>
        <w:t>The Common Law</w:t>
      </w:r>
      <w:r>
        <w:rPr>
          <w:i/>
        </w:rPr>
        <w:t>’</w:t>
      </w:r>
      <w:r w:rsidRPr="00793055">
        <w:t xml:space="preserve"> </w:t>
      </w:r>
      <w:r>
        <w:t>(</w:t>
      </w:r>
      <w:r w:rsidRPr="00793055">
        <w:t>London: Macmillan, 1968, original 1881</w:t>
      </w:r>
      <w:r>
        <w:t>) 97</w:t>
      </w:r>
      <w:r w:rsidRPr="00793055">
        <w:t>.</w:t>
      </w:r>
      <w:proofErr w:type="gramEnd"/>
    </w:p>
  </w:footnote>
  <w:footnote w:id="121">
    <w:p w14:paraId="2CAFFA6A" w14:textId="76268B46" w:rsidR="00E6564D" w:rsidRDefault="00E6564D" w:rsidP="0073568C">
      <w:pPr>
        <w:pStyle w:val="FootnoteText"/>
      </w:pPr>
      <w:r w:rsidRPr="0073568C">
        <w:rPr>
          <w:rStyle w:val="FootnoteReference"/>
          <w:vertAlign w:val="baseline"/>
        </w:rPr>
        <w:footnoteRef/>
      </w:r>
      <w:r w:rsidRPr="0073568C">
        <w:t xml:space="preserve"> </w:t>
      </w:r>
      <w:r>
        <w:tab/>
      </w:r>
      <w:r w:rsidRPr="0073568C">
        <w:rPr>
          <w:i/>
        </w:rPr>
        <w:t>HMRC Commissioners</w:t>
      </w:r>
      <w:r w:rsidRPr="0073568C">
        <w:t xml:space="preserve"> v </w:t>
      </w:r>
      <w:r w:rsidRPr="0073568C">
        <w:rPr>
          <w:i/>
        </w:rPr>
        <w:t>Pendragon plc</w:t>
      </w:r>
      <w:r w:rsidRPr="0073568C">
        <w:t xml:space="preserve"> [2015] UKSC 37</w:t>
      </w:r>
      <w:r>
        <w:t>:</w:t>
      </w:r>
      <w:r w:rsidRPr="0073568C">
        <w:t xml:space="preserve"> </w:t>
      </w:r>
      <w:r>
        <w:t>intention to avoid tax rendered a scheme an ‘abuse of law’.</w:t>
      </w:r>
    </w:p>
  </w:footnote>
  <w:footnote w:id="122">
    <w:p w14:paraId="754D1039" w14:textId="4C7C2053" w:rsidR="00E6564D" w:rsidRDefault="00E6564D" w:rsidP="00D22A1B">
      <w:pPr>
        <w:pStyle w:val="FootnoteText"/>
      </w:pPr>
      <w:r w:rsidRPr="00D22A1B">
        <w:rPr>
          <w:rStyle w:val="FootnoteReference"/>
          <w:vertAlign w:val="baseline"/>
        </w:rPr>
        <w:footnoteRef/>
      </w:r>
      <w:r w:rsidRPr="00D22A1B">
        <w:t xml:space="preserve"> </w:t>
      </w:r>
      <w:r>
        <w:tab/>
        <w:t xml:space="preserve">In </w:t>
      </w:r>
      <w:r w:rsidRPr="00D22A1B">
        <w:rPr>
          <w:i/>
        </w:rPr>
        <w:t>E</w:t>
      </w:r>
      <w:r>
        <w:rPr>
          <w:i/>
        </w:rPr>
        <w:t>dwards</w:t>
      </w:r>
      <w:r w:rsidRPr="0091042E">
        <w:t>,</w:t>
      </w:r>
      <w:r>
        <w:t xml:space="preserve"> note </w:t>
      </w:r>
      <w:r>
        <w:fldChar w:fldCharType="begin"/>
      </w:r>
      <w:r>
        <w:instrText xml:space="preserve"> NOTEREF _Ref427692305 \h </w:instrText>
      </w:r>
      <w:r>
        <w:fldChar w:fldCharType="separate"/>
      </w:r>
      <w:r w:rsidR="00B85818">
        <w:t>103</w:t>
      </w:r>
      <w:r>
        <w:fldChar w:fldCharType="end"/>
      </w:r>
      <w:r>
        <w:t xml:space="preserve">, 31, Viscount Simonds said, whether a transaction is ‘an adventure in the nature of trade’ depends on ‘the characteristics which distinguish such an adventure. But it is a question of law, not of fact, what </w:t>
      </w:r>
      <w:proofErr w:type="gramStart"/>
      <w:r>
        <w:t>are those characteristics’</w:t>
      </w:r>
      <w:proofErr w:type="gramEnd"/>
      <w:r>
        <w:t>.</w:t>
      </w:r>
    </w:p>
  </w:footnote>
  <w:footnote w:id="123">
    <w:p w14:paraId="178C70FA" w14:textId="6B680B00" w:rsidR="00E6564D" w:rsidRPr="00E52CCC" w:rsidRDefault="00E6564D" w:rsidP="009E54FD">
      <w:pPr>
        <w:pStyle w:val="FootnoteText"/>
      </w:pPr>
      <w:r w:rsidRPr="00E52CCC">
        <w:rPr>
          <w:rStyle w:val="FootnoteReference"/>
          <w:vertAlign w:val="baseline"/>
        </w:rPr>
        <w:footnoteRef/>
      </w:r>
      <w:r w:rsidRPr="00E52CCC">
        <w:t xml:space="preserve"> </w:t>
      </w:r>
      <w:r w:rsidRPr="00E52CCC">
        <w:tab/>
      </w:r>
      <w:proofErr w:type="spellStart"/>
      <w:r>
        <w:t>Cf</w:t>
      </w:r>
      <w:proofErr w:type="spellEnd"/>
      <w:r>
        <w:t xml:space="preserve"> my discussion of the principle/policy distinction in</w:t>
      </w:r>
      <w:r w:rsidRPr="00E52CCC">
        <w:t xml:space="preserve"> ‘Is a General Theory of Adjudication Possible?’ (1985</w:t>
      </w:r>
      <w:r>
        <w:t>)</w:t>
      </w:r>
      <w:r w:rsidRPr="00E52CCC">
        <w:t xml:space="preserve"> 48 </w:t>
      </w:r>
      <w:r w:rsidRPr="001169A7">
        <w:rPr>
          <w:i/>
        </w:rPr>
        <w:t>Modern Law Review</w:t>
      </w:r>
      <w:r w:rsidRPr="00E52CCC">
        <w:t xml:space="preserve"> 613-643.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848"/>
      <w:gridCol w:w="7394"/>
    </w:tblGrid>
    <w:sdt>
      <w:sdtPr>
        <w:id w:val="1296947802"/>
        <w:docPartObj>
          <w:docPartGallery w:val="Page Numbers (Top of Page)"/>
          <w:docPartUnique/>
        </w:docPartObj>
      </w:sdtPr>
      <w:sdtEndPr>
        <w:rPr>
          <w:rFonts w:asciiTheme="majorHAnsi" w:eastAsiaTheme="majorEastAsia" w:hAnsiTheme="majorHAnsi" w:cstheme="majorBidi"/>
          <w:sz w:val="28"/>
          <w:szCs w:val="28"/>
        </w:rPr>
      </w:sdtEndPr>
      <w:sdtContent>
        <w:tr w:rsidR="008037AA" w14:paraId="3EA4542C" w14:textId="77777777">
          <w:trPr>
            <w:trHeight w:val="1080"/>
          </w:trPr>
          <w:tc>
            <w:tcPr>
              <w:tcW w:w="1000" w:type="pct"/>
              <w:tcBorders>
                <w:right w:val="triple" w:sz="4" w:space="0" w:color="4F81BD" w:themeColor="accent1"/>
              </w:tcBorders>
              <w:vAlign w:val="bottom"/>
            </w:tcPr>
            <w:p w14:paraId="7444CCB7" w14:textId="7DEA7567" w:rsidR="008037AA" w:rsidRDefault="008037AA">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Pr>
                  <w:noProof/>
                </w:rPr>
                <w:t>3</w:t>
              </w:r>
              <w:r>
                <w:rPr>
                  <w:noProof/>
                </w:rPr>
                <w:fldChar w:fldCharType="end"/>
              </w:r>
            </w:p>
          </w:tc>
          <w:tc>
            <w:tcPr>
              <w:tcW w:w="4000" w:type="pct"/>
              <w:tcBorders>
                <w:left w:val="triple" w:sz="4" w:space="0" w:color="4F81BD" w:themeColor="accent1"/>
              </w:tcBorders>
              <w:vAlign w:val="bottom"/>
            </w:tcPr>
            <w:p w14:paraId="0E6E75A8" w14:textId="413DE0EB" w:rsidR="008037AA" w:rsidRDefault="008037AA">
              <w:pPr>
                <w:pStyle w:val="NoSpacing"/>
                <w:rPr>
                  <w:rFonts w:asciiTheme="majorHAnsi" w:eastAsiaTheme="majorEastAsia" w:hAnsiTheme="majorHAnsi" w:cstheme="majorBidi"/>
                  <w:sz w:val="28"/>
                  <w:szCs w:val="28"/>
                </w:rPr>
              </w:pPr>
            </w:p>
          </w:tc>
        </w:tr>
      </w:sdtContent>
    </w:sdt>
  </w:tbl>
  <w:p w14:paraId="46BF56DD" w14:textId="77777777" w:rsidR="008037AA" w:rsidRDefault="008037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64"/>
      <w:gridCol w:w="7854"/>
    </w:tblGrid>
    <w:sdt>
      <w:sdtPr>
        <w:id w:val="-1498259858"/>
        <w:docPartObj>
          <w:docPartGallery w:val="Page Numbers (Top of Page)"/>
          <w:docPartUnique/>
        </w:docPartObj>
      </w:sdtPr>
      <w:sdtEndPr>
        <w:rPr>
          <w:rFonts w:asciiTheme="majorHAnsi" w:eastAsiaTheme="majorEastAsia" w:hAnsiTheme="majorHAnsi" w:cstheme="majorBidi"/>
          <w:sz w:val="28"/>
          <w:szCs w:val="28"/>
        </w:rPr>
      </w:sdtEndPr>
      <w:sdtContent>
        <w:tr w:rsidR="008037AA" w14:paraId="6B103F28" w14:textId="77777777">
          <w:trPr>
            <w:trHeight w:val="1080"/>
          </w:trPr>
          <w:tc>
            <w:tcPr>
              <w:tcW w:w="1000" w:type="pct"/>
              <w:tcBorders>
                <w:right w:val="triple" w:sz="4" w:space="0" w:color="4F81BD" w:themeColor="accent1"/>
              </w:tcBorders>
              <w:vAlign w:val="bottom"/>
            </w:tcPr>
            <w:p w14:paraId="390B9A7E" w14:textId="4D33B2A7" w:rsidR="008037AA" w:rsidRDefault="008037AA">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Pr>
                  <w:noProof/>
                </w:rPr>
                <w:t>4</w:t>
              </w:r>
              <w:r>
                <w:rPr>
                  <w:noProof/>
                </w:rPr>
                <w:fldChar w:fldCharType="end"/>
              </w:r>
            </w:p>
          </w:tc>
          <w:tc>
            <w:tcPr>
              <w:tcW w:w="4000" w:type="pct"/>
              <w:tcBorders>
                <w:left w:val="triple" w:sz="4" w:space="0" w:color="4F81BD" w:themeColor="accent1"/>
              </w:tcBorders>
              <w:vAlign w:val="bottom"/>
            </w:tcPr>
            <w:p w14:paraId="0D32A5D3" w14:textId="6953C183" w:rsidR="008037AA" w:rsidRDefault="008037AA">
              <w:pPr>
                <w:pStyle w:val="NoSpacing"/>
                <w:rPr>
                  <w:rFonts w:asciiTheme="majorHAnsi" w:eastAsiaTheme="majorEastAsia" w:hAnsiTheme="majorHAnsi" w:cstheme="majorBidi"/>
                  <w:sz w:val="28"/>
                  <w:szCs w:val="28"/>
                </w:rPr>
              </w:pPr>
            </w:p>
          </w:tc>
        </w:tr>
      </w:sdtContent>
    </w:sdt>
  </w:tbl>
  <w:p w14:paraId="66AD7762" w14:textId="40FB7EA4" w:rsidR="008037AA" w:rsidRDefault="008037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64"/>
      <w:gridCol w:w="7854"/>
    </w:tblGrid>
    <w:sdt>
      <w:sdtPr>
        <w:id w:val="502484134"/>
        <w:docPartObj>
          <w:docPartGallery w:val="Page Numbers (Top of Page)"/>
          <w:docPartUnique/>
        </w:docPartObj>
      </w:sdtPr>
      <w:sdtEndPr>
        <w:rPr>
          <w:rFonts w:asciiTheme="majorHAnsi" w:eastAsiaTheme="majorEastAsia" w:hAnsiTheme="majorHAnsi" w:cstheme="majorBidi"/>
          <w:sz w:val="28"/>
          <w:szCs w:val="28"/>
        </w:rPr>
      </w:sdtEndPr>
      <w:sdtContent>
        <w:tr w:rsidR="00841673" w14:paraId="6F32B0C8" w14:textId="77777777">
          <w:trPr>
            <w:trHeight w:val="1080"/>
          </w:trPr>
          <w:tc>
            <w:tcPr>
              <w:tcW w:w="1000" w:type="pct"/>
              <w:tcBorders>
                <w:right w:val="triple" w:sz="4" w:space="0" w:color="4F81BD" w:themeColor="accent1"/>
              </w:tcBorders>
              <w:vAlign w:val="bottom"/>
            </w:tcPr>
            <w:p w14:paraId="3B35DA8F" w14:textId="62707308" w:rsidR="00841673" w:rsidRDefault="00841673">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sidR="00B84A4A">
                <w:rPr>
                  <w:noProof/>
                </w:rPr>
                <w:t>20</w:t>
              </w:r>
              <w:r>
                <w:rPr>
                  <w:noProof/>
                </w:rPr>
                <w:fldChar w:fldCharType="end"/>
              </w:r>
            </w:p>
          </w:tc>
          <w:tc>
            <w:tcPr>
              <w:tcW w:w="4000" w:type="pct"/>
              <w:tcBorders>
                <w:left w:val="triple" w:sz="4" w:space="0" w:color="4F81BD" w:themeColor="accent1"/>
              </w:tcBorders>
              <w:vAlign w:val="bottom"/>
            </w:tcPr>
            <w:p w14:paraId="1C0E6483" w14:textId="06B4D588" w:rsidR="00841673" w:rsidRDefault="00841673">
              <w:pPr>
                <w:pStyle w:val="NoSpacing"/>
                <w:rPr>
                  <w:rFonts w:asciiTheme="majorHAnsi" w:eastAsiaTheme="majorEastAsia" w:hAnsiTheme="majorHAnsi" w:cstheme="majorBidi"/>
                  <w:sz w:val="28"/>
                  <w:szCs w:val="28"/>
                </w:rPr>
              </w:pPr>
            </w:p>
          </w:tc>
        </w:tr>
      </w:sdtContent>
    </w:sdt>
  </w:tbl>
  <w:p w14:paraId="4CE2F9C5" w14:textId="77777777" w:rsidR="00841673" w:rsidRDefault="008416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top"/>
      <w:tblW w:w="5000" w:type="pct"/>
      <w:tblLayout w:type="fixed"/>
      <w:tblLook w:val="04A0" w:firstRow="1" w:lastRow="0" w:firstColumn="1" w:lastColumn="0" w:noHBand="0" w:noVBand="1"/>
    </w:tblPr>
    <w:tblGrid>
      <w:gridCol w:w="1964"/>
      <w:gridCol w:w="7854"/>
    </w:tblGrid>
    <w:sdt>
      <w:sdtPr>
        <w:id w:val="786544406"/>
        <w:docPartObj>
          <w:docPartGallery w:val="Page Numbers (Top of Page)"/>
          <w:docPartUnique/>
        </w:docPartObj>
      </w:sdtPr>
      <w:sdtEndPr>
        <w:rPr>
          <w:rFonts w:asciiTheme="majorHAnsi" w:eastAsiaTheme="majorEastAsia" w:hAnsiTheme="majorHAnsi" w:cstheme="majorBidi"/>
          <w:sz w:val="28"/>
          <w:szCs w:val="28"/>
        </w:rPr>
      </w:sdtEndPr>
      <w:sdtContent>
        <w:tr w:rsidR="008037AA" w14:paraId="453E41A8" w14:textId="77777777">
          <w:trPr>
            <w:trHeight w:val="1080"/>
          </w:trPr>
          <w:tc>
            <w:tcPr>
              <w:tcW w:w="1000" w:type="pct"/>
              <w:tcBorders>
                <w:right w:val="triple" w:sz="4" w:space="0" w:color="4F81BD" w:themeColor="accent1"/>
              </w:tcBorders>
              <w:vAlign w:val="bottom"/>
            </w:tcPr>
            <w:p w14:paraId="13EF0948" w14:textId="77777777" w:rsidR="008037AA" w:rsidRDefault="008037AA">
              <w:pPr>
                <w:pStyle w:val="NoSpacing"/>
                <w:jc w:val="right"/>
                <w:rPr>
                  <w:rFonts w:asciiTheme="majorHAnsi" w:eastAsiaTheme="majorEastAsia" w:hAnsiTheme="majorHAnsi" w:cstheme="majorBidi"/>
                  <w:sz w:val="20"/>
                  <w:szCs w:val="20"/>
                </w:rPr>
              </w:pPr>
              <w:r>
                <w:fldChar w:fldCharType="begin"/>
              </w:r>
              <w:r>
                <w:instrText xml:space="preserve"> PAGE    \* MERGEFORMAT </w:instrText>
              </w:r>
              <w:r>
                <w:fldChar w:fldCharType="separate"/>
              </w:r>
              <w:r>
                <w:rPr>
                  <w:noProof/>
                </w:rPr>
                <w:t>1</w:t>
              </w:r>
              <w:r>
                <w:rPr>
                  <w:noProof/>
                </w:rPr>
                <w:fldChar w:fldCharType="end"/>
              </w:r>
            </w:p>
          </w:tc>
          <w:tc>
            <w:tcPr>
              <w:tcW w:w="4000" w:type="pct"/>
              <w:tcBorders>
                <w:left w:val="triple" w:sz="4" w:space="0" w:color="4F81BD" w:themeColor="accent1"/>
              </w:tcBorders>
              <w:vAlign w:val="bottom"/>
            </w:tcPr>
            <w:p w14:paraId="5443B9DD" w14:textId="77777777" w:rsidR="008037AA" w:rsidRDefault="008037AA">
              <w:pPr>
                <w:pStyle w:val="NoSpacing"/>
                <w:rPr>
                  <w:rFonts w:asciiTheme="majorHAnsi" w:eastAsiaTheme="majorEastAsia" w:hAnsiTheme="majorHAnsi" w:cstheme="majorBidi"/>
                  <w:sz w:val="28"/>
                  <w:szCs w:val="28"/>
                </w:rPr>
              </w:pPr>
            </w:p>
          </w:tc>
        </w:tr>
      </w:sdtContent>
    </w:sdt>
  </w:tbl>
  <w:p w14:paraId="006992DE" w14:textId="77777777" w:rsidR="008037AA" w:rsidRDefault="00803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5EB"/>
    <w:multiLevelType w:val="hybridMultilevel"/>
    <w:tmpl w:val="A192FEEE"/>
    <w:lvl w:ilvl="0" w:tplc="2A44D0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21E82"/>
    <w:multiLevelType w:val="hybridMultilevel"/>
    <w:tmpl w:val="1354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E09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2609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2E59F0"/>
    <w:multiLevelType w:val="hybridMultilevel"/>
    <w:tmpl w:val="1CAAF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901394"/>
    <w:multiLevelType w:val="hybridMultilevel"/>
    <w:tmpl w:val="8B3CF09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9038A4"/>
    <w:multiLevelType w:val="hybridMultilevel"/>
    <w:tmpl w:val="5A7CDABA"/>
    <w:lvl w:ilvl="0" w:tplc="E3F01F5C">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F440E2"/>
    <w:multiLevelType w:val="multilevel"/>
    <w:tmpl w:val="B84CC7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220F0B"/>
    <w:multiLevelType w:val="hybridMultilevel"/>
    <w:tmpl w:val="931AB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5327C5"/>
    <w:multiLevelType w:val="hybridMultilevel"/>
    <w:tmpl w:val="B7F84D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8"/>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50"/>
    <w:rsid w:val="0000269F"/>
    <w:rsid w:val="000034B8"/>
    <w:rsid w:val="00003527"/>
    <w:rsid w:val="00003C5A"/>
    <w:rsid w:val="000050F8"/>
    <w:rsid w:val="00005F06"/>
    <w:rsid w:val="00006042"/>
    <w:rsid w:val="000110C6"/>
    <w:rsid w:val="000112A3"/>
    <w:rsid w:val="0001331B"/>
    <w:rsid w:val="00013C7F"/>
    <w:rsid w:val="00013ED3"/>
    <w:rsid w:val="00014845"/>
    <w:rsid w:val="00016A38"/>
    <w:rsid w:val="00021396"/>
    <w:rsid w:val="00021EBF"/>
    <w:rsid w:val="00022902"/>
    <w:rsid w:val="000234CC"/>
    <w:rsid w:val="00023A61"/>
    <w:rsid w:val="00024632"/>
    <w:rsid w:val="00026376"/>
    <w:rsid w:val="00030602"/>
    <w:rsid w:val="00030CA5"/>
    <w:rsid w:val="00031358"/>
    <w:rsid w:val="000326AE"/>
    <w:rsid w:val="00033FDE"/>
    <w:rsid w:val="0003523C"/>
    <w:rsid w:val="00036796"/>
    <w:rsid w:val="00036D8E"/>
    <w:rsid w:val="00037693"/>
    <w:rsid w:val="000413FD"/>
    <w:rsid w:val="00044A2C"/>
    <w:rsid w:val="00044D5D"/>
    <w:rsid w:val="000459B3"/>
    <w:rsid w:val="000461F1"/>
    <w:rsid w:val="00046979"/>
    <w:rsid w:val="00050C4D"/>
    <w:rsid w:val="0005444C"/>
    <w:rsid w:val="00056FEB"/>
    <w:rsid w:val="000572BD"/>
    <w:rsid w:val="00061F2D"/>
    <w:rsid w:val="000636CA"/>
    <w:rsid w:val="00063921"/>
    <w:rsid w:val="000642C4"/>
    <w:rsid w:val="00070DEE"/>
    <w:rsid w:val="00071736"/>
    <w:rsid w:val="000729A2"/>
    <w:rsid w:val="000733DC"/>
    <w:rsid w:val="000748BF"/>
    <w:rsid w:val="0007722E"/>
    <w:rsid w:val="0007761B"/>
    <w:rsid w:val="00080966"/>
    <w:rsid w:val="000817B5"/>
    <w:rsid w:val="00081F94"/>
    <w:rsid w:val="00081FE1"/>
    <w:rsid w:val="00082B2C"/>
    <w:rsid w:val="00083B34"/>
    <w:rsid w:val="0008492D"/>
    <w:rsid w:val="000851E8"/>
    <w:rsid w:val="00095EA3"/>
    <w:rsid w:val="000976A2"/>
    <w:rsid w:val="00097762"/>
    <w:rsid w:val="000A1B6C"/>
    <w:rsid w:val="000A1CDC"/>
    <w:rsid w:val="000A381A"/>
    <w:rsid w:val="000A3F03"/>
    <w:rsid w:val="000A3F63"/>
    <w:rsid w:val="000A5DBD"/>
    <w:rsid w:val="000A6208"/>
    <w:rsid w:val="000A64F7"/>
    <w:rsid w:val="000A6A97"/>
    <w:rsid w:val="000B1789"/>
    <w:rsid w:val="000B1797"/>
    <w:rsid w:val="000B1EA9"/>
    <w:rsid w:val="000B41EB"/>
    <w:rsid w:val="000B4B84"/>
    <w:rsid w:val="000B5C24"/>
    <w:rsid w:val="000B680A"/>
    <w:rsid w:val="000B7B82"/>
    <w:rsid w:val="000C0350"/>
    <w:rsid w:val="000C03B4"/>
    <w:rsid w:val="000C1DB3"/>
    <w:rsid w:val="000C3A99"/>
    <w:rsid w:val="000C5DF5"/>
    <w:rsid w:val="000C7497"/>
    <w:rsid w:val="000D0242"/>
    <w:rsid w:val="000D4122"/>
    <w:rsid w:val="000D5240"/>
    <w:rsid w:val="000D670F"/>
    <w:rsid w:val="000D736C"/>
    <w:rsid w:val="000D7C91"/>
    <w:rsid w:val="000E284A"/>
    <w:rsid w:val="000E398B"/>
    <w:rsid w:val="000E4A77"/>
    <w:rsid w:val="000E7565"/>
    <w:rsid w:val="000E7871"/>
    <w:rsid w:val="000F2D58"/>
    <w:rsid w:val="000F32AA"/>
    <w:rsid w:val="00103675"/>
    <w:rsid w:val="00106799"/>
    <w:rsid w:val="0010740C"/>
    <w:rsid w:val="00111F7C"/>
    <w:rsid w:val="0011261C"/>
    <w:rsid w:val="001142AD"/>
    <w:rsid w:val="00114AF5"/>
    <w:rsid w:val="00116158"/>
    <w:rsid w:val="001169A7"/>
    <w:rsid w:val="00117AB6"/>
    <w:rsid w:val="00121C78"/>
    <w:rsid w:val="001231C7"/>
    <w:rsid w:val="001243C1"/>
    <w:rsid w:val="00133053"/>
    <w:rsid w:val="00134DFF"/>
    <w:rsid w:val="0013634A"/>
    <w:rsid w:val="00141D7C"/>
    <w:rsid w:val="00143D53"/>
    <w:rsid w:val="0014599D"/>
    <w:rsid w:val="0014612D"/>
    <w:rsid w:val="0014690B"/>
    <w:rsid w:val="00147E8B"/>
    <w:rsid w:val="00151B61"/>
    <w:rsid w:val="00156D45"/>
    <w:rsid w:val="00160E1E"/>
    <w:rsid w:val="0016350A"/>
    <w:rsid w:val="00171BE9"/>
    <w:rsid w:val="0017274D"/>
    <w:rsid w:val="00173AFB"/>
    <w:rsid w:val="00173F4F"/>
    <w:rsid w:val="00176E9E"/>
    <w:rsid w:val="00181258"/>
    <w:rsid w:val="001848DD"/>
    <w:rsid w:val="00190356"/>
    <w:rsid w:val="00190B43"/>
    <w:rsid w:val="001923A8"/>
    <w:rsid w:val="00193728"/>
    <w:rsid w:val="001945AC"/>
    <w:rsid w:val="00194A5E"/>
    <w:rsid w:val="00197863"/>
    <w:rsid w:val="001A0EF7"/>
    <w:rsid w:val="001A212B"/>
    <w:rsid w:val="001A32B9"/>
    <w:rsid w:val="001A43FB"/>
    <w:rsid w:val="001A5D76"/>
    <w:rsid w:val="001B40A7"/>
    <w:rsid w:val="001B48F8"/>
    <w:rsid w:val="001B4CAA"/>
    <w:rsid w:val="001B5FB9"/>
    <w:rsid w:val="001B7259"/>
    <w:rsid w:val="001B7B0A"/>
    <w:rsid w:val="001C20CC"/>
    <w:rsid w:val="001C210A"/>
    <w:rsid w:val="001C2448"/>
    <w:rsid w:val="001C4A7F"/>
    <w:rsid w:val="001C5A86"/>
    <w:rsid w:val="001C5D4B"/>
    <w:rsid w:val="001C7265"/>
    <w:rsid w:val="001C78C6"/>
    <w:rsid w:val="001C7B5E"/>
    <w:rsid w:val="001D24F1"/>
    <w:rsid w:val="001D3962"/>
    <w:rsid w:val="001D4CB0"/>
    <w:rsid w:val="001D53E9"/>
    <w:rsid w:val="001E163F"/>
    <w:rsid w:val="001E2754"/>
    <w:rsid w:val="001E2CD9"/>
    <w:rsid w:val="001E3A9E"/>
    <w:rsid w:val="001E4428"/>
    <w:rsid w:val="001E4A44"/>
    <w:rsid w:val="001E6BCB"/>
    <w:rsid w:val="001F01D8"/>
    <w:rsid w:val="001F0483"/>
    <w:rsid w:val="0020217D"/>
    <w:rsid w:val="00205845"/>
    <w:rsid w:val="00206CA1"/>
    <w:rsid w:val="00207A79"/>
    <w:rsid w:val="00207E6D"/>
    <w:rsid w:val="002179BB"/>
    <w:rsid w:val="002216BB"/>
    <w:rsid w:val="002220CB"/>
    <w:rsid w:val="00222DD9"/>
    <w:rsid w:val="00224167"/>
    <w:rsid w:val="002249AC"/>
    <w:rsid w:val="00224DB9"/>
    <w:rsid w:val="00227F52"/>
    <w:rsid w:val="00233B04"/>
    <w:rsid w:val="0023438F"/>
    <w:rsid w:val="002353D8"/>
    <w:rsid w:val="00235D5C"/>
    <w:rsid w:val="00237596"/>
    <w:rsid w:val="00237A38"/>
    <w:rsid w:val="00237A44"/>
    <w:rsid w:val="00237A6B"/>
    <w:rsid w:val="00244AFB"/>
    <w:rsid w:val="002504FB"/>
    <w:rsid w:val="00250552"/>
    <w:rsid w:val="002526A5"/>
    <w:rsid w:val="00253F18"/>
    <w:rsid w:val="00254A2C"/>
    <w:rsid w:val="00260A0A"/>
    <w:rsid w:val="0026131B"/>
    <w:rsid w:val="00263D44"/>
    <w:rsid w:val="00263EB8"/>
    <w:rsid w:val="002645A8"/>
    <w:rsid w:val="00265BC2"/>
    <w:rsid w:val="00265C4F"/>
    <w:rsid w:val="00266BCA"/>
    <w:rsid w:val="00267516"/>
    <w:rsid w:val="0027052C"/>
    <w:rsid w:val="00270E1B"/>
    <w:rsid w:val="002715D7"/>
    <w:rsid w:val="0027188B"/>
    <w:rsid w:val="002752DF"/>
    <w:rsid w:val="0027568A"/>
    <w:rsid w:val="00276D45"/>
    <w:rsid w:val="0027754B"/>
    <w:rsid w:val="002803BD"/>
    <w:rsid w:val="00283D64"/>
    <w:rsid w:val="002852B9"/>
    <w:rsid w:val="00285ACF"/>
    <w:rsid w:val="00290232"/>
    <w:rsid w:val="00291EA1"/>
    <w:rsid w:val="002936B5"/>
    <w:rsid w:val="00294E0B"/>
    <w:rsid w:val="0029501F"/>
    <w:rsid w:val="002970DF"/>
    <w:rsid w:val="00297852"/>
    <w:rsid w:val="002979C3"/>
    <w:rsid w:val="002A0A0B"/>
    <w:rsid w:val="002A1393"/>
    <w:rsid w:val="002A13F1"/>
    <w:rsid w:val="002A2155"/>
    <w:rsid w:val="002A3577"/>
    <w:rsid w:val="002A37EE"/>
    <w:rsid w:val="002A3AEE"/>
    <w:rsid w:val="002A3C72"/>
    <w:rsid w:val="002A3C9F"/>
    <w:rsid w:val="002A5BF6"/>
    <w:rsid w:val="002B0349"/>
    <w:rsid w:val="002B20D2"/>
    <w:rsid w:val="002B230E"/>
    <w:rsid w:val="002B2B45"/>
    <w:rsid w:val="002B3247"/>
    <w:rsid w:val="002B4146"/>
    <w:rsid w:val="002B70D1"/>
    <w:rsid w:val="002B7809"/>
    <w:rsid w:val="002C0307"/>
    <w:rsid w:val="002C05BC"/>
    <w:rsid w:val="002C2198"/>
    <w:rsid w:val="002C246C"/>
    <w:rsid w:val="002C308B"/>
    <w:rsid w:val="002C4FAF"/>
    <w:rsid w:val="002C5379"/>
    <w:rsid w:val="002C6636"/>
    <w:rsid w:val="002D01CF"/>
    <w:rsid w:val="002D24AE"/>
    <w:rsid w:val="002D28AC"/>
    <w:rsid w:val="002D346F"/>
    <w:rsid w:val="002D520A"/>
    <w:rsid w:val="002D7D9C"/>
    <w:rsid w:val="002E0F5A"/>
    <w:rsid w:val="002E183D"/>
    <w:rsid w:val="002E2C26"/>
    <w:rsid w:val="002E2FB4"/>
    <w:rsid w:val="002E39B7"/>
    <w:rsid w:val="002E434C"/>
    <w:rsid w:val="002E482B"/>
    <w:rsid w:val="002E538F"/>
    <w:rsid w:val="002E5FCA"/>
    <w:rsid w:val="002F15E3"/>
    <w:rsid w:val="002F197A"/>
    <w:rsid w:val="002F3BCD"/>
    <w:rsid w:val="002F4097"/>
    <w:rsid w:val="003007E8"/>
    <w:rsid w:val="0030139C"/>
    <w:rsid w:val="00302CE7"/>
    <w:rsid w:val="00302DBD"/>
    <w:rsid w:val="00304A66"/>
    <w:rsid w:val="00306765"/>
    <w:rsid w:val="00310331"/>
    <w:rsid w:val="003104E7"/>
    <w:rsid w:val="003117EC"/>
    <w:rsid w:val="00314AAA"/>
    <w:rsid w:val="003171E7"/>
    <w:rsid w:val="0031754F"/>
    <w:rsid w:val="00320D55"/>
    <w:rsid w:val="00321109"/>
    <w:rsid w:val="00321ED6"/>
    <w:rsid w:val="0032385D"/>
    <w:rsid w:val="00324171"/>
    <w:rsid w:val="00324373"/>
    <w:rsid w:val="00324947"/>
    <w:rsid w:val="00326CA0"/>
    <w:rsid w:val="0033235D"/>
    <w:rsid w:val="003326F9"/>
    <w:rsid w:val="00332A61"/>
    <w:rsid w:val="003348CB"/>
    <w:rsid w:val="00334DD0"/>
    <w:rsid w:val="00334E10"/>
    <w:rsid w:val="0033660B"/>
    <w:rsid w:val="00336A3D"/>
    <w:rsid w:val="003372C3"/>
    <w:rsid w:val="00342520"/>
    <w:rsid w:val="003456B9"/>
    <w:rsid w:val="0035061A"/>
    <w:rsid w:val="003537F8"/>
    <w:rsid w:val="00355501"/>
    <w:rsid w:val="00355E7B"/>
    <w:rsid w:val="0035644F"/>
    <w:rsid w:val="003576F0"/>
    <w:rsid w:val="00360CA0"/>
    <w:rsid w:val="00361E5D"/>
    <w:rsid w:val="00362764"/>
    <w:rsid w:val="0036321D"/>
    <w:rsid w:val="003650F4"/>
    <w:rsid w:val="0036527A"/>
    <w:rsid w:val="00365B00"/>
    <w:rsid w:val="00365CD4"/>
    <w:rsid w:val="00365F41"/>
    <w:rsid w:val="00367B77"/>
    <w:rsid w:val="00370CC1"/>
    <w:rsid w:val="00371BFB"/>
    <w:rsid w:val="003723D3"/>
    <w:rsid w:val="003727CC"/>
    <w:rsid w:val="003766AC"/>
    <w:rsid w:val="00376811"/>
    <w:rsid w:val="00383C54"/>
    <w:rsid w:val="00385E64"/>
    <w:rsid w:val="00386C1E"/>
    <w:rsid w:val="00387C46"/>
    <w:rsid w:val="00392349"/>
    <w:rsid w:val="00392EF6"/>
    <w:rsid w:val="00393105"/>
    <w:rsid w:val="003939D3"/>
    <w:rsid w:val="00393EA9"/>
    <w:rsid w:val="003944B3"/>
    <w:rsid w:val="0039554B"/>
    <w:rsid w:val="003958E4"/>
    <w:rsid w:val="003962BD"/>
    <w:rsid w:val="00397D4B"/>
    <w:rsid w:val="003A0ED5"/>
    <w:rsid w:val="003A538C"/>
    <w:rsid w:val="003A53D3"/>
    <w:rsid w:val="003A6099"/>
    <w:rsid w:val="003A68AE"/>
    <w:rsid w:val="003A6F5C"/>
    <w:rsid w:val="003B01D8"/>
    <w:rsid w:val="003B1B81"/>
    <w:rsid w:val="003B1C37"/>
    <w:rsid w:val="003B3040"/>
    <w:rsid w:val="003B35B9"/>
    <w:rsid w:val="003C080F"/>
    <w:rsid w:val="003C1369"/>
    <w:rsid w:val="003C40CB"/>
    <w:rsid w:val="003C5503"/>
    <w:rsid w:val="003D3A7C"/>
    <w:rsid w:val="003D63E1"/>
    <w:rsid w:val="003D69F3"/>
    <w:rsid w:val="003D799C"/>
    <w:rsid w:val="003D7F69"/>
    <w:rsid w:val="003E0987"/>
    <w:rsid w:val="003E1D98"/>
    <w:rsid w:val="003E2C4F"/>
    <w:rsid w:val="003E3CAE"/>
    <w:rsid w:val="003E4C8D"/>
    <w:rsid w:val="003E5757"/>
    <w:rsid w:val="003E5D9D"/>
    <w:rsid w:val="003E6880"/>
    <w:rsid w:val="003E6E02"/>
    <w:rsid w:val="003F0444"/>
    <w:rsid w:val="003F086D"/>
    <w:rsid w:val="003F4254"/>
    <w:rsid w:val="003F6EFC"/>
    <w:rsid w:val="003F7079"/>
    <w:rsid w:val="003F744C"/>
    <w:rsid w:val="003F7807"/>
    <w:rsid w:val="00400596"/>
    <w:rsid w:val="00402559"/>
    <w:rsid w:val="0040347B"/>
    <w:rsid w:val="0040478D"/>
    <w:rsid w:val="004048E1"/>
    <w:rsid w:val="00405760"/>
    <w:rsid w:val="0041036A"/>
    <w:rsid w:val="004122D7"/>
    <w:rsid w:val="00416363"/>
    <w:rsid w:val="00416E8C"/>
    <w:rsid w:val="00417691"/>
    <w:rsid w:val="00417FF2"/>
    <w:rsid w:val="004204B4"/>
    <w:rsid w:val="00424C64"/>
    <w:rsid w:val="004253A3"/>
    <w:rsid w:val="00425BC9"/>
    <w:rsid w:val="00431237"/>
    <w:rsid w:val="00431A08"/>
    <w:rsid w:val="00434FAF"/>
    <w:rsid w:val="00435C6D"/>
    <w:rsid w:val="00436B17"/>
    <w:rsid w:val="00441277"/>
    <w:rsid w:val="00442446"/>
    <w:rsid w:val="0044334F"/>
    <w:rsid w:val="00445B0A"/>
    <w:rsid w:val="004464BB"/>
    <w:rsid w:val="004511D1"/>
    <w:rsid w:val="00453770"/>
    <w:rsid w:val="004564F2"/>
    <w:rsid w:val="004577CB"/>
    <w:rsid w:val="004610CE"/>
    <w:rsid w:val="00466164"/>
    <w:rsid w:val="00470219"/>
    <w:rsid w:val="0047338C"/>
    <w:rsid w:val="004738FA"/>
    <w:rsid w:val="004740B8"/>
    <w:rsid w:val="004748C2"/>
    <w:rsid w:val="0047622F"/>
    <w:rsid w:val="0047726F"/>
    <w:rsid w:val="00480B79"/>
    <w:rsid w:val="0048265F"/>
    <w:rsid w:val="0048410C"/>
    <w:rsid w:val="004856F6"/>
    <w:rsid w:val="00486CEC"/>
    <w:rsid w:val="0048741D"/>
    <w:rsid w:val="00487950"/>
    <w:rsid w:val="004903BD"/>
    <w:rsid w:val="00490E77"/>
    <w:rsid w:val="00492F51"/>
    <w:rsid w:val="00493828"/>
    <w:rsid w:val="00493B97"/>
    <w:rsid w:val="00493F28"/>
    <w:rsid w:val="0049465D"/>
    <w:rsid w:val="004966C6"/>
    <w:rsid w:val="004A18B4"/>
    <w:rsid w:val="004A41D3"/>
    <w:rsid w:val="004A6057"/>
    <w:rsid w:val="004A629C"/>
    <w:rsid w:val="004A6F59"/>
    <w:rsid w:val="004A7E29"/>
    <w:rsid w:val="004B06F5"/>
    <w:rsid w:val="004B0AF5"/>
    <w:rsid w:val="004B0E14"/>
    <w:rsid w:val="004B207C"/>
    <w:rsid w:val="004B31AA"/>
    <w:rsid w:val="004B39E5"/>
    <w:rsid w:val="004B3BCE"/>
    <w:rsid w:val="004B3CF9"/>
    <w:rsid w:val="004B43E5"/>
    <w:rsid w:val="004B4B8A"/>
    <w:rsid w:val="004B4CF5"/>
    <w:rsid w:val="004B68B0"/>
    <w:rsid w:val="004B7863"/>
    <w:rsid w:val="004C032E"/>
    <w:rsid w:val="004C2E20"/>
    <w:rsid w:val="004C558F"/>
    <w:rsid w:val="004D0CEF"/>
    <w:rsid w:val="004D5FDC"/>
    <w:rsid w:val="004E2B79"/>
    <w:rsid w:val="004E34AE"/>
    <w:rsid w:val="004E4B9A"/>
    <w:rsid w:val="004E58C9"/>
    <w:rsid w:val="004E7277"/>
    <w:rsid w:val="00501CF4"/>
    <w:rsid w:val="00502025"/>
    <w:rsid w:val="0050293F"/>
    <w:rsid w:val="00502C44"/>
    <w:rsid w:val="00504E7D"/>
    <w:rsid w:val="00505538"/>
    <w:rsid w:val="00510383"/>
    <w:rsid w:val="005104BF"/>
    <w:rsid w:val="0051118E"/>
    <w:rsid w:val="00512BD8"/>
    <w:rsid w:val="00512E7E"/>
    <w:rsid w:val="00513EF5"/>
    <w:rsid w:val="00514644"/>
    <w:rsid w:val="00515769"/>
    <w:rsid w:val="0052597F"/>
    <w:rsid w:val="0052792E"/>
    <w:rsid w:val="005307C0"/>
    <w:rsid w:val="00531462"/>
    <w:rsid w:val="00532AC3"/>
    <w:rsid w:val="005334C8"/>
    <w:rsid w:val="00533F98"/>
    <w:rsid w:val="0053432E"/>
    <w:rsid w:val="00534781"/>
    <w:rsid w:val="005367E9"/>
    <w:rsid w:val="00537250"/>
    <w:rsid w:val="005407FF"/>
    <w:rsid w:val="00541051"/>
    <w:rsid w:val="00542809"/>
    <w:rsid w:val="0054291A"/>
    <w:rsid w:val="00543A6D"/>
    <w:rsid w:val="00544FC8"/>
    <w:rsid w:val="00546A6E"/>
    <w:rsid w:val="005477B9"/>
    <w:rsid w:val="00550B56"/>
    <w:rsid w:val="00551C2A"/>
    <w:rsid w:val="0055518A"/>
    <w:rsid w:val="005558DF"/>
    <w:rsid w:val="0055599A"/>
    <w:rsid w:val="00556D09"/>
    <w:rsid w:val="00557A69"/>
    <w:rsid w:val="00561EC0"/>
    <w:rsid w:val="0056283E"/>
    <w:rsid w:val="005652FA"/>
    <w:rsid w:val="0057025B"/>
    <w:rsid w:val="00574B5D"/>
    <w:rsid w:val="00575EF6"/>
    <w:rsid w:val="0058007D"/>
    <w:rsid w:val="00580450"/>
    <w:rsid w:val="00583DE4"/>
    <w:rsid w:val="00584D95"/>
    <w:rsid w:val="005861BD"/>
    <w:rsid w:val="0058671B"/>
    <w:rsid w:val="00587CCB"/>
    <w:rsid w:val="00590B6E"/>
    <w:rsid w:val="00591ABE"/>
    <w:rsid w:val="00593A22"/>
    <w:rsid w:val="00594F22"/>
    <w:rsid w:val="005A0454"/>
    <w:rsid w:val="005A2C3C"/>
    <w:rsid w:val="005A362E"/>
    <w:rsid w:val="005A3C55"/>
    <w:rsid w:val="005A561F"/>
    <w:rsid w:val="005A75A9"/>
    <w:rsid w:val="005A76DE"/>
    <w:rsid w:val="005A76F5"/>
    <w:rsid w:val="005B0A42"/>
    <w:rsid w:val="005B0C51"/>
    <w:rsid w:val="005B260C"/>
    <w:rsid w:val="005B4EDC"/>
    <w:rsid w:val="005B7F04"/>
    <w:rsid w:val="005C7C14"/>
    <w:rsid w:val="005D0AE7"/>
    <w:rsid w:val="005D260B"/>
    <w:rsid w:val="005D3AF1"/>
    <w:rsid w:val="005D6017"/>
    <w:rsid w:val="005D7540"/>
    <w:rsid w:val="005D7E25"/>
    <w:rsid w:val="005E0EC8"/>
    <w:rsid w:val="005E0ECB"/>
    <w:rsid w:val="005E1E5A"/>
    <w:rsid w:val="005E23C4"/>
    <w:rsid w:val="005E5706"/>
    <w:rsid w:val="005E753B"/>
    <w:rsid w:val="005E7F55"/>
    <w:rsid w:val="005F3D56"/>
    <w:rsid w:val="005F4519"/>
    <w:rsid w:val="005F5F1B"/>
    <w:rsid w:val="005F6539"/>
    <w:rsid w:val="005F6B83"/>
    <w:rsid w:val="005F7412"/>
    <w:rsid w:val="005F7F55"/>
    <w:rsid w:val="0060063A"/>
    <w:rsid w:val="00603D86"/>
    <w:rsid w:val="006043A0"/>
    <w:rsid w:val="00604857"/>
    <w:rsid w:val="0060633B"/>
    <w:rsid w:val="00607F5D"/>
    <w:rsid w:val="00610AC5"/>
    <w:rsid w:val="006129F4"/>
    <w:rsid w:val="006131F7"/>
    <w:rsid w:val="00613EC8"/>
    <w:rsid w:val="00616AC6"/>
    <w:rsid w:val="00616F8A"/>
    <w:rsid w:val="006179AA"/>
    <w:rsid w:val="006221CC"/>
    <w:rsid w:val="00622BFB"/>
    <w:rsid w:val="006232A3"/>
    <w:rsid w:val="0062332E"/>
    <w:rsid w:val="00624834"/>
    <w:rsid w:val="006277EC"/>
    <w:rsid w:val="00627CA2"/>
    <w:rsid w:val="0063067D"/>
    <w:rsid w:val="00630E71"/>
    <w:rsid w:val="006315F3"/>
    <w:rsid w:val="00633AA5"/>
    <w:rsid w:val="00635921"/>
    <w:rsid w:val="0063632D"/>
    <w:rsid w:val="006402E8"/>
    <w:rsid w:val="0064141F"/>
    <w:rsid w:val="00641C14"/>
    <w:rsid w:val="006434F3"/>
    <w:rsid w:val="0064528B"/>
    <w:rsid w:val="00647277"/>
    <w:rsid w:val="00647D3B"/>
    <w:rsid w:val="0065045B"/>
    <w:rsid w:val="00651062"/>
    <w:rsid w:val="00651D38"/>
    <w:rsid w:val="00651EDB"/>
    <w:rsid w:val="00651F97"/>
    <w:rsid w:val="00653B76"/>
    <w:rsid w:val="00653FE6"/>
    <w:rsid w:val="00656D58"/>
    <w:rsid w:val="00662210"/>
    <w:rsid w:val="00662B2B"/>
    <w:rsid w:val="00662FAB"/>
    <w:rsid w:val="00663224"/>
    <w:rsid w:val="00663814"/>
    <w:rsid w:val="00666D6B"/>
    <w:rsid w:val="00671F81"/>
    <w:rsid w:val="00673A59"/>
    <w:rsid w:val="006749E2"/>
    <w:rsid w:val="00674D3A"/>
    <w:rsid w:val="006762F4"/>
    <w:rsid w:val="006765F7"/>
    <w:rsid w:val="006802A9"/>
    <w:rsid w:val="00682B27"/>
    <w:rsid w:val="006830D1"/>
    <w:rsid w:val="00683897"/>
    <w:rsid w:val="0068410E"/>
    <w:rsid w:val="00685052"/>
    <w:rsid w:val="00686D20"/>
    <w:rsid w:val="00687F78"/>
    <w:rsid w:val="00691462"/>
    <w:rsid w:val="0069535F"/>
    <w:rsid w:val="006954C4"/>
    <w:rsid w:val="00696505"/>
    <w:rsid w:val="006A563C"/>
    <w:rsid w:val="006B1585"/>
    <w:rsid w:val="006B2C0F"/>
    <w:rsid w:val="006B30AB"/>
    <w:rsid w:val="006B62EB"/>
    <w:rsid w:val="006B6E9C"/>
    <w:rsid w:val="006B7125"/>
    <w:rsid w:val="006B7362"/>
    <w:rsid w:val="006B75F0"/>
    <w:rsid w:val="006C1783"/>
    <w:rsid w:val="006C20B9"/>
    <w:rsid w:val="006C4B9B"/>
    <w:rsid w:val="006D0E95"/>
    <w:rsid w:val="006D4DBB"/>
    <w:rsid w:val="006D5207"/>
    <w:rsid w:val="006D6334"/>
    <w:rsid w:val="006E0CAD"/>
    <w:rsid w:val="006E37DC"/>
    <w:rsid w:val="006E39F9"/>
    <w:rsid w:val="006E4880"/>
    <w:rsid w:val="006E56C9"/>
    <w:rsid w:val="006E6169"/>
    <w:rsid w:val="006E61E9"/>
    <w:rsid w:val="006E7504"/>
    <w:rsid w:val="006E754E"/>
    <w:rsid w:val="006F126E"/>
    <w:rsid w:val="006F1825"/>
    <w:rsid w:val="006F4397"/>
    <w:rsid w:val="006F577C"/>
    <w:rsid w:val="006F5FB6"/>
    <w:rsid w:val="006F74B3"/>
    <w:rsid w:val="00700585"/>
    <w:rsid w:val="0070185A"/>
    <w:rsid w:val="00702D2B"/>
    <w:rsid w:val="00703773"/>
    <w:rsid w:val="00703E08"/>
    <w:rsid w:val="00704BAC"/>
    <w:rsid w:val="00705759"/>
    <w:rsid w:val="0070680C"/>
    <w:rsid w:val="00707375"/>
    <w:rsid w:val="007101DD"/>
    <w:rsid w:val="00710B3A"/>
    <w:rsid w:val="007132F1"/>
    <w:rsid w:val="007135D0"/>
    <w:rsid w:val="00713BD1"/>
    <w:rsid w:val="00713F74"/>
    <w:rsid w:val="007148B9"/>
    <w:rsid w:val="00714AD7"/>
    <w:rsid w:val="00715684"/>
    <w:rsid w:val="007172B6"/>
    <w:rsid w:val="00720A54"/>
    <w:rsid w:val="0072261D"/>
    <w:rsid w:val="00723FE7"/>
    <w:rsid w:val="00724B7A"/>
    <w:rsid w:val="007250CC"/>
    <w:rsid w:val="00725BBE"/>
    <w:rsid w:val="00725F6A"/>
    <w:rsid w:val="00726B6D"/>
    <w:rsid w:val="00727FC9"/>
    <w:rsid w:val="00732FF8"/>
    <w:rsid w:val="007337C8"/>
    <w:rsid w:val="0073568C"/>
    <w:rsid w:val="00736DAB"/>
    <w:rsid w:val="0073728F"/>
    <w:rsid w:val="00737A74"/>
    <w:rsid w:val="007408BF"/>
    <w:rsid w:val="00740DAB"/>
    <w:rsid w:val="00742718"/>
    <w:rsid w:val="007430CD"/>
    <w:rsid w:val="0074679D"/>
    <w:rsid w:val="007479A6"/>
    <w:rsid w:val="00747F49"/>
    <w:rsid w:val="007502BE"/>
    <w:rsid w:val="00750378"/>
    <w:rsid w:val="00751F2F"/>
    <w:rsid w:val="00753235"/>
    <w:rsid w:val="00754F5C"/>
    <w:rsid w:val="00756D63"/>
    <w:rsid w:val="00756F60"/>
    <w:rsid w:val="00760F32"/>
    <w:rsid w:val="00761D1F"/>
    <w:rsid w:val="00762274"/>
    <w:rsid w:val="007634EA"/>
    <w:rsid w:val="00763AD0"/>
    <w:rsid w:val="00763EE1"/>
    <w:rsid w:val="0076410A"/>
    <w:rsid w:val="00764597"/>
    <w:rsid w:val="00765542"/>
    <w:rsid w:val="007656ED"/>
    <w:rsid w:val="00765FB0"/>
    <w:rsid w:val="00766762"/>
    <w:rsid w:val="00770465"/>
    <w:rsid w:val="00772220"/>
    <w:rsid w:val="00772510"/>
    <w:rsid w:val="00773959"/>
    <w:rsid w:val="00773D72"/>
    <w:rsid w:val="00773D97"/>
    <w:rsid w:val="00775FE2"/>
    <w:rsid w:val="007807CC"/>
    <w:rsid w:val="00780EBE"/>
    <w:rsid w:val="00782087"/>
    <w:rsid w:val="007834F2"/>
    <w:rsid w:val="007838B4"/>
    <w:rsid w:val="00784AD8"/>
    <w:rsid w:val="00784B78"/>
    <w:rsid w:val="00785C76"/>
    <w:rsid w:val="00786164"/>
    <w:rsid w:val="00787809"/>
    <w:rsid w:val="00787B0F"/>
    <w:rsid w:val="00787D43"/>
    <w:rsid w:val="007911BB"/>
    <w:rsid w:val="00791587"/>
    <w:rsid w:val="00791A54"/>
    <w:rsid w:val="00792D0C"/>
    <w:rsid w:val="00793055"/>
    <w:rsid w:val="007936E6"/>
    <w:rsid w:val="00793F0E"/>
    <w:rsid w:val="00795425"/>
    <w:rsid w:val="00795695"/>
    <w:rsid w:val="00796241"/>
    <w:rsid w:val="00797276"/>
    <w:rsid w:val="007A3CE3"/>
    <w:rsid w:val="007A5879"/>
    <w:rsid w:val="007A5B92"/>
    <w:rsid w:val="007A5E83"/>
    <w:rsid w:val="007B4E11"/>
    <w:rsid w:val="007B5F31"/>
    <w:rsid w:val="007B602C"/>
    <w:rsid w:val="007B7140"/>
    <w:rsid w:val="007B7E0C"/>
    <w:rsid w:val="007C0A0B"/>
    <w:rsid w:val="007C13C6"/>
    <w:rsid w:val="007C24BE"/>
    <w:rsid w:val="007C3728"/>
    <w:rsid w:val="007C5BA8"/>
    <w:rsid w:val="007C620C"/>
    <w:rsid w:val="007C625B"/>
    <w:rsid w:val="007D066C"/>
    <w:rsid w:val="007D4BFD"/>
    <w:rsid w:val="007D5149"/>
    <w:rsid w:val="007D697D"/>
    <w:rsid w:val="007D7A37"/>
    <w:rsid w:val="007E0B17"/>
    <w:rsid w:val="007E34CE"/>
    <w:rsid w:val="007E4C3D"/>
    <w:rsid w:val="007E50C6"/>
    <w:rsid w:val="007E536F"/>
    <w:rsid w:val="007E5FAB"/>
    <w:rsid w:val="007E76F9"/>
    <w:rsid w:val="007F08DA"/>
    <w:rsid w:val="007F7ECA"/>
    <w:rsid w:val="00800A42"/>
    <w:rsid w:val="0080178C"/>
    <w:rsid w:val="0080369C"/>
    <w:rsid w:val="008037AA"/>
    <w:rsid w:val="00803992"/>
    <w:rsid w:val="00803BB0"/>
    <w:rsid w:val="00804ED2"/>
    <w:rsid w:val="008053F0"/>
    <w:rsid w:val="00807072"/>
    <w:rsid w:val="00807B85"/>
    <w:rsid w:val="00807B96"/>
    <w:rsid w:val="00811297"/>
    <w:rsid w:val="00811C2E"/>
    <w:rsid w:val="0081613F"/>
    <w:rsid w:val="00822811"/>
    <w:rsid w:val="00824353"/>
    <w:rsid w:val="00825947"/>
    <w:rsid w:val="00826CC4"/>
    <w:rsid w:val="0082773E"/>
    <w:rsid w:val="00832231"/>
    <w:rsid w:val="00832AD5"/>
    <w:rsid w:val="008348F3"/>
    <w:rsid w:val="00836E8A"/>
    <w:rsid w:val="0083711D"/>
    <w:rsid w:val="0084061C"/>
    <w:rsid w:val="00841673"/>
    <w:rsid w:val="00843F2B"/>
    <w:rsid w:val="00846FFC"/>
    <w:rsid w:val="00847073"/>
    <w:rsid w:val="008477EA"/>
    <w:rsid w:val="00847B49"/>
    <w:rsid w:val="0085566D"/>
    <w:rsid w:val="00855E87"/>
    <w:rsid w:val="00856A7F"/>
    <w:rsid w:val="00863BC8"/>
    <w:rsid w:val="00865FD0"/>
    <w:rsid w:val="00866532"/>
    <w:rsid w:val="00866D75"/>
    <w:rsid w:val="008719C7"/>
    <w:rsid w:val="00872DB7"/>
    <w:rsid w:val="00873A7F"/>
    <w:rsid w:val="008755DC"/>
    <w:rsid w:val="00875986"/>
    <w:rsid w:val="00875FA2"/>
    <w:rsid w:val="00876A84"/>
    <w:rsid w:val="00876EA6"/>
    <w:rsid w:val="00877ECB"/>
    <w:rsid w:val="008806A8"/>
    <w:rsid w:val="00884182"/>
    <w:rsid w:val="0088546C"/>
    <w:rsid w:val="0088594E"/>
    <w:rsid w:val="00886607"/>
    <w:rsid w:val="00886CE4"/>
    <w:rsid w:val="00892F57"/>
    <w:rsid w:val="00893D6A"/>
    <w:rsid w:val="00894066"/>
    <w:rsid w:val="008942D3"/>
    <w:rsid w:val="0089696B"/>
    <w:rsid w:val="00897CC3"/>
    <w:rsid w:val="008B35E9"/>
    <w:rsid w:val="008B406C"/>
    <w:rsid w:val="008B42E4"/>
    <w:rsid w:val="008B43EC"/>
    <w:rsid w:val="008B63C5"/>
    <w:rsid w:val="008B7D6A"/>
    <w:rsid w:val="008B7DC4"/>
    <w:rsid w:val="008C0321"/>
    <w:rsid w:val="008C0843"/>
    <w:rsid w:val="008C254D"/>
    <w:rsid w:val="008C28A7"/>
    <w:rsid w:val="008C2EB7"/>
    <w:rsid w:val="008C35E9"/>
    <w:rsid w:val="008C3C66"/>
    <w:rsid w:val="008C3EF3"/>
    <w:rsid w:val="008C7A1F"/>
    <w:rsid w:val="008D14AA"/>
    <w:rsid w:val="008D191B"/>
    <w:rsid w:val="008D2B76"/>
    <w:rsid w:val="008D354E"/>
    <w:rsid w:val="008D5341"/>
    <w:rsid w:val="008D5BE4"/>
    <w:rsid w:val="008E0A9C"/>
    <w:rsid w:val="008E1D5D"/>
    <w:rsid w:val="008E224C"/>
    <w:rsid w:val="008E5EF3"/>
    <w:rsid w:val="008E7DE0"/>
    <w:rsid w:val="008F0AB2"/>
    <w:rsid w:val="009021EC"/>
    <w:rsid w:val="00903410"/>
    <w:rsid w:val="00905BD8"/>
    <w:rsid w:val="0091042E"/>
    <w:rsid w:val="00912220"/>
    <w:rsid w:val="00914F71"/>
    <w:rsid w:val="00915BBA"/>
    <w:rsid w:val="00915C70"/>
    <w:rsid w:val="009163DC"/>
    <w:rsid w:val="00920337"/>
    <w:rsid w:val="009206A5"/>
    <w:rsid w:val="009208AB"/>
    <w:rsid w:val="00920B23"/>
    <w:rsid w:val="009266E7"/>
    <w:rsid w:val="00927F47"/>
    <w:rsid w:val="00932E88"/>
    <w:rsid w:val="0093363B"/>
    <w:rsid w:val="00933FFD"/>
    <w:rsid w:val="00934E04"/>
    <w:rsid w:val="0093525E"/>
    <w:rsid w:val="00936666"/>
    <w:rsid w:val="00936DA7"/>
    <w:rsid w:val="00937671"/>
    <w:rsid w:val="009404C2"/>
    <w:rsid w:val="00940A15"/>
    <w:rsid w:val="00941294"/>
    <w:rsid w:val="0094321B"/>
    <w:rsid w:val="0094369B"/>
    <w:rsid w:val="00944F9D"/>
    <w:rsid w:val="00946117"/>
    <w:rsid w:val="00951341"/>
    <w:rsid w:val="00951C7B"/>
    <w:rsid w:val="009526E2"/>
    <w:rsid w:val="00954326"/>
    <w:rsid w:val="009554AC"/>
    <w:rsid w:val="0096016F"/>
    <w:rsid w:val="009602D1"/>
    <w:rsid w:val="00962829"/>
    <w:rsid w:val="00964A6A"/>
    <w:rsid w:val="00966D6C"/>
    <w:rsid w:val="00974810"/>
    <w:rsid w:val="00980DA1"/>
    <w:rsid w:val="00982DBA"/>
    <w:rsid w:val="0098547B"/>
    <w:rsid w:val="0098561F"/>
    <w:rsid w:val="0099143D"/>
    <w:rsid w:val="009915B3"/>
    <w:rsid w:val="00995F70"/>
    <w:rsid w:val="00996197"/>
    <w:rsid w:val="0099763B"/>
    <w:rsid w:val="009A2591"/>
    <w:rsid w:val="009A4A05"/>
    <w:rsid w:val="009A6034"/>
    <w:rsid w:val="009A70B6"/>
    <w:rsid w:val="009A7340"/>
    <w:rsid w:val="009B19FA"/>
    <w:rsid w:val="009B2BFD"/>
    <w:rsid w:val="009B3C28"/>
    <w:rsid w:val="009B5A12"/>
    <w:rsid w:val="009B7B9B"/>
    <w:rsid w:val="009C20D2"/>
    <w:rsid w:val="009C22EF"/>
    <w:rsid w:val="009C2829"/>
    <w:rsid w:val="009C4FD3"/>
    <w:rsid w:val="009C5F93"/>
    <w:rsid w:val="009D0187"/>
    <w:rsid w:val="009D03D3"/>
    <w:rsid w:val="009D1103"/>
    <w:rsid w:val="009D40E7"/>
    <w:rsid w:val="009E055F"/>
    <w:rsid w:val="009E13DA"/>
    <w:rsid w:val="009E1445"/>
    <w:rsid w:val="009E1B58"/>
    <w:rsid w:val="009E2EAC"/>
    <w:rsid w:val="009E360A"/>
    <w:rsid w:val="009E3B42"/>
    <w:rsid w:val="009E5379"/>
    <w:rsid w:val="009E54FD"/>
    <w:rsid w:val="009F0A4F"/>
    <w:rsid w:val="009F1022"/>
    <w:rsid w:val="009F1641"/>
    <w:rsid w:val="009F35C1"/>
    <w:rsid w:val="009F50E3"/>
    <w:rsid w:val="00A0171E"/>
    <w:rsid w:val="00A01F16"/>
    <w:rsid w:val="00A04138"/>
    <w:rsid w:val="00A076B9"/>
    <w:rsid w:val="00A11EBD"/>
    <w:rsid w:val="00A1504E"/>
    <w:rsid w:val="00A15324"/>
    <w:rsid w:val="00A15B6E"/>
    <w:rsid w:val="00A16FD2"/>
    <w:rsid w:val="00A20967"/>
    <w:rsid w:val="00A2290F"/>
    <w:rsid w:val="00A23A2C"/>
    <w:rsid w:val="00A24D87"/>
    <w:rsid w:val="00A25F5F"/>
    <w:rsid w:val="00A2669F"/>
    <w:rsid w:val="00A26B6D"/>
    <w:rsid w:val="00A279D6"/>
    <w:rsid w:val="00A3305C"/>
    <w:rsid w:val="00A355D6"/>
    <w:rsid w:val="00A37D8D"/>
    <w:rsid w:val="00A42D23"/>
    <w:rsid w:val="00A43BB4"/>
    <w:rsid w:val="00A45030"/>
    <w:rsid w:val="00A46235"/>
    <w:rsid w:val="00A46FFD"/>
    <w:rsid w:val="00A47D29"/>
    <w:rsid w:val="00A507B0"/>
    <w:rsid w:val="00A51428"/>
    <w:rsid w:val="00A52A07"/>
    <w:rsid w:val="00A52DC4"/>
    <w:rsid w:val="00A54B66"/>
    <w:rsid w:val="00A55B3C"/>
    <w:rsid w:val="00A57DE5"/>
    <w:rsid w:val="00A609A3"/>
    <w:rsid w:val="00A61543"/>
    <w:rsid w:val="00A61FCC"/>
    <w:rsid w:val="00A65D03"/>
    <w:rsid w:val="00A65EA5"/>
    <w:rsid w:val="00A71D5D"/>
    <w:rsid w:val="00A72C26"/>
    <w:rsid w:val="00A72F6A"/>
    <w:rsid w:val="00A76807"/>
    <w:rsid w:val="00A82609"/>
    <w:rsid w:val="00A83146"/>
    <w:rsid w:val="00A837BB"/>
    <w:rsid w:val="00A85532"/>
    <w:rsid w:val="00A85FAE"/>
    <w:rsid w:val="00A86889"/>
    <w:rsid w:val="00A87673"/>
    <w:rsid w:val="00A876A9"/>
    <w:rsid w:val="00A87A23"/>
    <w:rsid w:val="00A91C82"/>
    <w:rsid w:val="00A9253F"/>
    <w:rsid w:val="00A966D6"/>
    <w:rsid w:val="00A96E00"/>
    <w:rsid w:val="00A9708B"/>
    <w:rsid w:val="00AA10E8"/>
    <w:rsid w:val="00AA470E"/>
    <w:rsid w:val="00AA5A58"/>
    <w:rsid w:val="00AA5EDD"/>
    <w:rsid w:val="00AA74D6"/>
    <w:rsid w:val="00AA7EBB"/>
    <w:rsid w:val="00AA7EE7"/>
    <w:rsid w:val="00AB1D67"/>
    <w:rsid w:val="00AB1F6F"/>
    <w:rsid w:val="00AB2047"/>
    <w:rsid w:val="00AB2622"/>
    <w:rsid w:val="00AB2A38"/>
    <w:rsid w:val="00AB3482"/>
    <w:rsid w:val="00AB6666"/>
    <w:rsid w:val="00AB66CC"/>
    <w:rsid w:val="00AB74B2"/>
    <w:rsid w:val="00AB759A"/>
    <w:rsid w:val="00AC0ED4"/>
    <w:rsid w:val="00AC1D89"/>
    <w:rsid w:val="00AC1F29"/>
    <w:rsid w:val="00AC626F"/>
    <w:rsid w:val="00AC65E8"/>
    <w:rsid w:val="00AC7156"/>
    <w:rsid w:val="00AD1796"/>
    <w:rsid w:val="00AD65E8"/>
    <w:rsid w:val="00AE215E"/>
    <w:rsid w:val="00AE3969"/>
    <w:rsid w:val="00AE517A"/>
    <w:rsid w:val="00AE76B2"/>
    <w:rsid w:val="00AF0CA4"/>
    <w:rsid w:val="00AF269A"/>
    <w:rsid w:val="00AF40DC"/>
    <w:rsid w:val="00AF47DD"/>
    <w:rsid w:val="00AF5583"/>
    <w:rsid w:val="00AF7F8A"/>
    <w:rsid w:val="00B01CD2"/>
    <w:rsid w:val="00B04528"/>
    <w:rsid w:val="00B06411"/>
    <w:rsid w:val="00B11A79"/>
    <w:rsid w:val="00B12B0E"/>
    <w:rsid w:val="00B137E6"/>
    <w:rsid w:val="00B13DF0"/>
    <w:rsid w:val="00B1465B"/>
    <w:rsid w:val="00B14803"/>
    <w:rsid w:val="00B14A8D"/>
    <w:rsid w:val="00B14CB8"/>
    <w:rsid w:val="00B15587"/>
    <w:rsid w:val="00B15F1D"/>
    <w:rsid w:val="00B179C0"/>
    <w:rsid w:val="00B17C05"/>
    <w:rsid w:val="00B17F60"/>
    <w:rsid w:val="00B20C2E"/>
    <w:rsid w:val="00B22363"/>
    <w:rsid w:val="00B22E3A"/>
    <w:rsid w:val="00B260BC"/>
    <w:rsid w:val="00B2719B"/>
    <w:rsid w:val="00B328A0"/>
    <w:rsid w:val="00B341C4"/>
    <w:rsid w:val="00B36616"/>
    <w:rsid w:val="00B36DB5"/>
    <w:rsid w:val="00B4044B"/>
    <w:rsid w:val="00B40977"/>
    <w:rsid w:val="00B410D4"/>
    <w:rsid w:val="00B41F87"/>
    <w:rsid w:val="00B42055"/>
    <w:rsid w:val="00B42F60"/>
    <w:rsid w:val="00B44BDD"/>
    <w:rsid w:val="00B50CFB"/>
    <w:rsid w:val="00B510D6"/>
    <w:rsid w:val="00B52B14"/>
    <w:rsid w:val="00B54912"/>
    <w:rsid w:val="00B55222"/>
    <w:rsid w:val="00B6142A"/>
    <w:rsid w:val="00B62923"/>
    <w:rsid w:val="00B630BE"/>
    <w:rsid w:val="00B64293"/>
    <w:rsid w:val="00B66594"/>
    <w:rsid w:val="00B66E94"/>
    <w:rsid w:val="00B733C0"/>
    <w:rsid w:val="00B73542"/>
    <w:rsid w:val="00B76F15"/>
    <w:rsid w:val="00B77D68"/>
    <w:rsid w:val="00B77E72"/>
    <w:rsid w:val="00B81B6E"/>
    <w:rsid w:val="00B82DF6"/>
    <w:rsid w:val="00B83EA1"/>
    <w:rsid w:val="00B8461C"/>
    <w:rsid w:val="00B84A4A"/>
    <w:rsid w:val="00B85818"/>
    <w:rsid w:val="00B9066B"/>
    <w:rsid w:val="00B9108C"/>
    <w:rsid w:val="00B92F91"/>
    <w:rsid w:val="00B939D6"/>
    <w:rsid w:val="00B94A7B"/>
    <w:rsid w:val="00B957CE"/>
    <w:rsid w:val="00B968D1"/>
    <w:rsid w:val="00B97FD2"/>
    <w:rsid w:val="00BA0485"/>
    <w:rsid w:val="00BA25F0"/>
    <w:rsid w:val="00BA28AB"/>
    <w:rsid w:val="00BA2C15"/>
    <w:rsid w:val="00BA4F1F"/>
    <w:rsid w:val="00BA6610"/>
    <w:rsid w:val="00BA77EA"/>
    <w:rsid w:val="00BB213F"/>
    <w:rsid w:val="00BB2DD5"/>
    <w:rsid w:val="00BC168F"/>
    <w:rsid w:val="00BC5AAD"/>
    <w:rsid w:val="00BC6965"/>
    <w:rsid w:val="00BC7439"/>
    <w:rsid w:val="00BD0083"/>
    <w:rsid w:val="00BD042D"/>
    <w:rsid w:val="00BD4C0F"/>
    <w:rsid w:val="00BE0DAB"/>
    <w:rsid w:val="00BE1537"/>
    <w:rsid w:val="00BE23DF"/>
    <w:rsid w:val="00BE30AA"/>
    <w:rsid w:val="00BE311A"/>
    <w:rsid w:val="00BE63E0"/>
    <w:rsid w:val="00BF26E4"/>
    <w:rsid w:val="00BF27C3"/>
    <w:rsid w:val="00BF42BD"/>
    <w:rsid w:val="00BF4981"/>
    <w:rsid w:val="00BF5713"/>
    <w:rsid w:val="00BF6A6B"/>
    <w:rsid w:val="00BF6ECB"/>
    <w:rsid w:val="00C00773"/>
    <w:rsid w:val="00C0277E"/>
    <w:rsid w:val="00C04F5E"/>
    <w:rsid w:val="00C0636E"/>
    <w:rsid w:val="00C06D99"/>
    <w:rsid w:val="00C10C17"/>
    <w:rsid w:val="00C11D27"/>
    <w:rsid w:val="00C1261A"/>
    <w:rsid w:val="00C13942"/>
    <w:rsid w:val="00C14032"/>
    <w:rsid w:val="00C21F3D"/>
    <w:rsid w:val="00C221CE"/>
    <w:rsid w:val="00C22431"/>
    <w:rsid w:val="00C23681"/>
    <w:rsid w:val="00C23F95"/>
    <w:rsid w:val="00C24321"/>
    <w:rsid w:val="00C24543"/>
    <w:rsid w:val="00C26532"/>
    <w:rsid w:val="00C265F0"/>
    <w:rsid w:val="00C340CE"/>
    <w:rsid w:val="00C34A08"/>
    <w:rsid w:val="00C37AE3"/>
    <w:rsid w:val="00C37B22"/>
    <w:rsid w:val="00C405B4"/>
    <w:rsid w:val="00C40797"/>
    <w:rsid w:val="00C40FB7"/>
    <w:rsid w:val="00C43BFF"/>
    <w:rsid w:val="00C44C4C"/>
    <w:rsid w:val="00C52307"/>
    <w:rsid w:val="00C6038C"/>
    <w:rsid w:val="00C62672"/>
    <w:rsid w:val="00C628FD"/>
    <w:rsid w:val="00C63542"/>
    <w:rsid w:val="00C66FA1"/>
    <w:rsid w:val="00C67C4A"/>
    <w:rsid w:val="00C70318"/>
    <w:rsid w:val="00C70CFB"/>
    <w:rsid w:val="00C7216C"/>
    <w:rsid w:val="00C73363"/>
    <w:rsid w:val="00C734BA"/>
    <w:rsid w:val="00C74FF5"/>
    <w:rsid w:val="00C75272"/>
    <w:rsid w:val="00C769F0"/>
    <w:rsid w:val="00C77E26"/>
    <w:rsid w:val="00C77FAD"/>
    <w:rsid w:val="00C82CA9"/>
    <w:rsid w:val="00C832A6"/>
    <w:rsid w:val="00C8404C"/>
    <w:rsid w:val="00C8453D"/>
    <w:rsid w:val="00C912FC"/>
    <w:rsid w:val="00C91813"/>
    <w:rsid w:val="00C918D0"/>
    <w:rsid w:val="00C92438"/>
    <w:rsid w:val="00C9264B"/>
    <w:rsid w:val="00C943C1"/>
    <w:rsid w:val="00C9474F"/>
    <w:rsid w:val="00C94B45"/>
    <w:rsid w:val="00C95892"/>
    <w:rsid w:val="00C95C5D"/>
    <w:rsid w:val="00C95C7F"/>
    <w:rsid w:val="00C96390"/>
    <w:rsid w:val="00C966D7"/>
    <w:rsid w:val="00C96875"/>
    <w:rsid w:val="00CA1015"/>
    <w:rsid w:val="00CA1295"/>
    <w:rsid w:val="00CA2504"/>
    <w:rsid w:val="00CA45D6"/>
    <w:rsid w:val="00CA5773"/>
    <w:rsid w:val="00CA590B"/>
    <w:rsid w:val="00CA7639"/>
    <w:rsid w:val="00CA7AD6"/>
    <w:rsid w:val="00CB3F6B"/>
    <w:rsid w:val="00CB61F2"/>
    <w:rsid w:val="00CB7E96"/>
    <w:rsid w:val="00CC0F2A"/>
    <w:rsid w:val="00CC164E"/>
    <w:rsid w:val="00CC26E1"/>
    <w:rsid w:val="00CC3639"/>
    <w:rsid w:val="00CC3C6C"/>
    <w:rsid w:val="00CC6E3F"/>
    <w:rsid w:val="00CC7C7D"/>
    <w:rsid w:val="00CD0C44"/>
    <w:rsid w:val="00CD13FE"/>
    <w:rsid w:val="00CD2518"/>
    <w:rsid w:val="00CD2A06"/>
    <w:rsid w:val="00CD3B25"/>
    <w:rsid w:val="00CD54E5"/>
    <w:rsid w:val="00CD769E"/>
    <w:rsid w:val="00CE0EF6"/>
    <w:rsid w:val="00CE1523"/>
    <w:rsid w:val="00CE1E01"/>
    <w:rsid w:val="00CE319E"/>
    <w:rsid w:val="00CE7EF7"/>
    <w:rsid w:val="00CF01A0"/>
    <w:rsid w:val="00CF181A"/>
    <w:rsid w:val="00CF26F3"/>
    <w:rsid w:val="00CF4669"/>
    <w:rsid w:val="00CF49E3"/>
    <w:rsid w:val="00CF54DC"/>
    <w:rsid w:val="00CF6202"/>
    <w:rsid w:val="00CF66B9"/>
    <w:rsid w:val="00CF673C"/>
    <w:rsid w:val="00CF72AF"/>
    <w:rsid w:val="00CF79C6"/>
    <w:rsid w:val="00D00708"/>
    <w:rsid w:val="00D01F34"/>
    <w:rsid w:val="00D04C68"/>
    <w:rsid w:val="00D056E5"/>
    <w:rsid w:val="00D057DC"/>
    <w:rsid w:val="00D05952"/>
    <w:rsid w:val="00D05A06"/>
    <w:rsid w:val="00D104B5"/>
    <w:rsid w:val="00D1260D"/>
    <w:rsid w:val="00D151A2"/>
    <w:rsid w:val="00D170A6"/>
    <w:rsid w:val="00D21134"/>
    <w:rsid w:val="00D21997"/>
    <w:rsid w:val="00D219F7"/>
    <w:rsid w:val="00D2205A"/>
    <w:rsid w:val="00D220F4"/>
    <w:rsid w:val="00D22A1B"/>
    <w:rsid w:val="00D22EEE"/>
    <w:rsid w:val="00D23567"/>
    <w:rsid w:val="00D237EE"/>
    <w:rsid w:val="00D25FBD"/>
    <w:rsid w:val="00D26463"/>
    <w:rsid w:val="00D3253A"/>
    <w:rsid w:val="00D33250"/>
    <w:rsid w:val="00D34F2D"/>
    <w:rsid w:val="00D355A5"/>
    <w:rsid w:val="00D411CB"/>
    <w:rsid w:val="00D41829"/>
    <w:rsid w:val="00D443F2"/>
    <w:rsid w:val="00D45161"/>
    <w:rsid w:val="00D4768E"/>
    <w:rsid w:val="00D478E3"/>
    <w:rsid w:val="00D51315"/>
    <w:rsid w:val="00D5313F"/>
    <w:rsid w:val="00D54CAA"/>
    <w:rsid w:val="00D56A71"/>
    <w:rsid w:val="00D56FE2"/>
    <w:rsid w:val="00D609CD"/>
    <w:rsid w:val="00D60A91"/>
    <w:rsid w:val="00D64AB3"/>
    <w:rsid w:val="00D70692"/>
    <w:rsid w:val="00D70A93"/>
    <w:rsid w:val="00D72EC1"/>
    <w:rsid w:val="00D73993"/>
    <w:rsid w:val="00D74770"/>
    <w:rsid w:val="00D757B5"/>
    <w:rsid w:val="00D75EB0"/>
    <w:rsid w:val="00D85DB4"/>
    <w:rsid w:val="00D8674C"/>
    <w:rsid w:val="00D91A7A"/>
    <w:rsid w:val="00D92573"/>
    <w:rsid w:val="00D93227"/>
    <w:rsid w:val="00D96DE0"/>
    <w:rsid w:val="00DA0094"/>
    <w:rsid w:val="00DA08E9"/>
    <w:rsid w:val="00DA1B47"/>
    <w:rsid w:val="00DA43F4"/>
    <w:rsid w:val="00DA4A91"/>
    <w:rsid w:val="00DB093A"/>
    <w:rsid w:val="00DB32C2"/>
    <w:rsid w:val="00DB36F2"/>
    <w:rsid w:val="00DB407B"/>
    <w:rsid w:val="00DB52FD"/>
    <w:rsid w:val="00DB59D1"/>
    <w:rsid w:val="00DC1C0D"/>
    <w:rsid w:val="00DC76DA"/>
    <w:rsid w:val="00DC7704"/>
    <w:rsid w:val="00DD271F"/>
    <w:rsid w:val="00DD423C"/>
    <w:rsid w:val="00DD488F"/>
    <w:rsid w:val="00DD5691"/>
    <w:rsid w:val="00DD7919"/>
    <w:rsid w:val="00DE108C"/>
    <w:rsid w:val="00DE1B16"/>
    <w:rsid w:val="00DE1BEE"/>
    <w:rsid w:val="00DE2498"/>
    <w:rsid w:val="00DE5137"/>
    <w:rsid w:val="00DE633E"/>
    <w:rsid w:val="00DE7517"/>
    <w:rsid w:val="00DE7E30"/>
    <w:rsid w:val="00DF112D"/>
    <w:rsid w:val="00DF1B86"/>
    <w:rsid w:val="00DF1C87"/>
    <w:rsid w:val="00DF49E4"/>
    <w:rsid w:val="00DF51C0"/>
    <w:rsid w:val="00DF5773"/>
    <w:rsid w:val="00E00CF8"/>
    <w:rsid w:val="00E012ED"/>
    <w:rsid w:val="00E01782"/>
    <w:rsid w:val="00E0266E"/>
    <w:rsid w:val="00E03DBB"/>
    <w:rsid w:val="00E03EAD"/>
    <w:rsid w:val="00E04B7B"/>
    <w:rsid w:val="00E06CB5"/>
    <w:rsid w:val="00E079CD"/>
    <w:rsid w:val="00E07FA0"/>
    <w:rsid w:val="00E11D41"/>
    <w:rsid w:val="00E127E3"/>
    <w:rsid w:val="00E12DC6"/>
    <w:rsid w:val="00E1574E"/>
    <w:rsid w:val="00E15F47"/>
    <w:rsid w:val="00E165E0"/>
    <w:rsid w:val="00E17622"/>
    <w:rsid w:val="00E2287E"/>
    <w:rsid w:val="00E23C18"/>
    <w:rsid w:val="00E23E4A"/>
    <w:rsid w:val="00E24174"/>
    <w:rsid w:val="00E25668"/>
    <w:rsid w:val="00E26305"/>
    <w:rsid w:val="00E26683"/>
    <w:rsid w:val="00E26A07"/>
    <w:rsid w:val="00E31053"/>
    <w:rsid w:val="00E31AD7"/>
    <w:rsid w:val="00E32246"/>
    <w:rsid w:val="00E33C78"/>
    <w:rsid w:val="00E34916"/>
    <w:rsid w:val="00E349BE"/>
    <w:rsid w:val="00E37706"/>
    <w:rsid w:val="00E3778C"/>
    <w:rsid w:val="00E37A6C"/>
    <w:rsid w:val="00E41399"/>
    <w:rsid w:val="00E425A2"/>
    <w:rsid w:val="00E432C2"/>
    <w:rsid w:val="00E43E45"/>
    <w:rsid w:val="00E45864"/>
    <w:rsid w:val="00E4627B"/>
    <w:rsid w:val="00E50287"/>
    <w:rsid w:val="00E51C7D"/>
    <w:rsid w:val="00E52BB9"/>
    <w:rsid w:val="00E52CCC"/>
    <w:rsid w:val="00E536D2"/>
    <w:rsid w:val="00E564AF"/>
    <w:rsid w:val="00E568C3"/>
    <w:rsid w:val="00E604C6"/>
    <w:rsid w:val="00E60B57"/>
    <w:rsid w:val="00E62984"/>
    <w:rsid w:val="00E6327C"/>
    <w:rsid w:val="00E64DB2"/>
    <w:rsid w:val="00E6564D"/>
    <w:rsid w:val="00E66362"/>
    <w:rsid w:val="00E66B22"/>
    <w:rsid w:val="00E66C76"/>
    <w:rsid w:val="00E67337"/>
    <w:rsid w:val="00E73A41"/>
    <w:rsid w:val="00E747FC"/>
    <w:rsid w:val="00E75112"/>
    <w:rsid w:val="00E774DD"/>
    <w:rsid w:val="00E8100E"/>
    <w:rsid w:val="00E81099"/>
    <w:rsid w:val="00E81943"/>
    <w:rsid w:val="00E824A6"/>
    <w:rsid w:val="00E87D20"/>
    <w:rsid w:val="00E90636"/>
    <w:rsid w:val="00E90F81"/>
    <w:rsid w:val="00E96C9F"/>
    <w:rsid w:val="00E974B6"/>
    <w:rsid w:val="00E97B87"/>
    <w:rsid w:val="00EA04FA"/>
    <w:rsid w:val="00EA137E"/>
    <w:rsid w:val="00EA1518"/>
    <w:rsid w:val="00EA543B"/>
    <w:rsid w:val="00EA7227"/>
    <w:rsid w:val="00EA7FAC"/>
    <w:rsid w:val="00EB0C6E"/>
    <w:rsid w:val="00EB57D3"/>
    <w:rsid w:val="00EB62BC"/>
    <w:rsid w:val="00EC1D30"/>
    <w:rsid w:val="00EC3E57"/>
    <w:rsid w:val="00EC7A29"/>
    <w:rsid w:val="00ED0ED9"/>
    <w:rsid w:val="00ED166A"/>
    <w:rsid w:val="00ED2DA8"/>
    <w:rsid w:val="00ED43A1"/>
    <w:rsid w:val="00ED619B"/>
    <w:rsid w:val="00EE0D82"/>
    <w:rsid w:val="00EE1DCC"/>
    <w:rsid w:val="00EE5B43"/>
    <w:rsid w:val="00EE7E2B"/>
    <w:rsid w:val="00EF13EB"/>
    <w:rsid w:val="00EF2304"/>
    <w:rsid w:val="00EF3643"/>
    <w:rsid w:val="00EF701A"/>
    <w:rsid w:val="00EF72FA"/>
    <w:rsid w:val="00F003DF"/>
    <w:rsid w:val="00F0217C"/>
    <w:rsid w:val="00F02BA0"/>
    <w:rsid w:val="00F02DF9"/>
    <w:rsid w:val="00F02F11"/>
    <w:rsid w:val="00F05BB9"/>
    <w:rsid w:val="00F105CE"/>
    <w:rsid w:val="00F1237F"/>
    <w:rsid w:val="00F15226"/>
    <w:rsid w:val="00F15D4F"/>
    <w:rsid w:val="00F15EA5"/>
    <w:rsid w:val="00F1666D"/>
    <w:rsid w:val="00F16722"/>
    <w:rsid w:val="00F1741C"/>
    <w:rsid w:val="00F21811"/>
    <w:rsid w:val="00F2223D"/>
    <w:rsid w:val="00F2337D"/>
    <w:rsid w:val="00F23B7C"/>
    <w:rsid w:val="00F309F7"/>
    <w:rsid w:val="00F30DDC"/>
    <w:rsid w:val="00F31032"/>
    <w:rsid w:val="00F31415"/>
    <w:rsid w:val="00F337CE"/>
    <w:rsid w:val="00F34392"/>
    <w:rsid w:val="00F3665C"/>
    <w:rsid w:val="00F400EF"/>
    <w:rsid w:val="00F41A56"/>
    <w:rsid w:val="00F44E01"/>
    <w:rsid w:val="00F457B8"/>
    <w:rsid w:val="00F51855"/>
    <w:rsid w:val="00F51AE0"/>
    <w:rsid w:val="00F53285"/>
    <w:rsid w:val="00F577DA"/>
    <w:rsid w:val="00F609CC"/>
    <w:rsid w:val="00F6349C"/>
    <w:rsid w:val="00F6453B"/>
    <w:rsid w:val="00F659D1"/>
    <w:rsid w:val="00F65FD5"/>
    <w:rsid w:val="00F66400"/>
    <w:rsid w:val="00F66741"/>
    <w:rsid w:val="00F671CC"/>
    <w:rsid w:val="00F67293"/>
    <w:rsid w:val="00F672D7"/>
    <w:rsid w:val="00F67F9E"/>
    <w:rsid w:val="00F71247"/>
    <w:rsid w:val="00F71447"/>
    <w:rsid w:val="00F72043"/>
    <w:rsid w:val="00F7222E"/>
    <w:rsid w:val="00F734C1"/>
    <w:rsid w:val="00F73C0E"/>
    <w:rsid w:val="00F77330"/>
    <w:rsid w:val="00F80D8B"/>
    <w:rsid w:val="00F8346A"/>
    <w:rsid w:val="00F837CC"/>
    <w:rsid w:val="00F83AEE"/>
    <w:rsid w:val="00F84CEA"/>
    <w:rsid w:val="00F864F3"/>
    <w:rsid w:val="00F86ECE"/>
    <w:rsid w:val="00F87A31"/>
    <w:rsid w:val="00F90E17"/>
    <w:rsid w:val="00F91271"/>
    <w:rsid w:val="00F95081"/>
    <w:rsid w:val="00F95B1E"/>
    <w:rsid w:val="00F96F3F"/>
    <w:rsid w:val="00FA0211"/>
    <w:rsid w:val="00FA1809"/>
    <w:rsid w:val="00FA2D12"/>
    <w:rsid w:val="00FA5015"/>
    <w:rsid w:val="00FA7D73"/>
    <w:rsid w:val="00FB1F9D"/>
    <w:rsid w:val="00FB23AA"/>
    <w:rsid w:val="00FB3B84"/>
    <w:rsid w:val="00FC039C"/>
    <w:rsid w:val="00FC11B0"/>
    <w:rsid w:val="00FC1C6F"/>
    <w:rsid w:val="00FC2EE2"/>
    <w:rsid w:val="00FC41C9"/>
    <w:rsid w:val="00FC47A1"/>
    <w:rsid w:val="00FD1A40"/>
    <w:rsid w:val="00FD3771"/>
    <w:rsid w:val="00FD3ED5"/>
    <w:rsid w:val="00FD5351"/>
    <w:rsid w:val="00FD682B"/>
    <w:rsid w:val="00FD7076"/>
    <w:rsid w:val="00FD7A61"/>
    <w:rsid w:val="00FE1D67"/>
    <w:rsid w:val="00FE23A8"/>
    <w:rsid w:val="00FE30B8"/>
    <w:rsid w:val="00FE4850"/>
    <w:rsid w:val="00FE713D"/>
    <w:rsid w:val="00FF19F0"/>
    <w:rsid w:val="00FF3B11"/>
    <w:rsid w:val="00FF4966"/>
    <w:rsid w:val="00FF49BB"/>
    <w:rsid w:val="00FF5223"/>
    <w:rsid w:val="00FF60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E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94"/>
    <w:pPr>
      <w:spacing w:after="100"/>
    </w:pPr>
    <w:rPr>
      <w:rFonts w:ascii="Chaparral Pro" w:hAnsi="Chaparral Pro"/>
      <w:sz w:val="24"/>
    </w:rPr>
  </w:style>
  <w:style w:type="paragraph" w:styleId="Heading1">
    <w:name w:val="heading 1"/>
    <w:basedOn w:val="Normal"/>
    <w:next w:val="Normal"/>
    <w:link w:val="Heading1Char"/>
    <w:uiPriority w:val="9"/>
    <w:qFormat/>
    <w:rsid w:val="00F86ECE"/>
    <w:pPr>
      <w:keepNext/>
      <w:spacing w:before="200"/>
      <w:contextualSpacing/>
      <w:outlineLvl w:val="0"/>
    </w:pPr>
    <w:rPr>
      <w:rFonts w:ascii="Century Gothic" w:eastAsiaTheme="majorEastAsia" w:hAnsi="Century Gothic" w:cstheme="majorBidi"/>
      <w:b/>
      <w:bCs/>
      <w:sz w:val="28"/>
      <w:szCs w:val="28"/>
    </w:rPr>
  </w:style>
  <w:style w:type="paragraph" w:styleId="Heading2">
    <w:name w:val="heading 2"/>
    <w:basedOn w:val="Normal"/>
    <w:next w:val="Normal"/>
    <w:link w:val="Heading2Char"/>
    <w:uiPriority w:val="9"/>
    <w:unhideWhenUsed/>
    <w:qFormat/>
    <w:rsid w:val="00E425A2"/>
    <w:pPr>
      <w:keepNext/>
      <w:spacing w:before="200" w:after="0"/>
      <w:outlineLvl w:val="1"/>
    </w:pPr>
    <w:rPr>
      <w:rFonts w:ascii="Century Gothic" w:eastAsiaTheme="majorEastAsia" w:hAnsi="Century Gothic" w:cstheme="majorBidi"/>
      <w:b/>
      <w:bCs/>
      <w:i/>
      <w:szCs w:val="26"/>
    </w:rPr>
  </w:style>
  <w:style w:type="paragraph" w:styleId="Heading3">
    <w:name w:val="heading 3"/>
    <w:basedOn w:val="Normal"/>
    <w:next w:val="Normal"/>
    <w:link w:val="Heading3Char"/>
    <w:uiPriority w:val="9"/>
    <w:unhideWhenUsed/>
    <w:qFormat/>
    <w:rsid w:val="00824353"/>
    <w:pPr>
      <w:keepNext/>
      <w:spacing w:after="0"/>
      <w:ind w:left="720"/>
      <w:outlineLvl w:val="2"/>
    </w:pPr>
    <w:rPr>
      <w:rFonts w:ascii="Century Gothic" w:hAnsi="Century Gothic"/>
      <w:i/>
      <w:sz w:val="22"/>
    </w:rPr>
  </w:style>
  <w:style w:type="paragraph" w:styleId="Heading4">
    <w:name w:val="heading 4"/>
    <w:basedOn w:val="Normal"/>
    <w:next w:val="Normal"/>
    <w:link w:val="Heading4Char"/>
    <w:uiPriority w:val="9"/>
    <w:semiHidden/>
    <w:unhideWhenUsed/>
    <w:qFormat/>
    <w:rsid w:val="001F04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04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04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04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04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04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ECE"/>
    <w:rPr>
      <w:rFonts w:ascii="Century Gothic" w:eastAsiaTheme="majorEastAsia" w:hAnsi="Century Gothic" w:cstheme="majorBidi"/>
      <w:b/>
      <w:bCs/>
      <w:sz w:val="28"/>
      <w:szCs w:val="28"/>
    </w:rPr>
  </w:style>
  <w:style w:type="character" w:customStyle="1" w:styleId="Heading2Char">
    <w:name w:val="Heading 2 Char"/>
    <w:basedOn w:val="DefaultParagraphFont"/>
    <w:link w:val="Heading2"/>
    <w:uiPriority w:val="9"/>
    <w:rsid w:val="00E425A2"/>
    <w:rPr>
      <w:rFonts w:ascii="Century Gothic" w:eastAsiaTheme="majorEastAsia" w:hAnsi="Century Gothic" w:cstheme="majorBidi"/>
      <w:b/>
      <w:bCs/>
      <w:i/>
      <w:sz w:val="24"/>
      <w:szCs w:val="26"/>
    </w:rPr>
  </w:style>
  <w:style w:type="character" w:customStyle="1" w:styleId="Heading3Char">
    <w:name w:val="Heading 3 Char"/>
    <w:basedOn w:val="DefaultParagraphFont"/>
    <w:link w:val="Heading3"/>
    <w:uiPriority w:val="9"/>
    <w:rsid w:val="00824353"/>
    <w:rPr>
      <w:rFonts w:ascii="Century Gothic" w:hAnsi="Century Gothic"/>
      <w:i/>
    </w:rPr>
  </w:style>
  <w:style w:type="character" w:customStyle="1" w:styleId="Heading4Char">
    <w:name w:val="Heading 4 Char"/>
    <w:basedOn w:val="DefaultParagraphFont"/>
    <w:link w:val="Heading4"/>
    <w:uiPriority w:val="9"/>
    <w:semiHidden/>
    <w:rsid w:val="001F0483"/>
    <w:rPr>
      <w:rFonts w:asciiTheme="majorHAnsi" w:eastAsiaTheme="majorEastAsia" w:hAnsiTheme="majorHAnsi" w:cstheme="majorBidi"/>
      <w:b/>
      <w:bCs/>
      <w:i/>
      <w:iCs/>
    </w:rPr>
  </w:style>
  <w:style w:type="paragraph" w:styleId="FootnoteText">
    <w:name w:val="footnote text"/>
    <w:basedOn w:val="Normal"/>
    <w:link w:val="FootnoteTextChar"/>
    <w:uiPriority w:val="99"/>
    <w:unhideWhenUsed/>
    <w:rsid w:val="00966D6C"/>
    <w:pPr>
      <w:spacing w:after="60" w:line="240" w:lineRule="auto"/>
      <w:ind w:left="720" w:hanging="720"/>
    </w:pPr>
    <w:rPr>
      <w:sz w:val="20"/>
    </w:rPr>
  </w:style>
  <w:style w:type="character" w:customStyle="1" w:styleId="FootnoteTextChar">
    <w:name w:val="Footnote Text Char"/>
    <w:basedOn w:val="DefaultParagraphFont"/>
    <w:link w:val="FootnoteText"/>
    <w:uiPriority w:val="99"/>
    <w:rsid w:val="00966D6C"/>
    <w:rPr>
      <w:rFonts w:ascii="Doves Type" w:eastAsiaTheme="minorEastAsia" w:hAnsi="Doves Type"/>
      <w:color w:val="000000" w:themeColor="text1"/>
    </w:rPr>
  </w:style>
  <w:style w:type="character" w:styleId="FootnoteReference">
    <w:name w:val="footnote reference"/>
    <w:basedOn w:val="DefaultParagraphFont"/>
    <w:uiPriority w:val="99"/>
    <w:unhideWhenUsed/>
    <w:rsid w:val="00966D6C"/>
    <w:rPr>
      <w:vertAlign w:val="superscript"/>
    </w:rPr>
  </w:style>
  <w:style w:type="paragraph" w:styleId="EndnoteText">
    <w:name w:val="endnote text"/>
    <w:basedOn w:val="Normal"/>
    <w:link w:val="EndnoteTextChar"/>
    <w:uiPriority w:val="99"/>
    <w:semiHidden/>
    <w:unhideWhenUsed/>
    <w:rsid w:val="00966D6C"/>
    <w:rPr>
      <w:sz w:val="20"/>
    </w:rPr>
  </w:style>
  <w:style w:type="character" w:customStyle="1" w:styleId="EndnoteTextChar">
    <w:name w:val="Endnote Text Char"/>
    <w:basedOn w:val="DefaultParagraphFont"/>
    <w:link w:val="EndnoteText"/>
    <w:uiPriority w:val="99"/>
    <w:semiHidden/>
    <w:rsid w:val="00966D6C"/>
    <w:rPr>
      <w:rFonts w:ascii="Doves Type" w:eastAsiaTheme="minorEastAsia" w:hAnsi="Doves Type"/>
      <w:color w:val="5A5A5A" w:themeColor="text1" w:themeTint="A5"/>
    </w:rPr>
  </w:style>
  <w:style w:type="paragraph" w:styleId="Title">
    <w:name w:val="Title"/>
    <w:basedOn w:val="Normal"/>
    <w:next w:val="Normal"/>
    <w:link w:val="TitleChar"/>
    <w:uiPriority w:val="10"/>
    <w:qFormat/>
    <w:rsid w:val="001F04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0483"/>
    <w:rPr>
      <w:rFonts w:asciiTheme="majorHAnsi" w:eastAsiaTheme="majorEastAsia" w:hAnsiTheme="majorHAnsi" w:cstheme="majorBidi"/>
      <w:spacing w:val="5"/>
      <w:sz w:val="52"/>
      <w:szCs w:val="52"/>
    </w:rPr>
  </w:style>
  <w:style w:type="character" w:customStyle="1" w:styleId="Heading5Char">
    <w:name w:val="Heading 5 Char"/>
    <w:basedOn w:val="DefaultParagraphFont"/>
    <w:link w:val="Heading5"/>
    <w:uiPriority w:val="9"/>
    <w:semiHidden/>
    <w:rsid w:val="001F0483"/>
    <w:rPr>
      <w:rFonts w:asciiTheme="majorHAnsi" w:eastAsiaTheme="majorEastAsia" w:hAnsiTheme="majorHAnsi" w:cstheme="majorBidi"/>
      <w:b/>
      <w:bCs/>
      <w:color w:val="7F7F7F" w:themeColor="text1" w:themeTint="80"/>
    </w:rPr>
  </w:style>
  <w:style w:type="paragraph" w:styleId="Quote">
    <w:name w:val="Quote"/>
    <w:basedOn w:val="Normal"/>
    <w:next w:val="Normal"/>
    <w:link w:val="QuoteChar"/>
    <w:uiPriority w:val="29"/>
    <w:qFormat/>
    <w:rsid w:val="00941294"/>
    <w:pPr>
      <w:spacing w:before="100"/>
      <w:ind w:left="720" w:right="360"/>
    </w:pPr>
    <w:rPr>
      <w:iCs/>
      <w:sz w:val="20"/>
    </w:rPr>
  </w:style>
  <w:style w:type="character" w:customStyle="1" w:styleId="QuoteChar">
    <w:name w:val="Quote Char"/>
    <w:basedOn w:val="DefaultParagraphFont"/>
    <w:link w:val="Quote"/>
    <w:uiPriority w:val="29"/>
    <w:rsid w:val="00941294"/>
    <w:rPr>
      <w:rFonts w:ascii="Chaparral Pro" w:hAnsi="Chaparral Pro"/>
      <w:iCs/>
      <w:sz w:val="20"/>
    </w:rPr>
  </w:style>
  <w:style w:type="paragraph" w:customStyle="1" w:styleId="Tabbed3columns">
    <w:name w:val="Tabbed 3 columns"/>
    <w:basedOn w:val="Normal"/>
    <w:link w:val="Tabbed3columnsChar"/>
    <w:rsid w:val="00966D6C"/>
    <w:pPr>
      <w:tabs>
        <w:tab w:val="center" w:pos="4680"/>
        <w:tab w:val="right" w:pos="9360"/>
      </w:tabs>
    </w:pPr>
    <w:rPr>
      <w:b/>
      <w:bCs/>
    </w:rPr>
  </w:style>
  <w:style w:type="character" w:customStyle="1" w:styleId="Tabbed3columnsChar">
    <w:name w:val="Tabbed 3 columns Char"/>
    <w:basedOn w:val="DefaultParagraphFont"/>
    <w:link w:val="Tabbed3columns"/>
    <w:rsid w:val="00966D6C"/>
    <w:rPr>
      <w:rFonts w:ascii="Doves Type" w:eastAsiaTheme="minorEastAsia" w:hAnsi="Doves Type"/>
      <w:b/>
      <w:bCs/>
      <w:color w:val="5A5A5A" w:themeColor="text1" w:themeTint="A5"/>
      <w:sz w:val="22"/>
    </w:rPr>
  </w:style>
  <w:style w:type="paragraph" w:styleId="Subtitle">
    <w:name w:val="Subtitle"/>
    <w:basedOn w:val="Normal"/>
    <w:next w:val="Normal"/>
    <w:link w:val="SubtitleChar"/>
    <w:uiPriority w:val="11"/>
    <w:qFormat/>
    <w:rsid w:val="001F048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F0483"/>
    <w:rPr>
      <w:rFonts w:asciiTheme="majorHAnsi" w:eastAsiaTheme="majorEastAsia" w:hAnsiTheme="majorHAnsi" w:cstheme="majorBidi"/>
      <w:i/>
      <w:iCs/>
      <w:spacing w:val="13"/>
      <w:sz w:val="24"/>
      <w:szCs w:val="24"/>
    </w:rPr>
  </w:style>
  <w:style w:type="paragraph" w:styleId="Header">
    <w:name w:val="header"/>
    <w:basedOn w:val="Normal"/>
    <w:link w:val="HeaderChar"/>
    <w:uiPriority w:val="99"/>
    <w:unhideWhenUsed/>
    <w:rsid w:val="00966D6C"/>
    <w:pPr>
      <w:tabs>
        <w:tab w:val="center" w:pos="4513"/>
        <w:tab w:val="right" w:pos="9026"/>
      </w:tabs>
    </w:pPr>
  </w:style>
  <w:style w:type="character" w:customStyle="1" w:styleId="HeaderChar">
    <w:name w:val="Header Char"/>
    <w:basedOn w:val="DefaultParagraphFont"/>
    <w:link w:val="Header"/>
    <w:uiPriority w:val="99"/>
    <w:rsid w:val="00966D6C"/>
    <w:rPr>
      <w:rFonts w:ascii="Doves Type" w:eastAsiaTheme="minorEastAsia" w:hAnsi="Doves Type"/>
      <w:color w:val="5A5A5A" w:themeColor="text1" w:themeTint="A5"/>
      <w:sz w:val="24"/>
    </w:rPr>
  </w:style>
  <w:style w:type="paragraph" w:styleId="Footer">
    <w:name w:val="footer"/>
    <w:basedOn w:val="Normal"/>
    <w:link w:val="FooterChar"/>
    <w:uiPriority w:val="99"/>
    <w:unhideWhenUsed/>
    <w:rsid w:val="00966D6C"/>
    <w:pPr>
      <w:tabs>
        <w:tab w:val="center" w:pos="4513"/>
        <w:tab w:val="right" w:pos="9026"/>
      </w:tabs>
    </w:pPr>
  </w:style>
  <w:style w:type="character" w:customStyle="1" w:styleId="FooterChar">
    <w:name w:val="Footer Char"/>
    <w:basedOn w:val="DefaultParagraphFont"/>
    <w:link w:val="Footer"/>
    <w:uiPriority w:val="99"/>
    <w:rsid w:val="00966D6C"/>
    <w:rPr>
      <w:rFonts w:ascii="Doves Type" w:eastAsiaTheme="minorEastAsia" w:hAnsi="Doves Type"/>
      <w:color w:val="5A5A5A" w:themeColor="text1" w:themeTint="A5"/>
      <w:sz w:val="24"/>
    </w:rPr>
  </w:style>
  <w:style w:type="paragraph" w:styleId="ListParagraph">
    <w:name w:val="List Paragraph"/>
    <w:basedOn w:val="Normal"/>
    <w:uiPriority w:val="34"/>
    <w:qFormat/>
    <w:rsid w:val="001F0483"/>
    <w:pPr>
      <w:ind w:left="720"/>
      <w:contextualSpacing/>
    </w:pPr>
  </w:style>
  <w:style w:type="character" w:customStyle="1" w:styleId="Heading6Char">
    <w:name w:val="Heading 6 Char"/>
    <w:basedOn w:val="DefaultParagraphFont"/>
    <w:link w:val="Heading6"/>
    <w:uiPriority w:val="9"/>
    <w:semiHidden/>
    <w:rsid w:val="001F04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04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04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048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66D6C"/>
    <w:rPr>
      <w:b/>
      <w:bCs/>
      <w:smallCaps/>
      <w:color w:val="1F497D" w:themeColor="text2"/>
      <w:spacing w:val="10"/>
      <w:sz w:val="18"/>
      <w:szCs w:val="18"/>
    </w:rPr>
  </w:style>
  <w:style w:type="character" w:styleId="Strong">
    <w:name w:val="Strong"/>
    <w:uiPriority w:val="22"/>
    <w:qFormat/>
    <w:rsid w:val="001F0483"/>
    <w:rPr>
      <w:b/>
      <w:bCs/>
    </w:rPr>
  </w:style>
  <w:style w:type="character" w:styleId="Emphasis">
    <w:name w:val="Emphasis"/>
    <w:uiPriority w:val="20"/>
    <w:qFormat/>
    <w:rsid w:val="001F0483"/>
    <w:rPr>
      <w:b/>
      <w:bCs/>
      <w:i/>
      <w:iCs/>
      <w:spacing w:val="10"/>
      <w:bdr w:val="none" w:sz="0" w:space="0" w:color="auto"/>
      <w:shd w:val="clear" w:color="auto" w:fill="auto"/>
    </w:rPr>
  </w:style>
  <w:style w:type="paragraph" w:styleId="NoSpacing">
    <w:name w:val="No Spacing"/>
    <w:basedOn w:val="Normal"/>
    <w:link w:val="NoSpacingChar"/>
    <w:uiPriority w:val="1"/>
    <w:qFormat/>
    <w:rsid w:val="001F0483"/>
    <w:pPr>
      <w:spacing w:after="0" w:line="240" w:lineRule="auto"/>
    </w:pPr>
  </w:style>
  <w:style w:type="paragraph" w:styleId="IntenseQuote">
    <w:name w:val="Intense Quote"/>
    <w:basedOn w:val="Normal"/>
    <w:next w:val="Normal"/>
    <w:link w:val="IntenseQuoteChar"/>
    <w:uiPriority w:val="30"/>
    <w:qFormat/>
    <w:rsid w:val="001F04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0483"/>
    <w:rPr>
      <w:b/>
      <w:bCs/>
      <w:i/>
      <w:iCs/>
    </w:rPr>
  </w:style>
  <w:style w:type="character" w:styleId="SubtleEmphasis">
    <w:name w:val="Subtle Emphasis"/>
    <w:uiPriority w:val="19"/>
    <w:qFormat/>
    <w:rsid w:val="001F0483"/>
    <w:rPr>
      <w:i/>
      <w:iCs/>
    </w:rPr>
  </w:style>
  <w:style w:type="character" w:styleId="IntenseEmphasis">
    <w:name w:val="Intense Emphasis"/>
    <w:uiPriority w:val="21"/>
    <w:qFormat/>
    <w:rsid w:val="001F0483"/>
    <w:rPr>
      <w:b/>
      <w:bCs/>
    </w:rPr>
  </w:style>
  <w:style w:type="character" w:styleId="SubtleReference">
    <w:name w:val="Subtle Reference"/>
    <w:uiPriority w:val="31"/>
    <w:qFormat/>
    <w:rsid w:val="001F0483"/>
    <w:rPr>
      <w:smallCaps/>
    </w:rPr>
  </w:style>
  <w:style w:type="character" w:styleId="IntenseReference">
    <w:name w:val="Intense Reference"/>
    <w:uiPriority w:val="32"/>
    <w:qFormat/>
    <w:rsid w:val="001F0483"/>
    <w:rPr>
      <w:smallCaps/>
      <w:spacing w:val="5"/>
      <w:u w:val="single"/>
    </w:rPr>
  </w:style>
  <w:style w:type="character" w:styleId="BookTitle">
    <w:name w:val="Book Title"/>
    <w:uiPriority w:val="33"/>
    <w:qFormat/>
    <w:rsid w:val="001F0483"/>
    <w:rPr>
      <w:i/>
      <w:iCs/>
      <w:smallCaps/>
      <w:spacing w:val="5"/>
    </w:rPr>
  </w:style>
  <w:style w:type="paragraph" w:styleId="TOCHeading">
    <w:name w:val="TOC Heading"/>
    <w:basedOn w:val="Heading1"/>
    <w:next w:val="Normal"/>
    <w:uiPriority w:val="39"/>
    <w:semiHidden/>
    <w:unhideWhenUsed/>
    <w:qFormat/>
    <w:rsid w:val="001F0483"/>
    <w:pPr>
      <w:outlineLvl w:val="9"/>
    </w:pPr>
    <w:rPr>
      <w:lang w:bidi="en-US"/>
    </w:rPr>
  </w:style>
  <w:style w:type="paragraph" w:customStyle="1" w:styleId="Style1">
    <w:name w:val="Style1"/>
    <w:basedOn w:val="Normal"/>
    <w:next w:val="Normal"/>
    <w:link w:val="Style1Char"/>
    <w:qFormat/>
    <w:rsid w:val="0096016F"/>
    <w:pPr>
      <w:spacing w:after="0"/>
      <w:ind w:left="720" w:hanging="720"/>
    </w:pPr>
    <w:rPr>
      <w:i/>
    </w:rPr>
  </w:style>
  <w:style w:type="table" w:styleId="TableGrid">
    <w:name w:val="Table Grid"/>
    <w:basedOn w:val="TableNormal"/>
    <w:uiPriority w:val="39"/>
    <w:rsid w:val="00E6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96016F"/>
    <w:rPr>
      <w:i/>
    </w:rPr>
  </w:style>
  <w:style w:type="character" w:styleId="Hyperlink">
    <w:name w:val="Hyperlink"/>
    <w:basedOn w:val="DefaultParagraphFont"/>
    <w:uiPriority w:val="99"/>
    <w:unhideWhenUsed/>
    <w:rsid w:val="0014612D"/>
    <w:rPr>
      <w:color w:val="0000FF" w:themeColor="hyperlink"/>
      <w:u w:val="single"/>
    </w:rPr>
  </w:style>
  <w:style w:type="character" w:styleId="FollowedHyperlink">
    <w:name w:val="FollowedHyperlink"/>
    <w:basedOn w:val="DefaultParagraphFont"/>
    <w:uiPriority w:val="99"/>
    <w:semiHidden/>
    <w:unhideWhenUsed/>
    <w:rsid w:val="0039554B"/>
    <w:rPr>
      <w:color w:val="800080" w:themeColor="followedHyperlink"/>
      <w:u w:val="single"/>
    </w:rPr>
  </w:style>
  <w:style w:type="paragraph" w:styleId="BalloonText">
    <w:name w:val="Balloon Text"/>
    <w:basedOn w:val="Normal"/>
    <w:link w:val="BalloonTextChar"/>
    <w:uiPriority w:val="99"/>
    <w:semiHidden/>
    <w:unhideWhenUsed/>
    <w:rsid w:val="0094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15"/>
    <w:rPr>
      <w:rFonts w:ascii="Tahoma" w:hAnsi="Tahoma" w:cs="Tahoma"/>
      <w:sz w:val="16"/>
      <w:szCs w:val="16"/>
    </w:rPr>
  </w:style>
  <w:style w:type="character" w:customStyle="1" w:styleId="NoSpacingChar">
    <w:name w:val="No Spacing Char"/>
    <w:basedOn w:val="DefaultParagraphFont"/>
    <w:link w:val="NoSpacing"/>
    <w:uiPriority w:val="1"/>
    <w:rsid w:val="008037AA"/>
    <w:rPr>
      <w:rFonts w:ascii="Chaparral Pro" w:hAnsi="Chaparral Pro"/>
      <w:sz w:val="24"/>
    </w:rPr>
  </w:style>
  <w:style w:type="paragraph" w:styleId="TOC1">
    <w:name w:val="toc 1"/>
    <w:basedOn w:val="Normal"/>
    <w:next w:val="Normal"/>
    <w:autoRedefine/>
    <w:uiPriority w:val="39"/>
    <w:unhideWhenUsed/>
    <w:rsid w:val="00B85818"/>
  </w:style>
  <w:style w:type="paragraph" w:styleId="TOC2">
    <w:name w:val="toc 2"/>
    <w:basedOn w:val="Normal"/>
    <w:next w:val="Normal"/>
    <w:autoRedefine/>
    <w:uiPriority w:val="39"/>
    <w:unhideWhenUsed/>
    <w:rsid w:val="00B85818"/>
    <w:pPr>
      <w:ind w:left="240"/>
    </w:pPr>
  </w:style>
  <w:style w:type="paragraph" w:styleId="TOC3">
    <w:name w:val="toc 3"/>
    <w:basedOn w:val="Normal"/>
    <w:next w:val="Normal"/>
    <w:autoRedefine/>
    <w:uiPriority w:val="39"/>
    <w:unhideWhenUsed/>
    <w:rsid w:val="00B85818"/>
    <w:pPr>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94"/>
    <w:pPr>
      <w:spacing w:after="100"/>
    </w:pPr>
    <w:rPr>
      <w:rFonts w:ascii="Chaparral Pro" w:hAnsi="Chaparral Pro"/>
      <w:sz w:val="24"/>
    </w:rPr>
  </w:style>
  <w:style w:type="paragraph" w:styleId="Heading1">
    <w:name w:val="heading 1"/>
    <w:basedOn w:val="Normal"/>
    <w:next w:val="Normal"/>
    <w:link w:val="Heading1Char"/>
    <w:uiPriority w:val="9"/>
    <w:qFormat/>
    <w:rsid w:val="00F86ECE"/>
    <w:pPr>
      <w:keepNext/>
      <w:spacing w:before="200"/>
      <w:contextualSpacing/>
      <w:outlineLvl w:val="0"/>
    </w:pPr>
    <w:rPr>
      <w:rFonts w:ascii="Century Gothic" w:eastAsiaTheme="majorEastAsia" w:hAnsi="Century Gothic" w:cstheme="majorBidi"/>
      <w:b/>
      <w:bCs/>
      <w:sz w:val="28"/>
      <w:szCs w:val="28"/>
    </w:rPr>
  </w:style>
  <w:style w:type="paragraph" w:styleId="Heading2">
    <w:name w:val="heading 2"/>
    <w:basedOn w:val="Normal"/>
    <w:next w:val="Normal"/>
    <w:link w:val="Heading2Char"/>
    <w:uiPriority w:val="9"/>
    <w:unhideWhenUsed/>
    <w:qFormat/>
    <w:rsid w:val="00E425A2"/>
    <w:pPr>
      <w:keepNext/>
      <w:spacing w:before="200" w:after="0"/>
      <w:outlineLvl w:val="1"/>
    </w:pPr>
    <w:rPr>
      <w:rFonts w:ascii="Century Gothic" w:eastAsiaTheme="majorEastAsia" w:hAnsi="Century Gothic" w:cstheme="majorBidi"/>
      <w:b/>
      <w:bCs/>
      <w:i/>
      <w:szCs w:val="26"/>
    </w:rPr>
  </w:style>
  <w:style w:type="paragraph" w:styleId="Heading3">
    <w:name w:val="heading 3"/>
    <w:basedOn w:val="Normal"/>
    <w:next w:val="Normal"/>
    <w:link w:val="Heading3Char"/>
    <w:uiPriority w:val="9"/>
    <w:unhideWhenUsed/>
    <w:qFormat/>
    <w:rsid w:val="00824353"/>
    <w:pPr>
      <w:keepNext/>
      <w:spacing w:after="0"/>
      <w:ind w:left="720"/>
      <w:outlineLvl w:val="2"/>
    </w:pPr>
    <w:rPr>
      <w:rFonts w:ascii="Century Gothic" w:hAnsi="Century Gothic"/>
      <w:i/>
      <w:sz w:val="22"/>
    </w:rPr>
  </w:style>
  <w:style w:type="paragraph" w:styleId="Heading4">
    <w:name w:val="heading 4"/>
    <w:basedOn w:val="Normal"/>
    <w:next w:val="Normal"/>
    <w:link w:val="Heading4Char"/>
    <w:uiPriority w:val="9"/>
    <w:semiHidden/>
    <w:unhideWhenUsed/>
    <w:qFormat/>
    <w:rsid w:val="001F048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048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048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048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048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048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ECE"/>
    <w:rPr>
      <w:rFonts w:ascii="Century Gothic" w:eastAsiaTheme="majorEastAsia" w:hAnsi="Century Gothic" w:cstheme="majorBidi"/>
      <w:b/>
      <w:bCs/>
      <w:sz w:val="28"/>
      <w:szCs w:val="28"/>
    </w:rPr>
  </w:style>
  <w:style w:type="character" w:customStyle="1" w:styleId="Heading2Char">
    <w:name w:val="Heading 2 Char"/>
    <w:basedOn w:val="DefaultParagraphFont"/>
    <w:link w:val="Heading2"/>
    <w:uiPriority w:val="9"/>
    <w:rsid w:val="00E425A2"/>
    <w:rPr>
      <w:rFonts w:ascii="Century Gothic" w:eastAsiaTheme="majorEastAsia" w:hAnsi="Century Gothic" w:cstheme="majorBidi"/>
      <w:b/>
      <w:bCs/>
      <w:i/>
      <w:sz w:val="24"/>
      <w:szCs w:val="26"/>
    </w:rPr>
  </w:style>
  <w:style w:type="character" w:customStyle="1" w:styleId="Heading3Char">
    <w:name w:val="Heading 3 Char"/>
    <w:basedOn w:val="DefaultParagraphFont"/>
    <w:link w:val="Heading3"/>
    <w:uiPriority w:val="9"/>
    <w:rsid w:val="00824353"/>
    <w:rPr>
      <w:rFonts w:ascii="Century Gothic" w:hAnsi="Century Gothic"/>
      <w:i/>
    </w:rPr>
  </w:style>
  <w:style w:type="character" w:customStyle="1" w:styleId="Heading4Char">
    <w:name w:val="Heading 4 Char"/>
    <w:basedOn w:val="DefaultParagraphFont"/>
    <w:link w:val="Heading4"/>
    <w:uiPriority w:val="9"/>
    <w:semiHidden/>
    <w:rsid w:val="001F0483"/>
    <w:rPr>
      <w:rFonts w:asciiTheme="majorHAnsi" w:eastAsiaTheme="majorEastAsia" w:hAnsiTheme="majorHAnsi" w:cstheme="majorBidi"/>
      <w:b/>
      <w:bCs/>
      <w:i/>
      <w:iCs/>
    </w:rPr>
  </w:style>
  <w:style w:type="paragraph" w:styleId="FootnoteText">
    <w:name w:val="footnote text"/>
    <w:basedOn w:val="Normal"/>
    <w:link w:val="FootnoteTextChar"/>
    <w:uiPriority w:val="99"/>
    <w:unhideWhenUsed/>
    <w:rsid w:val="00966D6C"/>
    <w:pPr>
      <w:spacing w:after="60" w:line="240" w:lineRule="auto"/>
      <w:ind w:left="720" w:hanging="720"/>
    </w:pPr>
    <w:rPr>
      <w:sz w:val="20"/>
    </w:rPr>
  </w:style>
  <w:style w:type="character" w:customStyle="1" w:styleId="FootnoteTextChar">
    <w:name w:val="Footnote Text Char"/>
    <w:basedOn w:val="DefaultParagraphFont"/>
    <w:link w:val="FootnoteText"/>
    <w:uiPriority w:val="99"/>
    <w:rsid w:val="00966D6C"/>
    <w:rPr>
      <w:rFonts w:ascii="Doves Type" w:eastAsiaTheme="minorEastAsia" w:hAnsi="Doves Type"/>
      <w:color w:val="000000" w:themeColor="text1"/>
    </w:rPr>
  </w:style>
  <w:style w:type="character" w:styleId="FootnoteReference">
    <w:name w:val="footnote reference"/>
    <w:basedOn w:val="DefaultParagraphFont"/>
    <w:uiPriority w:val="99"/>
    <w:unhideWhenUsed/>
    <w:rsid w:val="00966D6C"/>
    <w:rPr>
      <w:vertAlign w:val="superscript"/>
    </w:rPr>
  </w:style>
  <w:style w:type="paragraph" w:styleId="EndnoteText">
    <w:name w:val="endnote text"/>
    <w:basedOn w:val="Normal"/>
    <w:link w:val="EndnoteTextChar"/>
    <w:uiPriority w:val="99"/>
    <w:semiHidden/>
    <w:unhideWhenUsed/>
    <w:rsid w:val="00966D6C"/>
    <w:rPr>
      <w:sz w:val="20"/>
    </w:rPr>
  </w:style>
  <w:style w:type="character" w:customStyle="1" w:styleId="EndnoteTextChar">
    <w:name w:val="Endnote Text Char"/>
    <w:basedOn w:val="DefaultParagraphFont"/>
    <w:link w:val="EndnoteText"/>
    <w:uiPriority w:val="99"/>
    <w:semiHidden/>
    <w:rsid w:val="00966D6C"/>
    <w:rPr>
      <w:rFonts w:ascii="Doves Type" w:eastAsiaTheme="minorEastAsia" w:hAnsi="Doves Type"/>
      <w:color w:val="5A5A5A" w:themeColor="text1" w:themeTint="A5"/>
    </w:rPr>
  </w:style>
  <w:style w:type="paragraph" w:styleId="Title">
    <w:name w:val="Title"/>
    <w:basedOn w:val="Normal"/>
    <w:next w:val="Normal"/>
    <w:link w:val="TitleChar"/>
    <w:uiPriority w:val="10"/>
    <w:qFormat/>
    <w:rsid w:val="001F048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0483"/>
    <w:rPr>
      <w:rFonts w:asciiTheme="majorHAnsi" w:eastAsiaTheme="majorEastAsia" w:hAnsiTheme="majorHAnsi" w:cstheme="majorBidi"/>
      <w:spacing w:val="5"/>
      <w:sz w:val="52"/>
      <w:szCs w:val="52"/>
    </w:rPr>
  </w:style>
  <w:style w:type="character" w:customStyle="1" w:styleId="Heading5Char">
    <w:name w:val="Heading 5 Char"/>
    <w:basedOn w:val="DefaultParagraphFont"/>
    <w:link w:val="Heading5"/>
    <w:uiPriority w:val="9"/>
    <w:semiHidden/>
    <w:rsid w:val="001F0483"/>
    <w:rPr>
      <w:rFonts w:asciiTheme="majorHAnsi" w:eastAsiaTheme="majorEastAsia" w:hAnsiTheme="majorHAnsi" w:cstheme="majorBidi"/>
      <w:b/>
      <w:bCs/>
      <w:color w:val="7F7F7F" w:themeColor="text1" w:themeTint="80"/>
    </w:rPr>
  </w:style>
  <w:style w:type="paragraph" w:styleId="Quote">
    <w:name w:val="Quote"/>
    <w:basedOn w:val="Normal"/>
    <w:next w:val="Normal"/>
    <w:link w:val="QuoteChar"/>
    <w:uiPriority w:val="29"/>
    <w:qFormat/>
    <w:rsid w:val="00941294"/>
    <w:pPr>
      <w:spacing w:before="100"/>
      <w:ind w:left="720" w:right="360"/>
    </w:pPr>
    <w:rPr>
      <w:iCs/>
      <w:sz w:val="20"/>
    </w:rPr>
  </w:style>
  <w:style w:type="character" w:customStyle="1" w:styleId="QuoteChar">
    <w:name w:val="Quote Char"/>
    <w:basedOn w:val="DefaultParagraphFont"/>
    <w:link w:val="Quote"/>
    <w:uiPriority w:val="29"/>
    <w:rsid w:val="00941294"/>
    <w:rPr>
      <w:rFonts w:ascii="Chaparral Pro" w:hAnsi="Chaparral Pro"/>
      <w:iCs/>
      <w:sz w:val="20"/>
    </w:rPr>
  </w:style>
  <w:style w:type="paragraph" w:customStyle="1" w:styleId="Tabbed3columns">
    <w:name w:val="Tabbed 3 columns"/>
    <w:basedOn w:val="Normal"/>
    <w:link w:val="Tabbed3columnsChar"/>
    <w:rsid w:val="00966D6C"/>
    <w:pPr>
      <w:tabs>
        <w:tab w:val="center" w:pos="4680"/>
        <w:tab w:val="right" w:pos="9360"/>
      </w:tabs>
    </w:pPr>
    <w:rPr>
      <w:b/>
      <w:bCs/>
    </w:rPr>
  </w:style>
  <w:style w:type="character" w:customStyle="1" w:styleId="Tabbed3columnsChar">
    <w:name w:val="Tabbed 3 columns Char"/>
    <w:basedOn w:val="DefaultParagraphFont"/>
    <w:link w:val="Tabbed3columns"/>
    <w:rsid w:val="00966D6C"/>
    <w:rPr>
      <w:rFonts w:ascii="Doves Type" w:eastAsiaTheme="minorEastAsia" w:hAnsi="Doves Type"/>
      <w:b/>
      <w:bCs/>
      <w:color w:val="5A5A5A" w:themeColor="text1" w:themeTint="A5"/>
      <w:sz w:val="22"/>
    </w:rPr>
  </w:style>
  <w:style w:type="paragraph" w:styleId="Subtitle">
    <w:name w:val="Subtitle"/>
    <w:basedOn w:val="Normal"/>
    <w:next w:val="Normal"/>
    <w:link w:val="SubtitleChar"/>
    <w:uiPriority w:val="11"/>
    <w:qFormat/>
    <w:rsid w:val="001F048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F0483"/>
    <w:rPr>
      <w:rFonts w:asciiTheme="majorHAnsi" w:eastAsiaTheme="majorEastAsia" w:hAnsiTheme="majorHAnsi" w:cstheme="majorBidi"/>
      <w:i/>
      <w:iCs/>
      <w:spacing w:val="13"/>
      <w:sz w:val="24"/>
      <w:szCs w:val="24"/>
    </w:rPr>
  </w:style>
  <w:style w:type="paragraph" w:styleId="Header">
    <w:name w:val="header"/>
    <w:basedOn w:val="Normal"/>
    <w:link w:val="HeaderChar"/>
    <w:uiPriority w:val="99"/>
    <w:unhideWhenUsed/>
    <w:rsid w:val="00966D6C"/>
    <w:pPr>
      <w:tabs>
        <w:tab w:val="center" w:pos="4513"/>
        <w:tab w:val="right" w:pos="9026"/>
      </w:tabs>
    </w:pPr>
  </w:style>
  <w:style w:type="character" w:customStyle="1" w:styleId="HeaderChar">
    <w:name w:val="Header Char"/>
    <w:basedOn w:val="DefaultParagraphFont"/>
    <w:link w:val="Header"/>
    <w:uiPriority w:val="99"/>
    <w:rsid w:val="00966D6C"/>
    <w:rPr>
      <w:rFonts w:ascii="Doves Type" w:eastAsiaTheme="minorEastAsia" w:hAnsi="Doves Type"/>
      <w:color w:val="5A5A5A" w:themeColor="text1" w:themeTint="A5"/>
      <w:sz w:val="24"/>
    </w:rPr>
  </w:style>
  <w:style w:type="paragraph" w:styleId="Footer">
    <w:name w:val="footer"/>
    <w:basedOn w:val="Normal"/>
    <w:link w:val="FooterChar"/>
    <w:uiPriority w:val="99"/>
    <w:unhideWhenUsed/>
    <w:rsid w:val="00966D6C"/>
    <w:pPr>
      <w:tabs>
        <w:tab w:val="center" w:pos="4513"/>
        <w:tab w:val="right" w:pos="9026"/>
      </w:tabs>
    </w:pPr>
  </w:style>
  <w:style w:type="character" w:customStyle="1" w:styleId="FooterChar">
    <w:name w:val="Footer Char"/>
    <w:basedOn w:val="DefaultParagraphFont"/>
    <w:link w:val="Footer"/>
    <w:uiPriority w:val="99"/>
    <w:rsid w:val="00966D6C"/>
    <w:rPr>
      <w:rFonts w:ascii="Doves Type" w:eastAsiaTheme="minorEastAsia" w:hAnsi="Doves Type"/>
      <w:color w:val="5A5A5A" w:themeColor="text1" w:themeTint="A5"/>
      <w:sz w:val="24"/>
    </w:rPr>
  </w:style>
  <w:style w:type="paragraph" w:styleId="ListParagraph">
    <w:name w:val="List Paragraph"/>
    <w:basedOn w:val="Normal"/>
    <w:uiPriority w:val="34"/>
    <w:qFormat/>
    <w:rsid w:val="001F0483"/>
    <w:pPr>
      <w:ind w:left="720"/>
      <w:contextualSpacing/>
    </w:pPr>
  </w:style>
  <w:style w:type="character" w:customStyle="1" w:styleId="Heading6Char">
    <w:name w:val="Heading 6 Char"/>
    <w:basedOn w:val="DefaultParagraphFont"/>
    <w:link w:val="Heading6"/>
    <w:uiPriority w:val="9"/>
    <w:semiHidden/>
    <w:rsid w:val="001F048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048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048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0483"/>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66D6C"/>
    <w:rPr>
      <w:b/>
      <w:bCs/>
      <w:smallCaps/>
      <w:color w:val="1F497D" w:themeColor="text2"/>
      <w:spacing w:val="10"/>
      <w:sz w:val="18"/>
      <w:szCs w:val="18"/>
    </w:rPr>
  </w:style>
  <w:style w:type="character" w:styleId="Strong">
    <w:name w:val="Strong"/>
    <w:uiPriority w:val="22"/>
    <w:qFormat/>
    <w:rsid w:val="001F0483"/>
    <w:rPr>
      <w:b/>
      <w:bCs/>
    </w:rPr>
  </w:style>
  <w:style w:type="character" w:styleId="Emphasis">
    <w:name w:val="Emphasis"/>
    <w:uiPriority w:val="20"/>
    <w:qFormat/>
    <w:rsid w:val="001F0483"/>
    <w:rPr>
      <w:b/>
      <w:bCs/>
      <w:i/>
      <w:iCs/>
      <w:spacing w:val="10"/>
      <w:bdr w:val="none" w:sz="0" w:space="0" w:color="auto"/>
      <w:shd w:val="clear" w:color="auto" w:fill="auto"/>
    </w:rPr>
  </w:style>
  <w:style w:type="paragraph" w:styleId="NoSpacing">
    <w:name w:val="No Spacing"/>
    <w:basedOn w:val="Normal"/>
    <w:link w:val="NoSpacingChar"/>
    <w:uiPriority w:val="1"/>
    <w:qFormat/>
    <w:rsid w:val="001F0483"/>
    <w:pPr>
      <w:spacing w:after="0" w:line="240" w:lineRule="auto"/>
    </w:pPr>
  </w:style>
  <w:style w:type="paragraph" w:styleId="IntenseQuote">
    <w:name w:val="Intense Quote"/>
    <w:basedOn w:val="Normal"/>
    <w:next w:val="Normal"/>
    <w:link w:val="IntenseQuoteChar"/>
    <w:uiPriority w:val="30"/>
    <w:qFormat/>
    <w:rsid w:val="001F048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0483"/>
    <w:rPr>
      <w:b/>
      <w:bCs/>
      <w:i/>
      <w:iCs/>
    </w:rPr>
  </w:style>
  <w:style w:type="character" w:styleId="SubtleEmphasis">
    <w:name w:val="Subtle Emphasis"/>
    <w:uiPriority w:val="19"/>
    <w:qFormat/>
    <w:rsid w:val="001F0483"/>
    <w:rPr>
      <w:i/>
      <w:iCs/>
    </w:rPr>
  </w:style>
  <w:style w:type="character" w:styleId="IntenseEmphasis">
    <w:name w:val="Intense Emphasis"/>
    <w:uiPriority w:val="21"/>
    <w:qFormat/>
    <w:rsid w:val="001F0483"/>
    <w:rPr>
      <w:b/>
      <w:bCs/>
    </w:rPr>
  </w:style>
  <w:style w:type="character" w:styleId="SubtleReference">
    <w:name w:val="Subtle Reference"/>
    <w:uiPriority w:val="31"/>
    <w:qFormat/>
    <w:rsid w:val="001F0483"/>
    <w:rPr>
      <w:smallCaps/>
    </w:rPr>
  </w:style>
  <w:style w:type="character" w:styleId="IntenseReference">
    <w:name w:val="Intense Reference"/>
    <w:uiPriority w:val="32"/>
    <w:qFormat/>
    <w:rsid w:val="001F0483"/>
    <w:rPr>
      <w:smallCaps/>
      <w:spacing w:val="5"/>
      <w:u w:val="single"/>
    </w:rPr>
  </w:style>
  <w:style w:type="character" w:styleId="BookTitle">
    <w:name w:val="Book Title"/>
    <w:uiPriority w:val="33"/>
    <w:qFormat/>
    <w:rsid w:val="001F0483"/>
    <w:rPr>
      <w:i/>
      <w:iCs/>
      <w:smallCaps/>
      <w:spacing w:val="5"/>
    </w:rPr>
  </w:style>
  <w:style w:type="paragraph" w:styleId="TOCHeading">
    <w:name w:val="TOC Heading"/>
    <w:basedOn w:val="Heading1"/>
    <w:next w:val="Normal"/>
    <w:uiPriority w:val="39"/>
    <w:semiHidden/>
    <w:unhideWhenUsed/>
    <w:qFormat/>
    <w:rsid w:val="001F0483"/>
    <w:pPr>
      <w:outlineLvl w:val="9"/>
    </w:pPr>
    <w:rPr>
      <w:lang w:bidi="en-US"/>
    </w:rPr>
  </w:style>
  <w:style w:type="paragraph" w:customStyle="1" w:styleId="Style1">
    <w:name w:val="Style1"/>
    <w:basedOn w:val="Normal"/>
    <w:next w:val="Normal"/>
    <w:link w:val="Style1Char"/>
    <w:qFormat/>
    <w:rsid w:val="0096016F"/>
    <w:pPr>
      <w:spacing w:after="0"/>
      <w:ind w:left="720" w:hanging="720"/>
    </w:pPr>
    <w:rPr>
      <w:i/>
    </w:rPr>
  </w:style>
  <w:style w:type="table" w:styleId="TableGrid">
    <w:name w:val="Table Grid"/>
    <w:basedOn w:val="TableNormal"/>
    <w:uiPriority w:val="39"/>
    <w:rsid w:val="00E63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basedOn w:val="DefaultParagraphFont"/>
    <w:link w:val="Style1"/>
    <w:rsid w:val="0096016F"/>
    <w:rPr>
      <w:i/>
    </w:rPr>
  </w:style>
  <w:style w:type="character" w:styleId="Hyperlink">
    <w:name w:val="Hyperlink"/>
    <w:basedOn w:val="DefaultParagraphFont"/>
    <w:uiPriority w:val="99"/>
    <w:unhideWhenUsed/>
    <w:rsid w:val="0014612D"/>
    <w:rPr>
      <w:color w:val="0000FF" w:themeColor="hyperlink"/>
      <w:u w:val="single"/>
    </w:rPr>
  </w:style>
  <w:style w:type="character" w:styleId="FollowedHyperlink">
    <w:name w:val="FollowedHyperlink"/>
    <w:basedOn w:val="DefaultParagraphFont"/>
    <w:uiPriority w:val="99"/>
    <w:semiHidden/>
    <w:unhideWhenUsed/>
    <w:rsid w:val="0039554B"/>
    <w:rPr>
      <w:color w:val="800080" w:themeColor="followedHyperlink"/>
      <w:u w:val="single"/>
    </w:rPr>
  </w:style>
  <w:style w:type="paragraph" w:styleId="BalloonText">
    <w:name w:val="Balloon Text"/>
    <w:basedOn w:val="Normal"/>
    <w:link w:val="BalloonTextChar"/>
    <w:uiPriority w:val="99"/>
    <w:semiHidden/>
    <w:unhideWhenUsed/>
    <w:rsid w:val="00940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A15"/>
    <w:rPr>
      <w:rFonts w:ascii="Tahoma" w:hAnsi="Tahoma" w:cs="Tahoma"/>
      <w:sz w:val="16"/>
      <w:szCs w:val="16"/>
    </w:rPr>
  </w:style>
  <w:style w:type="character" w:customStyle="1" w:styleId="NoSpacingChar">
    <w:name w:val="No Spacing Char"/>
    <w:basedOn w:val="DefaultParagraphFont"/>
    <w:link w:val="NoSpacing"/>
    <w:uiPriority w:val="1"/>
    <w:rsid w:val="008037AA"/>
    <w:rPr>
      <w:rFonts w:ascii="Chaparral Pro" w:hAnsi="Chaparral Pro"/>
      <w:sz w:val="24"/>
    </w:rPr>
  </w:style>
  <w:style w:type="paragraph" w:styleId="TOC1">
    <w:name w:val="toc 1"/>
    <w:basedOn w:val="Normal"/>
    <w:next w:val="Normal"/>
    <w:autoRedefine/>
    <w:uiPriority w:val="39"/>
    <w:unhideWhenUsed/>
    <w:rsid w:val="00B85818"/>
  </w:style>
  <w:style w:type="paragraph" w:styleId="TOC2">
    <w:name w:val="toc 2"/>
    <w:basedOn w:val="Normal"/>
    <w:next w:val="Normal"/>
    <w:autoRedefine/>
    <w:uiPriority w:val="39"/>
    <w:unhideWhenUsed/>
    <w:rsid w:val="00B85818"/>
    <w:pPr>
      <w:ind w:left="240"/>
    </w:pPr>
  </w:style>
  <w:style w:type="paragraph" w:styleId="TOC3">
    <w:name w:val="toc 3"/>
    <w:basedOn w:val="Normal"/>
    <w:next w:val="Normal"/>
    <w:autoRedefine/>
    <w:uiPriority w:val="39"/>
    <w:unhideWhenUsed/>
    <w:rsid w:val="00B8581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6134">
      <w:bodyDiv w:val="1"/>
      <w:marLeft w:val="0"/>
      <w:marRight w:val="0"/>
      <w:marTop w:val="0"/>
      <w:marBottom w:val="0"/>
      <w:divBdr>
        <w:top w:val="none" w:sz="0" w:space="0" w:color="auto"/>
        <w:left w:val="none" w:sz="0" w:space="0" w:color="auto"/>
        <w:bottom w:val="none" w:sz="0" w:space="0" w:color="auto"/>
        <w:right w:val="none" w:sz="0" w:space="0" w:color="auto"/>
      </w:divBdr>
    </w:div>
    <w:div w:id="417405154">
      <w:bodyDiv w:val="1"/>
      <w:marLeft w:val="0"/>
      <w:marRight w:val="0"/>
      <w:marTop w:val="0"/>
      <w:marBottom w:val="0"/>
      <w:divBdr>
        <w:top w:val="none" w:sz="0" w:space="0" w:color="auto"/>
        <w:left w:val="none" w:sz="0" w:space="0" w:color="auto"/>
        <w:bottom w:val="none" w:sz="0" w:space="0" w:color="auto"/>
        <w:right w:val="none" w:sz="0" w:space="0" w:color="auto"/>
      </w:divBdr>
      <w:divsChild>
        <w:div w:id="1882933080">
          <w:marLeft w:val="0"/>
          <w:marRight w:val="0"/>
          <w:marTop w:val="0"/>
          <w:marBottom w:val="0"/>
          <w:divBdr>
            <w:top w:val="none" w:sz="0" w:space="0" w:color="auto"/>
            <w:left w:val="none" w:sz="0" w:space="0" w:color="auto"/>
            <w:bottom w:val="none" w:sz="0" w:space="0" w:color="auto"/>
            <w:right w:val="none" w:sz="0" w:space="0" w:color="auto"/>
          </w:divBdr>
        </w:div>
      </w:divsChild>
    </w:div>
    <w:div w:id="628779442">
      <w:bodyDiv w:val="1"/>
      <w:marLeft w:val="0"/>
      <w:marRight w:val="0"/>
      <w:marTop w:val="0"/>
      <w:marBottom w:val="0"/>
      <w:divBdr>
        <w:top w:val="none" w:sz="0" w:space="0" w:color="auto"/>
        <w:left w:val="none" w:sz="0" w:space="0" w:color="auto"/>
        <w:bottom w:val="none" w:sz="0" w:space="0" w:color="auto"/>
        <w:right w:val="none" w:sz="0" w:space="0" w:color="auto"/>
      </w:divBdr>
      <w:divsChild>
        <w:div w:id="387612071">
          <w:marLeft w:val="0"/>
          <w:marRight w:val="0"/>
          <w:marTop w:val="0"/>
          <w:marBottom w:val="0"/>
          <w:divBdr>
            <w:top w:val="none" w:sz="0" w:space="0" w:color="auto"/>
            <w:left w:val="none" w:sz="0" w:space="0" w:color="auto"/>
            <w:bottom w:val="none" w:sz="0" w:space="0" w:color="auto"/>
            <w:right w:val="none" w:sz="0" w:space="0" w:color="auto"/>
          </w:divBdr>
          <w:divsChild>
            <w:div w:id="52012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7111064">
      <w:bodyDiv w:val="1"/>
      <w:marLeft w:val="0"/>
      <w:marRight w:val="0"/>
      <w:marTop w:val="0"/>
      <w:marBottom w:val="0"/>
      <w:divBdr>
        <w:top w:val="none" w:sz="0" w:space="0" w:color="auto"/>
        <w:left w:val="none" w:sz="0" w:space="0" w:color="auto"/>
        <w:bottom w:val="none" w:sz="0" w:space="0" w:color="auto"/>
        <w:right w:val="none" w:sz="0" w:space="0" w:color="auto"/>
      </w:divBdr>
    </w:div>
    <w:div w:id="18608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hilpapers.org/rec/FOOTP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A8CE0-8035-4E82-A760-A2096E1E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7808</Words>
  <Characters>44509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Verdictive Foreseeability</dc:title>
  <dc:creator>Max Weaver</dc:creator>
  <cp:lastModifiedBy>Max Weaver</cp:lastModifiedBy>
  <cp:revision>6</cp:revision>
  <cp:lastPrinted>2015-08-28T08:01:00Z</cp:lastPrinted>
  <dcterms:created xsi:type="dcterms:W3CDTF">2015-08-22T09:04:00Z</dcterms:created>
  <dcterms:modified xsi:type="dcterms:W3CDTF">2015-08-28T08:04:00Z</dcterms:modified>
</cp:coreProperties>
</file>