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02262" w14:textId="10B178BD" w:rsidR="00E13EE6" w:rsidRPr="00507776" w:rsidRDefault="004E56A8" w:rsidP="00507776">
      <w:pPr>
        <w:pStyle w:val="Tabletitle"/>
        <w:spacing w:after="240"/>
        <w:rPr>
          <w:sz w:val="20"/>
          <w:szCs w:val="20"/>
        </w:rPr>
      </w:pPr>
      <w:r w:rsidRPr="00507776">
        <w:rPr>
          <w:b/>
          <w:bCs/>
          <w:sz w:val="20"/>
          <w:szCs w:val="20"/>
        </w:rPr>
        <w:t>Table 1.</w:t>
      </w:r>
      <w:r w:rsidRPr="00507776">
        <w:rPr>
          <w:sz w:val="20"/>
          <w:szCs w:val="20"/>
        </w:rPr>
        <w:t xml:space="preserve"> </w:t>
      </w:r>
      <w:r w:rsidR="00E13EE6" w:rsidRPr="00507776">
        <w:rPr>
          <w:sz w:val="20"/>
          <w:szCs w:val="20"/>
        </w:rPr>
        <w:t xml:space="preserve">Comparing GPRS with BREEAM and LEED </w:t>
      </w:r>
      <w:r w:rsidR="00E13EE6" w:rsidRPr="00507776">
        <w:rPr>
          <w:sz w:val="20"/>
          <w:szCs w:val="20"/>
        </w:rPr>
        <w:br/>
        <w:t>Source: (</w:t>
      </w:r>
      <w:r w:rsidR="00E13EE6" w:rsidRPr="00507776">
        <w:rPr>
          <w:i/>
          <w:iCs/>
          <w:sz w:val="20"/>
          <w:szCs w:val="20"/>
        </w:rPr>
        <w:fldChar w:fldCharType="begin" w:fldLock="1"/>
      </w:r>
      <w:r w:rsidR="00DB4AA3">
        <w:rPr>
          <w:i/>
          <w:iCs/>
          <w:sz w:val="20"/>
          <w:szCs w:val="20"/>
        </w:rPr>
        <w:instrText>ADDIN CSL_CITATION {"citationItems":[{"id":"ITEM-1","itemData":{"author":[{"dropping-particle":"","family":"Housing and Building National Research Center (HBRC)","given":"","non-dropping-particle":"","parse-names":false,"suffix":""}],"id":"ITEM-1","issue":"May 2010","issued":{"date-parts":[["2011"]]},"publisher-place":"Ad Doqi, Giza","title":"The Green Pyramid Rating System - First Version","type":"report","volume":"2011"},"uris":["http://www.mendeley.com/documents/?uuid=e4f7d666-1e92-44cb-862f-9fcfe5095022"]}],"mendeley":{"formattedCitation":"(Housing and Building National Research Center (HBRC), 2011)","manualFormatting":"Housing and Building National Research Center (HBRC), 2011","plainTextFormattedCitation":"(Housing and Building National Research Center (HBRC), 2011)","previouslyFormattedCitation":"(Housing and Building National Research Center (HBRC), 2011)"},"properties":{"noteIndex":0},"schema":"https://github.com/citation-style-language/schema/raw/master/csl-citation.json"}</w:instrText>
      </w:r>
      <w:r w:rsidR="00E13EE6" w:rsidRPr="00507776">
        <w:rPr>
          <w:i/>
          <w:iCs/>
          <w:sz w:val="20"/>
          <w:szCs w:val="20"/>
        </w:rPr>
        <w:fldChar w:fldCharType="separate"/>
      </w:r>
      <w:r w:rsidR="00E13EE6" w:rsidRPr="00507776">
        <w:rPr>
          <w:iCs/>
          <w:noProof/>
          <w:sz w:val="20"/>
          <w:szCs w:val="20"/>
        </w:rPr>
        <w:t>Housing and Building National Research Center (HBRC)</w:t>
      </w:r>
      <w:r w:rsidR="00547D8A" w:rsidRPr="00507776">
        <w:rPr>
          <w:iCs/>
          <w:noProof/>
          <w:sz w:val="20"/>
          <w:szCs w:val="20"/>
        </w:rPr>
        <w:t>,</w:t>
      </w:r>
      <w:r w:rsidR="00E13EE6" w:rsidRPr="00507776">
        <w:rPr>
          <w:iCs/>
          <w:noProof/>
          <w:sz w:val="20"/>
          <w:szCs w:val="20"/>
        </w:rPr>
        <w:t xml:space="preserve"> 2011</w:t>
      </w:r>
      <w:r w:rsidR="00E13EE6" w:rsidRPr="00507776">
        <w:rPr>
          <w:sz w:val="20"/>
          <w:szCs w:val="20"/>
        </w:rPr>
        <w:fldChar w:fldCharType="end"/>
      </w:r>
      <w:r w:rsidR="00E13EE6" w:rsidRPr="00507776">
        <w:rPr>
          <w:sz w:val="20"/>
          <w:szCs w:val="20"/>
        </w:rPr>
        <w:t xml:space="preserve">; </w:t>
      </w:r>
      <w:r w:rsidR="00E13EE6" w:rsidRPr="00507776">
        <w:rPr>
          <w:sz w:val="20"/>
          <w:szCs w:val="20"/>
        </w:rPr>
        <w:fldChar w:fldCharType="begin" w:fldLock="1"/>
      </w:r>
      <w:r w:rsidR="00DB4AA3">
        <w:rPr>
          <w:sz w:val="20"/>
          <w:szCs w:val="20"/>
        </w:rPr>
        <w:instrText>ADDIN CSL_CITATION {"citationItems":[{"id":"ITEM-1","itemData":{"DOI":"10.1192/bjp.112.483.211-a","ISSN":"0007-1250","author":[{"dropping-particle":"","family":"Building Research Establishment (BRE)","given":"","non-dropping-particle":"","parse-names":false,"suffix":""}],"id":"ITEM-1","issue":"2.0","issued":{"date-parts":[["2016"]]},"publisher-place":"Watford","title":"BREEAM International New Construction 2016","type":"report"},"uris":["http://www.mendeley.com/documents/?uuid=65e8477c-b138-49b0-b770-ab820319499d"]}],"mendeley":{"formattedCitation":"(Building Research Establishment (BRE), 2016)","manualFormatting":"Building Research Establishment (BRE), 2016","plainTextFormattedCitation":"(Building Research Establishment (BRE), 2016)","previouslyFormattedCitation":"(Building Research Establishment (BRE), 2016)"},"properties":{"noteIndex":0},"schema":"https://github.com/citation-style-language/schema/raw/master/csl-citation.json"}</w:instrText>
      </w:r>
      <w:r w:rsidR="00E13EE6" w:rsidRPr="00507776">
        <w:rPr>
          <w:sz w:val="20"/>
          <w:szCs w:val="20"/>
        </w:rPr>
        <w:fldChar w:fldCharType="separate"/>
      </w:r>
      <w:r w:rsidR="00E13EE6" w:rsidRPr="00507776">
        <w:rPr>
          <w:noProof/>
          <w:sz w:val="20"/>
          <w:szCs w:val="20"/>
        </w:rPr>
        <w:t>Building Research Establishment (BRE)</w:t>
      </w:r>
      <w:r w:rsidR="00547D8A" w:rsidRPr="00507776">
        <w:rPr>
          <w:noProof/>
          <w:sz w:val="20"/>
          <w:szCs w:val="20"/>
        </w:rPr>
        <w:t>,</w:t>
      </w:r>
      <w:r w:rsidR="00E13EE6" w:rsidRPr="00507776">
        <w:rPr>
          <w:noProof/>
          <w:sz w:val="20"/>
          <w:szCs w:val="20"/>
        </w:rPr>
        <w:t xml:space="preserve"> 2016</w:t>
      </w:r>
      <w:r w:rsidR="00E13EE6" w:rsidRPr="00507776">
        <w:rPr>
          <w:sz w:val="20"/>
          <w:szCs w:val="20"/>
        </w:rPr>
        <w:fldChar w:fldCharType="end"/>
      </w:r>
      <w:r w:rsidR="00E13EE6" w:rsidRPr="00507776">
        <w:rPr>
          <w:sz w:val="20"/>
          <w:szCs w:val="20"/>
        </w:rPr>
        <w:t xml:space="preserve">; </w:t>
      </w:r>
      <w:r w:rsidR="00E13EE6" w:rsidRPr="00507776">
        <w:rPr>
          <w:sz w:val="20"/>
          <w:szCs w:val="20"/>
        </w:rPr>
        <w:fldChar w:fldCharType="begin" w:fldLock="1"/>
      </w:r>
      <w:r w:rsidR="00DB4AA3">
        <w:rPr>
          <w:sz w:val="20"/>
          <w:szCs w:val="20"/>
        </w:rPr>
        <w:instrText>ADDIN CSL_CITATION {"citationItems":[{"id":"ITEM-1","itemData":{"author":[{"dropping-particle":"","family":"Karmany","given":"Hebaalla Mostafa","non-dropping-particle":"","parse-names":false,"suffix":""}],"id":"ITEM-1","issued":{"date-parts":[["2016"]]},"number-of-pages":"154","publisher":"The American University in Cairo","title":"Evaluation of green building rating systems for Egypt","type":"thesis"},"uris":["http://www.mendeley.com/documents/?uuid=52d7742e-afe0-45c4-a8b1-85cdcc23264e"]}],"mendeley":{"formattedCitation":"(Karmany, 2016)","manualFormatting":"Karmany, 2016","plainTextFormattedCitation":"(Karmany, 2016)","previouslyFormattedCitation":"(Karmany, 2016)"},"properties":{"noteIndex":0},"schema":"https://github.com/citation-style-language/schema/raw/master/csl-citation.json"}</w:instrText>
      </w:r>
      <w:r w:rsidR="00E13EE6" w:rsidRPr="00507776">
        <w:rPr>
          <w:sz w:val="20"/>
          <w:szCs w:val="20"/>
        </w:rPr>
        <w:fldChar w:fldCharType="separate"/>
      </w:r>
      <w:r w:rsidR="00E13EE6" w:rsidRPr="00507776">
        <w:rPr>
          <w:noProof/>
          <w:sz w:val="20"/>
          <w:szCs w:val="20"/>
        </w:rPr>
        <w:t>Karmany</w:t>
      </w:r>
      <w:r w:rsidR="00547D8A" w:rsidRPr="00507776">
        <w:rPr>
          <w:noProof/>
          <w:sz w:val="20"/>
          <w:szCs w:val="20"/>
        </w:rPr>
        <w:t>,</w:t>
      </w:r>
      <w:r w:rsidR="00E13EE6" w:rsidRPr="00507776">
        <w:rPr>
          <w:noProof/>
          <w:sz w:val="20"/>
          <w:szCs w:val="20"/>
        </w:rPr>
        <w:t xml:space="preserve"> 2016</w:t>
      </w:r>
      <w:r w:rsidR="00E13EE6" w:rsidRPr="00507776">
        <w:rPr>
          <w:sz w:val="20"/>
          <w:szCs w:val="20"/>
        </w:rPr>
        <w:fldChar w:fldCharType="end"/>
      </w:r>
      <w:r w:rsidR="00E13EE6" w:rsidRPr="00507776">
        <w:rPr>
          <w:sz w:val="20"/>
          <w:szCs w:val="20"/>
        </w:rPr>
        <w:t>;</w:t>
      </w:r>
      <w:r w:rsidR="00E13EE6" w:rsidRPr="00507776">
        <w:rPr>
          <w:i/>
          <w:iCs/>
          <w:sz w:val="20"/>
          <w:szCs w:val="20"/>
        </w:rPr>
        <w:t xml:space="preserve"> </w:t>
      </w:r>
      <w:r w:rsidR="00E13EE6" w:rsidRPr="00507776">
        <w:rPr>
          <w:sz w:val="20"/>
          <w:szCs w:val="20"/>
        </w:rPr>
        <w:fldChar w:fldCharType="begin" w:fldLock="1"/>
      </w:r>
      <w:r w:rsidR="00112962">
        <w:rPr>
          <w:sz w:val="20"/>
          <w:szCs w:val="20"/>
        </w:rPr>
        <w:instrText>ADDIN CSL_CITATION {"citationItems":[{"id":"ITEM-1","itemData":{"DOI":"10.1016/j.buildenv.2017.07.007","ISSN":"03601323","abstract":"Various green rating systems are established globally to evaluate the sustainability of construction projects. Their categories and criteria have been under constant updates to follow the sustainable trend of building development. This paper aims to develop a systematic review of the development of green rating systems. The specific objectives are: 1) discover how interest and research in green rating systems have developed; 2) identify the similarity, difference, strength and weakness of green rating systems; 3) examine whether they fully assess the projects in all aspects of sustainability. Specifically, LEED (Leadership in Energy and Environmental Design), BREEAM (Building Research Establishment Assessment Method), CASBEE (Comprehensive Assessment System for Building Environmental Efficiency) and Green Star NZ were analysed in this paper. The results indicate that BREEAM, LEED, and CASBEE have been utilized since late the 2000s while Green Star NZ is still in its earlier stages. 70% of the research papers focusing on BREEAM, LEED, CASBEE are developed geographically in the USA, Canada, the UK, China, and Australia. Although these four rating systems were initiated in different contexts with different standards, Indoor Environment Quality, Energy, and Material are core common categories for all. Environmental concerns are the main focus in New Construction manuals while Society is emphasized in Neighbourhood Development manuals. Currently, BREEAM has been the only tool which could assess all four sustainable factors. Further in-depth research is anticipated to focus more on economic and institutional factors to improve the capability of green rating systems for sustainability assessment purposes.","author":[{"dropping-particle":"","family":"Doan","given":"Dat Tien","non-dropping-particle":"","parse-names":false,"suffix":""},{"dropping-particle":"","family":"Ghaffarianhoseini","given":"Ali","non-dropping-particle":"","parse-names":false,"suffix":""},{"dropping-particle":"","family":"Naismith","given":"Nicola","non-dropping-particle":"","parse-names":false,"suffix":""},{"dropping-particle":"","family":"Zhang","given":"Tongrui","non-dropping-particle":"","parse-names":false,"suffix":""},{"dropping-particle":"","family":"Ghaffarianhoseini","given":"Amirhosein","non-dropping-particle":"","parse-names":false,"suffix":""},{"dropping-particle":"","family":"Tookey","given":"John","non-dropping-particle":"","parse-names":false,"suffix":""}],"container-title":"Building and Environment","id":"ITEM-1","issued":{"date-parts":[["2017"]]},"page":"243-260","publisher":"Elsevier Ltd","title":"A critical comparison of green building rating systems","type":"article-journal","volume":"123"},"uris":["http://www.mendeley.com/documents/?uuid=de3fedaa-b504-4f74-b046-c342c2704944"]}],"mendeley":{"formattedCitation":"(Doan et al., 2017)","manualFormatting":"Doan et al., 2017","plainTextFormattedCitation":"(Doan et al., 2017)","previouslyFormattedCitation":"(Doan et al., 2017)"},"properties":{"noteIndex":0},"schema":"https://github.com/citation-style-language/schema/raw/master/csl-citation.json"}</w:instrText>
      </w:r>
      <w:r w:rsidR="00E13EE6" w:rsidRPr="00507776">
        <w:rPr>
          <w:sz w:val="20"/>
          <w:szCs w:val="20"/>
        </w:rPr>
        <w:fldChar w:fldCharType="separate"/>
      </w:r>
      <w:r w:rsidR="00E13EE6" w:rsidRPr="00507776">
        <w:rPr>
          <w:noProof/>
          <w:sz w:val="20"/>
          <w:szCs w:val="20"/>
        </w:rPr>
        <w:t>Doan et al.</w:t>
      </w:r>
      <w:r w:rsidR="00547D8A" w:rsidRPr="00507776">
        <w:rPr>
          <w:noProof/>
          <w:sz w:val="20"/>
          <w:szCs w:val="20"/>
        </w:rPr>
        <w:t>,</w:t>
      </w:r>
      <w:r w:rsidR="00E13EE6" w:rsidRPr="00507776">
        <w:rPr>
          <w:noProof/>
          <w:sz w:val="20"/>
          <w:szCs w:val="20"/>
        </w:rPr>
        <w:t xml:space="preserve"> 2017</w:t>
      </w:r>
      <w:r w:rsidR="00E13EE6" w:rsidRPr="00507776">
        <w:rPr>
          <w:sz w:val="20"/>
          <w:szCs w:val="20"/>
        </w:rPr>
        <w:fldChar w:fldCharType="end"/>
      </w:r>
      <w:r w:rsidR="00E13EE6" w:rsidRPr="00507776">
        <w:rPr>
          <w:sz w:val="20"/>
          <w:szCs w:val="20"/>
        </w:rPr>
        <w:t xml:space="preserve">; </w:t>
      </w:r>
      <w:r w:rsidR="00E13EE6" w:rsidRPr="00507776">
        <w:rPr>
          <w:sz w:val="20"/>
          <w:szCs w:val="20"/>
        </w:rPr>
        <w:fldChar w:fldCharType="begin" w:fldLock="1"/>
      </w:r>
      <w:r w:rsidR="00DB4AA3">
        <w:rPr>
          <w:sz w:val="20"/>
          <w:szCs w:val="20"/>
        </w:rPr>
        <w:instrText>ADDIN CSL_CITATION {"citationItems":[{"id":"ITEM-1","itemData":{"author":[{"dropping-particle":"","family":"Housing and Building National Research Center (HBRC)","given":"","non-dropping-particle":"","parse-names":false,"suffix":""}],"id":"ITEM-1","issue":"2","issued":{"date-parts":[["2017"]]},"number-of-pages":"1-69","publisher-place":"Ad Doqi, Giza","title":"The Green Pyramid Rating System - Second Version","type":"report"},"uris":["http://www.mendeley.com/documents/?uuid=a6c5d229-be60-4fd9-9f3c-6a4eec01269b"]}],"mendeley":{"formattedCitation":"(Housing and Building National Research Center (HBRC), 2017)","manualFormatting":"HBRC, 2017","plainTextFormattedCitation":"(Housing and Building National Research Center (HBRC), 2017)","previouslyFormattedCitation":"(Housing and Building National Research Center (HBRC), 2017)"},"properties":{"noteIndex":0},"schema":"https://github.com/citation-style-language/schema/raw/master/csl-citation.json"}</w:instrText>
      </w:r>
      <w:r w:rsidR="00E13EE6" w:rsidRPr="00507776">
        <w:rPr>
          <w:sz w:val="20"/>
          <w:szCs w:val="20"/>
        </w:rPr>
        <w:fldChar w:fldCharType="separate"/>
      </w:r>
      <w:r w:rsidR="00E13EE6" w:rsidRPr="00507776">
        <w:rPr>
          <w:noProof/>
          <w:sz w:val="20"/>
          <w:szCs w:val="20"/>
        </w:rPr>
        <w:t>HBRC</w:t>
      </w:r>
      <w:r w:rsidR="00547D8A" w:rsidRPr="00507776">
        <w:rPr>
          <w:noProof/>
          <w:sz w:val="20"/>
          <w:szCs w:val="20"/>
        </w:rPr>
        <w:t>,</w:t>
      </w:r>
      <w:r w:rsidR="00E13EE6" w:rsidRPr="00507776">
        <w:rPr>
          <w:noProof/>
          <w:sz w:val="20"/>
          <w:szCs w:val="20"/>
        </w:rPr>
        <w:t xml:space="preserve"> 2017</w:t>
      </w:r>
      <w:r w:rsidR="00E13EE6" w:rsidRPr="00507776">
        <w:rPr>
          <w:sz w:val="20"/>
          <w:szCs w:val="20"/>
        </w:rPr>
        <w:fldChar w:fldCharType="end"/>
      </w:r>
      <w:r w:rsidR="00E13EE6" w:rsidRPr="00507776">
        <w:rPr>
          <w:sz w:val="20"/>
          <w:szCs w:val="20"/>
        </w:rPr>
        <w:t xml:space="preserve">; </w:t>
      </w:r>
      <w:r w:rsidR="00E13EE6" w:rsidRPr="00507776">
        <w:rPr>
          <w:sz w:val="20"/>
          <w:szCs w:val="20"/>
        </w:rPr>
        <w:fldChar w:fldCharType="begin" w:fldLock="1"/>
      </w:r>
      <w:r w:rsidR="00DB4AA3">
        <w:rPr>
          <w:sz w:val="20"/>
          <w:szCs w:val="20"/>
        </w:rPr>
        <w:instrText>ADDIN CSL_CITATION {"citationItems":[{"id":"ITEM-1","itemData":{"author":[{"dropping-particle":"","family":"U.S. Green Building Council (USGBC)","given":"","non-dropping-particle":"","parse-names":false,"suffix":""}],"id":"ITEM-1","issued":{"date-parts":[["2019"]]},"publisher-place":"Washington, D.C","title":"LEED v4 for Building Design and Construction","type":"report"},"uris":["http://www.mendeley.com/documents/?uuid=01572fff-8c6f-412d-a140-ff2292c97b80"]}],"mendeley":{"formattedCitation":"(U.S. Green Building Council (USGBC), 2019)","manualFormatting":"U.S. Green Building Council (USGBC), 2019","plainTextFormattedCitation":"(U.S. Green Building Council (USGBC), 2019)","previouslyFormattedCitation":"(U.S. Green Building Council (USGBC), 2019)"},"properties":{"noteIndex":0},"schema":"https://github.com/citation-style-language/schema/raw/master/csl-citation.json"}</w:instrText>
      </w:r>
      <w:r w:rsidR="00E13EE6" w:rsidRPr="00507776">
        <w:rPr>
          <w:sz w:val="20"/>
          <w:szCs w:val="20"/>
        </w:rPr>
        <w:fldChar w:fldCharType="separate"/>
      </w:r>
      <w:r w:rsidR="00E13EE6" w:rsidRPr="00507776">
        <w:rPr>
          <w:noProof/>
          <w:sz w:val="20"/>
          <w:szCs w:val="20"/>
        </w:rPr>
        <w:t>U.S. Green Building Council (USGBC)</w:t>
      </w:r>
      <w:r w:rsidR="00547D8A" w:rsidRPr="00507776">
        <w:rPr>
          <w:noProof/>
          <w:sz w:val="20"/>
          <w:szCs w:val="20"/>
        </w:rPr>
        <w:t>,</w:t>
      </w:r>
      <w:r w:rsidR="00E13EE6" w:rsidRPr="00507776">
        <w:rPr>
          <w:noProof/>
          <w:sz w:val="20"/>
          <w:szCs w:val="20"/>
        </w:rPr>
        <w:t xml:space="preserve"> 2019</w:t>
      </w:r>
      <w:r w:rsidR="00E13EE6" w:rsidRPr="00507776">
        <w:rPr>
          <w:sz w:val="20"/>
          <w:szCs w:val="20"/>
        </w:rPr>
        <w:fldChar w:fldCharType="end"/>
      </w:r>
      <w:r w:rsidR="00E13EE6" w:rsidRPr="00507776">
        <w:rPr>
          <w:sz w:val="20"/>
          <w:szCs w:val="20"/>
        </w:rPr>
        <w:t>)</w:t>
      </w:r>
    </w:p>
    <w:tbl>
      <w:tblPr>
        <w:tblStyle w:val="TableGrid"/>
        <w:tblW w:w="904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426"/>
        <w:gridCol w:w="2694"/>
        <w:gridCol w:w="2374"/>
      </w:tblGrid>
      <w:tr w:rsidR="0098232C" w:rsidRPr="00507776" w14:paraId="64BC0F30" w14:textId="77777777" w:rsidTr="000D3B36">
        <w:trPr>
          <w:tblHeader/>
          <w:jc w:val="center"/>
        </w:trPr>
        <w:tc>
          <w:tcPr>
            <w:tcW w:w="1555" w:type="dxa"/>
            <w:tcBorders>
              <w:top w:val="single" w:sz="4" w:space="0" w:color="auto"/>
              <w:bottom w:val="single" w:sz="4" w:space="0" w:color="auto"/>
            </w:tcBorders>
          </w:tcPr>
          <w:p w14:paraId="4FB61D3D" w14:textId="77777777" w:rsidR="0098232C" w:rsidRPr="00507776" w:rsidRDefault="0098232C" w:rsidP="00507776">
            <w:pPr>
              <w:spacing w:line="360" w:lineRule="auto"/>
              <w:jc w:val="left"/>
              <w:rPr>
                <w:rFonts w:asciiTheme="majorBidi" w:hAnsiTheme="majorBidi" w:cstheme="majorBidi"/>
                <w:b/>
                <w:bCs/>
                <w:sz w:val="20"/>
                <w:szCs w:val="20"/>
                <w:lang w:val="en-GB"/>
              </w:rPr>
            </w:pPr>
            <w:r w:rsidRPr="00507776">
              <w:rPr>
                <w:rFonts w:asciiTheme="majorBidi" w:hAnsiTheme="majorBidi" w:cstheme="majorBidi"/>
                <w:b/>
                <w:bCs/>
                <w:sz w:val="20"/>
                <w:szCs w:val="20"/>
                <w:lang w:val="en-GB"/>
              </w:rPr>
              <w:t>Points of Comparison</w:t>
            </w:r>
          </w:p>
        </w:tc>
        <w:tc>
          <w:tcPr>
            <w:tcW w:w="2426" w:type="dxa"/>
            <w:tcBorders>
              <w:top w:val="single" w:sz="4" w:space="0" w:color="auto"/>
              <w:bottom w:val="single" w:sz="4" w:space="0" w:color="auto"/>
            </w:tcBorders>
          </w:tcPr>
          <w:p w14:paraId="188C814F" w14:textId="77777777" w:rsidR="0098232C" w:rsidRPr="00507776" w:rsidRDefault="0098232C" w:rsidP="00507776">
            <w:pPr>
              <w:spacing w:line="360" w:lineRule="auto"/>
              <w:jc w:val="left"/>
              <w:rPr>
                <w:rFonts w:asciiTheme="majorBidi" w:hAnsiTheme="majorBidi" w:cstheme="majorBidi"/>
                <w:b/>
                <w:bCs/>
                <w:sz w:val="20"/>
                <w:szCs w:val="20"/>
                <w:lang w:val="en-GB"/>
              </w:rPr>
            </w:pPr>
            <w:r w:rsidRPr="00507776">
              <w:rPr>
                <w:rFonts w:asciiTheme="majorBidi" w:hAnsiTheme="majorBidi" w:cstheme="majorBidi"/>
                <w:b/>
                <w:bCs/>
                <w:sz w:val="20"/>
                <w:szCs w:val="20"/>
                <w:lang w:val="en-GB"/>
              </w:rPr>
              <w:t>GPRS V2</w:t>
            </w:r>
          </w:p>
        </w:tc>
        <w:tc>
          <w:tcPr>
            <w:tcW w:w="2694" w:type="dxa"/>
            <w:tcBorders>
              <w:top w:val="single" w:sz="4" w:space="0" w:color="auto"/>
              <w:bottom w:val="single" w:sz="4" w:space="0" w:color="auto"/>
            </w:tcBorders>
          </w:tcPr>
          <w:p w14:paraId="61496680" w14:textId="6C5AA264" w:rsidR="0098232C" w:rsidRPr="00507776" w:rsidRDefault="0098232C" w:rsidP="00507776">
            <w:pPr>
              <w:spacing w:line="360" w:lineRule="auto"/>
              <w:jc w:val="left"/>
              <w:rPr>
                <w:rFonts w:asciiTheme="majorBidi" w:hAnsiTheme="majorBidi" w:cstheme="majorBidi"/>
                <w:b/>
                <w:bCs/>
                <w:sz w:val="20"/>
                <w:szCs w:val="20"/>
                <w:lang w:val="en-GB"/>
              </w:rPr>
            </w:pPr>
            <w:r w:rsidRPr="00507776">
              <w:rPr>
                <w:rFonts w:asciiTheme="majorBidi" w:hAnsiTheme="majorBidi" w:cstheme="majorBidi"/>
                <w:b/>
                <w:bCs/>
                <w:sz w:val="20"/>
                <w:szCs w:val="20"/>
                <w:lang w:val="en-GB"/>
              </w:rPr>
              <w:t>BREEAM International New Construction 2016</w:t>
            </w:r>
            <w:r w:rsidR="00AB473E" w:rsidRPr="00507776">
              <w:rPr>
                <w:rFonts w:asciiTheme="majorBidi" w:hAnsiTheme="majorBidi" w:cstheme="majorBidi"/>
                <w:b/>
                <w:bCs/>
                <w:sz w:val="20"/>
                <w:szCs w:val="20"/>
                <w:lang w:val="en-GB"/>
              </w:rPr>
              <w:t xml:space="preserve"> V2</w:t>
            </w:r>
          </w:p>
        </w:tc>
        <w:tc>
          <w:tcPr>
            <w:tcW w:w="2374" w:type="dxa"/>
            <w:tcBorders>
              <w:top w:val="single" w:sz="4" w:space="0" w:color="auto"/>
              <w:bottom w:val="single" w:sz="4" w:space="0" w:color="auto"/>
            </w:tcBorders>
          </w:tcPr>
          <w:p w14:paraId="57EE1C2F" w14:textId="77777777" w:rsidR="0098232C" w:rsidRPr="00507776" w:rsidRDefault="0098232C" w:rsidP="00507776">
            <w:pPr>
              <w:spacing w:line="360" w:lineRule="auto"/>
              <w:jc w:val="left"/>
              <w:rPr>
                <w:rFonts w:asciiTheme="majorBidi" w:hAnsiTheme="majorBidi" w:cstheme="majorBidi"/>
                <w:b/>
                <w:bCs/>
                <w:sz w:val="20"/>
                <w:szCs w:val="20"/>
                <w:lang w:val="en-GB"/>
              </w:rPr>
            </w:pPr>
            <w:r w:rsidRPr="00507776">
              <w:rPr>
                <w:rFonts w:asciiTheme="majorBidi" w:hAnsiTheme="majorBidi" w:cstheme="majorBidi"/>
                <w:b/>
                <w:bCs/>
                <w:sz w:val="20"/>
                <w:szCs w:val="20"/>
                <w:lang w:val="en-GB"/>
              </w:rPr>
              <w:t>LEED V4</w:t>
            </w:r>
          </w:p>
        </w:tc>
      </w:tr>
      <w:tr w:rsidR="0098232C" w:rsidRPr="00507776" w14:paraId="23BF72CB" w14:textId="77777777" w:rsidTr="000D3B36">
        <w:trPr>
          <w:jc w:val="center"/>
        </w:trPr>
        <w:tc>
          <w:tcPr>
            <w:tcW w:w="1555" w:type="dxa"/>
            <w:tcBorders>
              <w:top w:val="single" w:sz="4" w:space="0" w:color="auto"/>
            </w:tcBorders>
          </w:tcPr>
          <w:p w14:paraId="1D9F95A8"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Country</w:t>
            </w:r>
          </w:p>
        </w:tc>
        <w:tc>
          <w:tcPr>
            <w:tcW w:w="2426" w:type="dxa"/>
            <w:tcBorders>
              <w:top w:val="single" w:sz="4" w:space="0" w:color="auto"/>
            </w:tcBorders>
          </w:tcPr>
          <w:p w14:paraId="0E3D131E"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Egypt</w:t>
            </w:r>
          </w:p>
        </w:tc>
        <w:tc>
          <w:tcPr>
            <w:tcW w:w="2694" w:type="dxa"/>
            <w:tcBorders>
              <w:top w:val="single" w:sz="4" w:space="0" w:color="auto"/>
            </w:tcBorders>
          </w:tcPr>
          <w:p w14:paraId="58132B81"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UK</w:t>
            </w:r>
          </w:p>
        </w:tc>
        <w:tc>
          <w:tcPr>
            <w:tcW w:w="2374" w:type="dxa"/>
            <w:tcBorders>
              <w:top w:val="single" w:sz="4" w:space="0" w:color="auto"/>
            </w:tcBorders>
          </w:tcPr>
          <w:p w14:paraId="7278EA3F"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US</w:t>
            </w:r>
          </w:p>
        </w:tc>
      </w:tr>
      <w:tr w:rsidR="0098232C" w:rsidRPr="00507776" w14:paraId="073AA96B" w14:textId="77777777" w:rsidTr="000D3B36">
        <w:trPr>
          <w:jc w:val="center"/>
        </w:trPr>
        <w:tc>
          <w:tcPr>
            <w:tcW w:w="1555" w:type="dxa"/>
          </w:tcPr>
          <w:p w14:paraId="02A38BA0"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Organisations</w:t>
            </w:r>
          </w:p>
        </w:tc>
        <w:tc>
          <w:tcPr>
            <w:tcW w:w="2426" w:type="dxa"/>
          </w:tcPr>
          <w:p w14:paraId="57301D3D"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EGGBC</w:t>
            </w:r>
          </w:p>
        </w:tc>
        <w:tc>
          <w:tcPr>
            <w:tcW w:w="2694" w:type="dxa"/>
          </w:tcPr>
          <w:p w14:paraId="6BDE9C21"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BRE</w:t>
            </w:r>
          </w:p>
        </w:tc>
        <w:tc>
          <w:tcPr>
            <w:tcW w:w="2374" w:type="dxa"/>
          </w:tcPr>
          <w:p w14:paraId="56188F34"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USGBC</w:t>
            </w:r>
          </w:p>
        </w:tc>
      </w:tr>
      <w:tr w:rsidR="0098232C" w:rsidRPr="00507776" w14:paraId="5EADD8EF" w14:textId="77777777" w:rsidTr="000D3B36">
        <w:trPr>
          <w:jc w:val="center"/>
        </w:trPr>
        <w:tc>
          <w:tcPr>
            <w:tcW w:w="1555" w:type="dxa"/>
          </w:tcPr>
          <w:p w14:paraId="70821415"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Flexibility</w:t>
            </w:r>
          </w:p>
        </w:tc>
        <w:tc>
          <w:tcPr>
            <w:tcW w:w="2426" w:type="dxa"/>
          </w:tcPr>
          <w:p w14:paraId="49495BE5"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1 country</w:t>
            </w:r>
          </w:p>
        </w:tc>
        <w:tc>
          <w:tcPr>
            <w:tcW w:w="2694" w:type="dxa"/>
          </w:tcPr>
          <w:p w14:paraId="1E573A2F"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77 countries</w:t>
            </w:r>
          </w:p>
        </w:tc>
        <w:tc>
          <w:tcPr>
            <w:tcW w:w="2374" w:type="dxa"/>
          </w:tcPr>
          <w:p w14:paraId="135FD653"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160 countries</w:t>
            </w:r>
          </w:p>
        </w:tc>
      </w:tr>
      <w:tr w:rsidR="0098232C" w:rsidRPr="00507776" w14:paraId="241FC1E9" w14:textId="77777777" w:rsidTr="000D3B36">
        <w:trPr>
          <w:jc w:val="center"/>
        </w:trPr>
        <w:tc>
          <w:tcPr>
            <w:tcW w:w="1555" w:type="dxa"/>
          </w:tcPr>
          <w:p w14:paraId="4E683E29"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First Version</w:t>
            </w:r>
          </w:p>
        </w:tc>
        <w:tc>
          <w:tcPr>
            <w:tcW w:w="2426" w:type="dxa"/>
          </w:tcPr>
          <w:p w14:paraId="102595F8"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2011</w:t>
            </w:r>
          </w:p>
        </w:tc>
        <w:tc>
          <w:tcPr>
            <w:tcW w:w="2694" w:type="dxa"/>
          </w:tcPr>
          <w:p w14:paraId="0CF7143A"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1990</w:t>
            </w:r>
          </w:p>
        </w:tc>
        <w:tc>
          <w:tcPr>
            <w:tcW w:w="2374" w:type="dxa"/>
          </w:tcPr>
          <w:p w14:paraId="7DCFB355"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1998</w:t>
            </w:r>
          </w:p>
        </w:tc>
      </w:tr>
      <w:tr w:rsidR="0098232C" w:rsidRPr="00507776" w14:paraId="7442D6D3" w14:textId="77777777" w:rsidTr="000D3B36">
        <w:trPr>
          <w:jc w:val="center"/>
        </w:trPr>
        <w:tc>
          <w:tcPr>
            <w:tcW w:w="1555" w:type="dxa"/>
          </w:tcPr>
          <w:p w14:paraId="715ECF33"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Latest Version</w:t>
            </w:r>
          </w:p>
        </w:tc>
        <w:tc>
          <w:tcPr>
            <w:tcW w:w="2426" w:type="dxa"/>
          </w:tcPr>
          <w:p w14:paraId="5D3FC346"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2017</w:t>
            </w:r>
          </w:p>
        </w:tc>
        <w:tc>
          <w:tcPr>
            <w:tcW w:w="2694" w:type="dxa"/>
          </w:tcPr>
          <w:p w14:paraId="7233360F" w14:textId="39275BC8"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2016</w:t>
            </w:r>
            <w:r w:rsidR="00A67772" w:rsidRPr="00507776">
              <w:rPr>
                <w:rFonts w:asciiTheme="majorBidi" w:hAnsiTheme="majorBidi" w:cstheme="majorBidi"/>
                <w:sz w:val="20"/>
                <w:szCs w:val="20"/>
                <w:lang w:val="en-GB"/>
              </w:rPr>
              <w:t xml:space="preserve"> </w:t>
            </w:r>
            <w:r w:rsidR="00D35555" w:rsidRPr="00507776">
              <w:rPr>
                <w:rFonts w:asciiTheme="majorBidi" w:hAnsiTheme="majorBidi" w:cstheme="majorBidi"/>
                <w:sz w:val="20"/>
                <w:szCs w:val="20"/>
                <w:lang w:val="en-GB"/>
              </w:rPr>
              <w:t>(updated in 2017)</w:t>
            </w:r>
          </w:p>
        </w:tc>
        <w:tc>
          <w:tcPr>
            <w:tcW w:w="2374" w:type="dxa"/>
          </w:tcPr>
          <w:p w14:paraId="31ADD14A" w14:textId="735EBA6D"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2013 (updated in 2019)</w:t>
            </w:r>
          </w:p>
        </w:tc>
      </w:tr>
      <w:tr w:rsidR="0098232C" w:rsidRPr="00507776" w14:paraId="04272FFE" w14:textId="77777777" w:rsidTr="000D3B36">
        <w:trPr>
          <w:jc w:val="center"/>
        </w:trPr>
        <w:tc>
          <w:tcPr>
            <w:tcW w:w="1555" w:type="dxa"/>
          </w:tcPr>
          <w:p w14:paraId="43385FC7"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Main Categories</w:t>
            </w:r>
          </w:p>
        </w:tc>
        <w:tc>
          <w:tcPr>
            <w:tcW w:w="2426" w:type="dxa"/>
          </w:tcPr>
          <w:p w14:paraId="64BF2A56"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 xml:space="preserve">Management Protocols </w:t>
            </w:r>
          </w:p>
          <w:p w14:paraId="14C8054E"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Indoor Environmental Quality</w:t>
            </w:r>
          </w:p>
          <w:p w14:paraId="58802F91"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Energy Efficiency</w:t>
            </w:r>
          </w:p>
          <w:p w14:paraId="48ADAA49"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Water Efficiency</w:t>
            </w:r>
          </w:p>
          <w:p w14:paraId="496A9FD7"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Materials and Resources</w:t>
            </w:r>
          </w:p>
          <w:p w14:paraId="1A82D579"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Sustainable Sites</w:t>
            </w:r>
          </w:p>
          <w:p w14:paraId="284438AF"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Innovation and Added Value</w:t>
            </w:r>
          </w:p>
          <w:p w14:paraId="5C3F4E1D" w14:textId="77777777" w:rsidR="0098232C" w:rsidRPr="00507776" w:rsidRDefault="0098232C" w:rsidP="00507776">
            <w:pPr>
              <w:spacing w:line="360" w:lineRule="auto"/>
              <w:jc w:val="left"/>
              <w:rPr>
                <w:rFonts w:asciiTheme="majorBidi" w:hAnsiTheme="majorBidi" w:cstheme="majorBidi"/>
                <w:sz w:val="20"/>
                <w:szCs w:val="20"/>
                <w:lang w:val="en-GB"/>
              </w:rPr>
            </w:pPr>
          </w:p>
        </w:tc>
        <w:tc>
          <w:tcPr>
            <w:tcW w:w="2694" w:type="dxa"/>
          </w:tcPr>
          <w:p w14:paraId="03A4A5C0"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Management</w:t>
            </w:r>
          </w:p>
          <w:p w14:paraId="5E7769D9"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Health &amp; Wellbeing</w:t>
            </w:r>
          </w:p>
          <w:p w14:paraId="2624A564"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Energy</w:t>
            </w:r>
          </w:p>
          <w:p w14:paraId="66E9B4F5"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Transport</w:t>
            </w:r>
          </w:p>
          <w:p w14:paraId="2ED00DB8"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Water</w:t>
            </w:r>
          </w:p>
          <w:p w14:paraId="7EAB2933"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Materials</w:t>
            </w:r>
          </w:p>
          <w:p w14:paraId="0758962C"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Waste</w:t>
            </w:r>
          </w:p>
          <w:p w14:paraId="6C85C736"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Land Use &amp; Ecology</w:t>
            </w:r>
          </w:p>
          <w:p w14:paraId="6338496B"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Pollution</w:t>
            </w:r>
          </w:p>
          <w:p w14:paraId="01656FCE"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Innovation</w:t>
            </w:r>
          </w:p>
        </w:tc>
        <w:tc>
          <w:tcPr>
            <w:tcW w:w="2374" w:type="dxa"/>
          </w:tcPr>
          <w:p w14:paraId="2B7EF4D3"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Integrative Process</w:t>
            </w:r>
          </w:p>
          <w:p w14:paraId="408304F7"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Indoor Environment Quality</w:t>
            </w:r>
          </w:p>
          <w:p w14:paraId="7D62538D"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Energy &amp; Atmosphere</w:t>
            </w:r>
          </w:p>
          <w:p w14:paraId="402C4C3F" w14:textId="09A3554A"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Location</w:t>
            </w:r>
            <w:r w:rsidR="00C27B6F" w:rsidRPr="00507776">
              <w:rPr>
                <w:rFonts w:asciiTheme="majorBidi" w:hAnsiTheme="majorBidi" w:cstheme="majorBidi"/>
                <w:sz w:val="20"/>
                <w:szCs w:val="20"/>
                <w:lang w:val="en-GB"/>
              </w:rPr>
              <w:t xml:space="preserve"> </w:t>
            </w:r>
            <w:r w:rsidRPr="00507776">
              <w:rPr>
                <w:rFonts w:asciiTheme="majorBidi" w:hAnsiTheme="majorBidi" w:cstheme="majorBidi"/>
                <w:sz w:val="20"/>
                <w:szCs w:val="20"/>
                <w:lang w:val="en-GB"/>
              </w:rPr>
              <w:t>&amp; Transportation</w:t>
            </w:r>
          </w:p>
          <w:p w14:paraId="7E75E8D2"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Water Efficiency</w:t>
            </w:r>
          </w:p>
          <w:p w14:paraId="0C71BBA0"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Materials &amp; Resources</w:t>
            </w:r>
          </w:p>
          <w:p w14:paraId="02379C01"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Sustainable Sites</w:t>
            </w:r>
          </w:p>
          <w:p w14:paraId="2A6892A7"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Regional Priority</w:t>
            </w:r>
          </w:p>
          <w:p w14:paraId="08CEE4AB"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Innovation</w:t>
            </w:r>
          </w:p>
        </w:tc>
      </w:tr>
      <w:tr w:rsidR="0098232C" w:rsidRPr="00507776" w14:paraId="54B1A90F" w14:textId="77777777" w:rsidTr="00C27B6F">
        <w:trPr>
          <w:trHeight w:val="930"/>
          <w:jc w:val="center"/>
        </w:trPr>
        <w:tc>
          <w:tcPr>
            <w:tcW w:w="1555" w:type="dxa"/>
          </w:tcPr>
          <w:p w14:paraId="6E68DBC4"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Rating approach</w:t>
            </w:r>
          </w:p>
        </w:tc>
        <w:tc>
          <w:tcPr>
            <w:tcW w:w="2426" w:type="dxa"/>
          </w:tcPr>
          <w:p w14:paraId="47C3ECC2"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Additive credits</w:t>
            </w:r>
          </w:p>
        </w:tc>
        <w:tc>
          <w:tcPr>
            <w:tcW w:w="2694" w:type="dxa"/>
          </w:tcPr>
          <w:p w14:paraId="425EA060"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Pre-weighted categories</w:t>
            </w:r>
          </w:p>
        </w:tc>
        <w:tc>
          <w:tcPr>
            <w:tcW w:w="2374" w:type="dxa"/>
          </w:tcPr>
          <w:p w14:paraId="433B4ACE"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Additive credits</w:t>
            </w:r>
          </w:p>
        </w:tc>
      </w:tr>
      <w:tr w:rsidR="0098232C" w:rsidRPr="00507776" w14:paraId="3B0ED1B2" w14:textId="77777777" w:rsidTr="000D3B36">
        <w:trPr>
          <w:jc w:val="center"/>
        </w:trPr>
        <w:tc>
          <w:tcPr>
            <w:tcW w:w="1555" w:type="dxa"/>
          </w:tcPr>
          <w:p w14:paraId="3EAF97B0"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Rating levels</w:t>
            </w:r>
          </w:p>
        </w:tc>
        <w:tc>
          <w:tcPr>
            <w:tcW w:w="2426" w:type="dxa"/>
          </w:tcPr>
          <w:p w14:paraId="715B22B6"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Certified ≥ 40</w:t>
            </w:r>
          </w:p>
          <w:p w14:paraId="504F8FE9"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Silver Pyramid ≥ 50</w:t>
            </w:r>
          </w:p>
          <w:p w14:paraId="1750B7C9"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 xml:space="preserve">Gold Pyramid ≥ 60 </w:t>
            </w:r>
          </w:p>
          <w:p w14:paraId="0EA76134"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Green Pyramid ≥ 80</w:t>
            </w:r>
          </w:p>
        </w:tc>
        <w:tc>
          <w:tcPr>
            <w:tcW w:w="2694" w:type="dxa"/>
          </w:tcPr>
          <w:p w14:paraId="4648D0CC"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Pass ≥ 30</w:t>
            </w:r>
          </w:p>
          <w:p w14:paraId="727EF1D5"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Good ≥ 45</w:t>
            </w:r>
          </w:p>
          <w:p w14:paraId="0B105C69"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Very good ≥ 55</w:t>
            </w:r>
          </w:p>
          <w:p w14:paraId="0DB5EE81"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Excellent ≥ 70</w:t>
            </w:r>
          </w:p>
          <w:p w14:paraId="178B93D9"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Outstanding ≥ 85</w:t>
            </w:r>
          </w:p>
        </w:tc>
        <w:tc>
          <w:tcPr>
            <w:tcW w:w="2374" w:type="dxa"/>
          </w:tcPr>
          <w:p w14:paraId="60B39C29"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Certified ≥ 40</w:t>
            </w:r>
          </w:p>
          <w:p w14:paraId="657AB0CD"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Silver ≥ 50</w:t>
            </w:r>
          </w:p>
          <w:p w14:paraId="2EDD957F"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Gold ≥ 60</w:t>
            </w:r>
          </w:p>
          <w:p w14:paraId="05BCE7A1" w14:textId="77777777" w:rsidR="0098232C" w:rsidRPr="00507776" w:rsidRDefault="0098232C" w:rsidP="00507776">
            <w:pPr>
              <w:numPr>
                <w:ilvl w:val="0"/>
                <w:numId w:val="31"/>
              </w:numPr>
              <w:spacing w:line="360" w:lineRule="auto"/>
              <w:ind w:left="33" w:hanging="141"/>
              <w:contextualSpacing/>
              <w:jc w:val="left"/>
              <w:rPr>
                <w:rFonts w:asciiTheme="majorBidi" w:hAnsiTheme="majorBidi" w:cstheme="majorBidi"/>
                <w:sz w:val="20"/>
                <w:szCs w:val="20"/>
                <w:lang w:val="en-GB"/>
              </w:rPr>
            </w:pPr>
            <w:r w:rsidRPr="00507776">
              <w:rPr>
                <w:rFonts w:asciiTheme="majorBidi" w:hAnsiTheme="majorBidi" w:cstheme="majorBidi"/>
                <w:sz w:val="20"/>
                <w:szCs w:val="20"/>
                <w:lang w:val="en-GB"/>
              </w:rPr>
              <w:t>Platinum ≥ 80</w:t>
            </w:r>
          </w:p>
        </w:tc>
      </w:tr>
      <w:tr w:rsidR="0098232C" w:rsidRPr="00507776" w14:paraId="14FF7A49" w14:textId="77777777" w:rsidTr="000D3B36">
        <w:trPr>
          <w:jc w:val="center"/>
        </w:trPr>
        <w:tc>
          <w:tcPr>
            <w:tcW w:w="1555" w:type="dxa"/>
          </w:tcPr>
          <w:p w14:paraId="428F7B12"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Number of Certified Buildings</w:t>
            </w:r>
          </w:p>
        </w:tc>
        <w:tc>
          <w:tcPr>
            <w:tcW w:w="2426" w:type="dxa"/>
          </w:tcPr>
          <w:p w14:paraId="1571407A"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2</w:t>
            </w:r>
          </w:p>
        </w:tc>
        <w:tc>
          <w:tcPr>
            <w:tcW w:w="2694" w:type="dxa"/>
          </w:tcPr>
          <w:p w14:paraId="34C3411E"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561,600</w:t>
            </w:r>
          </w:p>
        </w:tc>
        <w:tc>
          <w:tcPr>
            <w:tcW w:w="2374" w:type="dxa"/>
          </w:tcPr>
          <w:p w14:paraId="41A5E999" w14:textId="77777777" w:rsidR="0098232C" w:rsidRPr="00507776" w:rsidRDefault="0098232C" w:rsidP="00507776">
            <w:pPr>
              <w:spacing w:line="360" w:lineRule="auto"/>
              <w:jc w:val="left"/>
              <w:rPr>
                <w:rFonts w:asciiTheme="majorBidi" w:hAnsiTheme="majorBidi" w:cstheme="majorBidi"/>
                <w:sz w:val="20"/>
                <w:szCs w:val="20"/>
                <w:lang w:val="en-GB"/>
              </w:rPr>
            </w:pPr>
            <w:r w:rsidRPr="00507776">
              <w:rPr>
                <w:rFonts w:asciiTheme="majorBidi" w:hAnsiTheme="majorBidi" w:cstheme="majorBidi"/>
                <w:sz w:val="20"/>
                <w:szCs w:val="20"/>
                <w:lang w:val="en-GB"/>
              </w:rPr>
              <w:t>79,100</w:t>
            </w:r>
          </w:p>
        </w:tc>
      </w:tr>
    </w:tbl>
    <w:p w14:paraId="4CC76960" w14:textId="77777777" w:rsidR="00E13EE6" w:rsidRPr="00507776" w:rsidRDefault="00E13EE6" w:rsidP="00507776">
      <w:pPr>
        <w:spacing w:line="360" w:lineRule="auto"/>
        <w:rPr>
          <w:sz w:val="20"/>
          <w:szCs w:val="20"/>
        </w:rPr>
      </w:pPr>
    </w:p>
    <w:p w14:paraId="35A8994C" w14:textId="60D41A4B" w:rsidR="0098232C" w:rsidRDefault="0098232C" w:rsidP="0098232C"/>
    <w:p w14:paraId="44018B2F" w14:textId="0A455F0C" w:rsidR="00E004D9" w:rsidRDefault="00E004D9" w:rsidP="0098232C"/>
    <w:p w14:paraId="225C0217" w14:textId="77777777" w:rsidR="00E004D9" w:rsidRPr="00A00E91" w:rsidRDefault="00E004D9" w:rsidP="0098232C"/>
    <w:p w14:paraId="06939145" w14:textId="658220B0" w:rsidR="000D3B36" w:rsidRPr="00E004D9" w:rsidRDefault="000D3B36" w:rsidP="000D3B36">
      <w:pPr>
        <w:pStyle w:val="Tabletitle"/>
        <w:spacing w:after="240"/>
        <w:rPr>
          <w:sz w:val="20"/>
          <w:szCs w:val="20"/>
        </w:rPr>
      </w:pPr>
      <w:r w:rsidRPr="00E004D9">
        <w:rPr>
          <w:b/>
          <w:bCs/>
          <w:sz w:val="20"/>
          <w:szCs w:val="20"/>
        </w:rPr>
        <w:lastRenderedPageBreak/>
        <w:t>Table 2.</w:t>
      </w:r>
      <w:r w:rsidRPr="00E004D9">
        <w:rPr>
          <w:sz w:val="20"/>
          <w:szCs w:val="20"/>
        </w:rPr>
        <w:t xml:space="preserve"> Comparing the </w:t>
      </w:r>
      <w:r w:rsidR="00BA0D86" w:rsidRPr="00E004D9">
        <w:rPr>
          <w:sz w:val="20"/>
          <w:szCs w:val="20"/>
        </w:rPr>
        <w:t>c</w:t>
      </w:r>
      <w:r w:rsidRPr="00E004D9">
        <w:rPr>
          <w:sz w:val="20"/>
          <w:szCs w:val="20"/>
        </w:rPr>
        <w:t xml:space="preserve">ategories of GPRS, BREEAM, and LEED </w:t>
      </w:r>
      <w:r w:rsidRPr="00E004D9">
        <w:rPr>
          <w:sz w:val="20"/>
          <w:szCs w:val="20"/>
        </w:rPr>
        <w:br/>
        <w:t>Source: (</w:t>
      </w:r>
      <w:r w:rsidRPr="00E004D9">
        <w:rPr>
          <w:i/>
          <w:iCs/>
          <w:sz w:val="20"/>
          <w:szCs w:val="20"/>
        </w:rPr>
        <w:fldChar w:fldCharType="begin" w:fldLock="1"/>
      </w:r>
      <w:r w:rsidR="00DB4AA3">
        <w:rPr>
          <w:i/>
          <w:iCs/>
          <w:sz w:val="20"/>
          <w:szCs w:val="20"/>
        </w:rPr>
        <w:instrText>ADDIN CSL_CITATION {"citationItems":[{"id":"ITEM-1","itemData":{"DOI":"10.1192/bjp.112.483.211-a","ISSN":"0007-1250","author":[{"dropping-particle":"","family":"Building Research Establishment (BRE)","given":"","non-dropping-particle":"","parse-names":false,"suffix":""}],"id":"ITEM-1","issue":"2.0","issued":{"date-parts":[["2016"]]},"publisher-place":"Watford","title":"BREEAM International New Construction 2016","type":"report"},"uris":["http://www.mendeley.com/documents/?uuid=65e8477c-b138-49b0-b770-ab820319499d"]}],"mendeley":{"formattedCitation":"(Building Research Establishment (BRE), 2016)","manualFormatting":"BRE, 2016","plainTextFormattedCitation":"(Building Research Establishment (BRE), 2016)","previouslyFormattedCitation":"(Building Research Establishment (BRE), 2016)"},"properties":{"noteIndex":0},"schema":"https://github.com/citation-style-language/schema/raw/master/csl-citation.json"}</w:instrText>
      </w:r>
      <w:r w:rsidRPr="00E004D9">
        <w:rPr>
          <w:i/>
          <w:iCs/>
          <w:sz w:val="20"/>
          <w:szCs w:val="20"/>
        </w:rPr>
        <w:fldChar w:fldCharType="separate"/>
      </w:r>
      <w:r w:rsidRPr="00E004D9">
        <w:rPr>
          <w:iCs/>
          <w:noProof/>
          <w:sz w:val="20"/>
          <w:szCs w:val="20"/>
        </w:rPr>
        <w:t>BRE</w:t>
      </w:r>
      <w:r w:rsidR="00547D8A" w:rsidRPr="00E004D9">
        <w:rPr>
          <w:iCs/>
          <w:noProof/>
          <w:sz w:val="20"/>
          <w:szCs w:val="20"/>
        </w:rPr>
        <w:t>,</w:t>
      </w:r>
      <w:r w:rsidRPr="00E004D9">
        <w:rPr>
          <w:iCs/>
          <w:noProof/>
          <w:sz w:val="20"/>
          <w:szCs w:val="20"/>
        </w:rPr>
        <w:t xml:space="preserve"> 2016</w:t>
      </w:r>
      <w:r w:rsidRPr="00E004D9">
        <w:rPr>
          <w:sz w:val="20"/>
          <w:szCs w:val="20"/>
        </w:rPr>
        <w:fldChar w:fldCharType="end"/>
      </w:r>
      <w:r w:rsidRPr="00E004D9">
        <w:rPr>
          <w:sz w:val="20"/>
          <w:szCs w:val="20"/>
        </w:rPr>
        <w:t xml:space="preserve">;  </w:t>
      </w:r>
      <w:r w:rsidRPr="00E004D9">
        <w:rPr>
          <w:sz w:val="20"/>
          <w:szCs w:val="20"/>
        </w:rPr>
        <w:fldChar w:fldCharType="begin" w:fldLock="1"/>
      </w:r>
      <w:r w:rsidR="00DB4AA3">
        <w:rPr>
          <w:sz w:val="20"/>
          <w:szCs w:val="20"/>
        </w:rPr>
        <w:instrText>ADDIN CSL_CITATION {"citationItems":[{"id":"ITEM-1","itemData":{"author":[{"dropping-particle":"","family":"Housing and Building National Research Center (HBRC)","given":"","non-dropping-particle":"","parse-names":false,"suffix":""}],"id":"ITEM-1","issue":"2","issued":{"date-parts":[["2017"]]},"number-of-pages":"1-69","publisher-place":"Ad Doqi, Giza","title":"The Green Pyramid Rating System - Second Version","type":"report"},"uris":["http://www.mendeley.com/documents/?uuid=a6c5d229-be60-4fd9-9f3c-6a4eec01269b"]}],"mendeley":{"formattedCitation":"(Housing and Building National Research Center (HBRC), 2017)","manualFormatting":"HBRC, 2017","plainTextFormattedCitation":"(Housing and Building National Research Center (HBRC), 2017)","previouslyFormattedCitation":"(Housing and Building National Research Center (HBRC), 2017)"},"properties":{"noteIndex":0},"schema":"https://github.com/citation-style-language/schema/raw/master/csl-citation.json"}</w:instrText>
      </w:r>
      <w:r w:rsidRPr="00E004D9">
        <w:rPr>
          <w:sz w:val="20"/>
          <w:szCs w:val="20"/>
        </w:rPr>
        <w:fldChar w:fldCharType="separate"/>
      </w:r>
      <w:r w:rsidRPr="00E004D9">
        <w:rPr>
          <w:noProof/>
          <w:sz w:val="20"/>
          <w:szCs w:val="20"/>
        </w:rPr>
        <w:t>HBRC</w:t>
      </w:r>
      <w:r w:rsidR="00547D8A" w:rsidRPr="00E004D9">
        <w:rPr>
          <w:noProof/>
          <w:sz w:val="20"/>
          <w:szCs w:val="20"/>
        </w:rPr>
        <w:t>,</w:t>
      </w:r>
      <w:r w:rsidRPr="00E004D9">
        <w:rPr>
          <w:noProof/>
          <w:sz w:val="20"/>
          <w:szCs w:val="20"/>
        </w:rPr>
        <w:t xml:space="preserve"> 2017</w:t>
      </w:r>
      <w:r w:rsidRPr="00E004D9">
        <w:rPr>
          <w:sz w:val="20"/>
          <w:szCs w:val="20"/>
        </w:rPr>
        <w:fldChar w:fldCharType="end"/>
      </w:r>
      <w:r w:rsidRPr="00E004D9">
        <w:rPr>
          <w:sz w:val="20"/>
          <w:szCs w:val="20"/>
        </w:rPr>
        <w:t xml:space="preserve">; </w:t>
      </w:r>
      <w:r w:rsidRPr="00E004D9">
        <w:rPr>
          <w:i/>
          <w:iCs/>
          <w:sz w:val="20"/>
          <w:szCs w:val="20"/>
        </w:rPr>
        <w:fldChar w:fldCharType="begin" w:fldLock="1"/>
      </w:r>
      <w:r w:rsidR="00DB4AA3">
        <w:rPr>
          <w:i/>
          <w:iCs/>
          <w:sz w:val="20"/>
          <w:szCs w:val="20"/>
        </w:rPr>
        <w:instrText>ADDIN CSL_CITATION {"citationItems":[{"id":"ITEM-1","itemData":{"author":[{"dropping-particle":"","family":"U.S. Green Building Council (USGBC)","given":"","non-dropping-particle":"","parse-names":false,"suffix":""}],"id":"ITEM-1","issued":{"date-parts":[["2019"]]},"publisher-place":"Washington, D.C","title":"LEED v4 for Building Design and Construction","type":"report"},"uris":["http://www.mendeley.com/documents/?uuid=01572fff-8c6f-412d-a140-ff2292c97b80"]}],"mendeley":{"formattedCitation":"(U.S. Green Building Council (USGBC), 2019)","manualFormatting":"USGBC, 2019","plainTextFormattedCitation":"(U.S. Green Building Council (USGBC), 2019)","previouslyFormattedCitation":"(U.S. Green Building Council (USGBC), 2019)"},"properties":{"noteIndex":0},"schema":"https://github.com/citation-style-language/schema/raw/master/csl-citation.json"}</w:instrText>
      </w:r>
      <w:r w:rsidRPr="00E004D9">
        <w:rPr>
          <w:i/>
          <w:iCs/>
          <w:sz w:val="20"/>
          <w:szCs w:val="20"/>
        </w:rPr>
        <w:fldChar w:fldCharType="separate"/>
      </w:r>
      <w:r w:rsidRPr="00E004D9">
        <w:rPr>
          <w:iCs/>
          <w:noProof/>
          <w:sz w:val="20"/>
          <w:szCs w:val="20"/>
        </w:rPr>
        <w:t>USGBC</w:t>
      </w:r>
      <w:r w:rsidR="00547D8A" w:rsidRPr="00E004D9">
        <w:rPr>
          <w:iCs/>
          <w:noProof/>
          <w:sz w:val="20"/>
          <w:szCs w:val="20"/>
        </w:rPr>
        <w:t>,</w:t>
      </w:r>
      <w:r w:rsidRPr="00E004D9">
        <w:rPr>
          <w:iCs/>
          <w:noProof/>
          <w:sz w:val="20"/>
          <w:szCs w:val="20"/>
        </w:rPr>
        <w:t xml:space="preserve"> 2019</w:t>
      </w:r>
      <w:r w:rsidRPr="00E004D9">
        <w:rPr>
          <w:sz w:val="20"/>
          <w:szCs w:val="20"/>
        </w:rPr>
        <w:fldChar w:fldCharType="end"/>
      </w:r>
      <w:r w:rsidRPr="00E004D9">
        <w:rPr>
          <w:sz w:val="20"/>
          <w:szCs w:val="20"/>
        </w:rPr>
        <w:t>)</w:t>
      </w:r>
    </w:p>
    <w:tbl>
      <w:tblPr>
        <w:tblStyle w:val="TableGrid"/>
        <w:tblW w:w="89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409"/>
        <w:gridCol w:w="3330"/>
      </w:tblGrid>
      <w:tr w:rsidR="000D3B36" w:rsidRPr="00E004D9" w14:paraId="32C2FFE0" w14:textId="77777777" w:rsidTr="00C27B6F">
        <w:trPr>
          <w:tblHeader/>
        </w:trPr>
        <w:tc>
          <w:tcPr>
            <w:tcW w:w="3235" w:type="dxa"/>
            <w:tcBorders>
              <w:top w:val="single" w:sz="4" w:space="0" w:color="auto"/>
              <w:bottom w:val="single" w:sz="4" w:space="0" w:color="auto"/>
            </w:tcBorders>
          </w:tcPr>
          <w:p w14:paraId="27CDD796" w14:textId="77777777" w:rsidR="000D3B36" w:rsidRPr="00E004D9" w:rsidRDefault="000D3B36" w:rsidP="00340301">
            <w:pPr>
              <w:spacing w:line="360" w:lineRule="auto"/>
              <w:jc w:val="left"/>
              <w:rPr>
                <w:rFonts w:asciiTheme="majorBidi" w:hAnsiTheme="majorBidi" w:cstheme="majorBidi"/>
                <w:b/>
                <w:bCs/>
                <w:sz w:val="20"/>
                <w:szCs w:val="20"/>
                <w:lang w:val="en-GB"/>
              </w:rPr>
            </w:pPr>
            <w:r w:rsidRPr="00E004D9">
              <w:rPr>
                <w:rFonts w:asciiTheme="majorBidi" w:hAnsiTheme="majorBidi" w:cstheme="majorBidi"/>
                <w:b/>
                <w:bCs/>
                <w:sz w:val="20"/>
                <w:szCs w:val="20"/>
                <w:lang w:val="en-GB"/>
              </w:rPr>
              <w:t>GPRS Categories</w:t>
            </w:r>
          </w:p>
        </w:tc>
        <w:tc>
          <w:tcPr>
            <w:tcW w:w="2409" w:type="dxa"/>
            <w:tcBorders>
              <w:top w:val="single" w:sz="4" w:space="0" w:color="auto"/>
              <w:bottom w:val="single" w:sz="4" w:space="0" w:color="auto"/>
            </w:tcBorders>
          </w:tcPr>
          <w:p w14:paraId="1ED44B85" w14:textId="77777777" w:rsidR="000D3B36" w:rsidRPr="00E004D9" w:rsidRDefault="000D3B36" w:rsidP="00340301">
            <w:pPr>
              <w:spacing w:line="360" w:lineRule="auto"/>
              <w:jc w:val="left"/>
              <w:rPr>
                <w:rFonts w:asciiTheme="majorBidi" w:hAnsiTheme="majorBidi" w:cstheme="majorBidi"/>
                <w:b/>
                <w:bCs/>
                <w:sz w:val="20"/>
                <w:szCs w:val="20"/>
                <w:lang w:val="en-GB"/>
              </w:rPr>
            </w:pPr>
            <w:r w:rsidRPr="00E004D9">
              <w:rPr>
                <w:rFonts w:asciiTheme="majorBidi" w:hAnsiTheme="majorBidi" w:cstheme="majorBidi"/>
                <w:b/>
                <w:bCs/>
                <w:sz w:val="20"/>
                <w:szCs w:val="20"/>
                <w:lang w:val="en-GB"/>
              </w:rPr>
              <w:t>BREEAM Categories</w:t>
            </w:r>
          </w:p>
        </w:tc>
        <w:tc>
          <w:tcPr>
            <w:tcW w:w="3330" w:type="dxa"/>
            <w:tcBorders>
              <w:top w:val="single" w:sz="4" w:space="0" w:color="auto"/>
              <w:bottom w:val="single" w:sz="4" w:space="0" w:color="auto"/>
            </w:tcBorders>
          </w:tcPr>
          <w:p w14:paraId="5161DF5E" w14:textId="77777777" w:rsidR="000D3B36" w:rsidRPr="00E004D9" w:rsidRDefault="000D3B36" w:rsidP="00340301">
            <w:pPr>
              <w:spacing w:line="360" w:lineRule="auto"/>
              <w:jc w:val="left"/>
              <w:rPr>
                <w:rFonts w:asciiTheme="majorBidi" w:hAnsiTheme="majorBidi" w:cstheme="majorBidi"/>
                <w:b/>
                <w:bCs/>
                <w:sz w:val="20"/>
                <w:szCs w:val="20"/>
                <w:lang w:val="en-GB"/>
              </w:rPr>
            </w:pPr>
            <w:r w:rsidRPr="00E004D9">
              <w:rPr>
                <w:rFonts w:asciiTheme="majorBidi" w:hAnsiTheme="majorBidi" w:cstheme="majorBidi"/>
                <w:b/>
                <w:bCs/>
                <w:sz w:val="20"/>
                <w:szCs w:val="20"/>
                <w:lang w:val="en-GB"/>
              </w:rPr>
              <w:t>LEED Categories</w:t>
            </w:r>
          </w:p>
        </w:tc>
      </w:tr>
      <w:tr w:rsidR="000D3B36" w:rsidRPr="00E004D9" w14:paraId="0B740DAA" w14:textId="77777777" w:rsidTr="00C27B6F">
        <w:tc>
          <w:tcPr>
            <w:tcW w:w="3235" w:type="dxa"/>
            <w:tcBorders>
              <w:top w:val="single" w:sz="4" w:space="0" w:color="auto"/>
            </w:tcBorders>
          </w:tcPr>
          <w:p w14:paraId="7DDF0F56"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Management Protocols (10%)</w:t>
            </w:r>
          </w:p>
        </w:tc>
        <w:tc>
          <w:tcPr>
            <w:tcW w:w="2409" w:type="dxa"/>
            <w:tcBorders>
              <w:top w:val="single" w:sz="4" w:space="0" w:color="auto"/>
            </w:tcBorders>
          </w:tcPr>
          <w:p w14:paraId="715C43B6"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Management (11%)</w:t>
            </w:r>
          </w:p>
        </w:tc>
        <w:tc>
          <w:tcPr>
            <w:tcW w:w="3330" w:type="dxa"/>
            <w:tcBorders>
              <w:top w:val="single" w:sz="4" w:space="0" w:color="auto"/>
            </w:tcBorders>
          </w:tcPr>
          <w:p w14:paraId="7B9E857D"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Integrative Process (≈0.91%)</w:t>
            </w:r>
          </w:p>
        </w:tc>
      </w:tr>
      <w:tr w:rsidR="000D3B36" w:rsidRPr="00E004D9" w14:paraId="255DDD3F" w14:textId="77777777" w:rsidTr="00C27B6F">
        <w:tc>
          <w:tcPr>
            <w:tcW w:w="3235" w:type="dxa"/>
          </w:tcPr>
          <w:p w14:paraId="7E3CF2F8"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Indoor Environmental Quality (16%)</w:t>
            </w:r>
          </w:p>
        </w:tc>
        <w:tc>
          <w:tcPr>
            <w:tcW w:w="2409" w:type="dxa"/>
          </w:tcPr>
          <w:p w14:paraId="0342077D"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Health &amp; Wellbeing (19%)</w:t>
            </w:r>
          </w:p>
        </w:tc>
        <w:tc>
          <w:tcPr>
            <w:tcW w:w="3330" w:type="dxa"/>
          </w:tcPr>
          <w:p w14:paraId="1725EF66"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Indoor Environment Quality (≈14.55%)</w:t>
            </w:r>
          </w:p>
        </w:tc>
      </w:tr>
      <w:tr w:rsidR="000D3B36" w:rsidRPr="00E004D9" w14:paraId="06E89782" w14:textId="77777777" w:rsidTr="00FE376C">
        <w:tc>
          <w:tcPr>
            <w:tcW w:w="3235" w:type="dxa"/>
            <w:shd w:val="clear" w:color="auto" w:fill="FFFFFF" w:themeFill="background1"/>
          </w:tcPr>
          <w:p w14:paraId="1CFD856B"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Energy Efficiency (32%)</w:t>
            </w:r>
          </w:p>
        </w:tc>
        <w:tc>
          <w:tcPr>
            <w:tcW w:w="2409" w:type="dxa"/>
            <w:shd w:val="clear" w:color="auto" w:fill="FFFFFF" w:themeFill="background1"/>
          </w:tcPr>
          <w:p w14:paraId="44F410F2"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Energy (20%)</w:t>
            </w:r>
          </w:p>
        </w:tc>
        <w:tc>
          <w:tcPr>
            <w:tcW w:w="3330" w:type="dxa"/>
            <w:shd w:val="clear" w:color="auto" w:fill="FFFFFF" w:themeFill="background1"/>
          </w:tcPr>
          <w:p w14:paraId="623ADACB"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Energy &amp; Atmosphere (30%)</w:t>
            </w:r>
          </w:p>
        </w:tc>
      </w:tr>
      <w:tr w:rsidR="000D3B36" w:rsidRPr="00E004D9" w14:paraId="21A1AD5A" w14:textId="77777777" w:rsidTr="00C27B6F">
        <w:tc>
          <w:tcPr>
            <w:tcW w:w="3235" w:type="dxa"/>
          </w:tcPr>
          <w:p w14:paraId="24091013" w14:textId="77777777" w:rsidR="000D3B36" w:rsidRPr="00E004D9" w:rsidRDefault="000D3B36" w:rsidP="00340301">
            <w:pPr>
              <w:spacing w:line="360" w:lineRule="auto"/>
              <w:jc w:val="left"/>
              <w:rPr>
                <w:rFonts w:asciiTheme="majorBidi" w:hAnsiTheme="majorBidi" w:cstheme="majorBidi"/>
                <w:sz w:val="20"/>
                <w:szCs w:val="20"/>
                <w:lang w:val="en-GB"/>
              </w:rPr>
            </w:pPr>
          </w:p>
        </w:tc>
        <w:tc>
          <w:tcPr>
            <w:tcW w:w="2409" w:type="dxa"/>
          </w:tcPr>
          <w:p w14:paraId="0ABA6513"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Transport (6%)</w:t>
            </w:r>
          </w:p>
        </w:tc>
        <w:tc>
          <w:tcPr>
            <w:tcW w:w="3330" w:type="dxa"/>
          </w:tcPr>
          <w:p w14:paraId="2BC437E9"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 xml:space="preserve">Location &amp; Transportation (≈14.55%) </w:t>
            </w:r>
          </w:p>
        </w:tc>
      </w:tr>
      <w:tr w:rsidR="000D3B36" w:rsidRPr="00E004D9" w14:paraId="32E0EFA3" w14:textId="77777777" w:rsidTr="00C27B6F">
        <w:tc>
          <w:tcPr>
            <w:tcW w:w="3235" w:type="dxa"/>
          </w:tcPr>
          <w:p w14:paraId="52842904"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Water Efficiency (20%)</w:t>
            </w:r>
          </w:p>
        </w:tc>
        <w:tc>
          <w:tcPr>
            <w:tcW w:w="2409" w:type="dxa"/>
          </w:tcPr>
          <w:p w14:paraId="332657B2"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Water (7%)</w:t>
            </w:r>
          </w:p>
        </w:tc>
        <w:tc>
          <w:tcPr>
            <w:tcW w:w="3330" w:type="dxa"/>
          </w:tcPr>
          <w:p w14:paraId="60FF07F3"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Water Efficiency (10%)</w:t>
            </w:r>
          </w:p>
        </w:tc>
      </w:tr>
      <w:tr w:rsidR="000D3B36" w:rsidRPr="00E004D9" w14:paraId="1CA27635" w14:textId="77777777" w:rsidTr="00C27B6F">
        <w:tc>
          <w:tcPr>
            <w:tcW w:w="3235" w:type="dxa"/>
          </w:tcPr>
          <w:p w14:paraId="7A560B71"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Materials and Resources (12%)</w:t>
            </w:r>
          </w:p>
        </w:tc>
        <w:tc>
          <w:tcPr>
            <w:tcW w:w="2409" w:type="dxa"/>
          </w:tcPr>
          <w:p w14:paraId="5201D5FA"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Materials (13%)</w:t>
            </w:r>
          </w:p>
        </w:tc>
        <w:tc>
          <w:tcPr>
            <w:tcW w:w="3330" w:type="dxa"/>
            <w:vAlign w:val="center"/>
          </w:tcPr>
          <w:p w14:paraId="2B7AAF43"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Materials &amp; Resources (≈11.82%)</w:t>
            </w:r>
          </w:p>
        </w:tc>
      </w:tr>
      <w:tr w:rsidR="000D3B36" w:rsidRPr="00E004D9" w14:paraId="55802D88" w14:textId="77777777" w:rsidTr="00C27B6F">
        <w:tc>
          <w:tcPr>
            <w:tcW w:w="3235" w:type="dxa"/>
          </w:tcPr>
          <w:p w14:paraId="1F9D9311" w14:textId="77777777" w:rsidR="000D3B36" w:rsidRPr="00E004D9" w:rsidRDefault="000D3B36" w:rsidP="00340301">
            <w:pPr>
              <w:spacing w:line="360" w:lineRule="auto"/>
              <w:jc w:val="left"/>
              <w:rPr>
                <w:rFonts w:asciiTheme="majorBidi" w:hAnsiTheme="majorBidi" w:cstheme="majorBidi"/>
                <w:sz w:val="20"/>
                <w:szCs w:val="20"/>
                <w:lang w:val="en-GB"/>
              </w:rPr>
            </w:pPr>
          </w:p>
        </w:tc>
        <w:tc>
          <w:tcPr>
            <w:tcW w:w="2409" w:type="dxa"/>
          </w:tcPr>
          <w:p w14:paraId="7B1FB569"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 xml:space="preserve">Waste (6%) </w:t>
            </w:r>
          </w:p>
        </w:tc>
        <w:tc>
          <w:tcPr>
            <w:tcW w:w="3330" w:type="dxa"/>
          </w:tcPr>
          <w:p w14:paraId="0A7F6CDE" w14:textId="77777777" w:rsidR="000D3B36" w:rsidRPr="00E004D9" w:rsidRDefault="000D3B36" w:rsidP="00340301">
            <w:pPr>
              <w:spacing w:line="360" w:lineRule="auto"/>
              <w:jc w:val="left"/>
              <w:rPr>
                <w:rFonts w:asciiTheme="majorBidi" w:hAnsiTheme="majorBidi" w:cstheme="majorBidi"/>
                <w:sz w:val="20"/>
                <w:szCs w:val="20"/>
                <w:lang w:val="en-GB"/>
              </w:rPr>
            </w:pPr>
          </w:p>
        </w:tc>
      </w:tr>
      <w:tr w:rsidR="000D3B36" w:rsidRPr="00E004D9" w14:paraId="4FADB45A" w14:textId="77777777" w:rsidTr="00C27B6F">
        <w:trPr>
          <w:trHeight w:val="179"/>
        </w:trPr>
        <w:tc>
          <w:tcPr>
            <w:tcW w:w="3235" w:type="dxa"/>
          </w:tcPr>
          <w:p w14:paraId="315F8CAE"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Sustainable Sites (10%)</w:t>
            </w:r>
          </w:p>
        </w:tc>
        <w:tc>
          <w:tcPr>
            <w:tcW w:w="2409" w:type="dxa"/>
          </w:tcPr>
          <w:p w14:paraId="39A4B39F"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Land Use &amp; Ecology (8%)</w:t>
            </w:r>
          </w:p>
        </w:tc>
        <w:tc>
          <w:tcPr>
            <w:tcW w:w="3330" w:type="dxa"/>
          </w:tcPr>
          <w:p w14:paraId="7E8BAE61"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Sustainable Sites (≈9.09%)</w:t>
            </w:r>
          </w:p>
        </w:tc>
      </w:tr>
      <w:tr w:rsidR="000D3B36" w:rsidRPr="00E004D9" w14:paraId="0223DE9F" w14:textId="77777777" w:rsidTr="00C27B6F">
        <w:tc>
          <w:tcPr>
            <w:tcW w:w="3235" w:type="dxa"/>
          </w:tcPr>
          <w:p w14:paraId="55ECB6F0" w14:textId="77777777" w:rsidR="000D3B36" w:rsidRPr="00E004D9" w:rsidRDefault="000D3B36" w:rsidP="00340301">
            <w:pPr>
              <w:spacing w:line="360" w:lineRule="auto"/>
              <w:jc w:val="left"/>
              <w:rPr>
                <w:rFonts w:asciiTheme="majorBidi" w:hAnsiTheme="majorBidi" w:cstheme="majorBidi"/>
                <w:sz w:val="20"/>
                <w:szCs w:val="20"/>
                <w:lang w:val="en-GB"/>
              </w:rPr>
            </w:pPr>
          </w:p>
        </w:tc>
        <w:tc>
          <w:tcPr>
            <w:tcW w:w="2409" w:type="dxa"/>
          </w:tcPr>
          <w:p w14:paraId="7532F1A5"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 xml:space="preserve">Pollution (10%) </w:t>
            </w:r>
          </w:p>
        </w:tc>
        <w:tc>
          <w:tcPr>
            <w:tcW w:w="3330" w:type="dxa"/>
          </w:tcPr>
          <w:p w14:paraId="3E6D4CB0"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Regional Priority (≈3.64%)</w:t>
            </w:r>
          </w:p>
        </w:tc>
      </w:tr>
      <w:tr w:rsidR="000D3B36" w:rsidRPr="00E004D9" w14:paraId="208EA501" w14:textId="77777777" w:rsidTr="00C27B6F">
        <w:tc>
          <w:tcPr>
            <w:tcW w:w="3235" w:type="dxa"/>
          </w:tcPr>
          <w:p w14:paraId="352035B5"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 xml:space="preserve">Innovation and Added Value (5% bonus) </w:t>
            </w:r>
          </w:p>
        </w:tc>
        <w:tc>
          <w:tcPr>
            <w:tcW w:w="2409" w:type="dxa"/>
          </w:tcPr>
          <w:p w14:paraId="2FB92039"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Innovation (10% bonus)</w:t>
            </w:r>
          </w:p>
        </w:tc>
        <w:tc>
          <w:tcPr>
            <w:tcW w:w="3330" w:type="dxa"/>
          </w:tcPr>
          <w:p w14:paraId="6C15EF6A" w14:textId="77777777" w:rsidR="000D3B36" w:rsidRPr="00E004D9" w:rsidRDefault="000D3B36" w:rsidP="00340301">
            <w:pPr>
              <w:spacing w:line="360" w:lineRule="auto"/>
              <w:jc w:val="left"/>
              <w:rPr>
                <w:rFonts w:asciiTheme="majorBidi" w:hAnsiTheme="majorBidi" w:cstheme="majorBidi"/>
                <w:sz w:val="20"/>
                <w:szCs w:val="20"/>
                <w:lang w:val="en-GB"/>
              </w:rPr>
            </w:pPr>
            <w:r w:rsidRPr="00E004D9">
              <w:rPr>
                <w:rFonts w:asciiTheme="majorBidi" w:hAnsiTheme="majorBidi" w:cstheme="majorBidi"/>
                <w:sz w:val="20"/>
                <w:szCs w:val="20"/>
                <w:lang w:val="en-GB"/>
              </w:rPr>
              <w:t>Innovation (≈5.45%)</w:t>
            </w:r>
          </w:p>
        </w:tc>
      </w:tr>
    </w:tbl>
    <w:p w14:paraId="643FDACE" w14:textId="77777777" w:rsidR="000D3B36" w:rsidRPr="00E004D9" w:rsidRDefault="000D3B36" w:rsidP="000D3B36">
      <w:pPr>
        <w:rPr>
          <w:sz w:val="20"/>
          <w:szCs w:val="20"/>
        </w:rPr>
      </w:pPr>
    </w:p>
    <w:p w14:paraId="6AD333AE" w14:textId="525E586B" w:rsidR="000D3B36" w:rsidRPr="00E004D9" w:rsidRDefault="000D3B36" w:rsidP="000D3B36">
      <w:pPr>
        <w:pStyle w:val="Tabletitle"/>
        <w:spacing w:after="240"/>
        <w:rPr>
          <w:sz w:val="20"/>
          <w:szCs w:val="20"/>
        </w:rPr>
      </w:pPr>
    </w:p>
    <w:p w14:paraId="0872E4D4" w14:textId="3AC15855" w:rsidR="00C27B6F" w:rsidRPr="00E004D9" w:rsidRDefault="00C27B6F" w:rsidP="00C27B6F">
      <w:pPr>
        <w:rPr>
          <w:sz w:val="20"/>
          <w:szCs w:val="20"/>
        </w:rPr>
      </w:pPr>
    </w:p>
    <w:p w14:paraId="26667B04" w14:textId="4489FC87" w:rsidR="00C27B6F" w:rsidRPr="00E004D9" w:rsidRDefault="00C27B6F" w:rsidP="00C27B6F">
      <w:pPr>
        <w:rPr>
          <w:sz w:val="20"/>
          <w:szCs w:val="20"/>
        </w:rPr>
      </w:pPr>
    </w:p>
    <w:p w14:paraId="7CA9AA18" w14:textId="13EF5FDF" w:rsidR="00C27B6F" w:rsidRPr="00E004D9" w:rsidRDefault="00C27B6F" w:rsidP="00C27B6F">
      <w:pPr>
        <w:rPr>
          <w:sz w:val="20"/>
          <w:szCs w:val="20"/>
        </w:rPr>
      </w:pPr>
    </w:p>
    <w:p w14:paraId="613D98F2" w14:textId="132158D4" w:rsidR="00C27B6F" w:rsidRPr="00A00E91" w:rsidRDefault="00C27B6F" w:rsidP="00C27B6F"/>
    <w:p w14:paraId="0159797D" w14:textId="609653ED" w:rsidR="00C27B6F" w:rsidRPr="00A00E91" w:rsidRDefault="00C27B6F" w:rsidP="00C27B6F"/>
    <w:p w14:paraId="021E88B0" w14:textId="686E81DB" w:rsidR="00C27B6F" w:rsidRPr="00A00E91" w:rsidRDefault="00C27B6F" w:rsidP="00C27B6F"/>
    <w:p w14:paraId="3B6E3EF4" w14:textId="7B81ED95" w:rsidR="00C27B6F" w:rsidRPr="00A00E91" w:rsidRDefault="00C27B6F" w:rsidP="00C27B6F"/>
    <w:p w14:paraId="50550937" w14:textId="77777777" w:rsidR="000846BE" w:rsidRPr="00A00E91" w:rsidRDefault="000846BE" w:rsidP="00C27B6F">
      <w:pPr>
        <w:sectPr w:rsidR="000846BE" w:rsidRPr="00A00E91" w:rsidSect="00074B81">
          <w:pgSz w:w="11901" w:h="16840" w:code="9"/>
          <w:pgMar w:top="1418" w:right="1701" w:bottom="1418" w:left="1701" w:header="709" w:footer="709" w:gutter="0"/>
          <w:cols w:space="708"/>
          <w:docGrid w:linePitch="360"/>
        </w:sectPr>
      </w:pPr>
    </w:p>
    <w:p w14:paraId="308C7572" w14:textId="3E8249FE" w:rsidR="0041394A" w:rsidRPr="00A00E91" w:rsidRDefault="0041394A" w:rsidP="0041394A">
      <w:pPr>
        <w:pStyle w:val="Tabletitle"/>
        <w:spacing w:after="240"/>
      </w:pPr>
      <w:r w:rsidRPr="00A00E91">
        <w:rPr>
          <w:b/>
          <w:bCs/>
        </w:rPr>
        <w:lastRenderedPageBreak/>
        <w:t xml:space="preserve">Table </w:t>
      </w:r>
      <w:r w:rsidR="00763B47">
        <w:rPr>
          <w:b/>
          <w:bCs/>
        </w:rPr>
        <w:t>3</w:t>
      </w:r>
      <w:r w:rsidRPr="00A00E91">
        <w:rPr>
          <w:b/>
          <w:bCs/>
        </w:rPr>
        <w:t>.</w:t>
      </w:r>
      <w:r w:rsidRPr="00A00E91">
        <w:t xml:space="preserve"> </w:t>
      </w:r>
      <w:bookmarkStart w:id="0" w:name="_Hlk38409624"/>
      <w:r w:rsidRPr="00A00E91">
        <w:t xml:space="preserve">New proposed weights for GPRS </w:t>
      </w:r>
      <w:r w:rsidR="00A00E91" w:rsidRPr="00A00E91">
        <w:t>c</w:t>
      </w:r>
      <w:r w:rsidRPr="00A00E91">
        <w:t>ategories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1273"/>
        <w:gridCol w:w="1365"/>
        <w:gridCol w:w="1624"/>
        <w:gridCol w:w="7687"/>
      </w:tblGrid>
      <w:tr w:rsidR="00951D5E" w:rsidRPr="00A00E91" w14:paraId="641F7B11" w14:textId="77777777" w:rsidTr="00A64DA8">
        <w:trPr>
          <w:tblHeader/>
        </w:trPr>
        <w:tc>
          <w:tcPr>
            <w:tcW w:w="2055" w:type="dxa"/>
            <w:tcBorders>
              <w:top w:val="single" w:sz="4" w:space="0" w:color="auto"/>
              <w:bottom w:val="single" w:sz="4" w:space="0" w:color="auto"/>
            </w:tcBorders>
          </w:tcPr>
          <w:p w14:paraId="4ACD0CF8" w14:textId="77777777" w:rsidR="00951D5E" w:rsidRPr="00A00E91" w:rsidRDefault="00951D5E" w:rsidP="001F48BB">
            <w:pPr>
              <w:spacing w:line="360" w:lineRule="auto"/>
              <w:jc w:val="left"/>
              <w:rPr>
                <w:rFonts w:asciiTheme="majorBidi" w:hAnsiTheme="majorBidi" w:cstheme="majorBidi"/>
                <w:b/>
                <w:bCs/>
                <w:sz w:val="22"/>
                <w:szCs w:val="22"/>
                <w:lang w:val="en-GB"/>
              </w:rPr>
            </w:pPr>
            <w:r w:rsidRPr="00A00E91">
              <w:rPr>
                <w:rFonts w:asciiTheme="majorBidi" w:hAnsiTheme="majorBidi" w:cstheme="majorBidi"/>
                <w:b/>
                <w:bCs/>
                <w:sz w:val="22"/>
                <w:szCs w:val="22"/>
                <w:lang w:val="en-GB"/>
              </w:rPr>
              <w:t>Categories</w:t>
            </w:r>
          </w:p>
        </w:tc>
        <w:tc>
          <w:tcPr>
            <w:tcW w:w="1273" w:type="dxa"/>
            <w:tcBorders>
              <w:top w:val="single" w:sz="4" w:space="0" w:color="auto"/>
              <w:bottom w:val="single" w:sz="4" w:space="0" w:color="auto"/>
            </w:tcBorders>
          </w:tcPr>
          <w:p w14:paraId="36E9D3A3" w14:textId="5ED559B9" w:rsidR="00951D5E" w:rsidRPr="00A00E91" w:rsidRDefault="00951D5E" w:rsidP="006B1CC1">
            <w:pPr>
              <w:spacing w:line="360" w:lineRule="auto"/>
              <w:jc w:val="left"/>
              <w:rPr>
                <w:rFonts w:asciiTheme="majorBidi" w:hAnsiTheme="majorBidi" w:cstheme="majorBidi"/>
                <w:b/>
                <w:bCs/>
                <w:sz w:val="22"/>
                <w:szCs w:val="22"/>
              </w:rPr>
            </w:pPr>
            <w:r>
              <w:rPr>
                <w:rFonts w:asciiTheme="majorBidi" w:hAnsiTheme="majorBidi" w:cstheme="majorBidi"/>
                <w:b/>
                <w:bCs/>
                <w:sz w:val="22"/>
                <w:szCs w:val="22"/>
              </w:rPr>
              <w:t>Old weights in GPRS V1</w:t>
            </w:r>
          </w:p>
        </w:tc>
        <w:tc>
          <w:tcPr>
            <w:tcW w:w="1365" w:type="dxa"/>
            <w:tcBorders>
              <w:top w:val="single" w:sz="4" w:space="0" w:color="auto"/>
              <w:bottom w:val="single" w:sz="4" w:space="0" w:color="auto"/>
            </w:tcBorders>
          </w:tcPr>
          <w:p w14:paraId="37775106" w14:textId="34BFA355" w:rsidR="00951D5E" w:rsidRPr="00A00E91" w:rsidRDefault="00951D5E" w:rsidP="001F48BB">
            <w:pPr>
              <w:spacing w:line="360" w:lineRule="auto"/>
              <w:jc w:val="left"/>
              <w:rPr>
                <w:rFonts w:asciiTheme="majorBidi" w:hAnsiTheme="majorBidi" w:cstheme="majorBidi"/>
                <w:b/>
                <w:bCs/>
                <w:sz w:val="22"/>
                <w:szCs w:val="22"/>
                <w:lang w:val="en-GB"/>
              </w:rPr>
            </w:pPr>
            <w:r w:rsidRPr="00A00E91">
              <w:rPr>
                <w:rFonts w:asciiTheme="majorBidi" w:hAnsiTheme="majorBidi" w:cstheme="majorBidi"/>
                <w:b/>
                <w:bCs/>
                <w:sz w:val="22"/>
                <w:szCs w:val="22"/>
                <w:lang w:val="en-GB"/>
              </w:rPr>
              <w:t>Current weights</w:t>
            </w:r>
            <w:r>
              <w:rPr>
                <w:rFonts w:asciiTheme="majorBidi" w:hAnsiTheme="majorBidi" w:cstheme="majorBidi"/>
                <w:b/>
                <w:bCs/>
                <w:sz w:val="22"/>
                <w:szCs w:val="22"/>
                <w:lang w:val="en-GB"/>
              </w:rPr>
              <w:t xml:space="preserve"> in GPRS V2</w:t>
            </w:r>
          </w:p>
        </w:tc>
        <w:tc>
          <w:tcPr>
            <w:tcW w:w="1624" w:type="dxa"/>
            <w:tcBorders>
              <w:top w:val="single" w:sz="4" w:space="0" w:color="auto"/>
              <w:bottom w:val="single" w:sz="4" w:space="0" w:color="auto"/>
            </w:tcBorders>
          </w:tcPr>
          <w:p w14:paraId="776C1F3B" w14:textId="77777777" w:rsidR="00951D5E" w:rsidRPr="00A00E91" w:rsidRDefault="00951D5E" w:rsidP="001F48BB">
            <w:pPr>
              <w:spacing w:line="360" w:lineRule="auto"/>
              <w:jc w:val="left"/>
              <w:rPr>
                <w:rFonts w:asciiTheme="majorBidi" w:hAnsiTheme="majorBidi" w:cstheme="majorBidi"/>
                <w:b/>
                <w:bCs/>
                <w:sz w:val="22"/>
                <w:szCs w:val="22"/>
                <w:lang w:val="en-GB"/>
              </w:rPr>
            </w:pPr>
            <w:r w:rsidRPr="00A00E91">
              <w:rPr>
                <w:rFonts w:asciiTheme="majorBidi" w:hAnsiTheme="majorBidi" w:cstheme="majorBidi"/>
                <w:b/>
                <w:bCs/>
                <w:sz w:val="22"/>
                <w:szCs w:val="22"/>
                <w:lang w:val="en-GB"/>
              </w:rPr>
              <w:t>New Proposed Weights</w:t>
            </w:r>
          </w:p>
        </w:tc>
        <w:tc>
          <w:tcPr>
            <w:tcW w:w="7687" w:type="dxa"/>
            <w:tcBorders>
              <w:top w:val="single" w:sz="4" w:space="0" w:color="auto"/>
              <w:bottom w:val="single" w:sz="4" w:space="0" w:color="auto"/>
            </w:tcBorders>
          </w:tcPr>
          <w:p w14:paraId="09F7024A" w14:textId="77777777" w:rsidR="00951D5E" w:rsidRPr="00A00E91" w:rsidRDefault="00951D5E" w:rsidP="001F48BB">
            <w:pPr>
              <w:spacing w:line="360" w:lineRule="auto"/>
              <w:jc w:val="left"/>
              <w:rPr>
                <w:rFonts w:asciiTheme="majorBidi" w:hAnsiTheme="majorBidi" w:cstheme="majorBidi"/>
                <w:b/>
                <w:bCs/>
                <w:sz w:val="22"/>
                <w:szCs w:val="22"/>
                <w:lang w:val="en-GB"/>
              </w:rPr>
            </w:pPr>
            <w:r w:rsidRPr="00A00E91">
              <w:rPr>
                <w:rFonts w:asciiTheme="majorBidi" w:hAnsiTheme="majorBidi" w:cstheme="majorBidi"/>
                <w:b/>
                <w:bCs/>
                <w:sz w:val="22"/>
                <w:szCs w:val="22"/>
                <w:lang w:val="en-GB"/>
              </w:rPr>
              <w:t>Comment</w:t>
            </w:r>
          </w:p>
        </w:tc>
      </w:tr>
      <w:tr w:rsidR="00951D5E" w:rsidRPr="00A00E91" w14:paraId="74BCA5C6" w14:textId="77777777" w:rsidTr="00A64DA8">
        <w:tc>
          <w:tcPr>
            <w:tcW w:w="2055" w:type="dxa"/>
            <w:tcBorders>
              <w:top w:val="single" w:sz="4" w:space="0" w:color="auto"/>
            </w:tcBorders>
          </w:tcPr>
          <w:p w14:paraId="26C11F22"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Management Protocols (MP)</w:t>
            </w:r>
          </w:p>
        </w:tc>
        <w:tc>
          <w:tcPr>
            <w:tcW w:w="1273" w:type="dxa"/>
            <w:tcBorders>
              <w:top w:val="single" w:sz="4" w:space="0" w:color="auto"/>
            </w:tcBorders>
          </w:tcPr>
          <w:p w14:paraId="659CC011" w14:textId="24811857" w:rsidR="00951D5E" w:rsidRPr="00A00E91" w:rsidRDefault="00D65BF3" w:rsidP="001F48BB">
            <w:pPr>
              <w:spacing w:line="360" w:lineRule="auto"/>
              <w:rPr>
                <w:rFonts w:asciiTheme="majorBidi" w:hAnsiTheme="majorBidi" w:cstheme="majorBidi"/>
                <w:sz w:val="22"/>
                <w:szCs w:val="22"/>
              </w:rPr>
            </w:pPr>
            <w:r>
              <w:rPr>
                <w:rFonts w:asciiTheme="majorBidi" w:hAnsiTheme="majorBidi" w:cstheme="majorBidi"/>
                <w:sz w:val="22"/>
                <w:szCs w:val="22"/>
              </w:rPr>
              <w:t>10%</w:t>
            </w:r>
          </w:p>
        </w:tc>
        <w:tc>
          <w:tcPr>
            <w:tcW w:w="1365" w:type="dxa"/>
            <w:tcBorders>
              <w:top w:val="single" w:sz="4" w:space="0" w:color="auto"/>
            </w:tcBorders>
          </w:tcPr>
          <w:p w14:paraId="59D41AAA" w14:textId="44AAC036"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10%</w:t>
            </w:r>
          </w:p>
        </w:tc>
        <w:tc>
          <w:tcPr>
            <w:tcW w:w="1624" w:type="dxa"/>
            <w:tcBorders>
              <w:top w:val="single" w:sz="4" w:space="0" w:color="auto"/>
            </w:tcBorders>
          </w:tcPr>
          <w:p w14:paraId="390FD841"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5%</w:t>
            </w:r>
          </w:p>
        </w:tc>
        <w:tc>
          <w:tcPr>
            <w:tcW w:w="7687" w:type="dxa"/>
            <w:tcBorders>
              <w:top w:val="single" w:sz="4" w:space="0" w:color="auto"/>
            </w:tcBorders>
          </w:tcPr>
          <w:p w14:paraId="2FE8100E" w14:textId="2E15A6C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 xml:space="preserve">The weight was modified as most of the elements in this category are included in other categories </w:t>
            </w:r>
            <w:r w:rsidRPr="00A00E91">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{"citationItems":[{"id":"ITEM-1","itemData":{"author":[{"dropping-particle":"","family":"Ismail","given":"Ayman M.","non-dropping-particle":"","parse-names":false,"suffix":""},{"dropping-particle":"","family":"Abo Elela","given":"Maged M.","non-dropping-particle":"","parse-names":false,"suffix":""},{"dropping-particle":"","family":"Ahmed","given":"Eman B.","non-dropping-particle":"","parse-names":false,"suffix":""}],"container-title":"Researcher","id":"ITEM-1","issue":"9","issued":{"date-parts":[["2015"]]},"page":"72-82","title":"Localized Green Building Standards: The Anti-Globalization Thesis","type":"article-journal","volume":"7"},"uris":["http://www.mendeley.com/documents/?uuid=410a2e7b-1817-4bb4-a948-bb423935f098"]}],"mendeley":{"formattedCitation":"(Ismail et al., 2015)","plainTextFormattedCitation":"(Ismail et al., 2015)","previouslyFormattedCitation":"(Ismail et al., 2015)"},"properties":{"noteIndex":0},"schema":"https://github.com/citation-style-language/schema/raw/master/csl-citation.json"}</w:instrText>
            </w:r>
            <w:r w:rsidRPr="00A00E91">
              <w:rPr>
                <w:rFonts w:asciiTheme="majorBidi" w:hAnsiTheme="majorBidi" w:cstheme="majorBidi"/>
                <w:sz w:val="22"/>
                <w:szCs w:val="22"/>
              </w:rPr>
              <w:fldChar w:fldCharType="separate"/>
            </w:r>
            <w:r w:rsidR="007E4F8D" w:rsidRPr="00DB4AA3">
              <w:rPr>
                <w:rFonts w:asciiTheme="majorBidi" w:hAnsiTheme="majorBidi" w:cstheme="majorBidi"/>
                <w:noProof/>
                <w:sz w:val="22"/>
                <w:szCs w:val="22"/>
                <w:lang w:val="en-GB"/>
              </w:rPr>
              <w:t>(Ismail et al., 2015)</w:t>
            </w:r>
            <w:r w:rsidRPr="00A00E91">
              <w:rPr>
                <w:rFonts w:asciiTheme="majorBidi" w:hAnsiTheme="majorBidi" w:cstheme="majorBidi"/>
                <w:sz w:val="22"/>
                <w:szCs w:val="22"/>
              </w:rPr>
              <w:fldChar w:fldCharType="end"/>
            </w:r>
            <w:r w:rsidRPr="00A00E91">
              <w:rPr>
                <w:rFonts w:asciiTheme="majorBidi" w:hAnsiTheme="majorBidi" w:cstheme="majorBidi"/>
                <w:sz w:val="22"/>
                <w:szCs w:val="22"/>
                <w:lang w:val="en-GB"/>
              </w:rPr>
              <w:t>.</w:t>
            </w:r>
          </w:p>
        </w:tc>
      </w:tr>
      <w:tr w:rsidR="00951D5E" w:rsidRPr="00A00E91" w14:paraId="39411C03" w14:textId="77777777" w:rsidTr="00A64DA8">
        <w:tc>
          <w:tcPr>
            <w:tcW w:w="2055" w:type="dxa"/>
          </w:tcPr>
          <w:p w14:paraId="0430A215"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Indoor Environmental Quality (IEQ)</w:t>
            </w:r>
          </w:p>
        </w:tc>
        <w:tc>
          <w:tcPr>
            <w:tcW w:w="1273" w:type="dxa"/>
          </w:tcPr>
          <w:p w14:paraId="0E4B4F40" w14:textId="2EEB0190" w:rsidR="00951D5E" w:rsidRPr="00A00E91" w:rsidRDefault="00D65BF3" w:rsidP="001F48BB">
            <w:pPr>
              <w:spacing w:line="360" w:lineRule="auto"/>
              <w:rPr>
                <w:rFonts w:asciiTheme="majorBidi" w:hAnsiTheme="majorBidi" w:cstheme="majorBidi"/>
                <w:sz w:val="22"/>
                <w:szCs w:val="22"/>
              </w:rPr>
            </w:pPr>
            <w:r>
              <w:rPr>
                <w:rFonts w:asciiTheme="majorBidi" w:hAnsiTheme="majorBidi" w:cstheme="majorBidi"/>
                <w:sz w:val="22"/>
                <w:szCs w:val="22"/>
              </w:rPr>
              <w:t>10%</w:t>
            </w:r>
          </w:p>
        </w:tc>
        <w:tc>
          <w:tcPr>
            <w:tcW w:w="1365" w:type="dxa"/>
          </w:tcPr>
          <w:p w14:paraId="58C6AA90" w14:textId="7F70326C"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16%</w:t>
            </w:r>
          </w:p>
        </w:tc>
        <w:tc>
          <w:tcPr>
            <w:tcW w:w="1624" w:type="dxa"/>
          </w:tcPr>
          <w:p w14:paraId="588A3339"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10%</w:t>
            </w:r>
          </w:p>
        </w:tc>
        <w:tc>
          <w:tcPr>
            <w:tcW w:w="7687" w:type="dxa"/>
          </w:tcPr>
          <w:p w14:paraId="48DBF48A"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This category is important as much as Sustainable Sites (SS) category given the importance of enhancing the TBL of sustainability. Accordingly, they were assigned similar weights.</w:t>
            </w:r>
          </w:p>
        </w:tc>
      </w:tr>
      <w:tr w:rsidR="00951D5E" w:rsidRPr="00A00E91" w14:paraId="1A24DB74" w14:textId="77777777" w:rsidTr="00A64DA8">
        <w:tc>
          <w:tcPr>
            <w:tcW w:w="2055" w:type="dxa"/>
            <w:shd w:val="clear" w:color="auto" w:fill="FFFFFF" w:themeFill="background1"/>
          </w:tcPr>
          <w:p w14:paraId="11DC7CAE"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Energy Efficiency (EE)</w:t>
            </w:r>
          </w:p>
        </w:tc>
        <w:tc>
          <w:tcPr>
            <w:tcW w:w="1273" w:type="dxa"/>
            <w:shd w:val="clear" w:color="auto" w:fill="FFFFFF" w:themeFill="background1"/>
          </w:tcPr>
          <w:p w14:paraId="00B408E6" w14:textId="18A38386" w:rsidR="00951D5E" w:rsidRPr="00A00E91" w:rsidRDefault="00B847F5" w:rsidP="001F48BB">
            <w:pPr>
              <w:spacing w:line="360" w:lineRule="auto"/>
              <w:rPr>
                <w:rFonts w:asciiTheme="majorBidi" w:hAnsiTheme="majorBidi" w:cstheme="majorBidi"/>
                <w:sz w:val="22"/>
                <w:szCs w:val="22"/>
              </w:rPr>
            </w:pPr>
            <w:r>
              <w:rPr>
                <w:rFonts w:asciiTheme="majorBidi" w:hAnsiTheme="majorBidi" w:cstheme="majorBidi"/>
                <w:sz w:val="22"/>
                <w:szCs w:val="22"/>
              </w:rPr>
              <w:t>25%</w:t>
            </w:r>
          </w:p>
        </w:tc>
        <w:tc>
          <w:tcPr>
            <w:tcW w:w="1365" w:type="dxa"/>
            <w:shd w:val="clear" w:color="auto" w:fill="FFFFFF" w:themeFill="background1"/>
          </w:tcPr>
          <w:p w14:paraId="52A7CDAA" w14:textId="20914941"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32%</w:t>
            </w:r>
          </w:p>
        </w:tc>
        <w:tc>
          <w:tcPr>
            <w:tcW w:w="1624" w:type="dxa"/>
            <w:shd w:val="clear" w:color="auto" w:fill="FFFFFF" w:themeFill="background1"/>
          </w:tcPr>
          <w:p w14:paraId="0A89E447"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25%</w:t>
            </w:r>
          </w:p>
        </w:tc>
        <w:tc>
          <w:tcPr>
            <w:tcW w:w="7687" w:type="dxa"/>
            <w:shd w:val="clear" w:color="auto" w:fill="FFFFFF" w:themeFill="background1"/>
          </w:tcPr>
          <w:p w14:paraId="67073263"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This category is important given the current electricity supply interruptions in Egypt. A careful attention has to be paid for reducing and optimising energy consumption. Accordingly, it is assigned an average weight between the new proposed weights of both WE category and M&amp;R category.</w:t>
            </w:r>
          </w:p>
        </w:tc>
      </w:tr>
      <w:tr w:rsidR="00951D5E" w:rsidRPr="00A00E91" w14:paraId="323AA0A9" w14:textId="77777777" w:rsidTr="00A64DA8">
        <w:tc>
          <w:tcPr>
            <w:tcW w:w="2055" w:type="dxa"/>
            <w:shd w:val="clear" w:color="auto" w:fill="FFFFFF" w:themeFill="background1"/>
          </w:tcPr>
          <w:p w14:paraId="1303C2AA"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Water Efficiency (WE)</w:t>
            </w:r>
          </w:p>
        </w:tc>
        <w:tc>
          <w:tcPr>
            <w:tcW w:w="1273" w:type="dxa"/>
            <w:shd w:val="clear" w:color="auto" w:fill="FFFFFF" w:themeFill="background1"/>
          </w:tcPr>
          <w:p w14:paraId="130FDE5B" w14:textId="79C7E357" w:rsidR="00951D5E" w:rsidRPr="00A00E91" w:rsidRDefault="005D2E31" w:rsidP="001F48BB">
            <w:pPr>
              <w:spacing w:line="360" w:lineRule="auto"/>
              <w:rPr>
                <w:rFonts w:asciiTheme="majorBidi" w:hAnsiTheme="majorBidi" w:cstheme="majorBidi"/>
                <w:sz w:val="22"/>
                <w:szCs w:val="22"/>
              </w:rPr>
            </w:pPr>
            <w:r>
              <w:rPr>
                <w:rFonts w:asciiTheme="majorBidi" w:hAnsiTheme="majorBidi" w:cstheme="majorBidi"/>
                <w:sz w:val="22"/>
                <w:szCs w:val="22"/>
              </w:rPr>
              <w:t>30%</w:t>
            </w:r>
          </w:p>
        </w:tc>
        <w:tc>
          <w:tcPr>
            <w:tcW w:w="1365" w:type="dxa"/>
            <w:shd w:val="clear" w:color="auto" w:fill="FFFFFF" w:themeFill="background1"/>
          </w:tcPr>
          <w:p w14:paraId="124FBF37" w14:textId="16BAB073"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20%</w:t>
            </w:r>
          </w:p>
        </w:tc>
        <w:tc>
          <w:tcPr>
            <w:tcW w:w="1624" w:type="dxa"/>
            <w:shd w:val="clear" w:color="auto" w:fill="FFFFFF" w:themeFill="background1"/>
          </w:tcPr>
          <w:p w14:paraId="18675116"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30%</w:t>
            </w:r>
          </w:p>
        </w:tc>
        <w:tc>
          <w:tcPr>
            <w:tcW w:w="7687" w:type="dxa"/>
            <w:shd w:val="clear" w:color="auto" w:fill="FFFFFF" w:themeFill="background1"/>
          </w:tcPr>
          <w:p w14:paraId="4E9E83FF"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A higher weight is proposed to overcome the water crisis resulting from the construction of Renaissance Dam on the Nile River. A careful attention has to be paid to save water resources and optimise their usage.</w:t>
            </w:r>
          </w:p>
        </w:tc>
      </w:tr>
      <w:tr w:rsidR="00951D5E" w:rsidRPr="00A00E91" w14:paraId="0338D078" w14:textId="77777777" w:rsidTr="00A64DA8">
        <w:tc>
          <w:tcPr>
            <w:tcW w:w="2055" w:type="dxa"/>
            <w:shd w:val="clear" w:color="auto" w:fill="FFFFFF" w:themeFill="background1"/>
          </w:tcPr>
          <w:p w14:paraId="0E3230C4"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Materials and Resources (M&amp;R)</w:t>
            </w:r>
          </w:p>
        </w:tc>
        <w:tc>
          <w:tcPr>
            <w:tcW w:w="1273" w:type="dxa"/>
            <w:shd w:val="clear" w:color="auto" w:fill="FFFFFF" w:themeFill="background1"/>
          </w:tcPr>
          <w:p w14:paraId="6432A156" w14:textId="715ACB64" w:rsidR="00951D5E" w:rsidRPr="00A00E91" w:rsidRDefault="00D65BF3" w:rsidP="001F48BB">
            <w:pPr>
              <w:spacing w:line="360" w:lineRule="auto"/>
              <w:rPr>
                <w:rFonts w:asciiTheme="majorBidi" w:hAnsiTheme="majorBidi" w:cstheme="majorBidi"/>
                <w:sz w:val="22"/>
                <w:szCs w:val="22"/>
              </w:rPr>
            </w:pPr>
            <w:r>
              <w:rPr>
                <w:rFonts w:asciiTheme="majorBidi" w:hAnsiTheme="majorBidi" w:cstheme="majorBidi"/>
                <w:sz w:val="22"/>
                <w:szCs w:val="22"/>
              </w:rPr>
              <w:t>10%</w:t>
            </w:r>
          </w:p>
        </w:tc>
        <w:tc>
          <w:tcPr>
            <w:tcW w:w="1365" w:type="dxa"/>
            <w:shd w:val="clear" w:color="auto" w:fill="FFFFFF" w:themeFill="background1"/>
          </w:tcPr>
          <w:p w14:paraId="3685799D" w14:textId="02E69D71"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12%</w:t>
            </w:r>
          </w:p>
        </w:tc>
        <w:tc>
          <w:tcPr>
            <w:tcW w:w="1624" w:type="dxa"/>
            <w:shd w:val="clear" w:color="auto" w:fill="FFFFFF" w:themeFill="background1"/>
          </w:tcPr>
          <w:p w14:paraId="39974E88"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20%</w:t>
            </w:r>
          </w:p>
        </w:tc>
        <w:tc>
          <w:tcPr>
            <w:tcW w:w="7687" w:type="dxa"/>
            <w:shd w:val="clear" w:color="auto" w:fill="FFFFFF" w:themeFill="background1"/>
          </w:tcPr>
          <w:p w14:paraId="7CAC90B8"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A higher weight is proposed to save raw materials from depletion, avoid high project cost, and reduce CDW given the current boom of construction in Egypt. This new proposed weight takes into consideration the integration of the missing criteria, discussed in the previous section, in the future version of the GPRS.</w:t>
            </w:r>
          </w:p>
        </w:tc>
      </w:tr>
      <w:tr w:rsidR="00951D5E" w:rsidRPr="00A00E91" w14:paraId="1FEBFA1F" w14:textId="77777777" w:rsidTr="00A64DA8">
        <w:tc>
          <w:tcPr>
            <w:tcW w:w="2055" w:type="dxa"/>
          </w:tcPr>
          <w:p w14:paraId="35A2352E"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lastRenderedPageBreak/>
              <w:t>Sustainable Sites (SS)</w:t>
            </w:r>
          </w:p>
        </w:tc>
        <w:tc>
          <w:tcPr>
            <w:tcW w:w="1273" w:type="dxa"/>
          </w:tcPr>
          <w:p w14:paraId="66143B3C" w14:textId="37306DDA" w:rsidR="00951D5E" w:rsidRPr="00A00E91" w:rsidRDefault="00B847F5" w:rsidP="001F48BB">
            <w:pPr>
              <w:spacing w:line="360" w:lineRule="auto"/>
              <w:rPr>
                <w:rFonts w:asciiTheme="majorBidi" w:hAnsiTheme="majorBidi" w:cstheme="majorBidi"/>
                <w:sz w:val="22"/>
                <w:szCs w:val="22"/>
              </w:rPr>
            </w:pPr>
            <w:r>
              <w:rPr>
                <w:rFonts w:asciiTheme="majorBidi" w:hAnsiTheme="majorBidi" w:cstheme="majorBidi"/>
                <w:sz w:val="22"/>
                <w:szCs w:val="22"/>
              </w:rPr>
              <w:t>15%</w:t>
            </w:r>
          </w:p>
        </w:tc>
        <w:tc>
          <w:tcPr>
            <w:tcW w:w="1365" w:type="dxa"/>
          </w:tcPr>
          <w:p w14:paraId="2ADEF849" w14:textId="5858E9F5"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10%</w:t>
            </w:r>
          </w:p>
        </w:tc>
        <w:tc>
          <w:tcPr>
            <w:tcW w:w="1624" w:type="dxa"/>
          </w:tcPr>
          <w:p w14:paraId="46E7D971"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10%</w:t>
            </w:r>
          </w:p>
        </w:tc>
        <w:tc>
          <w:tcPr>
            <w:tcW w:w="7687" w:type="dxa"/>
          </w:tcPr>
          <w:p w14:paraId="478DA47C" w14:textId="2AEEA810"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 xml:space="preserve">This category demonstrates the importance of protecting the agricultural land from urban sprawl </w:t>
            </w:r>
            <w:r w:rsidRPr="00A00E91">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{"citationItems":[{"id":"ITEM-1","itemData":{"author":[{"dropping-particle":"","family":"Ismail","given":"Ayman M.","non-dropping-particle":"","parse-names":false,"suffix":""},{"dropping-particle":"","family":"Abo Elela","given":"Maged M.","non-dropping-particle":"","parse-names":false,"suffix":""},{"dropping-particle":"","family":"Ahmed","given":"Eman B.","non-dropping-particle":"","parse-names":false,"suffix":""}],"container-title":"Researcher","id":"ITEM-1","issue":"9","issued":{"date-parts":[["2015"]]},"page":"72-82","title":"Localized Green Building Standards: The Anti-Globalization Thesis","type":"article-journal","volume":"7"},"uris":["http://www.mendeley.com/documents/?uuid=410a2e7b-1817-4bb4-a948-bb423935f098"]}],"mendeley":{"formattedCitation":"(Ismail et al., 2015)","plainTextFormattedCitation":"(Ismail et al., 2015)","previouslyFormattedCitation":"(Ismail et al., 2015)"},"properties":{"noteIndex":0},"schema":"https://github.com/citation-style-language/schema/raw/master/csl-citation.json"}</w:instrText>
            </w:r>
            <w:r w:rsidRPr="00A00E91">
              <w:rPr>
                <w:rFonts w:asciiTheme="majorBidi" w:hAnsiTheme="majorBidi" w:cstheme="majorBidi"/>
                <w:sz w:val="22"/>
                <w:szCs w:val="22"/>
              </w:rPr>
              <w:fldChar w:fldCharType="separate"/>
            </w:r>
            <w:r w:rsidR="007E4F8D" w:rsidRPr="00DB4AA3">
              <w:rPr>
                <w:rFonts w:asciiTheme="majorBidi" w:hAnsiTheme="majorBidi" w:cstheme="majorBidi"/>
                <w:noProof/>
                <w:sz w:val="22"/>
                <w:szCs w:val="22"/>
                <w:lang w:val="en-GB"/>
              </w:rPr>
              <w:t>(Ismail et al., 2015)</w:t>
            </w:r>
            <w:r w:rsidRPr="00A00E91">
              <w:rPr>
                <w:rFonts w:asciiTheme="majorBidi" w:hAnsiTheme="majorBidi" w:cstheme="majorBidi"/>
                <w:sz w:val="22"/>
                <w:szCs w:val="22"/>
              </w:rPr>
              <w:fldChar w:fldCharType="end"/>
            </w:r>
            <w:r w:rsidRPr="00A00E91">
              <w:rPr>
                <w:rFonts w:asciiTheme="majorBidi" w:hAnsiTheme="majorBidi" w:cstheme="majorBidi"/>
                <w:sz w:val="22"/>
                <w:szCs w:val="22"/>
                <w:lang w:val="en-GB"/>
              </w:rPr>
              <w:t>.</w:t>
            </w:r>
          </w:p>
        </w:tc>
      </w:tr>
      <w:tr w:rsidR="00951D5E" w:rsidRPr="00A00E91" w14:paraId="3F86C11B" w14:textId="77777777" w:rsidTr="00A64DA8">
        <w:tc>
          <w:tcPr>
            <w:tcW w:w="2055" w:type="dxa"/>
          </w:tcPr>
          <w:p w14:paraId="3AE73F45"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Innovation and Added Value (IN)</w:t>
            </w:r>
          </w:p>
        </w:tc>
        <w:tc>
          <w:tcPr>
            <w:tcW w:w="1273" w:type="dxa"/>
          </w:tcPr>
          <w:p w14:paraId="5CBABE9C" w14:textId="405184D3" w:rsidR="00951D5E" w:rsidRPr="00A00E91" w:rsidRDefault="00F22A1D" w:rsidP="001F48BB">
            <w:pPr>
              <w:spacing w:line="360" w:lineRule="auto"/>
              <w:rPr>
                <w:rFonts w:asciiTheme="majorBidi" w:hAnsiTheme="majorBidi" w:cstheme="majorBidi"/>
                <w:sz w:val="22"/>
                <w:szCs w:val="22"/>
              </w:rPr>
            </w:pPr>
            <w:r>
              <w:rPr>
                <w:rFonts w:asciiTheme="majorBidi" w:hAnsiTheme="majorBidi" w:cstheme="majorBidi"/>
                <w:sz w:val="22"/>
                <w:szCs w:val="22"/>
              </w:rPr>
              <w:t>5% (bo</w:t>
            </w:r>
            <w:r w:rsidR="00994661">
              <w:rPr>
                <w:rFonts w:asciiTheme="majorBidi" w:hAnsiTheme="majorBidi" w:cstheme="majorBidi"/>
                <w:sz w:val="22"/>
                <w:szCs w:val="22"/>
              </w:rPr>
              <w:t>nus)</w:t>
            </w:r>
          </w:p>
        </w:tc>
        <w:tc>
          <w:tcPr>
            <w:tcW w:w="1365" w:type="dxa"/>
          </w:tcPr>
          <w:p w14:paraId="547302E5" w14:textId="0D21976C"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5% (bonus)</w:t>
            </w:r>
          </w:p>
        </w:tc>
        <w:tc>
          <w:tcPr>
            <w:tcW w:w="1624" w:type="dxa"/>
          </w:tcPr>
          <w:p w14:paraId="5B42FA4F" w14:textId="77777777" w:rsidR="00951D5E" w:rsidRPr="00A00E91" w:rsidRDefault="00951D5E" w:rsidP="001F48BB">
            <w:pPr>
              <w:spacing w:line="360" w:lineRule="auto"/>
              <w:jc w:val="left"/>
              <w:rPr>
                <w:rFonts w:asciiTheme="majorBidi" w:hAnsiTheme="majorBidi" w:cstheme="majorBidi"/>
                <w:sz w:val="22"/>
                <w:szCs w:val="22"/>
                <w:lang w:val="en-GB"/>
              </w:rPr>
            </w:pPr>
            <w:r w:rsidRPr="00A00E91">
              <w:rPr>
                <w:rFonts w:asciiTheme="majorBidi" w:hAnsiTheme="majorBidi" w:cstheme="majorBidi"/>
                <w:sz w:val="22"/>
                <w:szCs w:val="22"/>
                <w:lang w:val="en-GB"/>
              </w:rPr>
              <w:t>5% (bonus)</w:t>
            </w:r>
          </w:p>
        </w:tc>
        <w:tc>
          <w:tcPr>
            <w:tcW w:w="7687" w:type="dxa"/>
          </w:tcPr>
          <w:p w14:paraId="338990DA" w14:textId="77777777" w:rsidR="00951D5E" w:rsidRPr="00A00E91" w:rsidRDefault="00951D5E" w:rsidP="001F48BB">
            <w:pPr>
              <w:spacing w:line="360" w:lineRule="auto"/>
              <w:jc w:val="left"/>
              <w:rPr>
                <w:rFonts w:asciiTheme="majorBidi" w:hAnsiTheme="majorBidi" w:cstheme="majorBidi"/>
                <w:sz w:val="22"/>
                <w:szCs w:val="22"/>
                <w:lang w:val="en-GB"/>
              </w:rPr>
            </w:pPr>
          </w:p>
        </w:tc>
      </w:tr>
    </w:tbl>
    <w:p w14:paraId="2F7500FA" w14:textId="77777777" w:rsidR="00A00E91" w:rsidRPr="00A00E91" w:rsidRDefault="00A00E91" w:rsidP="00A00E91"/>
    <w:bookmarkEnd w:id="0"/>
    <w:p w14:paraId="7503E923" w14:textId="1782549B" w:rsidR="0041394A" w:rsidRPr="00A00E91" w:rsidRDefault="0041394A" w:rsidP="0041394A">
      <w:pPr>
        <w:pStyle w:val="Tabletitle"/>
        <w:spacing w:after="240"/>
      </w:pPr>
    </w:p>
    <w:p w14:paraId="3B2ED40C" w14:textId="0C0550B3" w:rsidR="0056254F" w:rsidRDefault="0056254F" w:rsidP="0098232C"/>
    <w:p w14:paraId="42F59E25" w14:textId="63C0D758" w:rsidR="00763B47" w:rsidRDefault="00763B47" w:rsidP="0098232C"/>
    <w:p w14:paraId="78122601" w14:textId="6B48E8CD" w:rsidR="00763B47" w:rsidRDefault="00763B47" w:rsidP="0098232C"/>
    <w:p w14:paraId="6717E4CD" w14:textId="1AB16EB5" w:rsidR="00763B47" w:rsidRDefault="00763B47" w:rsidP="0098232C"/>
    <w:p w14:paraId="23F0CE40" w14:textId="68254570" w:rsidR="00763B47" w:rsidRDefault="00763B47" w:rsidP="0098232C"/>
    <w:p w14:paraId="78E5D1DF" w14:textId="23B13F57" w:rsidR="00763B47" w:rsidRDefault="00763B47" w:rsidP="0098232C"/>
    <w:p w14:paraId="61D7B2A9" w14:textId="2AEDF73B" w:rsidR="00763B47" w:rsidRDefault="00763B47" w:rsidP="0098232C"/>
    <w:p w14:paraId="06325340" w14:textId="53B0764C" w:rsidR="00763B47" w:rsidRDefault="00763B47" w:rsidP="0098232C"/>
    <w:p w14:paraId="33B7165B" w14:textId="11E1653F" w:rsidR="00763B47" w:rsidRDefault="00763B47" w:rsidP="0098232C"/>
    <w:p w14:paraId="09B64F10" w14:textId="77777777" w:rsidR="00763B47" w:rsidRPr="00A00E91" w:rsidRDefault="00763B47" w:rsidP="00763B47">
      <w:pPr>
        <w:pStyle w:val="Tabletitle"/>
        <w:spacing w:after="240"/>
      </w:pPr>
      <w:r w:rsidRPr="00A00E91">
        <w:rPr>
          <w:b/>
          <w:bCs/>
        </w:rPr>
        <w:t xml:space="preserve">Table </w:t>
      </w:r>
      <w:r>
        <w:rPr>
          <w:b/>
          <w:bCs/>
        </w:rPr>
        <w:t>4</w:t>
      </w:r>
      <w:r w:rsidRPr="00A00E91">
        <w:rPr>
          <w:b/>
          <w:bCs/>
        </w:rPr>
        <w:t>.</w:t>
      </w:r>
      <w:r w:rsidRPr="00A00E91">
        <w:t xml:space="preserve"> Shortcomings in M&amp;R </w:t>
      </w:r>
      <w:r>
        <w:t>c</w:t>
      </w:r>
      <w:r w:rsidRPr="00A00E91">
        <w:t>ategory of the GPRS V2</w:t>
      </w:r>
    </w:p>
    <w:tbl>
      <w:tblPr>
        <w:tblStyle w:val="TableGrid"/>
        <w:tblW w:w="1388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992"/>
        <w:gridCol w:w="8222"/>
        <w:gridCol w:w="2268"/>
      </w:tblGrid>
      <w:tr w:rsidR="00763B47" w:rsidRPr="00A00E91" w14:paraId="72AA057E" w14:textId="77777777" w:rsidTr="00A0342F">
        <w:trPr>
          <w:tblHeader/>
        </w:trPr>
        <w:tc>
          <w:tcPr>
            <w:tcW w:w="2405" w:type="dxa"/>
            <w:tcBorders>
              <w:top w:val="single" w:sz="4" w:space="0" w:color="auto"/>
              <w:bottom w:val="single" w:sz="4" w:space="0" w:color="auto"/>
            </w:tcBorders>
          </w:tcPr>
          <w:p w14:paraId="3203C77E" w14:textId="77777777" w:rsidR="00763B47" w:rsidRPr="000846BE" w:rsidRDefault="00763B47" w:rsidP="00A0342F">
            <w:pPr>
              <w:spacing w:line="360" w:lineRule="auto"/>
              <w:jc w:val="left"/>
              <w:rPr>
                <w:rFonts w:asciiTheme="majorBidi" w:hAnsiTheme="majorBidi" w:cstheme="majorBidi"/>
                <w:b/>
                <w:bCs/>
                <w:sz w:val="22"/>
                <w:szCs w:val="22"/>
                <w:lang w:val="en-GB"/>
              </w:rPr>
            </w:pPr>
            <w:r w:rsidRPr="000846BE">
              <w:rPr>
                <w:rFonts w:asciiTheme="majorBidi" w:hAnsiTheme="majorBidi" w:cstheme="majorBidi"/>
                <w:b/>
                <w:bCs/>
                <w:sz w:val="22"/>
                <w:szCs w:val="22"/>
                <w:lang w:val="en-GB"/>
              </w:rPr>
              <w:t>Criteria</w:t>
            </w:r>
          </w:p>
        </w:tc>
        <w:tc>
          <w:tcPr>
            <w:tcW w:w="992" w:type="dxa"/>
            <w:tcBorders>
              <w:top w:val="single" w:sz="4" w:space="0" w:color="auto"/>
              <w:bottom w:val="single" w:sz="4" w:space="0" w:color="auto"/>
            </w:tcBorders>
          </w:tcPr>
          <w:p w14:paraId="56090CD5" w14:textId="77777777" w:rsidR="00763B47" w:rsidRPr="000846BE" w:rsidRDefault="00763B47" w:rsidP="00A0342F">
            <w:pPr>
              <w:spacing w:line="360" w:lineRule="auto"/>
              <w:jc w:val="left"/>
              <w:rPr>
                <w:rFonts w:asciiTheme="majorBidi" w:hAnsiTheme="majorBidi" w:cstheme="majorBidi"/>
                <w:b/>
                <w:bCs/>
                <w:sz w:val="22"/>
                <w:szCs w:val="22"/>
                <w:lang w:val="en-GB"/>
              </w:rPr>
            </w:pPr>
            <w:r w:rsidRPr="000846BE">
              <w:rPr>
                <w:rFonts w:asciiTheme="majorBidi" w:hAnsiTheme="majorBidi" w:cstheme="majorBidi"/>
                <w:b/>
                <w:bCs/>
                <w:sz w:val="22"/>
                <w:szCs w:val="22"/>
                <w:lang w:val="en-GB"/>
              </w:rPr>
              <w:t>Status</w:t>
            </w:r>
          </w:p>
        </w:tc>
        <w:tc>
          <w:tcPr>
            <w:tcW w:w="8222" w:type="dxa"/>
            <w:tcBorders>
              <w:top w:val="single" w:sz="4" w:space="0" w:color="auto"/>
              <w:bottom w:val="single" w:sz="4" w:space="0" w:color="auto"/>
            </w:tcBorders>
          </w:tcPr>
          <w:p w14:paraId="343E1BF9" w14:textId="77777777" w:rsidR="00763B47" w:rsidRPr="000846BE" w:rsidRDefault="00763B47" w:rsidP="00A0342F">
            <w:pPr>
              <w:spacing w:line="360" w:lineRule="auto"/>
              <w:jc w:val="left"/>
              <w:rPr>
                <w:rFonts w:asciiTheme="majorBidi" w:hAnsiTheme="majorBidi" w:cstheme="majorBidi"/>
                <w:b/>
                <w:bCs/>
                <w:sz w:val="22"/>
                <w:szCs w:val="22"/>
                <w:lang w:val="en-GB"/>
              </w:rPr>
            </w:pPr>
            <w:r w:rsidRPr="000846BE">
              <w:rPr>
                <w:rFonts w:asciiTheme="majorBidi" w:hAnsiTheme="majorBidi" w:cstheme="majorBidi"/>
                <w:b/>
                <w:bCs/>
                <w:sz w:val="22"/>
                <w:szCs w:val="22"/>
                <w:lang w:val="en-GB"/>
              </w:rPr>
              <w:t>Comment</w:t>
            </w:r>
          </w:p>
        </w:tc>
        <w:tc>
          <w:tcPr>
            <w:tcW w:w="2268" w:type="dxa"/>
            <w:tcBorders>
              <w:top w:val="single" w:sz="4" w:space="0" w:color="auto"/>
              <w:bottom w:val="single" w:sz="4" w:space="0" w:color="auto"/>
            </w:tcBorders>
          </w:tcPr>
          <w:p w14:paraId="4DC3FC11" w14:textId="77777777" w:rsidR="00763B47" w:rsidRPr="000846BE" w:rsidRDefault="00763B47" w:rsidP="00A0342F">
            <w:pPr>
              <w:spacing w:line="360" w:lineRule="auto"/>
              <w:jc w:val="left"/>
              <w:rPr>
                <w:rFonts w:asciiTheme="majorBidi" w:hAnsiTheme="majorBidi" w:cstheme="majorBidi"/>
                <w:b/>
                <w:bCs/>
                <w:sz w:val="22"/>
                <w:szCs w:val="22"/>
                <w:lang w:val="en-GB"/>
              </w:rPr>
            </w:pPr>
            <w:r w:rsidRPr="000846BE">
              <w:rPr>
                <w:rFonts w:asciiTheme="majorBidi" w:hAnsiTheme="majorBidi" w:cstheme="majorBidi"/>
                <w:b/>
                <w:bCs/>
                <w:sz w:val="22"/>
                <w:szCs w:val="22"/>
                <w:lang w:val="en-GB"/>
              </w:rPr>
              <w:t>References</w:t>
            </w:r>
          </w:p>
        </w:tc>
      </w:tr>
      <w:tr w:rsidR="00763B47" w:rsidRPr="00A00E91" w14:paraId="24CDE925" w14:textId="77777777" w:rsidTr="00A0342F">
        <w:trPr>
          <w:trHeight w:val="2537"/>
        </w:trPr>
        <w:tc>
          <w:tcPr>
            <w:tcW w:w="2405" w:type="dxa"/>
            <w:tcBorders>
              <w:top w:val="single" w:sz="4" w:space="0" w:color="auto"/>
            </w:tcBorders>
          </w:tcPr>
          <w:p w14:paraId="7FA1B37F" w14:textId="6C8CA01B"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t xml:space="preserve">Renewable </w:t>
            </w:r>
            <w:r w:rsidR="001E7C39">
              <w:rPr>
                <w:rFonts w:asciiTheme="majorBidi" w:hAnsiTheme="majorBidi" w:cstheme="majorBidi"/>
                <w:sz w:val="22"/>
                <w:szCs w:val="22"/>
                <w:lang w:val="en-GB"/>
              </w:rPr>
              <w:t>m</w:t>
            </w:r>
            <w:r w:rsidRPr="000846BE">
              <w:rPr>
                <w:rFonts w:asciiTheme="majorBidi" w:hAnsiTheme="majorBidi" w:cstheme="majorBidi"/>
                <w:sz w:val="22"/>
                <w:szCs w:val="22"/>
                <w:lang w:val="en-GB"/>
              </w:rPr>
              <w:t xml:space="preserve">aterials and </w:t>
            </w:r>
            <w:r w:rsidR="001E7C39">
              <w:rPr>
                <w:rFonts w:asciiTheme="majorBidi" w:hAnsiTheme="majorBidi" w:cstheme="majorBidi"/>
                <w:sz w:val="22"/>
                <w:szCs w:val="22"/>
                <w:lang w:val="en-GB"/>
              </w:rPr>
              <w:t>m</w:t>
            </w:r>
            <w:r w:rsidRPr="000846BE">
              <w:rPr>
                <w:rFonts w:asciiTheme="majorBidi" w:hAnsiTheme="majorBidi" w:cstheme="majorBidi"/>
                <w:sz w:val="22"/>
                <w:szCs w:val="22"/>
                <w:lang w:val="en-GB"/>
              </w:rPr>
              <w:t xml:space="preserve">aterials </w:t>
            </w:r>
            <w:r w:rsidR="001E7C39">
              <w:rPr>
                <w:rFonts w:asciiTheme="majorBidi" w:hAnsiTheme="majorBidi" w:cstheme="majorBidi"/>
                <w:sz w:val="22"/>
                <w:szCs w:val="22"/>
                <w:lang w:val="en-GB"/>
              </w:rPr>
              <w:t>m</w:t>
            </w:r>
            <w:r w:rsidRPr="000846BE">
              <w:rPr>
                <w:rFonts w:asciiTheme="majorBidi" w:hAnsiTheme="majorBidi" w:cstheme="majorBidi"/>
                <w:sz w:val="22"/>
                <w:szCs w:val="22"/>
                <w:lang w:val="en-GB"/>
              </w:rPr>
              <w:t xml:space="preserve">anufactured </w:t>
            </w:r>
            <w:r w:rsidR="001E7C39">
              <w:rPr>
                <w:rFonts w:asciiTheme="majorBidi" w:hAnsiTheme="majorBidi" w:cstheme="majorBidi"/>
                <w:sz w:val="22"/>
                <w:szCs w:val="22"/>
                <w:lang w:val="en-GB"/>
              </w:rPr>
              <w:t>u</w:t>
            </w:r>
            <w:r w:rsidRPr="000846BE">
              <w:rPr>
                <w:rFonts w:asciiTheme="majorBidi" w:hAnsiTheme="majorBidi" w:cstheme="majorBidi"/>
                <w:sz w:val="22"/>
                <w:szCs w:val="22"/>
                <w:lang w:val="en-GB"/>
              </w:rPr>
              <w:t xml:space="preserve">sing </w:t>
            </w:r>
            <w:r w:rsidR="001E7C39">
              <w:rPr>
                <w:rFonts w:asciiTheme="majorBidi" w:hAnsiTheme="majorBidi" w:cstheme="majorBidi"/>
                <w:sz w:val="22"/>
                <w:szCs w:val="22"/>
                <w:lang w:val="en-GB"/>
              </w:rPr>
              <w:t>r</w:t>
            </w:r>
            <w:r w:rsidRPr="000846BE">
              <w:rPr>
                <w:rFonts w:asciiTheme="majorBidi" w:hAnsiTheme="majorBidi" w:cstheme="majorBidi"/>
                <w:sz w:val="22"/>
                <w:szCs w:val="22"/>
                <w:lang w:val="en-GB"/>
              </w:rPr>
              <w:t xml:space="preserve">enewable </w:t>
            </w:r>
            <w:r w:rsidR="001E7C39">
              <w:rPr>
                <w:rFonts w:asciiTheme="majorBidi" w:hAnsiTheme="majorBidi" w:cstheme="majorBidi"/>
                <w:sz w:val="22"/>
                <w:szCs w:val="22"/>
                <w:lang w:val="en-GB"/>
              </w:rPr>
              <w:t>e</w:t>
            </w:r>
            <w:r w:rsidRPr="000846BE">
              <w:rPr>
                <w:rFonts w:asciiTheme="majorBidi" w:hAnsiTheme="majorBidi" w:cstheme="majorBidi"/>
                <w:sz w:val="22"/>
                <w:szCs w:val="22"/>
                <w:lang w:val="en-GB"/>
              </w:rPr>
              <w:t>nergy.</w:t>
            </w:r>
          </w:p>
        </w:tc>
        <w:tc>
          <w:tcPr>
            <w:tcW w:w="992" w:type="dxa"/>
            <w:tcBorders>
              <w:top w:val="single" w:sz="4" w:space="0" w:color="auto"/>
            </w:tcBorders>
          </w:tcPr>
          <w:p w14:paraId="797011BC" w14:textId="77777777"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t>Existing</w:t>
            </w:r>
          </w:p>
        </w:tc>
        <w:tc>
          <w:tcPr>
            <w:tcW w:w="8222" w:type="dxa"/>
            <w:tcBorders>
              <w:top w:val="single" w:sz="4" w:space="0" w:color="auto"/>
            </w:tcBorders>
          </w:tcPr>
          <w:p w14:paraId="5B654A36" w14:textId="77777777" w:rsidR="00763B47" w:rsidRPr="000846BE" w:rsidRDefault="00763B47" w:rsidP="00A0342F">
            <w:pPr>
              <w:numPr>
                <w:ilvl w:val="0"/>
                <w:numId w:val="32"/>
              </w:numPr>
              <w:spacing w:line="360" w:lineRule="auto"/>
              <w:ind w:left="141" w:hanging="141"/>
              <w:contextualSpacing/>
              <w:jc w:val="left"/>
              <w:rPr>
                <w:rFonts w:asciiTheme="majorBidi" w:hAnsiTheme="majorBidi" w:cstheme="majorBidi"/>
                <w:sz w:val="22"/>
                <w:szCs w:val="22"/>
                <w:lang w:val="en-GB"/>
              </w:rPr>
            </w:pPr>
            <w:r w:rsidRPr="000846BE">
              <w:rPr>
                <w:rFonts w:asciiTheme="majorBidi" w:hAnsiTheme="majorBidi" w:cstheme="majorBidi"/>
                <w:sz w:val="22"/>
                <w:szCs w:val="22"/>
                <w:lang w:val="en-GB"/>
              </w:rPr>
              <w:t>Lack of database for the available green materials in Egypt and their suppliers.</w:t>
            </w:r>
          </w:p>
          <w:p w14:paraId="57DCEFA1" w14:textId="77777777" w:rsidR="00763B47" w:rsidRPr="000846BE" w:rsidRDefault="00763B47" w:rsidP="00A0342F">
            <w:pPr>
              <w:numPr>
                <w:ilvl w:val="0"/>
                <w:numId w:val="32"/>
              </w:numPr>
              <w:spacing w:line="360" w:lineRule="auto"/>
              <w:ind w:left="141" w:hanging="141"/>
              <w:contextualSpacing/>
              <w:jc w:val="left"/>
              <w:rPr>
                <w:rFonts w:asciiTheme="majorBidi" w:hAnsiTheme="majorBidi" w:cstheme="majorBidi"/>
                <w:sz w:val="22"/>
                <w:szCs w:val="22"/>
                <w:lang w:val="en-GB"/>
              </w:rPr>
            </w:pPr>
            <w:r w:rsidRPr="000846BE">
              <w:rPr>
                <w:rFonts w:asciiTheme="majorBidi" w:hAnsiTheme="majorBidi" w:cstheme="majorBidi"/>
                <w:sz w:val="22"/>
                <w:szCs w:val="22"/>
                <w:lang w:val="en-GB"/>
              </w:rPr>
              <w:t>Lack of green materials certification in Egypt using national or international standards.</w:t>
            </w:r>
          </w:p>
          <w:p w14:paraId="51E1D08C" w14:textId="77777777" w:rsidR="00763B47" w:rsidRPr="000846BE" w:rsidRDefault="00763B47" w:rsidP="00A0342F">
            <w:pPr>
              <w:numPr>
                <w:ilvl w:val="0"/>
                <w:numId w:val="32"/>
              </w:numPr>
              <w:spacing w:line="360" w:lineRule="auto"/>
              <w:ind w:left="141" w:hanging="141"/>
              <w:contextualSpacing/>
              <w:jc w:val="left"/>
              <w:rPr>
                <w:rFonts w:asciiTheme="majorBidi" w:hAnsiTheme="majorBidi" w:cstheme="majorBidi"/>
                <w:sz w:val="22"/>
                <w:szCs w:val="22"/>
                <w:lang w:val="en-GB"/>
              </w:rPr>
            </w:pPr>
            <w:r w:rsidRPr="000846BE">
              <w:rPr>
                <w:rFonts w:asciiTheme="majorBidi" w:hAnsiTheme="majorBidi" w:cstheme="majorBidi"/>
                <w:sz w:val="22"/>
                <w:szCs w:val="22"/>
                <w:lang w:val="en-GB"/>
              </w:rPr>
              <w:t>Lack of specification which ensures that the renewable materials should be obtained from a source which is rapidly renewable by specifying a time frame.</w:t>
            </w:r>
          </w:p>
          <w:p w14:paraId="5F0A7BA0" w14:textId="77777777" w:rsidR="00763B47" w:rsidRPr="000846BE" w:rsidRDefault="00763B47" w:rsidP="00A0342F">
            <w:pPr>
              <w:numPr>
                <w:ilvl w:val="0"/>
                <w:numId w:val="32"/>
              </w:numPr>
              <w:spacing w:line="360" w:lineRule="auto"/>
              <w:ind w:left="141" w:hanging="141"/>
              <w:contextualSpacing/>
              <w:jc w:val="left"/>
              <w:rPr>
                <w:rFonts w:asciiTheme="majorBidi" w:hAnsiTheme="majorBidi" w:cstheme="majorBidi"/>
                <w:sz w:val="22"/>
                <w:szCs w:val="22"/>
                <w:lang w:val="en-GB"/>
              </w:rPr>
            </w:pPr>
            <w:r w:rsidRPr="000846BE">
              <w:rPr>
                <w:rFonts w:asciiTheme="majorBidi" w:hAnsiTheme="majorBidi" w:cstheme="majorBidi"/>
                <w:sz w:val="22"/>
                <w:szCs w:val="22"/>
                <w:lang w:val="en-GB"/>
              </w:rPr>
              <w:t>For materials manufactured using renewable energy, it is not effectively applied due to high initial costs of renewable energy.</w:t>
            </w:r>
          </w:p>
        </w:tc>
        <w:tc>
          <w:tcPr>
            <w:tcW w:w="2268" w:type="dxa"/>
            <w:tcBorders>
              <w:top w:val="single" w:sz="4" w:space="0" w:color="auto"/>
            </w:tcBorders>
          </w:tcPr>
          <w:p w14:paraId="30359120" w14:textId="1E3EF3A1"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{"citationItems":[{"id":"ITEM-1","itemData":{"ISBN":"0020114117","author":[{"dropping-particle":"","family":"Eldeeb","given":"Sally","non-dropping-particle":"","parse-names":false,"suffix":""}],"container-title":"International Conference on Architecture, Civil, Urban and Environmental Engineering (ICACUEE 2013)","id":"ITEM-1","issued":{"date-parts":[["2013"]]},"publisher":"World Academy of Science, Engineering and Technology","publisher-place":"Venice","title":"Environmental Performance Of Construction Materials – An Appraisal Of Sustainability Assessment Rating Systems","type":"paper-conference"},"uris":["http://www.mendeley.com/documents/?uuid=d54308a3-7afe-4234-8c81-371b94610bda"]}],"mendeley":{"formattedCitation":"(Eldeeb, 2013)","plainTextFormattedCitation":"(Eldeeb, 2013)","previouslyFormattedCitation":"(Eldeeb, 2013)"},"properties":{"noteIndex":0},"schema":"https://github.com/citation-style-language/schema/raw/master/csl-citation.json"}</w:instrText>
            </w:r>
            <w:r w:rsidRPr="000846BE">
              <w:rPr>
                <w:rFonts w:asciiTheme="majorBidi" w:hAnsiTheme="majorBidi" w:cstheme="majorBidi"/>
                <w:sz w:val="22"/>
                <w:szCs w:val="22"/>
              </w:rPr>
              <w:fldChar w:fldCharType="separate"/>
            </w:r>
            <w:r w:rsidRPr="007E4F8D">
              <w:rPr>
                <w:rFonts w:asciiTheme="majorBidi" w:hAnsiTheme="majorBidi" w:cstheme="majorBidi"/>
                <w:noProof/>
                <w:sz w:val="22"/>
                <w:szCs w:val="22"/>
                <w:lang w:val="en-GB"/>
              </w:rPr>
              <w:t>(Eldeeb, 2013)</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w:t>
            </w:r>
          </w:p>
          <w:p w14:paraId="120D56F6" w14:textId="5B621D6B"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{"citationItems":[{"id":"ITEM-1","itemData":{"author":[{"dropping-particle":"","family":"Ismail","given":"Ayman M.","non-dropping-particle":"","parse-names":false,"suffix":""},{"dropping-particle":"","family":"Abo Elela","given":"Maged M.","non-dropping-particle":"","parse-names":false,"suffix":""},{"dropping-particle":"","family":"Ahmed","given":"Eman B.","non-dropping-particle":"","parse-names":false,"suffix":""}],"container-title":"Researcher","id":"ITEM-1","issue":"9","issued":{"date-parts":[["2015"]]},"page":"72-82","title":"Localized Green Building Standards: The Anti-Globalization Thesis","type":"article-journal","volume":"7"},"uris":["http://www.mendeley.com/documents/?uuid=410a2e7b-1817-4bb4-a948-bb423935f098"]}],"mendeley":{"formattedCitation":"(Ismail et al., 2015)","plainTextFormattedCitation":"(Ismail et al., 2015)","previouslyFormattedCitation":"(Ismail et al., 2015)"},"properties":{"noteIndex":0},"schema":"https://github.com/citation-style-language/schema/raw/master/csl-citation.json"}</w:instrText>
            </w:r>
            <w:r w:rsidRPr="000846BE">
              <w:rPr>
                <w:rFonts w:asciiTheme="majorBidi" w:hAnsiTheme="majorBidi" w:cstheme="majorBidi"/>
                <w:sz w:val="22"/>
                <w:szCs w:val="22"/>
              </w:rPr>
              <w:fldChar w:fldCharType="separate"/>
            </w:r>
            <w:r w:rsidR="007E4F8D" w:rsidRPr="00DB4AA3">
              <w:rPr>
                <w:rFonts w:asciiTheme="majorBidi" w:hAnsiTheme="majorBidi" w:cstheme="majorBidi"/>
                <w:noProof/>
                <w:sz w:val="22"/>
                <w:szCs w:val="22"/>
                <w:lang w:val="en-GB"/>
              </w:rPr>
              <w:t>(Ismail et al., 2015)</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w:t>
            </w:r>
            <w:r w:rsidRPr="000846BE">
              <w:rPr>
                <w:rFonts w:asciiTheme="majorBidi" w:hAnsiTheme="majorBidi" w:cstheme="majorBidi"/>
                <w:sz w:val="22"/>
                <w:szCs w:val="22"/>
                <w:lang w:val="en-GB"/>
              </w:rPr>
              <w:br/>
            </w: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{"citationItems":[{"id":"ITEM-1","itemData":{"author":[{"dropping-particle":"","family":"Housing and Building National Research Center (HBRC)","given":"","non-dropping-particle":"","parse-names":false,"suffix":""}],"id":"ITEM-1","issue":"2","issued":{"date-parts":[["2017"]]},"number-of-pages":"1-69","publisher-place":"Ad Doqi, Giza","title":"The Green Pyramid Rating System - Second Version","type":"report"},"uris":["http://www.mendeley.com/documents/?uuid=a6c5d229-be60-4fd9-9f3c-6a4eec01269b"]}],"mendeley":{"formattedCitation":"(Housing and Building National Research Center (HBRC), 2017)","manualFormatting":"(HBRC, 2017)","plainTextFormattedCitation":"(Housing and Building National Research Center (HBRC), 2017)","previouslyFormattedCitation":"(Housing and Building National Research Center (HBRC), 2017)"},"properties":{"noteIndex":0},"schema":"https://github.com/citation-style-language/schema/raw/master/csl-citation.json"}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(HBRC</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2017)</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{"citationItems":[{"id":"ITEM-1","itemData":{"author":[{"dropping-particle":"","family":"Khalifa","given":"Sara Samy","non-dropping-particle":"","parse-names":false,"suffix":""},{"dropping-particle":"","family":"Abdelkader","given":"Morad","non-dropping-particle":"","parse-names":false,"suffix":""},{"dropping-particle":"","family":"Eissa","given":"Abeer Mostafa","non-dropping-particle":"","parse-names":false,"suffix":""},{"dropping-particle":"","family":"Hamdy","given":"Ahmad M.","non-dropping-particle":"","parse-names":false,"suffix":""}],"container-title":"The 4th NZAAR International Event Series on Natural and Built Environment, Cities, Sustainability and Advanced Engineering","id":"ITEM-1","issued":{"date-parts":[["2018"]]},"page":"120-128","publisher":"New Zealand Academy of Applied Research Ltd","publisher-place":"Kuala Lumpur","title":"Obstacles of Application of Green Pyramid Rating System (GPRS) on Local Projects in Egypt","type":"paper-conference"},"uris":["http://www.mendeley.com/documents/?uuid=4cfd546e-9f3b-4446-8fd3-a69de1d3a49e"]}],"mendeley":{"formattedCitation":"(Khalifa et al., 2018)","plainTextFormattedCitation":"(Khalifa et al., 2018)","previouslyFormattedCitation":"(Khalifa et al., 2018)"},"properties":{"noteIndex":0},"schema":"https://github.com/citation-style-language/schema/raw/master/csl-citation.json"}</w:instrText>
            </w:r>
            <w:r w:rsidRPr="000846BE">
              <w:rPr>
                <w:rFonts w:asciiTheme="majorBidi" w:hAnsiTheme="majorBidi" w:cstheme="majorBidi"/>
                <w:sz w:val="22"/>
                <w:szCs w:val="22"/>
              </w:rPr>
              <w:fldChar w:fldCharType="separate"/>
            </w:r>
            <w:r w:rsidR="007E4F8D" w:rsidRPr="00DB4AA3">
              <w:rPr>
                <w:rFonts w:asciiTheme="majorBidi" w:hAnsiTheme="majorBidi" w:cstheme="majorBidi"/>
                <w:noProof/>
                <w:sz w:val="22"/>
                <w:szCs w:val="22"/>
                <w:lang w:val="en-GB"/>
              </w:rPr>
              <w:t>(Khalifa et al., 2018)</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{"citationItems":[{"id":"ITEM-1","itemData":{"ISBN":"9789774905001","author":[{"dropping-particle":"","family":"Ismaeel","given":"Walaa S E","non-dropping-particle":"","parse-names":false,"suffix":""},{"dropping-particle":"","family":"Rashed","given":"Ahmed","non-dropping-particle":"","parse-names":false,"suffix":""},{"dropping-particle":"","family":"Toulibah","given":"","non-dropping-particle":"","parse-names":false,"suffix":""}],"container-title":"Green Heritage Conference","editor":[{"dropping-particle":"","family":"Adel","given":"Marwa","non-dropping-particle":"","parse-names":false,"suffix":""},{"dropping-particle":"","family":"Maghraby","given":"Radwa","non-dropping-particle":"El","parse-names":false,"suffix":""},{"dropping-particle":"","family":"Fathi","given":"Salma","non-dropping-particle":"","parse-names":false,"suffix":""}],"id":"ITEM-1","issue":"March","issued":{"date-parts":[["2018","3"]]},"page":"L-LXII","publisher":"Elain Publishing House","publisher-place":"ElSherouk City, Cairo, Egypt","title":"To Be or Not to Be: The National Green Pyramid Rating System","type":"paper-conference"},"uris":["http://www.mendeley.com/documents/?uuid=bf45b0c0-14d8-4db4-8d89-4d617e790db8"]}],"mendeley":{"formattedCitation":"(Ismaeel et al., 2018)","plainTextFormattedCitation":"(Ismaeel et al., 2018)","previouslyFormattedCitation":"(Ismaeel et al., 2018)"},"properties":{"noteIndex":0},"schema":"https://github.com/citation-style-language/schema/raw/master/csl-citation.json"}</w:instrText>
            </w:r>
            <w:r w:rsidRPr="000846BE">
              <w:rPr>
                <w:rFonts w:asciiTheme="majorBidi" w:hAnsiTheme="majorBidi" w:cstheme="majorBidi"/>
                <w:sz w:val="22"/>
                <w:szCs w:val="22"/>
              </w:rPr>
              <w:fldChar w:fldCharType="separate"/>
            </w:r>
            <w:r w:rsidR="007E4F8D" w:rsidRPr="00DB4AA3">
              <w:rPr>
                <w:rFonts w:asciiTheme="majorBidi" w:hAnsiTheme="majorBidi" w:cstheme="majorBidi"/>
                <w:noProof/>
                <w:sz w:val="22"/>
                <w:szCs w:val="22"/>
                <w:lang w:val="en-GB"/>
              </w:rPr>
              <w:t>(Ismaeel et al., 2018)</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{"citationItems":[{"id":"ITEM-1","itemData":{"abstract":"The construction industry plays a crucial role in the social and economic development of countries. Recently, the Egyptian government is exerting tremendous efforts in implementing major construction projects as one of the main goals of Egypt’s sustainable development strategy (SDS) 2030. However, construction projects are associated with materials waste generated at different stages. Several studies showed that materials procurement, a critical interface between design and construction stages, contributes up to 50% of total project cost and 11.2% of materials waste. In addition, materials waste has significant negative impacts on the environment. As a result, different organizations worldwide have developed green building rating systems (GBRS) to reduce both materials waste and total project cost necessary to achieve sustainability. The aim of this paper is to explore the following: (1) current problems facing the Egyptian construction industry; (2) construction materials waste in the Egyptian construction industry; and (3) the role of the GBRS in minimizing materials waste and its financial impact on the total project cost. Particularly, the “Materials and Resources” category of Egypt’s Green Pyramid Rating System (GPRS) is investigated and analysed to assess its effectiveness and robustness as an approach to reduce materials waste during the procurement process. Limitations of “Materials and Resources” category are indicated and recommendations for its improvement are stated.","author":[{"dropping-particle":"","family":"Daoud","given":"Ahmed Osama","non-dropping-particle":"","parse-names":false,"suffix":""},{"dropping-particle":"","family":"Othman","given":"Ayman Ahmed Ezzat","non-dropping-particle":"","parse-names":false,"suffix":""},{"dropping-particle":"","family":"Robinson","given":"Herbert","non-dropping-particle":"","parse-names":false,"suffix":""},{"dropping-particle":"","family":"Bayyati","given":"Ali","non-dropping-particle":"","parse-names":false,"suffix":""}],"container-title":"Green Hiritage Conference: Chanage-Change-Challenge","editor":[{"dropping-particle":"","family":"Adel","given":"Marwa","non-dropping-particle":"","parse-names":false,"suffix":""},{"dropping-particle":"","family":"Maghraby","given":"Radwa","non-dropping-particle":"El","parse-names":false,"suffix":""},{"dropping-particle":"","family":"Fathi","given":"Salma","non-dropping-particle":"","parse-names":false,"suffix":""}],"id":"ITEM-1","issued":{"date-parts":[["2018","3"]]},"page":"575-591","publisher":"Elain Publishing House","publisher-place":"ElSherouk City, Cairo, Egypt","title":"Towards a Green Materials Procurement : Investigating the Egyptian Green Pyramid Rating System","type":"paper-conference"},"uris":["http://www.mendeley.com/documents/?uuid=ea34b9a5-e28f-4f19-ba02-6aa581c8f4a0"]}],"mendeley":{"formattedCitation":"(Daoud et al., 2018)","manualFormatting":"(Daoud et al., 2018a)","plainTextFormattedCitation":"(Daoud et al., 2018)","previouslyFormattedCitation":"(Daoud et al., 2018)"},"properties":{"noteIndex":0},"schema":"https://github.com/citation-style-language/schema/raw/master/csl-citation.json"}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(Daoud et al.</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2018a)</w:t>
            </w:r>
            <w:r w:rsidRPr="000846BE">
              <w:rPr>
                <w:rFonts w:asciiTheme="majorBidi" w:hAnsiTheme="majorBidi" w:cstheme="majorBidi"/>
                <w:sz w:val="22"/>
                <w:szCs w:val="22"/>
              </w:rPr>
              <w:fldChar w:fldCharType="end"/>
            </w:r>
          </w:p>
        </w:tc>
      </w:tr>
      <w:tr w:rsidR="00763B47" w:rsidRPr="00A00E91" w14:paraId="46D3AF14" w14:textId="77777777" w:rsidTr="00A0342F">
        <w:trPr>
          <w:trHeight w:val="1342"/>
        </w:trPr>
        <w:tc>
          <w:tcPr>
            <w:tcW w:w="2405" w:type="dxa"/>
          </w:tcPr>
          <w:p w14:paraId="0A75F8C0" w14:textId="4297084C"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t xml:space="preserve">Regionally </w:t>
            </w:r>
            <w:r w:rsidR="00B02CAE">
              <w:rPr>
                <w:rFonts w:asciiTheme="majorBidi" w:hAnsiTheme="majorBidi" w:cstheme="majorBidi"/>
                <w:sz w:val="22"/>
                <w:szCs w:val="22"/>
                <w:lang w:val="en-GB"/>
              </w:rPr>
              <w:t>p</w:t>
            </w:r>
            <w:r w:rsidRPr="000846BE">
              <w:rPr>
                <w:rFonts w:asciiTheme="majorBidi" w:hAnsiTheme="majorBidi" w:cstheme="majorBidi"/>
                <w:sz w:val="22"/>
                <w:szCs w:val="22"/>
                <w:lang w:val="en-GB"/>
              </w:rPr>
              <w:t xml:space="preserve">rocured </w:t>
            </w:r>
            <w:r w:rsidR="00B02CAE">
              <w:rPr>
                <w:rFonts w:asciiTheme="majorBidi" w:hAnsiTheme="majorBidi" w:cstheme="majorBidi"/>
                <w:sz w:val="22"/>
                <w:szCs w:val="22"/>
                <w:lang w:val="en-GB"/>
              </w:rPr>
              <w:t>m</w:t>
            </w:r>
            <w:r w:rsidRPr="000846BE">
              <w:rPr>
                <w:rFonts w:asciiTheme="majorBidi" w:hAnsiTheme="majorBidi" w:cstheme="majorBidi"/>
                <w:sz w:val="22"/>
                <w:szCs w:val="22"/>
                <w:lang w:val="en-GB"/>
              </w:rPr>
              <w:t xml:space="preserve">aterials and </w:t>
            </w:r>
            <w:r w:rsidR="00B02CAE">
              <w:rPr>
                <w:rFonts w:asciiTheme="majorBidi" w:hAnsiTheme="majorBidi" w:cstheme="majorBidi"/>
                <w:sz w:val="22"/>
                <w:szCs w:val="22"/>
                <w:lang w:val="en-GB"/>
              </w:rPr>
              <w:t>p</w:t>
            </w:r>
            <w:r w:rsidRPr="000846BE">
              <w:rPr>
                <w:rFonts w:asciiTheme="majorBidi" w:hAnsiTheme="majorBidi" w:cstheme="majorBidi"/>
                <w:sz w:val="22"/>
                <w:szCs w:val="22"/>
                <w:lang w:val="en-GB"/>
              </w:rPr>
              <w:t>roducts.</w:t>
            </w:r>
          </w:p>
        </w:tc>
        <w:tc>
          <w:tcPr>
            <w:tcW w:w="992" w:type="dxa"/>
          </w:tcPr>
          <w:p w14:paraId="6AD49C17" w14:textId="77777777"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t>Existing</w:t>
            </w:r>
          </w:p>
        </w:tc>
        <w:tc>
          <w:tcPr>
            <w:tcW w:w="8222" w:type="dxa"/>
          </w:tcPr>
          <w:p w14:paraId="7974FCFD" w14:textId="77777777" w:rsidR="00763B47" w:rsidRPr="000846BE" w:rsidRDefault="00763B47" w:rsidP="00A0342F">
            <w:pPr>
              <w:numPr>
                <w:ilvl w:val="0"/>
                <w:numId w:val="32"/>
              </w:numPr>
              <w:spacing w:line="360" w:lineRule="auto"/>
              <w:ind w:left="141" w:hanging="141"/>
              <w:contextualSpacing/>
              <w:jc w:val="left"/>
              <w:rPr>
                <w:rFonts w:asciiTheme="majorBidi" w:hAnsiTheme="majorBidi" w:cstheme="majorBidi"/>
                <w:sz w:val="22"/>
                <w:szCs w:val="22"/>
                <w:lang w:val="en-GB"/>
              </w:rPr>
            </w:pPr>
            <w:r w:rsidRPr="000846BE">
              <w:rPr>
                <w:rFonts w:asciiTheme="majorBidi" w:hAnsiTheme="majorBidi" w:cstheme="majorBidi"/>
                <w:sz w:val="22"/>
                <w:szCs w:val="22"/>
                <w:lang w:val="en-GB"/>
              </w:rPr>
              <w:t>The maximum distance between the construction site and the suppliers needs to be minimised below the specified distance 500 km. This distance is specified as 160 km in the LEED. This is necessary to minimise the negative impacts of materials’ transportation on the environment.</w:t>
            </w:r>
          </w:p>
        </w:tc>
        <w:tc>
          <w:tcPr>
            <w:tcW w:w="2268" w:type="dxa"/>
          </w:tcPr>
          <w:p w14:paraId="181A5FA3" w14:textId="7E33D282"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{"citationItems":[{"id":"ITEM-1","itemData":{"ISBN":"0020114117","author":[{"dropping-particle":"","family":"Eldeeb","given":"Sally","non-dropping-particle":"","parse-names":false,"suffix":""}],"container-title":"International Conference on Architecture, Civil, Urban and Environmental Engineering (ICACUEE 2013)","id":"ITEM-1","issued":{"date-parts":[["2013"]]},"publisher":"World Academy of Science, Engineering and Technology","publisher-place":"Venice","title":"Environmental Performance Of Construction Materials – An Appraisal Of Sustainability Assessment Rating Systems","type":"paper-conference"},"uris":["http://www.mendeley.com/documents/?uuid=d54308a3-7afe-4234-8c81-371b94610bda"]}],"mendeley":{"formattedCitation":"(Eldeeb, 2013)","plainTextFormattedCitation":"(Eldeeb, 2013)","previouslyFormattedCitation":"(Eldeeb, 2013)"},"properties":{"noteIndex":0},"schema":"https://github.com/citation-style-language/schema/raw/master/csl-citation.json"}</w:instrText>
            </w:r>
            <w:r w:rsidRPr="000846BE">
              <w:rPr>
                <w:rFonts w:asciiTheme="majorBidi" w:hAnsiTheme="majorBidi" w:cstheme="majorBidi"/>
                <w:sz w:val="22"/>
                <w:szCs w:val="22"/>
              </w:rPr>
              <w:fldChar w:fldCharType="separate"/>
            </w:r>
            <w:r w:rsidRPr="007E4F8D">
              <w:rPr>
                <w:rFonts w:asciiTheme="majorBidi" w:hAnsiTheme="majorBidi" w:cstheme="majorBidi"/>
                <w:noProof/>
                <w:sz w:val="22"/>
                <w:szCs w:val="22"/>
                <w:lang w:val="en-GB"/>
              </w:rPr>
              <w:t>(Eldeeb, 2013)</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lang w:val="en-GB"/>
              </w:rPr>
              <w:br/>
            </w: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{"citationItems":[{"id":"ITEM-1","itemData":{"author":[{"dropping-particle":"","family":"Housing and Building National Research Center (HBRC)","given":"","non-dropping-particle":"","parse-names":false,"suffix":""}],"id":"ITEM-1","issue":"2","issued":{"date-parts":[["2017"]]},"number-of-pages":"1-69","publisher-place":"Ad Doqi, Giza","title":"The Green Pyramid Rating System - Second Version","type":"report"},"uris":["http://www.mendeley.com/documents/?uuid=a6c5d229-be60-4fd9-9f3c-6a4eec01269b"]}],"mendeley":{"formattedCitation":"(Housing and Building National Research Center (HBRC), 2017)","manualFormatting":"(HBRC, 2017)","plainTextFormattedCitation":"(Housing and Building National Research Center (HBRC), 2017)","previouslyFormattedCitation":"(Housing and Building National Research Center (HBRC), 2017)"},"properties":{"noteIndex":0},"schema":"https://github.com/citation-style-language/schema/raw/master/csl-citation.json"}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(HBRC</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2017)</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lang w:val="en-GB"/>
              </w:rPr>
              <w:br/>
            </w: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{"citationItems":[{"id":"ITEM-1","itemData":{"author":[{"dropping-particle":"","family":"U.S. Green Building Council (USGBC)","given":"","non-dropping-particle":"","parse-names":false,"suffix":""}],"id":"ITEM-1","issued":{"date-parts":[["2019"]]},"publisher-place":"Washington, D.C","title":"LEED v4 for Building Design and Construction","type":"report"},"uris":["http://www.mendeley.com/documents/?uuid=01572fff-8c6f-412d-a140-ff2292c97b80"]}],"mendeley":{"formattedCitation":"(U.S. Green Building Council (USGBC), 2019)","manualFormatting":"(USGBC, 2019)","plainTextFormattedCitation":"(U.S. Green Building Council (USGBC), 2019)","previouslyFormattedCitation":"(U.S. Green Building Council (USGBC), 2019)"},"properties":{"noteIndex":0},"schema":"https://github.com/citation-style-language/schema/raw/master/csl-citation.json"}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(USGBC</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2019)</w:t>
            </w:r>
            <w:r w:rsidRPr="000846BE">
              <w:rPr>
                <w:rFonts w:asciiTheme="majorBidi" w:hAnsiTheme="majorBidi" w:cstheme="majorBidi"/>
                <w:sz w:val="22"/>
                <w:szCs w:val="22"/>
              </w:rPr>
              <w:fldChar w:fldCharType="end"/>
            </w:r>
          </w:p>
        </w:tc>
      </w:tr>
      <w:tr w:rsidR="00763B47" w:rsidRPr="00A00E91" w14:paraId="0B8635A7" w14:textId="77777777" w:rsidTr="00A0342F">
        <w:tc>
          <w:tcPr>
            <w:tcW w:w="2405" w:type="dxa"/>
          </w:tcPr>
          <w:p w14:paraId="41F07B51" w14:textId="60F11AFF"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t xml:space="preserve">Reduction of </w:t>
            </w:r>
            <w:r w:rsidR="00B02CAE">
              <w:rPr>
                <w:rFonts w:asciiTheme="majorBidi" w:hAnsiTheme="majorBidi" w:cstheme="majorBidi"/>
                <w:sz w:val="22"/>
                <w:szCs w:val="22"/>
                <w:lang w:val="en-GB"/>
              </w:rPr>
              <w:t>o</w:t>
            </w:r>
            <w:r w:rsidRPr="000846BE">
              <w:rPr>
                <w:rFonts w:asciiTheme="majorBidi" w:hAnsiTheme="majorBidi" w:cstheme="majorBidi"/>
                <w:sz w:val="22"/>
                <w:szCs w:val="22"/>
                <w:lang w:val="en-GB"/>
              </w:rPr>
              <w:t xml:space="preserve">verall </w:t>
            </w:r>
            <w:r w:rsidR="00B02CAE">
              <w:rPr>
                <w:rFonts w:asciiTheme="majorBidi" w:hAnsiTheme="majorBidi" w:cstheme="majorBidi"/>
                <w:sz w:val="22"/>
                <w:szCs w:val="22"/>
                <w:lang w:val="en-GB"/>
              </w:rPr>
              <w:t>m</w:t>
            </w:r>
            <w:r w:rsidRPr="000846BE">
              <w:rPr>
                <w:rFonts w:asciiTheme="majorBidi" w:hAnsiTheme="majorBidi" w:cstheme="majorBidi"/>
                <w:sz w:val="22"/>
                <w:szCs w:val="22"/>
                <w:lang w:val="en-GB"/>
              </w:rPr>
              <w:t xml:space="preserve">aterial </w:t>
            </w:r>
            <w:r w:rsidR="00B02CAE">
              <w:rPr>
                <w:rFonts w:asciiTheme="majorBidi" w:hAnsiTheme="majorBidi" w:cstheme="majorBidi"/>
                <w:sz w:val="22"/>
                <w:szCs w:val="22"/>
                <w:lang w:val="en-GB"/>
              </w:rPr>
              <w:t>u</w:t>
            </w:r>
            <w:r w:rsidRPr="000846BE">
              <w:rPr>
                <w:rFonts w:asciiTheme="majorBidi" w:hAnsiTheme="majorBidi" w:cstheme="majorBidi"/>
                <w:sz w:val="22"/>
                <w:szCs w:val="22"/>
                <w:lang w:val="en-GB"/>
              </w:rPr>
              <w:t>se.</w:t>
            </w:r>
          </w:p>
        </w:tc>
        <w:tc>
          <w:tcPr>
            <w:tcW w:w="992" w:type="dxa"/>
          </w:tcPr>
          <w:p w14:paraId="41B79F3A" w14:textId="77777777"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t>Existing</w:t>
            </w:r>
          </w:p>
        </w:tc>
        <w:tc>
          <w:tcPr>
            <w:tcW w:w="8222" w:type="dxa"/>
          </w:tcPr>
          <w:p w14:paraId="3C6454E1" w14:textId="77777777" w:rsidR="00763B47" w:rsidRPr="000846BE" w:rsidRDefault="00763B47" w:rsidP="00A0342F">
            <w:pPr>
              <w:numPr>
                <w:ilvl w:val="0"/>
                <w:numId w:val="32"/>
              </w:numPr>
              <w:spacing w:line="360" w:lineRule="auto"/>
              <w:ind w:left="141" w:hanging="141"/>
              <w:contextualSpacing/>
              <w:jc w:val="left"/>
              <w:rPr>
                <w:rFonts w:asciiTheme="majorBidi" w:hAnsiTheme="majorBidi" w:cstheme="majorBidi"/>
                <w:sz w:val="22"/>
                <w:szCs w:val="22"/>
                <w:lang w:val="en-GB"/>
              </w:rPr>
            </w:pPr>
            <w:r w:rsidRPr="000846BE">
              <w:rPr>
                <w:rFonts w:asciiTheme="majorBidi" w:hAnsiTheme="majorBidi" w:cstheme="majorBidi"/>
                <w:sz w:val="22"/>
                <w:szCs w:val="22"/>
                <w:lang w:val="en-GB"/>
              </w:rPr>
              <w:t>Not effectively applied due to lack of contractor’s awareness.</w:t>
            </w:r>
          </w:p>
        </w:tc>
        <w:tc>
          <w:tcPr>
            <w:tcW w:w="2268" w:type="dxa"/>
          </w:tcPr>
          <w:p w14:paraId="70190949" w14:textId="1513CD9F"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{"citationItems":[{"id":"ITEM-1","itemData":{"author":[{"dropping-particle":"","family":"Housing and Building National Research Center (HBRC)","given":"","non-dropping-particle":"","parse-names":false,"suffix":""}],"id":"ITEM-1","issue":"2","issued":{"date-parts":[["2017"]]},"number-of-pages":"1-69","publisher-place":"Ad Doqi, Giza","title":"The Green Pyramid Rating System - Second Version","type":"report"},"uris":["http://www.mendeley.com/documents/?uuid=a6c5d229-be60-4fd9-9f3c-6a4eec01269b"]}],"mendeley":{"formattedCitation":"(Housing and Building National Research Center (HBRC), 2017)","manualFormatting":"(HBRC, 2017)","plainTextFormattedCitation":"(Housing and Building National Research Center (HBRC), 2017)","previouslyFormattedCitation":"(Housing and Building National Research Center (HBRC), 2017)"},"properties":{"noteIndex":0},"schema":"https://github.com/citation-style-language/schema/raw/master/csl-citation.json"}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(HBRC</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2017)</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{"citationItems":[{"id":"ITEM-1","itemData":{"author":[{"dropping-particle":"","family":"Khalifa","given":"Sara Samy","non-dropping-particle":"","parse-names":false,"suffix":""},{"dropping-particle":"","family":"Abdelkader","given":"Morad","non-dropping-particle":"","parse-names":false,"suffix":""},{"dropping-particle":"","family":"Eissa","given":"Abeer Mostafa","non-dropping-particle":"","parse-names":false,"suffix":""},{"dropping-particle":"","family":"Hamdy","given":"Ahmad M.","non-dropping-particle":"","parse-names":false,"suffix":""}],"container-title":"The 4th NZAAR International Event Series on Natural and Built Environment, Cities, Sustainability and Advanced Engineering","id":"ITEM-1","issued":{"date-parts":[["2018"]]},"page":"120-128","publisher":"New Zealand Academy of Applied Research Ltd","publisher-place":"Kuala Lumpur","title":"Obstacles of Application of Green Pyramid Rating System (GPRS) on Local Projects in Egypt","type":"paper-conference"},"uris":["http://www.mendeley.com/documents/?uuid=4cfd546e-9f3b-4446-8fd3-a69de1d3a49e"]}],"mendeley":{"formattedCitation":"(Khalifa et al., 2018)","manualFormatting":"(Khalifa et al., 2018)","plainTextFormattedCitation":"(Khalifa et al., 2018)","previouslyFormattedCitation":"(Khalifa et al., 2018)"},"properties":{"noteIndex":0},"schema":"https://github.com/citation-style-language/schema/raw/master/csl-citation.json"}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(Khalifa et al.</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2018)</w:t>
            </w:r>
            <w:r w:rsidRPr="000846BE">
              <w:rPr>
                <w:rFonts w:asciiTheme="majorBidi" w:hAnsiTheme="majorBidi" w:cstheme="majorBidi"/>
                <w:sz w:val="22"/>
                <w:szCs w:val="22"/>
              </w:rPr>
              <w:fldChar w:fldCharType="end"/>
            </w:r>
          </w:p>
        </w:tc>
      </w:tr>
      <w:tr w:rsidR="00763B47" w:rsidRPr="00A00E91" w14:paraId="59A8F91B" w14:textId="77777777" w:rsidTr="00A0342F">
        <w:tc>
          <w:tcPr>
            <w:tcW w:w="2405" w:type="dxa"/>
          </w:tcPr>
          <w:p w14:paraId="36C4EC29" w14:textId="5E5D3A11"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t xml:space="preserve">Alternative </w:t>
            </w:r>
            <w:r w:rsidR="00B02CAE">
              <w:rPr>
                <w:rFonts w:asciiTheme="majorBidi" w:hAnsiTheme="majorBidi" w:cstheme="majorBidi"/>
                <w:sz w:val="22"/>
                <w:szCs w:val="22"/>
                <w:lang w:val="en-GB"/>
              </w:rPr>
              <w:t>b</w:t>
            </w:r>
            <w:r w:rsidRPr="000846BE">
              <w:rPr>
                <w:rFonts w:asciiTheme="majorBidi" w:hAnsiTheme="majorBidi" w:cstheme="majorBidi"/>
                <w:sz w:val="22"/>
                <w:szCs w:val="22"/>
                <w:lang w:val="en-GB"/>
              </w:rPr>
              <w:t xml:space="preserve">uilding </w:t>
            </w:r>
            <w:r w:rsidR="00B02CAE">
              <w:rPr>
                <w:rFonts w:asciiTheme="majorBidi" w:hAnsiTheme="majorBidi" w:cstheme="majorBidi"/>
                <w:sz w:val="22"/>
                <w:szCs w:val="22"/>
                <w:lang w:val="en-GB"/>
              </w:rPr>
              <w:t>p</w:t>
            </w:r>
            <w:r w:rsidRPr="000846BE">
              <w:rPr>
                <w:rFonts w:asciiTheme="majorBidi" w:hAnsiTheme="majorBidi" w:cstheme="majorBidi"/>
                <w:sz w:val="22"/>
                <w:szCs w:val="22"/>
                <w:lang w:val="en-GB"/>
              </w:rPr>
              <w:t xml:space="preserve">refabricated </w:t>
            </w:r>
            <w:r w:rsidR="00B02CAE">
              <w:rPr>
                <w:rFonts w:asciiTheme="majorBidi" w:hAnsiTheme="majorBidi" w:cstheme="majorBidi"/>
                <w:sz w:val="22"/>
                <w:szCs w:val="22"/>
                <w:lang w:val="en-GB"/>
              </w:rPr>
              <w:t>e</w:t>
            </w:r>
            <w:r w:rsidRPr="000846BE">
              <w:rPr>
                <w:rFonts w:asciiTheme="majorBidi" w:hAnsiTheme="majorBidi" w:cstheme="majorBidi"/>
                <w:sz w:val="22"/>
                <w:szCs w:val="22"/>
                <w:lang w:val="en-GB"/>
              </w:rPr>
              <w:t>lements.</w:t>
            </w:r>
          </w:p>
        </w:tc>
        <w:tc>
          <w:tcPr>
            <w:tcW w:w="992" w:type="dxa"/>
          </w:tcPr>
          <w:p w14:paraId="3BA4A5FB" w14:textId="77777777"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t>Existing</w:t>
            </w:r>
          </w:p>
        </w:tc>
        <w:tc>
          <w:tcPr>
            <w:tcW w:w="8222" w:type="dxa"/>
          </w:tcPr>
          <w:p w14:paraId="368053CB" w14:textId="77777777" w:rsidR="00763B47" w:rsidRPr="000846BE" w:rsidRDefault="00763B47" w:rsidP="00A0342F">
            <w:pPr>
              <w:numPr>
                <w:ilvl w:val="0"/>
                <w:numId w:val="32"/>
              </w:numPr>
              <w:spacing w:line="360" w:lineRule="auto"/>
              <w:ind w:left="141" w:hanging="141"/>
              <w:contextualSpacing/>
              <w:jc w:val="left"/>
              <w:rPr>
                <w:rFonts w:asciiTheme="majorBidi" w:hAnsiTheme="majorBidi" w:cstheme="majorBidi"/>
                <w:sz w:val="22"/>
                <w:szCs w:val="22"/>
                <w:lang w:val="en-GB"/>
              </w:rPr>
            </w:pPr>
            <w:r w:rsidRPr="000846BE">
              <w:rPr>
                <w:rFonts w:asciiTheme="majorBidi" w:hAnsiTheme="majorBidi" w:cstheme="majorBidi"/>
                <w:sz w:val="22"/>
                <w:szCs w:val="22"/>
                <w:lang w:val="en-GB"/>
              </w:rPr>
              <w:t>Not effectively applied due to high initial costs of prefabricated elements and lack of highly qualified contractors.</w:t>
            </w:r>
          </w:p>
        </w:tc>
        <w:tc>
          <w:tcPr>
            <w:tcW w:w="2268" w:type="dxa"/>
          </w:tcPr>
          <w:p w14:paraId="741B62C4" w14:textId="1EACD300"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{"citationItems":[{"id":"ITEM-1","itemData":{"author":[{"dropping-particle":"","family":"Housing and Building National Research Center (HBRC)","given":"","non-dropping-particle":"","parse-names":false,"suffix":""}],"id":"ITEM-1","issue":"2","issued":{"date-parts":[["2017"]]},"number-of-pages":"1-69","publisher-place":"Ad Doqi, Giza","title":"The Green Pyramid Rating System - Second Version","type":"report"},"uris":["http://www.mendeley.com/documents/?uuid=a6c5d229-be60-4fd9-9f3c-6a4eec01269b"]}],"mendeley":{"formattedCitation":"(Housing and Building National Research Center (HBRC), 2017)","manualFormatting":"(HBRC, 2017)","plainTextFormattedCitation":"(Housing and Building National Research Center (HBRC), 2017)","previouslyFormattedCitation":"(Housing and Building National Research Center (HBRC), 2017)"},"properties":{"noteIndex":0},"schema":"https://github.com/citation-style-language/schema/raw/master/csl-citation.json"}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(HBRC</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2017)</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{"citationItems":[{"id":"ITEM-1","itemData":{"author":[{"dropping-particle":"","family":"Khalifa","given":"Sara Samy","non-dropping-particle":"","parse-names":false,"suffix":""},{"dropping-particle":"","family":"Abdelkader","given":"Morad","non-dropping-particle":"","parse-names":false,"suffix":""},{"dropping-particle":"","family":"Eissa","given":"Abeer Mostafa","non-dropping-particle":"","parse-names":false,"suffix":""},{"dropping-particle":"","family":"Hamdy","given":"Ahmad M.","non-dropping-particle":"","parse-names":false,"suffix":""}],"container-title":"The 4th NZAAR International Event Series on Natural and Built Environment, Cities, Sustainability and Advanced Engineering","id":"ITEM-1","issued":{"date-parts":[["2018"]]},"page":"120-128","publisher":"New Zealand Academy of Applied Research Ltd","publisher-place":"Kuala Lumpur","title":"Obstacles of Application of Green Pyramid Rating System (GPRS) on Local Projects in Egypt","type":"paper-conference"},"uris":["http://www.mendeley.com/documents/?uuid=4cfd546e-9f3b-4446-8fd3-a69de1d3a49e"]}],"mendeley":{"formattedCitation":"(Khalifa et al., 2018)","manualFormatting":"(Khalifa et al., 2018)","plainTextFormattedCitation":"(Khalifa et al., 2018)","previouslyFormattedCitation":"(Khalifa et al., 2018)"},"properties":{"noteIndex":0},"schema":"https://github.com/citation-style-language/schema/raw/master/csl-citation.json"}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(Khalifa et al.</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2018)</w:t>
            </w:r>
            <w:r w:rsidRPr="000846BE">
              <w:rPr>
                <w:rFonts w:asciiTheme="majorBidi" w:hAnsiTheme="majorBidi" w:cstheme="majorBidi"/>
                <w:sz w:val="22"/>
                <w:szCs w:val="22"/>
              </w:rPr>
              <w:fldChar w:fldCharType="end"/>
            </w:r>
          </w:p>
        </w:tc>
      </w:tr>
      <w:tr w:rsidR="00763B47" w:rsidRPr="00A00E91" w14:paraId="0499C767" w14:textId="77777777" w:rsidTr="005B06C3">
        <w:trPr>
          <w:trHeight w:val="181"/>
        </w:trPr>
        <w:tc>
          <w:tcPr>
            <w:tcW w:w="2405" w:type="dxa"/>
          </w:tcPr>
          <w:p w14:paraId="42695D0C" w14:textId="77223551"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lastRenderedPageBreak/>
              <w:t xml:space="preserve">Environment – </w:t>
            </w:r>
            <w:r w:rsidR="00B02CAE">
              <w:rPr>
                <w:rFonts w:asciiTheme="majorBidi" w:hAnsiTheme="majorBidi" w:cstheme="majorBidi"/>
                <w:sz w:val="22"/>
                <w:szCs w:val="22"/>
                <w:lang w:val="en-GB"/>
              </w:rPr>
              <w:t>f</w:t>
            </w:r>
            <w:r w:rsidRPr="000846BE">
              <w:rPr>
                <w:rFonts w:asciiTheme="majorBidi" w:hAnsiTheme="majorBidi" w:cstheme="majorBidi"/>
                <w:sz w:val="22"/>
                <w:szCs w:val="22"/>
                <w:lang w:val="en-GB"/>
              </w:rPr>
              <w:t xml:space="preserve">riendly, </w:t>
            </w:r>
            <w:proofErr w:type="gramStart"/>
            <w:r w:rsidR="00B02CAE">
              <w:rPr>
                <w:rFonts w:asciiTheme="majorBidi" w:hAnsiTheme="majorBidi" w:cstheme="majorBidi"/>
                <w:sz w:val="22"/>
                <w:szCs w:val="22"/>
                <w:lang w:val="en-GB"/>
              </w:rPr>
              <w:t>s</w:t>
            </w:r>
            <w:r w:rsidRPr="000846BE">
              <w:rPr>
                <w:rFonts w:asciiTheme="majorBidi" w:hAnsiTheme="majorBidi" w:cstheme="majorBidi"/>
                <w:sz w:val="22"/>
                <w:szCs w:val="22"/>
                <w:lang w:val="en-GB"/>
              </w:rPr>
              <w:t>ound</w:t>
            </w:r>
            <w:proofErr w:type="gramEnd"/>
            <w:r w:rsidRPr="000846BE">
              <w:rPr>
                <w:rFonts w:asciiTheme="majorBidi" w:hAnsiTheme="majorBidi" w:cstheme="majorBidi"/>
                <w:sz w:val="22"/>
                <w:szCs w:val="22"/>
                <w:lang w:val="en-GB"/>
              </w:rPr>
              <w:t xml:space="preserve"> and </w:t>
            </w:r>
            <w:r w:rsidR="00B02CAE">
              <w:rPr>
                <w:rFonts w:asciiTheme="majorBidi" w:hAnsiTheme="majorBidi" w:cstheme="majorBidi"/>
                <w:sz w:val="22"/>
                <w:szCs w:val="22"/>
                <w:lang w:val="en-GB"/>
              </w:rPr>
              <w:t>t</w:t>
            </w:r>
            <w:r w:rsidRPr="000846BE">
              <w:rPr>
                <w:rFonts w:asciiTheme="majorBidi" w:hAnsiTheme="majorBidi" w:cstheme="majorBidi"/>
                <w:sz w:val="22"/>
                <w:szCs w:val="22"/>
                <w:lang w:val="en-GB"/>
              </w:rPr>
              <w:t xml:space="preserve">hermal </w:t>
            </w:r>
            <w:r w:rsidR="00B02CAE">
              <w:rPr>
                <w:rFonts w:asciiTheme="majorBidi" w:hAnsiTheme="majorBidi" w:cstheme="majorBidi"/>
                <w:sz w:val="22"/>
                <w:szCs w:val="22"/>
                <w:lang w:val="en-GB"/>
              </w:rPr>
              <w:t>i</w:t>
            </w:r>
            <w:r w:rsidRPr="000846BE">
              <w:rPr>
                <w:rFonts w:asciiTheme="majorBidi" w:hAnsiTheme="majorBidi" w:cstheme="majorBidi"/>
                <w:sz w:val="22"/>
                <w:szCs w:val="22"/>
                <w:lang w:val="en-GB"/>
              </w:rPr>
              <w:t xml:space="preserve">nsulation </w:t>
            </w:r>
            <w:r w:rsidR="00B02CAE">
              <w:rPr>
                <w:rFonts w:asciiTheme="majorBidi" w:hAnsiTheme="majorBidi" w:cstheme="majorBidi"/>
                <w:sz w:val="22"/>
                <w:szCs w:val="22"/>
                <w:lang w:val="en-GB"/>
              </w:rPr>
              <w:t>m</w:t>
            </w:r>
            <w:r w:rsidRPr="000846BE">
              <w:rPr>
                <w:rFonts w:asciiTheme="majorBidi" w:hAnsiTheme="majorBidi" w:cstheme="majorBidi"/>
                <w:sz w:val="22"/>
                <w:szCs w:val="22"/>
                <w:lang w:val="en-GB"/>
              </w:rPr>
              <w:t>aterials.</w:t>
            </w:r>
          </w:p>
        </w:tc>
        <w:tc>
          <w:tcPr>
            <w:tcW w:w="992" w:type="dxa"/>
          </w:tcPr>
          <w:p w14:paraId="5F235FD6" w14:textId="77777777"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t>Existing</w:t>
            </w:r>
          </w:p>
        </w:tc>
        <w:tc>
          <w:tcPr>
            <w:tcW w:w="8222" w:type="dxa"/>
          </w:tcPr>
          <w:p w14:paraId="6B2083B5" w14:textId="77777777" w:rsidR="00763B47" w:rsidRPr="000846BE" w:rsidRDefault="00763B47" w:rsidP="00A0342F">
            <w:pPr>
              <w:numPr>
                <w:ilvl w:val="0"/>
                <w:numId w:val="32"/>
              </w:numPr>
              <w:spacing w:line="360" w:lineRule="auto"/>
              <w:ind w:left="141" w:hanging="141"/>
              <w:contextualSpacing/>
              <w:jc w:val="left"/>
              <w:rPr>
                <w:rFonts w:asciiTheme="majorBidi" w:hAnsiTheme="majorBidi" w:cstheme="majorBidi"/>
                <w:sz w:val="22"/>
                <w:szCs w:val="22"/>
                <w:lang w:val="en-GB"/>
              </w:rPr>
            </w:pPr>
            <w:r w:rsidRPr="000846BE">
              <w:rPr>
                <w:rFonts w:asciiTheme="majorBidi" w:hAnsiTheme="majorBidi" w:cstheme="majorBidi"/>
                <w:sz w:val="22"/>
                <w:szCs w:val="22"/>
                <w:lang w:val="en-GB"/>
              </w:rPr>
              <w:t>Lack of data about life cycle costs and information of these materials.</w:t>
            </w:r>
          </w:p>
          <w:p w14:paraId="5969B754" w14:textId="77777777" w:rsidR="00763B47" w:rsidRPr="000846BE" w:rsidRDefault="00763B47" w:rsidP="00A0342F">
            <w:pPr>
              <w:numPr>
                <w:ilvl w:val="0"/>
                <w:numId w:val="32"/>
              </w:numPr>
              <w:spacing w:line="360" w:lineRule="auto"/>
              <w:ind w:left="141" w:hanging="141"/>
              <w:contextualSpacing/>
              <w:jc w:val="left"/>
              <w:rPr>
                <w:rFonts w:asciiTheme="majorBidi" w:hAnsiTheme="majorBidi" w:cstheme="majorBidi"/>
                <w:sz w:val="22"/>
                <w:szCs w:val="22"/>
                <w:lang w:val="en-GB"/>
              </w:rPr>
            </w:pPr>
            <w:r w:rsidRPr="000846BE">
              <w:rPr>
                <w:rFonts w:asciiTheme="majorBidi" w:hAnsiTheme="majorBidi" w:cstheme="majorBidi"/>
                <w:sz w:val="22"/>
                <w:szCs w:val="22"/>
                <w:lang w:val="en-GB"/>
              </w:rPr>
              <w:t>Not effectively applied due to lack of contractor’s awareness.</w:t>
            </w:r>
          </w:p>
        </w:tc>
        <w:tc>
          <w:tcPr>
            <w:tcW w:w="2268" w:type="dxa"/>
          </w:tcPr>
          <w:p w14:paraId="47AB0607" w14:textId="0B0468FB"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{"citationItems":[{"id":"ITEM-1","itemData":{"DOI":"10.1192/bjp.112.483.211-a","ISSN":"0007-1250","author":[{"dropping-particle":"","family":"Building Research Establishment (BRE)","given":"","non-dropping-particle":"","parse-names":false,"suffix":""}],"id":"ITEM-1","issue":"2.0","issued":{"date-parts":[["2016"]]},"publisher-place":"Watford","title":"BREEAM International New Construction 2016","type":"report"},"uris":["http://www.mendeley.com/documents/?uuid=65e8477c-b138-49b0-b770-ab820319499d"]}],"mendeley":{"formattedCitation":"(Building Research Establishment (BRE), 2016)","manualFormatting":"(BRE, 2016)","plainTextFormattedCitation":"(Building Research Establishment (BRE), 2016)","previouslyFormattedCitation":"(Building Research Establishment (BRE), 2016)"},"properties":{"noteIndex":0},"schema":"https://github.com/citation-style-language/schema/raw/master/csl-citation.json"}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(BRE</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2016)</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{"citationItems":[{"id":"ITEM-1","itemData":{"author":[{"dropping-particle":"","family":"Housing and Building National Research Center (HBRC)","given":"","non-dropping-particle":"","parse-names":false,"suffix":""}],"id":"ITEM-1","issue":"2","issued":{"date-parts":[["2017"]]},"number-of-pages":"1-69","publisher-place":"Ad Doqi, Giza","title":"The Green Pyramid Rating System - Second Version","type":"report"},"uris":["http://www.mendeley.com/documents/?uuid=a6c5d229-be60-4fd9-9f3c-6a4eec01269b"]}],"mendeley":{"formattedCitation":"(Housing and Building National Research Center (HBRC), 2017)","manualFormatting":"(HBRC, 2017)","plainTextFormattedCitation":"(Housing and Building National Research Center (HBRC), 2017)","previouslyFormattedCitation":"(Housing and Building National Research Center (HBRC), 2017)"},"properties":{"noteIndex":0},"schema":"https://github.com/citation-style-language/schema/raw/master/csl-citation.json"}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(HBRC</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2017)</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{"citationItems":[{"id":"ITEM-1","itemData":{"author":[{"dropping-particle":"","family":"Khalifa","given":"Sara Samy","non-dropping-particle":"","parse-names":false,"suffix":""},{"dropping-particle":"","family":"Abdelkader","given":"Morad","non-dropping-particle":"","parse-names":false,"suffix":""},{"dropping-particle":"","family":"Eissa","given":"Abeer Mostafa","non-dropping-particle":"","parse-names":false,"suffix":""},{"dropping-particle":"","family":"Hamdy","given":"Ahmad M.","non-dropping-particle":"","parse-names":false,"suffix":""}],"container-title":"The 4th NZAAR International Event Series on Natural and Built Environment, Cities, Sustainability and Advanced Engineering","id":"ITEM-1","issued":{"date-parts":[["2018"]]},"page":"120-128","publisher":"New Zealand Academy of Applied Research Ltd","publisher-place":"Kuala Lumpur","title":"Obstacles of Application of Green Pyramid Rating System (GPRS) on Local Projects in Egypt","type":"paper-conference"},"uris":["http://www.mendeley.com/documents/?uuid=4cfd546e-9f3b-4446-8fd3-a69de1d3a49e"]}],"mendeley":{"formattedCitation":"(Khalifa et al., 2018)","plainTextFormattedCitation":"(Khalifa et al., 2018)","previouslyFormattedCitation":"(Khalifa et al., 2018)"},"properties":{"noteIndex":0},"schema":"https://github.com/citation-style-language/schema/raw/master/csl-citation.json"}</w:instrText>
            </w:r>
            <w:r w:rsidRPr="000846BE">
              <w:rPr>
                <w:rFonts w:asciiTheme="majorBidi" w:hAnsiTheme="majorBidi" w:cstheme="majorBidi"/>
                <w:sz w:val="22"/>
                <w:szCs w:val="22"/>
              </w:rPr>
              <w:fldChar w:fldCharType="separate"/>
            </w:r>
            <w:r w:rsidR="007E4F8D" w:rsidRPr="00DB4AA3">
              <w:rPr>
                <w:rFonts w:asciiTheme="majorBidi" w:hAnsiTheme="majorBidi" w:cstheme="majorBidi"/>
                <w:noProof/>
                <w:sz w:val="22"/>
                <w:szCs w:val="22"/>
                <w:lang w:val="en-GB"/>
              </w:rPr>
              <w:t>(Khalifa et al., 2018)</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{"citationItems":[{"id":"ITEM-1","itemData":{"author":[{"dropping-particle":"","family":"U.S. Green Building Council (USGBC)","given":"","non-dropping-particle":"","parse-names":false,"suffix":""}],"id":"ITEM-1","issued":{"date-parts":[["2019"]]},"publisher-place":"Washington, D.C","title":"LEED v4 for Building Design and Construction","type":"report"},"uris":["http://www.mendeley.com/documents/?uuid=01572fff-8c6f-412d-a140-ff2292c97b80"]}],"mendeley":{"formattedCitation":"(U.S. Green Building Council (USGBC), 2019)","manualFormatting":"(USGBC, 2019)","plainTextFormattedCitation":"(U.S. Green Building Council (USGBC), 2019)","previouslyFormattedCitation":"(U.S. Green Building Council (USGBC), 2019)"},"properties":{"noteIndex":0},"schema":"https://github.com/citation-style-language/schema/raw/master/csl-citation.json"}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(USGBC</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2019)</w:t>
            </w:r>
            <w:r w:rsidRPr="000846BE">
              <w:rPr>
                <w:rFonts w:asciiTheme="majorBidi" w:hAnsiTheme="majorBidi" w:cstheme="majorBidi"/>
                <w:sz w:val="22"/>
                <w:szCs w:val="22"/>
              </w:rPr>
              <w:fldChar w:fldCharType="end"/>
            </w:r>
          </w:p>
          <w:p w14:paraId="071325B2" w14:textId="77777777" w:rsidR="00763B47" w:rsidRPr="000846BE" w:rsidRDefault="00763B47" w:rsidP="00A0342F">
            <w:pPr>
              <w:spacing w:line="360" w:lineRule="auto"/>
              <w:jc w:val="left"/>
              <w:rPr>
                <w:rFonts w:asciiTheme="majorBidi" w:hAnsiTheme="majorBidi" w:cstheme="majorBidi"/>
                <w:sz w:val="22"/>
                <w:szCs w:val="22"/>
                <w:lang w:val="en-GB"/>
              </w:rPr>
            </w:pPr>
          </w:p>
        </w:tc>
      </w:tr>
      <w:tr w:rsidR="00763B47" w:rsidRPr="00A00E91" w14:paraId="1BE30993" w14:textId="77777777" w:rsidTr="00A0342F">
        <w:tc>
          <w:tcPr>
            <w:tcW w:w="2405" w:type="dxa"/>
          </w:tcPr>
          <w:p w14:paraId="1A837491" w14:textId="6AAE88C1"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t xml:space="preserve">Construction </w:t>
            </w:r>
            <w:r w:rsidR="00B02CAE">
              <w:rPr>
                <w:rFonts w:asciiTheme="majorBidi" w:hAnsiTheme="majorBidi" w:cstheme="majorBidi"/>
                <w:sz w:val="22"/>
                <w:szCs w:val="22"/>
                <w:lang w:val="en-GB"/>
              </w:rPr>
              <w:t>w</w:t>
            </w:r>
            <w:r w:rsidRPr="000846BE">
              <w:rPr>
                <w:rFonts w:asciiTheme="majorBidi" w:hAnsiTheme="majorBidi" w:cstheme="majorBidi"/>
                <w:sz w:val="22"/>
                <w:szCs w:val="22"/>
                <w:lang w:val="en-GB"/>
              </w:rPr>
              <w:t xml:space="preserve">aste </w:t>
            </w:r>
            <w:r w:rsidR="00B02CAE">
              <w:rPr>
                <w:rFonts w:asciiTheme="majorBidi" w:hAnsiTheme="majorBidi" w:cstheme="majorBidi"/>
                <w:sz w:val="22"/>
                <w:szCs w:val="22"/>
                <w:lang w:val="en-GB"/>
              </w:rPr>
              <w:t>m</w:t>
            </w:r>
            <w:r w:rsidRPr="000846BE">
              <w:rPr>
                <w:rFonts w:asciiTheme="majorBidi" w:hAnsiTheme="majorBidi" w:cstheme="majorBidi"/>
                <w:sz w:val="22"/>
                <w:szCs w:val="22"/>
                <w:lang w:val="en-GB"/>
              </w:rPr>
              <w:t>anagement</w:t>
            </w:r>
          </w:p>
        </w:tc>
        <w:tc>
          <w:tcPr>
            <w:tcW w:w="992" w:type="dxa"/>
          </w:tcPr>
          <w:p w14:paraId="401B905B" w14:textId="77777777"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t>Missing</w:t>
            </w:r>
          </w:p>
        </w:tc>
        <w:tc>
          <w:tcPr>
            <w:tcW w:w="8222" w:type="dxa"/>
          </w:tcPr>
          <w:p w14:paraId="7C7DB6F1" w14:textId="77777777" w:rsidR="00763B47" w:rsidRPr="000846BE" w:rsidRDefault="00763B47" w:rsidP="00A0342F">
            <w:pPr>
              <w:numPr>
                <w:ilvl w:val="0"/>
                <w:numId w:val="32"/>
              </w:numPr>
              <w:spacing w:line="360" w:lineRule="auto"/>
              <w:ind w:left="141" w:hanging="141"/>
              <w:contextualSpacing/>
              <w:jc w:val="left"/>
              <w:rPr>
                <w:rFonts w:asciiTheme="majorBidi" w:hAnsiTheme="majorBidi" w:cstheme="majorBidi"/>
                <w:sz w:val="22"/>
                <w:szCs w:val="22"/>
                <w:lang w:val="en-GB"/>
              </w:rPr>
            </w:pPr>
            <w:r w:rsidRPr="000846BE">
              <w:rPr>
                <w:rFonts w:asciiTheme="majorBidi" w:hAnsiTheme="majorBidi" w:cstheme="majorBidi"/>
                <w:sz w:val="22"/>
                <w:szCs w:val="22"/>
                <w:lang w:val="en-GB"/>
              </w:rPr>
              <w:t>Lack of requirements and instructions regarding the diversion of materials waste from landfills by applying reducing, reusing, and recovering techniques. The GPRS requires only presentation of a schedule for principal project materials. Also, it is worth mentioning that recycling industry lacks in Egypt. Accordingly, recycling is not mentioned here as a solution for CDW management.</w:t>
            </w:r>
          </w:p>
        </w:tc>
        <w:tc>
          <w:tcPr>
            <w:tcW w:w="2268" w:type="dxa"/>
          </w:tcPr>
          <w:p w14:paraId="7DE02B1E" w14:textId="49A5ED50"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{"citationItems":[{"id":"ITEM-1","itemData":{"author":[{"dropping-particle":"","family":"Hassan","given":"Fatma","non-dropping-particle":"","parse-names":false,"suffix":""}],"id":"ITEM-1","issued":{"date-parts":[["2012"]]},"publisher-place":"Cairo","title":"LEED \"materials category\" a critical analysis of Applicability in Egypt","type":"report"},"uris":["http://www.mendeley.com/documents/?uuid=0cbce75f-3dd6-44df-b80c-d1c22532b3e8"]}],"mendeley":{"formattedCitation":"(Hassan, 2012)","plainTextFormattedCitation":"(Hassan, 2012)","previouslyFormattedCitation":"(Hassan, 2012)"},"properties":{"noteIndex":0},"schema":"https://github.com/citation-style-language/schema/raw/master/csl-citation.json"}</w:instrText>
            </w:r>
            <w:r w:rsidRPr="000846BE">
              <w:rPr>
                <w:rFonts w:asciiTheme="majorBidi" w:hAnsiTheme="majorBidi" w:cstheme="majorBidi"/>
                <w:sz w:val="22"/>
                <w:szCs w:val="22"/>
              </w:rPr>
              <w:fldChar w:fldCharType="separate"/>
            </w:r>
            <w:r w:rsidRPr="007E4F8D">
              <w:rPr>
                <w:rFonts w:asciiTheme="majorBidi" w:hAnsiTheme="majorBidi" w:cstheme="majorBidi"/>
                <w:noProof/>
                <w:sz w:val="22"/>
                <w:szCs w:val="22"/>
                <w:lang w:val="en-GB"/>
              </w:rPr>
              <w:t>(Hassan, 2012)</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{"citationItems":[{"id":"ITEM-1","itemData":{"abstract":"This research briefly reviews the definition and the principles of green architecture, making a comparison between the global green building rating systems in respect to materials only. These systems are the [1, 2]Green Pyramid, BREEAM (Building Research Establishment Environment Assessment Method), [3] LEED (Leadership in Energy and Environmental Design) and the [4] Green Star in the form of Credits %, importance and its Requirements. The research Aims to evaluate the green building material systems in Egypt and propose the suitable score and elements to the Egyptian society to evaluate materials that suit available technology in the Egyptian environment.","author":[{"dropping-particle":"","family":"Elattar","given":"Sherif M. S.","non-dropping-particle":"","parse-names":false,"suffix":""},{"dropping-particle":"","family":"Ahmed","given":"Eman B.","non-dropping-particle":"","parse-names":false,"suffix":""}],"container-title":"Journal of Asian Scientific Research","id":"ITEM-1","issue":"6","issued":{"date-parts":[["2014"]]},"page":"260-269","title":"Towards the Adaptation of Green Building Material Systems To the Egyptian Environment","type":"article-journal","volume":"4"},"uris":["http://www.mendeley.com/documents/?uuid=c51ed785-07b8-4f0b-84af-3315fce00796"]}],"mendeley":{"formattedCitation":"(Elattar &amp; Ahmed, 2014)","plainTextFormattedCitation":"(Elattar &amp; Ahmed, 2014)","previouslyFormattedCitation":"(Elattar &amp; Ahmed, 2014)"},"properties":{"noteIndex":0},"schema":"https://github.com/citation-style-language/schema/raw/master/csl-citation.json"}</w:instrText>
            </w:r>
            <w:r w:rsidRPr="000846BE">
              <w:rPr>
                <w:rFonts w:asciiTheme="majorBidi" w:hAnsiTheme="majorBidi" w:cstheme="majorBidi"/>
                <w:sz w:val="22"/>
                <w:szCs w:val="22"/>
              </w:rPr>
              <w:fldChar w:fldCharType="separate"/>
            </w:r>
            <w:r w:rsidR="00DB4AA3" w:rsidRPr="00DB4AA3">
              <w:rPr>
                <w:rFonts w:asciiTheme="majorBidi" w:hAnsiTheme="majorBidi" w:cstheme="majorBidi"/>
                <w:noProof/>
                <w:sz w:val="22"/>
                <w:szCs w:val="22"/>
                <w:lang w:val="en-GB"/>
              </w:rPr>
              <w:t>(Elattar &amp; Ahmed, 2014)</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{"citationItems":[{"id":"ITEM-1","itemData":{"author":[{"dropping-particle":"","family":"Ismail","given":"Ayman M.","non-dropping-particle":"","parse-names":false,"suffix":""},{"dropping-particle":"","family":"Abo Elela","given":"Maged M.","non-dropping-particle":"","parse-names":false,"suffix":""},{"dropping-particle":"","family":"Ahmed","given":"Eman B.","non-dropping-particle":"","parse-names":false,"suffix":""}],"container-title":"Researcher","id":"ITEM-1","issue":"9","issued":{"date-parts":[["2015"]]},"page":"72-82","title":"Localized Green Building Standards: The Anti-Globalization Thesis","type":"article-journal","volume":"7"},"uris":["http://www.mendeley.com/documents/?uuid=410a2e7b-1817-4bb4-a948-bb423935f098"]}],"mendeley":{"formattedCitation":"(Ismail et al., 2015)","plainTextFormattedCitation":"(Ismail et al., 2015)","previouslyFormattedCitation":"(Ismail et al., 2015)"},"properties":{"noteIndex":0},"schema":"https://github.com/citation-style-language/schema/raw/master/csl-citation.json"}</w:instrText>
            </w:r>
            <w:r w:rsidRPr="000846BE">
              <w:rPr>
                <w:rFonts w:asciiTheme="majorBidi" w:hAnsiTheme="majorBidi" w:cstheme="majorBidi"/>
                <w:sz w:val="22"/>
                <w:szCs w:val="22"/>
              </w:rPr>
              <w:fldChar w:fldCharType="separate"/>
            </w:r>
            <w:r w:rsidR="007E4F8D" w:rsidRPr="00DB4AA3">
              <w:rPr>
                <w:rFonts w:asciiTheme="majorBidi" w:hAnsiTheme="majorBidi" w:cstheme="majorBidi"/>
                <w:noProof/>
                <w:sz w:val="22"/>
                <w:szCs w:val="22"/>
                <w:lang w:val="en-GB"/>
              </w:rPr>
              <w:t>(Ismail et al., 2015)</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{"citationItems":[{"id":"ITEM-1","itemData":{"DOI":"10.1192/bjp.112.483.211-a","ISSN":"0007-1250","author":[{"dropping-particle":"","family":"Building Research Establishment (BRE)","given":"","non-dropping-particle":"","parse-names":false,"suffix":""}],"id":"ITEM-1","issue":"2.0","issued":{"date-parts":[["2016"]]},"publisher-place":"Watford","title":"BREEAM International New Construction 2016","type":"report"},"uris":["http://www.mendeley.com/documents/?uuid=65e8477c-b138-49b0-b770-ab820319499d"]}],"mendeley":{"formattedCitation":"(Building Research Establishment (BRE), 2016)","manualFormatting":"(BRE, 2016)","plainTextFormattedCitation":"(Building Research Establishment (BRE), 2016)","previouslyFormattedCitation":"(Building Research Establishment (BRE), 2016)"},"properties":{"noteIndex":0},"schema":"https://github.com/citation-style-language/schema/raw/master/csl-citation.json"}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(BRE</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2016)</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{"citationItems":[{"id":"ITEM-1","itemData":{"author":[{"dropping-particle":"","family":"Housing and Building National Research Center (HBRC)","given":"","non-dropping-particle":"","parse-names":false,"suffix":""}],"id":"ITEM-1","issue":"2","issued":{"date-parts":[["2017"]]},"number-of-pages":"1-69","publisher-place":"Ad Doqi, Giza","title":"The Green Pyramid Rating System - Second Version","type":"report"},"uris":["http://www.mendeley.com/documents/?uuid=a6c5d229-be60-4fd9-9f3c-6a4eec01269b"]}],"mendeley":{"formattedCitation":"(Housing and Building National Research Center (HBRC), 2017)","manualFormatting":"(HBRC, 2017)","plainTextFormattedCitation":"(Housing and Building National Research Center (HBRC), 2017)","previouslyFormattedCitation":"(Housing and Building National Research Center (HBRC), 2017)"},"properties":{"noteIndex":0},"schema":"https://github.com/citation-style-language/schema/raw/master/csl-citation.json"}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(HBRC</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2017)</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lang w:val="en-GB"/>
              </w:rPr>
              <w:br/>
            </w: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{"citationItems":[{"id":"ITEM-1","itemData":{"author":[{"dropping-particle":"","family":"U.S. Green Building Council (USGBC)","given":"","non-dropping-particle":"","parse-names":false,"suffix":""}],"id":"ITEM-1","issued":{"date-parts":[["2019"]]},"publisher-place":"Washington, D.C","title":"LEED v4 for Building Design and Construction","type":"report"},"uris":["http://www.mendeley.com/documents/?uuid=01572fff-8c6f-412d-a140-ff2292c97b80"]}],"mendeley":{"formattedCitation":"(U.S. Green Building Council (USGBC), 2019)","manualFormatting":"( USGBC, 2019)","plainTextFormattedCitation":"(U.S. Green Building Council (USGBC), 2019)","previouslyFormattedCitation":"(U.S. Green Building Council (USGBC), 2019)"},"properties":{"noteIndex":0},"schema":"https://github.com/citation-style-language/schema/raw/master/csl-citation.json"}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 USGBC</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2019)</w:t>
            </w:r>
            <w:r w:rsidRPr="000846BE">
              <w:rPr>
                <w:rFonts w:asciiTheme="majorBidi" w:hAnsiTheme="majorBidi" w:cstheme="majorBidi"/>
                <w:sz w:val="22"/>
                <w:szCs w:val="22"/>
              </w:rPr>
              <w:fldChar w:fldCharType="end"/>
            </w:r>
          </w:p>
        </w:tc>
      </w:tr>
      <w:tr w:rsidR="00763B47" w:rsidRPr="00A00E91" w14:paraId="11932615" w14:textId="77777777" w:rsidTr="00A0342F">
        <w:tc>
          <w:tcPr>
            <w:tcW w:w="2405" w:type="dxa"/>
          </w:tcPr>
          <w:p w14:paraId="6FF300A0" w14:textId="76DD9518"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t xml:space="preserve">Building and </w:t>
            </w:r>
            <w:r w:rsidR="00B02CAE">
              <w:rPr>
                <w:rFonts w:asciiTheme="majorBidi" w:hAnsiTheme="majorBidi" w:cstheme="majorBidi"/>
                <w:sz w:val="22"/>
                <w:szCs w:val="22"/>
                <w:lang w:val="en-GB"/>
              </w:rPr>
              <w:t>m</w:t>
            </w:r>
            <w:r w:rsidRPr="000846BE">
              <w:rPr>
                <w:rFonts w:asciiTheme="majorBidi" w:hAnsiTheme="majorBidi" w:cstheme="majorBidi"/>
                <w:sz w:val="22"/>
                <w:szCs w:val="22"/>
                <w:lang w:val="en-GB"/>
              </w:rPr>
              <w:t xml:space="preserve">aterial </w:t>
            </w:r>
            <w:r w:rsidR="00B02CAE">
              <w:rPr>
                <w:rFonts w:asciiTheme="majorBidi" w:hAnsiTheme="majorBidi" w:cstheme="majorBidi"/>
                <w:sz w:val="22"/>
                <w:szCs w:val="22"/>
                <w:lang w:val="en-GB"/>
              </w:rPr>
              <w:t>r</w:t>
            </w:r>
            <w:r w:rsidRPr="000846BE">
              <w:rPr>
                <w:rFonts w:asciiTheme="majorBidi" w:hAnsiTheme="majorBidi" w:cstheme="majorBidi"/>
                <w:sz w:val="22"/>
                <w:szCs w:val="22"/>
                <w:lang w:val="en-GB"/>
              </w:rPr>
              <w:t>euse</w:t>
            </w:r>
          </w:p>
        </w:tc>
        <w:tc>
          <w:tcPr>
            <w:tcW w:w="992" w:type="dxa"/>
          </w:tcPr>
          <w:p w14:paraId="586BEB1E" w14:textId="77777777"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lang w:val="en-GB"/>
              </w:rPr>
              <w:t>Missing</w:t>
            </w:r>
          </w:p>
        </w:tc>
        <w:tc>
          <w:tcPr>
            <w:tcW w:w="8222" w:type="dxa"/>
          </w:tcPr>
          <w:p w14:paraId="3F27B471" w14:textId="77777777" w:rsidR="00763B47" w:rsidRPr="000846BE" w:rsidRDefault="00763B47" w:rsidP="00A0342F">
            <w:pPr>
              <w:numPr>
                <w:ilvl w:val="0"/>
                <w:numId w:val="32"/>
              </w:numPr>
              <w:spacing w:line="360" w:lineRule="auto"/>
              <w:ind w:left="141" w:hanging="141"/>
              <w:contextualSpacing/>
              <w:jc w:val="left"/>
              <w:rPr>
                <w:rFonts w:asciiTheme="majorBidi" w:hAnsiTheme="majorBidi" w:cstheme="majorBidi"/>
                <w:sz w:val="22"/>
                <w:szCs w:val="22"/>
                <w:lang w:val="en-GB"/>
              </w:rPr>
            </w:pPr>
            <w:r w:rsidRPr="000846BE">
              <w:rPr>
                <w:rFonts w:asciiTheme="majorBidi" w:hAnsiTheme="majorBidi" w:cstheme="majorBidi"/>
                <w:sz w:val="22"/>
                <w:szCs w:val="22"/>
                <w:lang w:val="en-GB"/>
              </w:rPr>
              <w:t>Lack of requirements and instructions to indicate the reuse of an existing building structural elements (e.g., floors, roof decking), enclosure materials (e.g., skin, framing), and permanently installed interior elements (e.g., walls, doors, floor coverings, ceiling systems). This should help in reducing CDW.</w:t>
            </w:r>
          </w:p>
        </w:tc>
        <w:tc>
          <w:tcPr>
            <w:tcW w:w="2268" w:type="dxa"/>
          </w:tcPr>
          <w:p w14:paraId="71422505" w14:textId="5DF056DB" w:rsidR="00763B47" w:rsidRPr="000846BE" w:rsidRDefault="00763B47" w:rsidP="00A0342F">
            <w:pPr>
              <w:spacing w:line="360" w:lineRule="auto"/>
              <w:jc w:val="left"/>
              <w:rPr>
                <w:rFonts w:asciiTheme="majorBidi" w:hAnsiTheme="majorBidi" w:cstheme="majorBidi"/>
                <w:sz w:val="22"/>
                <w:szCs w:val="22"/>
                <w:lang w:val="en-GB"/>
              </w:rPr>
            </w:pPr>
            <w:r w:rsidRPr="000846BE">
              <w:rPr>
                <w:rFonts w:asciiTheme="majorBidi" w:hAnsiTheme="majorBidi" w:cstheme="majorBidi"/>
                <w:sz w:val="22"/>
                <w:szCs w:val="22"/>
              </w:rPr>
              <w:fldChar w:fldCharType="begin" w:fldLock="1"/>
            </w:r>
            <w:r w:rsidR="00112962">
              <w:rPr>
                <w:rFonts w:asciiTheme="majorBidi" w:hAnsiTheme="majorBidi" w:cstheme="majorBidi"/>
                <w:sz w:val="22"/>
                <w:szCs w:val="22"/>
                <w:lang w:val="en-GB"/>
              </w:rPr>
              <w:instrText>ADDIN CSL_CITATION {"citationItems":[{"id":"ITEM-1","itemData":{"abstract":"This research briefly reviews the definition and the principles of green architecture, making a comparison between the global green building rating systems in respect to materials only. These systems are the [1, 2]Green Pyramid, BREEAM (Building Research Establishment Environment Assessment Method), [3] LEED (Leadership in Energy and Environmental Design) and the [4] Green Star in the form of Credits %, importance and its Requirements. The research Aims to evaluate the green building material systems in Egypt and propose the suitable score and elements to the Egyptian society to evaluate materials that suit available technology in the Egyptian environment.","author":[{"dropping-particle":"","family":"Elattar","given":"Sherif M. S.","non-dropping-particle":"","parse-names":false,"suffix":""},{"dropping-particle":"","family":"Ahmed","given":"Eman B.","non-dropping-particle":"","parse-names":false,"suffix":""}],"container-title":"Journal of Asian Scientific Research","id":"ITEM-1","issue":"6","issued":{"date-parts":[["2014"]]},"page":"260-269","title":"Towards the Adaptation of Green Building Material Systems To the Egyptian Environment","type":"article-journal","volume":"4"},"uris":["http://www.mendeley.com/documents/?uuid=c51ed785-07b8-4f0b-84af-3315fce00796"]}],"mendeley":{"formattedCitation":"(Elattar &amp; Ahmed, 2014)","plainTextFormattedCitation":"(Elattar &amp; Ahmed, 2014)","previouslyFormattedCitation":"(Elattar &amp; Ahmed, 2014)"},"properties":{"noteIndex":0},"schema":"https://github.com/citation-style-language/schema/raw/master/csl-citation.json"}</w:instrText>
            </w:r>
            <w:r w:rsidRPr="000846BE">
              <w:rPr>
                <w:rFonts w:asciiTheme="majorBidi" w:hAnsiTheme="majorBidi" w:cstheme="majorBidi"/>
                <w:sz w:val="22"/>
                <w:szCs w:val="22"/>
              </w:rPr>
              <w:fldChar w:fldCharType="separate"/>
            </w:r>
            <w:r w:rsidR="00DB4AA3" w:rsidRPr="00DB4AA3">
              <w:rPr>
                <w:rFonts w:asciiTheme="majorBidi" w:hAnsiTheme="majorBidi" w:cstheme="majorBidi"/>
                <w:noProof/>
                <w:sz w:val="22"/>
                <w:szCs w:val="22"/>
                <w:lang w:val="en-GB"/>
              </w:rPr>
              <w:t>(Elattar &amp; Ahmed, 2014)</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w:t>
            </w: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{"citationItems":[{"id":"ITEM-1","itemData":{"DOI":"10.1192/bjp.112.483.211-a","ISSN":"0007-1250","author":[{"dropping-particle":"","family":"Building Research Establishment (BRE)","given":"","non-dropping-particle":"","parse-names":false,"suffix":""}],"id":"ITEM-1","issue":"2.0","issued":{"date-parts":[["2016"]]},"publisher-place":"Watford","title":"BREEAM International New Construction 2016","type":"report"},"uris":["http://www.mendeley.com/documents/?uuid=65e8477c-b138-49b0-b770-ab820319499d"]}],"mendeley":{"formattedCitation":"(Building Research Establishment (BRE), 2016)","manualFormatting":"BRE, 2016)","plainTextFormattedCitation":"(Building Research Establishment (BRE), 2016)","previouslyFormattedCitation":"(Building Research Establishment (BRE), 2016)"},"properties":{"noteIndex":0},"schema":"https://github.com/citation-style-language/schema/raw/master/csl-citation.json"}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BRE</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2016)</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{"citationItems":[{"id":"ITEM-1","itemData":{"author":[{"dropping-particle":"","family":"Housing and Building National Research Center (HBRC)","given":"","non-dropping-particle":"","parse-names":false,"suffix":""}],"id":"ITEM-1","issue":"2","issued":{"date-parts":[["2017"]]},"number-of-pages":"1-69","publisher-place":"Ad Doqi, Giza","title":"The Green Pyramid Rating System - Second Version","type":"report"},"uris":["http://www.mendeley.com/documents/?uuid=a6c5d229-be60-4fd9-9f3c-6a4eec01269b"]}],"mendeley":{"formattedCitation":"(Housing and Building National Research Center (HBRC), 2017)","manualFormatting":"(HBRC, 2017)","plainTextFormattedCitation":"(Housing and Building National Research Center (HBRC), 2017)","previouslyFormattedCitation":"(Housing and Building National Research Center (HBRC), 2017)"},"properties":{"noteIndex":0},"schema":"https://github.com/citation-style-language/schema/raw/master/csl-citation.json"}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(HBRC</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2017)</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{"citationItems":[{"id":"ITEM-1","itemData":{"author":[{"dropping-particle":"","family":"U.S. Green Building Council (USGBC)","given":"","non-dropping-particle":"","parse-names":false,"suffix":""}],"id":"ITEM-1","issued":{"date-parts":[["2019"]]},"publisher-place":"Washington, D.C","title":"LEED v4 for Building Design and Construction","type":"report"},"uris":["http://www.mendeley.com/documents/?uuid=01572fff-8c6f-412d-a140-ff2292c97b80"]}],"mendeley":{"formattedCitation":"(U.S. Green Building Council (USGBC), 2019)","manualFormatting":"(USGBC, 2019)","plainTextFormattedCitation":"(U.S. Green Building Council (USGBC), 2019)","previouslyFormattedCitation":"(U.S. Green Building Council (USGBC), 2019)"},"properties":{"noteIndex":0},"schema":"https://github.com/citation-style-language/schema/raw/master/csl-citation.json"}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(USGBC</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2019)</w:t>
            </w:r>
            <w:r w:rsidRPr="000846BE">
              <w:rPr>
                <w:rFonts w:asciiTheme="majorBidi" w:hAnsiTheme="majorBidi" w:cstheme="majorBidi"/>
                <w:sz w:val="22"/>
                <w:szCs w:val="22"/>
              </w:rPr>
              <w:fldChar w:fldCharType="end"/>
            </w:r>
          </w:p>
        </w:tc>
      </w:tr>
      <w:tr w:rsidR="00763B47" w:rsidRPr="00A00E91" w14:paraId="0D54B1AA" w14:textId="77777777" w:rsidTr="00A0342F">
        <w:tc>
          <w:tcPr>
            <w:tcW w:w="2405" w:type="dxa"/>
            <w:shd w:val="clear" w:color="auto" w:fill="FFFFFF" w:themeFill="background1"/>
          </w:tcPr>
          <w:p w14:paraId="5528B172" w14:textId="77777777" w:rsidR="00763B47" w:rsidRPr="000846BE" w:rsidRDefault="00763B47" w:rsidP="00A0342F">
            <w:pPr>
              <w:spacing w:line="360" w:lineRule="auto"/>
              <w:jc w:val="left"/>
              <w:rPr>
                <w:rFonts w:asciiTheme="majorBidi" w:hAnsiTheme="majorBidi" w:cstheme="majorBidi"/>
                <w:sz w:val="22"/>
                <w:szCs w:val="22"/>
                <w:highlight w:val="yellow"/>
                <w:lang w:val="en-GB"/>
              </w:rPr>
            </w:pPr>
            <w:r w:rsidRPr="000846BE">
              <w:rPr>
                <w:rFonts w:asciiTheme="majorBidi" w:hAnsiTheme="majorBidi" w:cstheme="majorBidi"/>
                <w:sz w:val="22"/>
                <w:szCs w:val="22"/>
                <w:lang w:val="en-GB"/>
              </w:rPr>
              <w:t>Material efficiency</w:t>
            </w:r>
          </w:p>
        </w:tc>
        <w:tc>
          <w:tcPr>
            <w:tcW w:w="992" w:type="dxa"/>
            <w:shd w:val="clear" w:color="auto" w:fill="FFFFFF" w:themeFill="background1"/>
          </w:tcPr>
          <w:p w14:paraId="152C36A3" w14:textId="77777777" w:rsidR="00763B47" w:rsidRPr="000846BE" w:rsidRDefault="00763B47" w:rsidP="00A0342F">
            <w:pPr>
              <w:spacing w:line="360" w:lineRule="auto"/>
              <w:jc w:val="left"/>
              <w:rPr>
                <w:rFonts w:asciiTheme="majorBidi" w:hAnsiTheme="majorBidi" w:cstheme="majorBidi"/>
                <w:sz w:val="22"/>
                <w:szCs w:val="22"/>
                <w:highlight w:val="yellow"/>
                <w:lang w:val="en-GB"/>
              </w:rPr>
            </w:pPr>
            <w:r w:rsidRPr="000846BE">
              <w:rPr>
                <w:rFonts w:asciiTheme="majorBidi" w:hAnsiTheme="majorBidi" w:cstheme="majorBidi"/>
                <w:sz w:val="22"/>
                <w:szCs w:val="22"/>
                <w:lang w:val="en-GB"/>
              </w:rPr>
              <w:t>Missing</w:t>
            </w:r>
          </w:p>
        </w:tc>
        <w:tc>
          <w:tcPr>
            <w:tcW w:w="8222" w:type="dxa"/>
            <w:shd w:val="clear" w:color="auto" w:fill="FFFFFF" w:themeFill="background1"/>
          </w:tcPr>
          <w:p w14:paraId="5C38C4FC" w14:textId="77777777" w:rsidR="00763B47" w:rsidRPr="000846BE" w:rsidRDefault="00763B47" w:rsidP="00A0342F">
            <w:pPr>
              <w:numPr>
                <w:ilvl w:val="0"/>
                <w:numId w:val="32"/>
              </w:numPr>
              <w:spacing w:line="360" w:lineRule="auto"/>
              <w:ind w:left="141" w:hanging="141"/>
              <w:contextualSpacing/>
              <w:jc w:val="left"/>
              <w:rPr>
                <w:rFonts w:asciiTheme="majorBidi" w:hAnsiTheme="majorBidi" w:cstheme="majorBidi"/>
                <w:sz w:val="22"/>
                <w:szCs w:val="22"/>
                <w:lang w:val="en-GB"/>
              </w:rPr>
            </w:pPr>
            <w:r w:rsidRPr="000846BE">
              <w:rPr>
                <w:rFonts w:asciiTheme="majorBidi" w:hAnsiTheme="majorBidi" w:cstheme="majorBidi"/>
                <w:sz w:val="22"/>
                <w:szCs w:val="22"/>
                <w:lang w:val="en-GB"/>
              </w:rPr>
              <w:t>Lack of requirements and instructions to help in reducing the amount of materials used in building design without compromising on the structural stability and other performance factors.</w:t>
            </w:r>
          </w:p>
        </w:tc>
        <w:tc>
          <w:tcPr>
            <w:tcW w:w="2268" w:type="dxa"/>
            <w:shd w:val="clear" w:color="auto" w:fill="FFFFFF" w:themeFill="background1"/>
          </w:tcPr>
          <w:p w14:paraId="08E9D31D" w14:textId="5EE48A99" w:rsidR="00763B47" w:rsidRPr="000846BE" w:rsidRDefault="00763B47" w:rsidP="00A0342F">
            <w:pPr>
              <w:spacing w:line="360" w:lineRule="auto"/>
              <w:jc w:val="left"/>
              <w:rPr>
                <w:rFonts w:asciiTheme="majorBidi" w:hAnsiTheme="majorBidi" w:cstheme="majorBidi"/>
                <w:sz w:val="22"/>
                <w:szCs w:val="22"/>
                <w:highlight w:val="yellow"/>
                <w:lang w:val="en-GB"/>
              </w:rPr>
            </w:pP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{"citationItems":[{"id":"ITEM-1","itemData":{"DOI":"10.1192/bjp.112.483.211-a","ISSN":"0007-1250","author":[{"dropping-particle":"","family":"Building Research Establishment (BRE)","given":"","non-dropping-particle":"","parse-names":false,"suffix":""}],"id":"ITEM-1","issue":"2.0","issued":{"date-parts":[["2016"]]},"publisher-place":"Watford","title":"BREEAM International New Construction 2016","type":"report"},"uris":["http://www.mendeley.com/documents/?uuid=65e8477c-b138-49b0-b770-ab820319499d"]}],"mendeley":{"formattedCitation":"(Building Research Establishment (BRE), 2016)","manualFormatting":"(BRE, 2016)","plainTextFormattedCitation":"(Building Research Establishment (BRE), 2016)","previouslyFormattedCitation":"(Building Research Establishment (BRE), 2016)"},"properties":{"noteIndex":0},"schema":"https://github.com/citation-style-language/schema/raw/master/csl-citation.json"}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(BRE</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2016)</w:t>
            </w:r>
            <w:r w:rsidRPr="000846BE">
              <w:rPr>
                <w:rFonts w:asciiTheme="majorBidi" w:hAnsiTheme="majorBidi" w:cstheme="majorBidi"/>
                <w:sz w:val="22"/>
                <w:szCs w:val="22"/>
              </w:rPr>
              <w:fldChar w:fldCharType="end"/>
            </w:r>
            <w:r w:rsidRPr="000846BE">
              <w:rPr>
                <w:rFonts w:asciiTheme="majorBidi" w:hAnsiTheme="majorBidi" w:cstheme="majorBidi"/>
                <w:sz w:val="22"/>
                <w:szCs w:val="22"/>
                <w:lang w:val="en-GB"/>
              </w:rPr>
              <w:t xml:space="preserve">; </w:t>
            </w:r>
            <w:r w:rsidRPr="000846BE">
              <w:rPr>
                <w:rFonts w:asciiTheme="majorBidi" w:hAnsiTheme="majorBidi" w:cstheme="majorBidi"/>
                <w:sz w:val="22"/>
                <w:szCs w:val="22"/>
              </w:rPr>
              <w:fldChar w:fldCharType="begin" w:fldLock="1"/>
            </w:r>
            <w:r w:rsidR="00DB4AA3">
              <w:rPr>
                <w:rFonts w:asciiTheme="majorBidi" w:hAnsiTheme="majorBidi" w:cstheme="majorBidi"/>
                <w:sz w:val="22"/>
                <w:szCs w:val="22"/>
                <w:lang w:val="en-GB"/>
              </w:rPr>
              <w:instrText>ADDIN CSL_CITATION {"citationItems":[{"id":"ITEM-1","itemData":{"author":[{"dropping-particle":"","family":"Housing and Building National Research Center (HBRC)","given":"","non-dropping-particle":"","parse-names":false,"suffix":""}],"id":"ITEM-1","issue":"2","issued":{"date-parts":[["2017"]]},"number-of-pages":"1-69","publisher-place":"Ad Doqi, Giza","title":"The Green Pyramid Rating System - Second Version","type":"report"},"uris":["http://www.mendeley.com/documents/?uuid=a6c5d229-be60-4fd9-9f3c-6a4eec01269b"]}],"mendeley":{"formattedCitation":"(Housing and Building National Research Center (HBRC), 2017)","manualFormatting":"(HBRC, 2017)","plainTextFormattedCitation":"(Housing and Building National Research Center (HBRC), 2017)","previouslyFormattedCitation":"(Housing and Building National Research Center (HBRC), 2017)"},"properties":{"noteIndex":0},"schema":"https://github.com/citation-style-language/schema/raw/master/csl-citation.json"}</w:instrText>
            </w:r>
            <w:r w:rsidRPr="000846BE">
              <w:rPr>
                <w:rFonts w:asciiTheme="majorBidi" w:hAnsiTheme="majorBidi" w:cstheme="majorBidi"/>
                <w:sz w:val="22"/>
                <w:szCs w:val="22"/>
              </w:rPr>
              <w:fldChar w:fldCharType="separate"/>
            </w:r>
            <w:r w:rsidRPr="000846BE">
              <w:rPr>
                <w:rFonts w:asciiTheme="majorBidi" w:hAnsiTheme="majorBidi" w:cstheme="majorBidi"/>
                <w:noProof/>
                <w:sz w:val="22"/>
                <w:szCs w:val="22"/>
                <w:lang w:val="en-GB"/>
              </w:rPr>
              <w:t>(HBRC</w:t>
            </w:r>
            <w:r>
              <w:rPr>
                <w:rFonts w:asciiTheme="majorBidi" w:hAnsiTheme="majorBidi" w:cstheme="majorBidi"/>
                <w:noProof/>
                <w:sz w:val="22"/>
                <w:szCs w:val="22"/>
                <w:lang w:val="en-GB"/>
              </w:rPr>
              <w:t>,</w:t>
            </w:r>
            <w:r w:rsidRPr="000846BE">
              <w:rPr>
                <w:rFonts w:asciiTheme="majorBidi" w:hAnsiTheme="majorBidi" w:cstheme="majorBidi"/>
                <w:noProof/>
                <w:sz w:val="22"/>
                <w:szCs w:val="22"/>
                <w:lang w:val="en-GB"/>
              </w:rPr>
              <w:t xml:space="preserve"> 2017)</w:t>
            </w:r>
            <w:r w:rsidRPr="000846BE">
              <w:rPr>
                <w:rFonts w:asciiTheme="majorBidi" w:hAnsiTheme="majorBidi" w:cstheme="majorBidi"/>
                <w:sz w:val="22"/>
                <w:szCs w:val="22"/>
              </w:rPr>
              <w:fldChar w:fldCharType="end"/>
            </w:r>
          </w:p>
        </w:tc>
      </w:tr>
    </w:tbl>
    <w:p w14:paraId="38CA6F02" w14:textId="77777777" w:rsidR="00763B47" w:rsidRDefault="00763B47" w:rsidP="00763B47"/>
    <w:p w14:paraId="0EF5E09B" w14:textId="170989CE" w:rsidR="00763B47" w:rsidRDefault="00763B47" w:rsidP="0098232C"/>
    <w:p w14:paraId="63F85FC7" w14:textId="4A7F3B1F" w:rsidR="00142C1E" w:rsidRDefault="00142C1E" w:rsidP="0098232C"/>
    <w:p w14:paraId="667889F4" w14:textId="1E11913B" w:rsidR="00112962" w:rsidRPr="00112962" w:rsidRDefault="007E4F8D" w:rsidP="00112962">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00112962" w:rsidRPr="00112962">
        <w:rPr>
          <w:noProof/>
        </w:rPr>
        <w:t xml:space="preserve">Building Research Establishment (BRE). (2016). </w:t>
      </w:r>
      <w:r w:rsidR="00112962" w:rsidRPr="00112962">
        <w:rPr>
          <w:i/>
          <w:iCs/>
          <w:noProof/>
        </w:rPr>
        <w:t>BREEAM International New Construction 2016</w:t>
      </w:r>
      <w:r w:rsidR="00112962" w:rsidRPr="00112962">
        <w:rPr>
          <w:noProof/>
        </w:rPr>
        <w:t xml:space="preserve"> (Issue 2.0). https://doi.org/10.1192/bjp.112.483.211-a</w:t>
      </w:r>
    </w:p>
    <w:p w14:paraId="39513AF2" w14:textId="77777777" w:rsidR="00112962" w:rsidRPr="00112962" w:rsidRDefault="00112962" w:rsidP="00112962">
      <w:pPr>
        <w:widowControl w:val="0"/>
        <w:autoSpaceDE w:val="0"/>
        <w:autoSpaceDN w:val="0"/>
        <w:adjustRightInd w:val="0"/>
        <w:ind w:left="480" w:hanging="480"/>
        <w:rPr>
          <w:noProof/>
        </w:rPr>
      </w:pPr>
      <w:r w:rsidRPr="00112962">
        <w:rPr>
          <w:noProof/>
        </w:rPr>
        <w:t xml:space="preserve">Daoud, A. O., Othman, A. A. E., Robinson, H., &amp; Bayyati, A. (2018). Towards a Green Materials Procurement : Investigating the Egyptian Green Pyramid Rating System. In M. Adel, R. El Maghraby, &amp; S. Fathi (Eds.), </w:t>
      </w:r>
      <w:r w:rsidRPr="00112962">
        <w:rPr>
          <w:i/>
          <w:iCs/>
          <w:noProof/>
        </w:rPr>
        <w:t>Green Hiritage Conference: Chanage-Change-Challenge</w:t>
      </w:r>
      <w:r w:rsidRPr="00112962">
        <w:rPr>
          <w:noProof/>
        </w:rPr>
        <w:t xml:space="preserve"> (pp. 575–591). Elain Publishing House. https://www.researchgate.net/publication/323588948_Towards_a_Green_Materials_Procurement_Investigating_the_Egyptian_Green_Pyramid_Rating_System</w:t>
      </w:r>
    </w:p>
    <w:p w14:paraId="7C4F1F91" w14:textId="77777777" w:rsidR="00112962" w:rsidRPr="00112962" w:rsidRDefault="00112962" w:rsidP="00112962">
      <w:pPr>
        <w:widowControl w:val="0"/>
        <w:autoSpaceDE w:val="0"/>
        <w:autoSpaceDN w:val="0"/>
        <w:adjustRightInd w:val="0"/>
        <w:ind w:left="480" w:hanging="480"/>
        <w:rPr>
          <w:noProof/>
        </w:rPr>
      </w:pPr>
      <w:r w:rsidRPr="00112962">
        <w:rPr>
          <w:noProof/>
        </w:rPr>
        <w:t xml:space="preserve">Doan, D. T., Ghaffarianhoseini, A., Naismith, N., Zhang, T., Ghaffarianhoseini, A., &amp; Tookey, J. (2017). A critical comparison of green building rating systems. </w:t>
      </w:r>
      <w:r w:rsidRPr="00112962">
        <w:rPr>
          <w:i/>
          <w:iCs/>
          <w:noProof/>
        </w:rPr>
        <w:t>Building and Environment</w:t>
      </w:r>
      <w:r w:rsidRPr="00112962">
        <w:rPr>
          <w:noProof/>
        </w:rPr>
        <w:t xml:space="preserve">, </w:t>
      </w:r>
      <w:r w:rsidRPr="00112962">
        <w:rPr>
          <w:i/>
          <w:iCs/>
          <w:noProof/>
        </w:rPr>
        <w:t>123</w:t>
      </w:r>
      <w:r w:rsidRPr="00112962">
        <w:rPr>
          <w:noProof/>
        </w:rPr>
        <w:t>, 243–260. https://doi.org/10.1016/j.buildenv.2017.07.007</w:t>
      </w:r>
    </w:p>
    <w:p w14:paraId="027AECB9" w14:textId="77777777" w:rsidR="00112962" w:rsidRPr="00112962" w:rsidRDefault="00112962" w:rsidP="00112962">
      <w:pPr>
        <w:widowControl w:val="0"/>
        <w:autoSpaceDE w:val="0"/>
        <w:autoSpaceDN w:val="0"/>
        <w:adjustRightInd w:val="0"/>
        <w:ind w:left="480" w:hanging="480"/>
        <w:rPr>
          <w:noProof/>
        </w:rPr>
      </w:pPr>
      <w:r w:rsidRPr="00112962">
        <w:rPr>
          <w:noProof/>
        </w:rPr>
        <w:t xml:space="preserve">Elattar, S. M. S., &amp; Ahmed, E. B. (2014). Towards the Adaptation of Green Building Material Systems To the Egyptian Environment. </w:t>
      </w:r>
      <w:r w:rsidRPr="00112962">
        <w:rPr>
          <w:i/>
          <w:iCs/>
          <w:noProof/>
        </w:rPr>
        <w:t>Journal of Asian Scientific Research</w:t>
      </w:r>
      <w:r w:rsidRPr="00112962">
        <w:rPr>
          <w:noProof/>
        </w:rPr>
        <w:t xml:space="preserve">, </w:t>
      </w:r>
      <w:r w:rsidRPr="00112962">
        <w:rPr>
          <w:i/>
          <w:iCs/>
          <w:noProof/>
        </w:rPr>
        <w:t>4</w:t>
      </w:r>
      <w:r w:rsidRPr="00112962">
        <w:rPr>
          <w:noProof/>
        </w:rPr>
        <w:t>(6), 260–269.</w:t>
      </w:r>
    </w:p>
    <w:p w14:paraId="40D8302D" w14:textId="77777777" w:rsidR="00112962" w:rsidRPr="00112962" w:rsidRDefault="00112962" w:rsidP="00112962">
      <w:pPr>
        <w:widowControl w:val="0"/>
        <w:autoSpaceDE w:val="0"/>
        <w:autoSpaceDN w:val="0"/>
        <w:adjustRightInd w:val="0"/>
        <w:ind w:left="480" w:hanging="480"/>
        <w:rPr>
          <w:noProof/>
        </w:rPr>
      </w:pPr>
      <w:r w:rsidRPr="00112962">
        <w:rPr>
          <w:noProof/>
        </w:rPr>
        <w:t xml:space="preserve">Eldeeb, S. (2013). Environmental Performance Of Construction Materials – An Appraisal Of Sustainability Assessment Rating Systems. </w:t>
      </w:r>
      <w:r w:rsidRPr="00112962">
        <w:rPr>
          <w:i/>
          <w:iCs/>
          <w:noProof/>
        </w:rPr>
        <w:t>International Conference on Architecture, Civil, Urban and Environmental Engineering (ICACUEE 2013)</w:t>
      </w:r>
      <w:r w:rsidRPr="00112962">
        <w:rPr>
          <w:noProof/>
        </w:rPr>
        <w:t>.</w:t>
      </w:r>
    </w:p>
    <w:p w14:paraId="40BD0651" w14:textId="77777777" w:rsidR="00112962" w:rsidRPr="00112962" w:rsidRDefault="00112962" w:rsidP="00112962">
      <w:pPr>
        <w:widowControl w:val="0"/>
        <w:autoSpaceDE w:val="0"/>
        <w:autoSpaceDN w:val="0"/>
        <w:adjustRightInd w:val="0"/>
        <w:ind w:left="480" w:hanging="480"/>
        <w:rPr>
          <w:noProof/>
        </w:rPr>
      </w:pPr>
      <w:r w:rsidRPr="00112962">
        <w:rPr>
          <w:noProof/>
        </w:rPr>
        <w:t xml:space="preserve">Hassan, F. (2012). </w:t>
      </w:r>
      <w:r w:rsidRPr="00112962">
        <w:rPr>
          <w:i/>
          <w:iCs/>
          <w:noProof/>
        </w:rPr>
        <w:t>LEED “materials category” a critical analysis of Applicability in Egypt</w:t>
      </w:r>
      <w:r w:rsidRPr="00112962">
        <w:rPr>
          <w:noProof/>
        </w:rPr>
        <w:t>.</w:t>
      </w:r>
    </w:p>
    <w:p w14:paraId="2EA82559" w14:textId="77777777" w:rsidR="00112962" w:rsidRPr="00112962" w:rsidRDefault="00112962" w:rsidP="00112962">
      <w:pPr>
        <w:widowControl w:val="0"/>
        <w:autoSpaceDE w:val="0"/>
        <w:autoSpaceDN w:val="0"/>
        <w:adjustRightInd w:val="0"/>
        <w:ind w:left="480" w:hanging="480"/>
        <w:rPr>
          <w:noProof/>
        </w:rPr>
      </w:pPr>
      <w:r w:rsidRPr="00112962">
        <w:rPr>
          <w:noProof/>
        </w:rPr>
        <w:lastRenderedPageBreak/>
        <w:t xml:space="preserve">Housing and Building National Research Center (HBRC). (2011). </w:t>
      </w:r>
      <w:r w:rsidRPr="00112962">
        <w:rPr>
          <w:i/>
          <w:iCs/>
          <w:noProof/>
        </w:rPr>
        <w:t>The Green Pyramid Rating System - First Version</w:t>
      </w:r>
      <w:r w:rsidRPr="00112962">
        <w:rPr>
          <w:noProof/>
        </w:rPr>
        <w:t xml:space="preserve"> (Vol. 2011, Issue May 2010).</w:t>
      </w:r>
    </w:p>
    <w:p w14:paraId="03AD8B99" w14:textId="77777777" w:rsidR="00112962" w:rsidRPr="00112962" w:rsidRDefault="00112962" w:rsidP="00112962">
      <w:pPr>
        <w:widowControl w:val="0"/>
        <w:autoSpaceDE w:val="0"/>
        <w:autoSpaceDN w:val="0"/>
        <w:adjustRightInd w:val="0"/>
        <w:ind w:left="480" w:hanging="480"/>
        <w:rPr>
          <w:noProof/>
        </w:rPr>
      </w:pPr>
      <w:r w:rsidRPr="00112962">
        <w:rPr>
          <w:noProof/>
        </w:rPr>
        <w:t xml:space="preserve">Housing and Building National Research Center (HBRC). (2017). </w:t>
      </w:r>
      <w:r w:rsidRPr="00112962">
        <w:rPr>
          <w:i/>
          <w:iCs/>
          <w:noProof/>
        </w:rPr>
        <w:t>The Green Pyramid Rating System - Second Version</w:t>
      </w:r>
      <w:r w:rsidRPr="00112962">
        <w:rPr>
          <w:noProof/>
        </w:rPr>
        <w:t xml:space="preserve"> (Issue 2).</w:t>
      </w:r>
    </w:p>
    <w:p w14:paraId="33D10BE7" w14:textId="77777777" w:rsidR="00112962" w:rsidRPr="00112962" w:rsidRDefault="00112962" w:rsidP="00112962">
      <w:pPr>
        <w:widowControl w:val="0"/>
        <w:autoSpaceDE w:val="0"/>
        <w:autoSpaceDN w:val="0"/>
        <w:adjustRightInd w:val="0"/>
        <w:ind w:left="480" w:hanging="480"/>
        <w:rPr>
          <w:noProof/>
        </w:rPr>
      </w:pPr>
      <w:r w:rsidRPr="00112962">
        <w:rPr>
          <w:noProof/>
        </w:rPr>
        <w:t xml:space="preserve">Ismaeel, W. S. E., Rashed, A., &amp; Toulibah. (2018). To Be or Not to Be: The National Green Pyramid Rating System. In M. Adel, R. El Maghraby, &amp; S. Fathi (Eds.), </w:t>
      </w:r>
      <w:r w:rsidRPr="00112962">
        <w:rPr>
          <w:i/>
          <w:iCs/>
          <w:noProof/>
        </w:rPr>
        <w:t>Green Heritage Conference</w:t>
      </w:r>
      <w:r w:rsidRPr="00112962">
        <w:rPr>
          <w:noProof/>
        </w:rPr>
        <w:t xml:space="preserve"> (Issue March, pp. L–LXII). Elain Publishing House.</w:t>
      </w:r>
    </w:p>
    <w:p w14:paraId="75C273E8" w14:textId="77777777" w:rsidR="00112962" w:rsidRPr="00112962" w:rsidRDefault="00112962" w:rsidP="00112962">
      <w:pPr>
        <w:widowControl w:val="0"/>
        <w:autoSpaceDE w:val="0"/>
        <w:autoSpaceDN w:val="0"/>
        <w:adjustRightInd w:val="0"/>
        <w:ind w:left="480" w:hanging="480"/>
        <w:rPr>
          <w:noProof/>
        </w:rPr>
      </w:pPr>
      <w:r w:rsidRPr="00112962">
        <w:rPr>
          <w:noProof/>
        </w:rPr>
        <w:t xml:space="preserve">Ismail, A. M., Abo Elela, M. M., &amp; Ahmed, E. B. (2015). Localized Green Building Standards: The Anti-Globalization Thesis. </w:t>
      </w:r>
      <w:r w:rsidRPr="00112962">
        <w:rPr>
          <w:i/>
          <w:iCs/>
          <w:noProof/>
        </w:rPr>
        <w:t>Researcher</w:t>
      </w:r>
      <w:r w:rsidRPr="00112962">
        <w:rPr>
          <w:noProof/>
        </w:rPr>
        <w:t xml:space="preserve">, </w:t>
      </w:r>
      <w:r w:rsidRPr="00112962">
        <w:rPr>
          <w:i/>
          <w:iCs/>
          <w:noProof/>
        </w:rPr>
        <w:t>7</w:t>
      </w:r>
      <w:r w:rsidRPr="00112962">
        <w:rPr>
          <w:noProof/>
        </w:rPr>
        <w:t>(9), 72–82.</w:t>
      </w:r>
    </w:p>
    <w:p w14:paraId="3FE58710" w14:textId="77777777" w:rsidR="00112962" w:rsidRPr="00112962" w:rsidRDefault="00112962" w:rsidP="00112962">
      <w:pPr>
        <w:widowControl w:val="0"/>
        <w:autoSpaceDE w:val="0"/>
        <w:autoSpaceDN w:val="0"/>
        <w:adjustRightInd w:val="0"/>
        <w:ind w:left="480" w:hanging="480"/>
        <w:rPr>
          <w:noProof/>
        </w:rPr>
      </w:pPr>
      <w:r w:rsidRPr="00112962">
        <w:rPr>
          <w:noProof/>
        </w:rPr>
        <w:t xml:space="preserve">Karmany, H. M. (2016). </w:t>
      </w:r>
      <w:r w:rsidRPr="00112962">
        <w:rPr>
          <w:i/>
          <w:iCs/>
          <w:noProof/>
        </w:rPr>
        <w:t>Evaluation of green building rating systems for Egypt</w:t>
      </w:r>
      <w:r w:rsidRPr="00112962">
        <w:rPr>
          <w:noProof/>
        </w:rPr>
        <w:t xml:space="preserve"> [The American University in Cairo]. http://dar.aucegypt.edu/handle/10526/4628</w:t>
      </w:r>
    </w:p>
    <w:p w14:paraId="637B4D59" w14:textId="77777777" w:rsidR="00112962" w:rsidRPr="00112962" w:rsidRDefault="00112962" w:rsidP="00112962">
      <w:pPr>
        <w:widowControl w:val="0"/>
        <w:autoSpaceDE w:val="0"/>
        <w:autoSpaceDN w:val="0"/>
        <w:adjustRightInd w:val="0"/>
        <w:ind w:left="480" w:hanging="480"/>
        <w:rPr>
          <w:noProof/>
        </w:rPr>
      </w:pPr>
      <w:r w:rsidRPr="00112962">
        <w:rPr>
          <w:noProof/>
        </w:rPr>
        <w:t xml:space="preserve">Khalifa, S. S., Abdelkader, M., Eissa, A. M., &amp; Hamdy, A. M. (2018). Obstacles of Application of Green Pyramid Rating System (GPRS) on Local Projects in Egypt. </w:t>
      </w:r>
      <w:r w:rsidRPr="00112962">
        <w:rPr>
          <w:i/>
          <w:iCs/>
          <w:noProof/>
        </w:rPr>
        <w:t>The 4th NZAAR International Event Series on Natural and Built Environment, Cities, Sustainability and Advanced Engineering</w:t>
      </w:r>
      <w:r w:rsidRPr="00112962">
        <w:rPr>
          <w:noProof/>
        </w:rPr>
        <w:t>, 120–128. https://static1.squarespace.com/static/565bcedee4b09e25856124af/t/5a6b801a0852293fdbf7ad07/1516994747704/NZAAR+Jan+2018+Proceedings.pdf</w:t>
      </w:r>
    </w:p>
    <w:p w14:paraId="0C5335B0" w14:textId="77777777" w:rsidR="00112962" w:rsidRPr="00112962" w:rsidRDefault="00112962" w:rsidP="00112962">
      <w:pPr>
        <w:widowControl w:val="0"/>
        <w:autoSpaceDE w:val="0"/>
        <w:autoSpaceDN w:val="0"/>
        <w:adjustRightInd w:val="0"/>
        <w:ind w:left="480" w:hanging="480"/>
        <w:rPr>
          <w:noProof/>
        </w:rPr>
      </w:pPr>
      <w:r w:rsidRPr="00112962">
        <w:rPr>
          <w:noProof/>
        </w:rPr>
        <w:t xml:space="preserve">U.S. Green Building Council (USGBC). (2019). </w:t>
      </w:r>
      <w:r w:rsidRPr="00112962">
        <w:rPr>
          <w:i/>
          <w:iCs/>
          <w:noProof/>
        </w:rPr>
        <w:t>LEED v4 for Building Design and Construction</w:t>
      </w:r>
      <w:r w:rsidRPr="00112962">
        <w:rPr>
          <w:noProof/>
        </w:rPr>
        <w:t>.</w:t>
      </w:r>
    </w:p>
    <w:p w14:paraId="0E0BE856" w14:textId="54A22E3A" w:rsidR="00142C1E" w:rsidRPr="00A00E91" w:rsidRDefault="007E4F8D" w:rsidP="0098232C">
      <w:r>
        <w:lastRenderedPageBreak/>
        <w:fldChar w:fldCharType="end"/>
      </w:r>
    </w:p>
    <w:sectPr w:rsidR="00142C1E" w:rsidRPr="00A00E91" w:rsidSect="0041394A">
      <w:type w:val="continuous"/>
      <w:pgSz w:w="16840" w:h="11901"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15787" w14:textId="77777777" w:rsidR="00935D23" w:rsidRDefault="00935D23" w:rsidP="00AF2C92">
      <w:r>
        <w:separator/>
      </w:r>
    </w:p>
  </w:endnote>
  <w:endnote w:type="continuationSeparator" w:id="0">
    <w:p w14:paraId="2EDB6602" w14:textId="77777777" w:rsidR="00935D23" w:rsidRDefault="00935D23"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A8C2E" w14:textId="77777777" w:rsidR="00935D23" w:rsidRDefault="00935D23" w:rsidP="00AF2C92">
      <w:r>
        <w:separator/>
      </w:r>
    </w:p>
  </w:footnote>
  <w:footnote w:type="continuationSeparator" w:id="0">
    <w:p w14:paraId="75DDB11B" w14:textId="77777777" w:rsidR="00935D23" w:rsidRDefault="00935D23"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270E76"/>
    <w:multiLevelType w:val="hybridMultilevel"/>
    <w:tmpl w:val="D0306B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FF08EE"/>
    <w:multiLevelType w:val="hybridMultilevel"/>
    <w:tmpl w:val="660C75E6"/>
    <w:lvl w:ilvl="0" w:tplc="8DB4BE22">
      <w:start w:val="1"/>
      <w:numFmt w:val="bullet"/>
      <w:lvlText w:val=""/>
      <w:lvlJc w:val="left"/>
      <w:pPr>
        <w:ind w:left="720" w:hanging="360"/>
      </w:pPr>
      <w:rPr>
        <w:rFonts w:ascii="Symbol" w:hAnsi="Symbo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2"/>
  </w:num>
  <w:num w:numId="15">
    <w:abstractNumId w:val="14"/>
  </w:num>
  <w:num w:numId="16">
    <w:abstractNumId w:val="17"/>
  </w:num>
  <w:num w:numId="17">
    <w:abstractNumId w:val="11"/>
  </w:num>
  <w:num w:numId="18">
    <w:abstractNumId w:val="0"/>
  </w:num>
  <w:num w:numId="19">
    <w:abstractNumId w:val="12"/>
  </w:num>
  <w:num w:numId="20">
    <w:abstractNumId w:val="22"/>
  </w:num>
  <w:num w:numId="21">
    <w:abstractNumId w:val="22"/>
  </w:num>
  <w:num w:numId="22">
    <w:abstractNumId w:val="22"/>
  </w:num>
  <w:num w:numId="23">
    <w:abstractNumId w:val="22"/>
  </w:num>
  <w:num w:numId="24">
    <w:abstractNumId w:val="18"/>
  </w:num>
  <w:num w:numId="25">
    <w:abstractNumId w:val="19"/>
  </w:num>
  <w:num w:numId="26">
    <w:abstractNumId w:val="23"/>
  </w:num>
  <w:num w:numId="27">
    <w:abstractNumId w:val="24"/>
  </w:num>
  <w:num w:numId="28">
    <w:abstractNumId w:val="22"/>
  </w:num>
  <w:num w:numId="29">
    <w:abstractNumId w:val="13"/>
  </w:num>
  <w:num w:numId="30">
    <w:abstractNumId w:val="25"/>
  </w:num>
  <w:num w:numId="31">
    <w:abstractNumId w:val="2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D8"/>
    <w:rsid w:val="00001899"/>
    <w:rsid w:val="000049AD"/>
    <w:rsid w:val="0000681B"/>
    <w:rsid w:val="000133C0"/>
    <w:rsid w:val="00014C4E"/>
    <w:rsid w:val="00017107"/>
    <w:rsid w:val="000202E2"/>
    <w:rsid w:val="00022441"/>
    <w:rsid w:val="0002261E"/>
    <w:rsid w:val="00024839"/>
    <w:rsid w:val="00026871"/>
    <w:rsid w:val="00037A98"/>
    <w:rsid w:val="000427FB"/>
    <w:rsid w:val="00042DC9"/>
    <w:rsid w:val="0004455E"/>
    <w:rsid w:val="00047CB5"/>
    <w:rsid w:val="00051FAA"/>
    <w:rsid w:val="00055A17"/>
    <w:rsid w:val="000572A9"/>
    <w:rsid w:val="00061325"/>
    <w:rsid w:val="000733AC"/>
    <w:rsid w:val="00074B81"/>
    <w:rsid w:val="00074D22"/>
    <w:rsid w:val="00075081"/>
    <w:rsid w:val="0007528A"/>
    <w:rsid w:val="000811AB"/>
    <w:rsid w:val="00083C5F"/>
    <w:rsid w:val="000846BE"/>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3B36"/>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2962"/>
    <w:rsid w:val="00114ABE"/>
    <w:rsid w:val="00116023"/>
    <w:rsid w:val="00134A51"/>
    <w:rsid w:val="00140727"/>
    <w:rsid w:val="00142C1E"/>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54AA"/>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C39"/>
    <w:rsid w:val="001E7DCB"/>
    <w:rsid w:val="001F3411"/>
    <w:rsid w:val="001F4287"/>
    <w:rsid w:val="001F48BB"/>
    <w:rsid w:val="001F4DBA"/>
    <w:rsid w:val="0020415E"/>
    <w:rsid w:val="00204FF4"/>
    <w:rsid w:val="0021056E"/>
    <w:rsid w:val="0021075D"/>
    <w:rsid w:val="0021165A"/>
    <w:rsid w:val="00211BC9"/>
    <w:rsid w:val="0021620C"/>
    <w:rsid w:val="00216E78"/>
    <w:rsid w:val="00217275"/>
    <w:rsid w:val="002211DD"/>
    <w:rsid w:val="00236F4B"/>
    <w:rsid w:val="0024059F"/>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301"/>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394A"/>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07776"/>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47D8A"/>
    <w:rsid w:val="0055595E"/>
    <w:rsid w:val="00557988"/>
    <w:rsid w:val="0056254F"/>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06C3"/>
    <w:rsid w:val="005B134E"/>
    <w:rsid w:val="005B2039"/>
    <w:rsid w:val="005B344F"/>
    <w:rsid w:val="005B3FBA"/>
    <w:rsid w:val="005B4A1D"/>
    <w:rsid w:val="005B674D"/>
    <w:rsid w:val="005C056D"/>
    <w:rsid w:val="005C0CBE"/>
    <w:rsid w:val="005C1FCF"/>
    <w:rsid w:val="005C3F41"/>
    <w:rsid w:val="005D1885"/>
    <w:rsid w:val="005D2E31"/>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1CC1"/>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3B47"/>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E4F8D"/>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2C16"/>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69BA"/>
    <w:rsid w:val="008F755D"/>
    <w:rsid w:val="008F7A39"/>
    <w:rsid w:val="009021E8"/>
    <w:rsid w:val="00904677"/>
    <w:rsid w:val="00905EE2"/>
    <w:rsid w:val="00911289"/>
    <w:rsid w:val="00911440"/>
    <w:rsid w:val="00911712"/>
    <w:rsid w:val="00911B27"/>
    <w:rsid w:val="009170BE"/>
    <w:rsid w:val="00920B55"/>
    <w:rsid w:val="009262C9"/>
    <w:rsid w:val="00930EB9"/>
    <w:rsid w:val="00933DC7"/>
    <w:rsid w:val="00935D23"/>
    <w:rsid w:val="009418F4"/>
    <w:rsid w:val="00942BBC"/>
    <w:rsid w:val="00944180"/>
    <w:rsid w:val="00944AA0"/>
    <w:rsid w:val="00947DA2"/>
    <w:rsid w:val="00951177"/>
    <w:rsid w:val="00951D5E"/>
    <w:rsid w:val="009673E8"/>
    <w:rsid w:val="00974DB8"/>
    <w:rsid w:val="00980661"/>
    <w:rsid w:val="0098093B"/>
    <w:rsid w:val="0098232C"/>
    <w:rsid w:val="009876D4"/>
    <w:rsid w:val="009914A5"/>
    <w:rsid w:val="00994661"/>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0E91"/>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4DA8"/>
    <w:rsid w:val="00A651A4"/>
    <w:rsid w:val="00A654D7"/>
    <w:rsid w:val="00A67772"/>
    <w:rsid w:val="00A71361"/>
    <w:rsid w:val="00A746E2"/>
    <w:rsid w:val="00A81FF2"/>
    <w:rsid w:val="00A83904"/>
    <w:rsid w:val="00A90A79"/>
    <w:rsid w:val="00A93ABD"/>
    <w:rsid w:val="00A96B30"/>
    <w:rsid w:val="00AA442D"/>
    <w:rsid w:val="00AA59B5"/>
    <w:rsid w:val="00AA7777"/>
    <w:rsid w:val="00AA7B84"/>
    <w:rsid w:val="00AB473E"/>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2CAE"/>
    <w:rsid w:val="00B077FA"/>
    <w:rsid w:val="00B127D7"/>
    <w:rsid w:val="00B13B0C"/>
    <w:rsid w:val="00B14408"/>
    <w:rsid w:val="00B1453A"/>
    <w:rsid w:val="00B20F82"/>
    <w:rsid w:val="00B25BD5"/>
    <w:rsid w:val="00B34079"/>
    <w:rsid w:val="00B3793A"/>
    <w:rsid w:val="00B401BA"/>
    <w:rsid w:val="00B407E4"/>
    <w:rsid w:val="00B41825"/>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847F5"/>
    <w:rsid w:val="00B91A7B"/>
    <w:rsid w:val="00B929DD"/>
    <w:rsid w:val="00B93AF6"/>
    <w:rsid w:val="00B95405"/>
    <w:rsid w:val="00B963F1"/>
    <w:rsid w:val="00BA020A"/>
    <w:rsid w:val="00BA0D86"/>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2E0D"/>
    <w:rsid w:val="00C13D28"/>
    <w:rsid w:val="00C14585"/>
    <w:rsid w:val="00C165A0"/>
    <w:rsid w:val="00C216CE"/>
    <w:rsid w:val="00C2184F"/>
    <w:rsid w:val="00C22A78"/>
    <w:rsid w:val="00C23C7E"/>
    <w:rsid w:val="00C246C5"/>
    <w:rsid w:val="00C25A82"/>
    <w:rsid w:val="00C27B6F"/>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14F8"/>
    <w:rsid w:val="00D23B76"/>
    <w:rsid w:val="00D24B4A"/>
    <w:rsid w:val="00D35555"/>
    <w:rsid w:val="00D379A3"/>
    <w:rsid w:val="00D45FF3"/>
    <w:rsid w:val="00D512CF"/>
    <w:rsid w:val="00D528B9"/>
    <w:rsid w:val="00D53186"/>
    <w:rsid w:val="00D5487D"/>
    <w:rsid w:val="00D60140"/>
    <w:rsid w:val="00D6024A"/>
    <w:rsid w:val="00D608B5"/>
    <w:rsid w:val="00D64739"/>
    <w:rsid w:val="00D65BF3"/>
    <w:rsid w:val="00D709D8"/>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B4AA3"/>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04D9"/>
    <w:rsid w:val="00E01BAA"/>
    <w:rsid w:val="00E0282A"/>
    <w:rsid w:val="00E02F9B"/>
    <w:rsid w:val="00E07E14"/>
    <w:rsid w:val="00E13EE6"/>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2A1D"/>
    <w:rsid w:val="00F2389C"/>
    <w:rsid w:val="00F25C67"/>
    <w:rsid w:val="00F30DFF"/>
    <w:rsid w:val="00F327AE"/>
    <w:rsid w:val="00F32B80"/>
    <w:rsid w:val="00F340EB"/>
    <w:rsid w:val="00F35285"/>
    <w:rsid w:val="00F43B9D"/>
    <w:rsid w:val="00F44D5E"/>
    <w:rsid w:val="00F45F4D"/>
    <w:rsid w:val="00F53A35"/>
    <w:rsid w:val="00F55A3D"/>
    <w:rsid w:val="00F5744B"/>
    <w:rsid w:val="00F61209"/>
    <w:rsid w:val="00F6259E"/>
    <w:rsid w:val="00F65DD4"/>
    <w:rsid w:val="00F66D22"/>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376C"/>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38201"/>
  <w14:defaultImageDpi w14:val="330"/>
  <w15:docId w15:val="{F0068B7F-2D17-4C63-80A2-0D0D6E0C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table" w:styleId="TableGrid">
    <w:name w:val="Table Grid"/>
    <w:basedOn w:val="TableNormal"/>
    <w:uiPriority w:val="39"/>
    <w:unhideWhenUsed/>
    <w:rsid w:val="0098232C"/>
    <w:pPr>
      <w:jc w:val="both"/>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677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6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E~1\AppData\Local\Temp\Rar$DI00.000\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C8EEE7993BE14B96AAC0B68BEE30EE" ma:contentTypeVersion="13" ma:contentTypeDescription="Create a new document." ma:contentTypeScope="" ma:versionID="4d42cab2a7684c8d64ae9effd8c8a85c">
  <xsd:schema xmlns:xsd="http://www.w3.org/2001/XMLSchema" xmlns:xs="http://www.w3.org/2001/XMLSchema" xmlns:p="http://schemas.microsoft.com/office/2006/metadata/properties" xmlns:ns3="e4807109-feeb-4ab6-94f8-89914508c21f" xmlns:ns4="8c302792-5500-4278-9c2e-165501623ce2" targetNamespace="http://schemas.microsoft.com/office/2006/metadata/properties" ma:root="true" ma:fieldsID="6bf71dee2256d5940fa3895565182224" ns3:_="" ns4:_="">
    <xsd:import namespace="e4807109-feeb-4ab6-94f8-89914508c21f"/>
    <xsd:import namespace="8c302792-5500-4278-9c2e-165501623c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07109-feeb-4ab6-94f8-89914508c2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02792-5500-4278-9c2e-165501623c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16503-B125-4348-94DA-125A6540F6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4E3E86-491B-43EF-997D-840B7B8B7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07109-feeb-4ab6-94f8-89914508c21f"/>
    <ds:schemaRef ds:uri="8c302792-5500-4278-9c2e-165501623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5FD39-5399-4034-A544-65A20B72B52B}">
  <ds:schemaRefs>
    <ds:schemaRef ds:uri="http://schemas.microsoft.com/sharepoint/v3/contenttype/forms"/>
  </ds:schemaRefs>
</ds:datastoreItem>
</file>

<file path=customXml/itemProps4.xml><?xml version="1.0" encoding="utf-8"?>
<ds:datastoreItem xmlns:ds="http://schemas.openxmlformats.org/officeDocument/2006/customXml" ds:itemID="{368797D7-A1DC-4F5E-8126-EB1474CE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92</TotalTime>
  <Pages>9</Pages>
  <Words>8239</Words>
  <Characters>46966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55095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Ahmed Daoud</dc:creator>
  <cp:lastModifiedBy>Ahmed Daoud</cp:lastModifiedBy>
  <cp:revision>12</cp:revision>
  <cp:lastPrinted>2011-07-22T14:54:00Z</cp:lastPrinted>
  <dcterms:created xsi:type="dcterms:W3CDTF">2020-07-03T13:47:00Z</dcterms:created>
  <dcterms:modified xsi:type="dcterms:W3CDTF">2020-07-30T15:15:00Z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0x01010043C8EEE7993BE14B96AAC0B68BEE30EE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http://www.zotero.org/styles/harvard-london-south-bank-university</vt:lpwstr>
  </property>
  <property fmtid="{D5CDD505-2E9C-101B-9397-08002B2CF9AE}" pid="16" name="Mendeley Recent Style Name 6_1">
    <vt:lpwstr>London South Bank University - Harvard</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de7c3fc3-7739-3d49-80df-f112c61d7e9c</vt:lpwstr>
  </property>
  <property fmtid="{D5CDD505-2E9C-101B-9397-08002B2CF9AE}" pid="25" name="Mendeley Citation Style_1">
    <vt:lpwstr>http://www.zotero.org/styles/apa</vt:lpwstr>
  </property>
</Properties>
</file>