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0628" w14:textId="33469EC7" w:rsidR="009B40EA" w:rsidRPr="008028D6" w:rsidRDefault="00C02D6C" w:rsidP="004B456E">
      <w:pPr>
        <w:jc w:val="center"/>
        <w:rPr>
          <w:b/>
          <w:bCs/>
          <w:color w:val="000000" w:themeColor="text1"/>
          <w:u w:val="single"/>
        </w:rPr>
      </w:pPr>
      <w:r w:rsidRPr="008028D6">
        <w:rPr>
          <w:b/>
          <w:bCs/>
          <w:color w:val="000000" w:themeColor="text1"/>
          <w:u w:val="single"/>
        </w:rPr>
        <w:t xml:space="preserve">A </w:t>
      </w:r>
      <w:r w:rsidRPr="008028D6">
        <w:rPr>
          <w:b/>
          <w:bCs/>
          <w:i/>
          <w:color w:val="000000" w:themeColor="text1"/>
          <w:u w:val="single"/>
        </w:rPr>
        <w:t xml:space="preserve">Sexual </w:t>
      </w:r>
      <w:proofErr w:type="gramStart"/>
      <w:r w:rsidRPr="008028D6">
        <w:rPr>
          <w:b/>
          <w:bCs/>
          <w:color w:val="000000" w:themeColor="text1"/>
          <w:u w:val="single"/>
        </w:rPr>
        <w:t>Harm?:</w:t>
      </w:r>
      <w:proofErr w:type="gramEnd"/>
      <w:r w:rsidRPr="008028D6">
        <w:rPr>
          <w:b/>
          <w:bCs/>
          <w:color w:val="000000" w:themeColor="text1"/>
          <w:u w:val="single"/>
        </w:rPr>
        <w:t xml:space="preserve"> HIV Transmission, “Biological” GBH</w:t>
      </w:r>
      <w:r w:rsidR="00120EB3" w:rsidRPr="008028D6">
        <w:rPr>
          <w:b/>
          <w:bCs/>
          <w:color w:val="000000" w:themeColor="text1"/>
          <w:u w:val="single"/>
        </w:rPr>
        <w:t>,</w:t>
      </w:r>
      <w:r w:rsidRPr="008028D6">
        <w:rPr>
          <w:b/>
          <w:bCs/>
          <w:color w:val="000000" w:themeColor="text1"/>
          <w:u w:val="single"/>
        </w:rPr>
        <w:t xml:space="preserve"> and Ancillary Sentencing Provisions in England and Wales</w:t>
      </w:r>
    </w:p>
    <w:p w14:paraId="14EAC2C5" w14:textId="185778C8" w:rsidR="00B04588" w:rsidRPr="008028D6" w:rsidRDefault="00B04588" w:rsidP="00B04588">
      <w:pPr>
        <w:jc w:val="both"/>
        <w:rPr>
          <w:i/>
          <w:iCs/>
          <w:color w:val="ED7D31" w:themeColor="accent2"/>
        </w:rPr>
      </w:pPr>
      <w:r w:rsidRPr="008028D6">
        <w:rPr>
          <w:i/>
          <w:iCs/>
          <w:color w:val="000000" w:themeColor="text1"/>
        </w:rPr>
        <w:t xml:space="preserve">Abstract: This paper examines the scope and meaning of ‘sexual harm’ within the context of ancillary sentencing orders in England and Wales. It argues that the statutory </w:t>
      </w:r>
      <w:r w:rsidRPr="0065242E">
        <w:rPr>
          <w:i/>
          <w:iCs/>
        </w:rPr>
        <w:t>definition</w:t>
      </w:r>
      <w:r w:rsidR="0065242E" w:rsidRPr="0065242E">
        <w:rPr>
          <w:i/>
          <w:iCs/>
        </w:rPr>
        <w:t xml:space="preserve"> provided </w:t>
      </w:r>
      <w:r w:rsidRPr="0065242E">
        <w:rPr>
          <w:i/>
          <w:iCs/>
        </w:rPr>
        <w:t xml:space="preserve">in </w:t>
      </w:r>
      <w:r w:rsidRPr="008028D6">
        <w:rPr>
          <w:i/>
          <w:iCs/>
          <w:color w:val="000000" w:themeColor="text1"/>
        </w:rPr>
        <w:t>the Sexual Offences Act 2003</w:t>
      </w:r>
      <w:r w:rsidR="000C7D63">
        <w:rPr>
          <w:i/>
          <w:iCs/>
          <w:color w:val="000000" w:themeColor="text1"/>
        </w:rPr>
        <w:t xml:space="preserve"> </w:t>
      </w:r>
      <w:r w:rsidRPr="008028D6">
        <w:rPr>
          <w:i/>
          <w:iCs/>
          <w:color w:val="000000" w:themeColor="text1"/>
        </w:rPr>
        <w:t xml:space="preserve">does not extend to the transmission of sexually communicable infections and that, subsequently, it is inappropriate for Sexual Harm Prevention Orders to be imposed with the aim of preventing STI transmissions. It suggests that recent case law reinforces this point and that the questions this raises reflect the broader need for further scrutiny of the aims and purposes of sentencing, and criminalisation more generally, in instances of STI transmission. </w:t>
      </w:r>
    </w:p>
    <w:p w14:paraId="0D3EBC09" w14:textId="3E751382" w:rsidR="00B04588" w:rsidRPr="008028D6" w:rsidRDefault="00B04588" w:rsidP="00B04588">
      <w:pPr>
        <w:jc w:val="both"/>
        <w:rPr>
          <w:i/>
          <w:iCs/>
          <w:color w:val="000000" w:themeColor="text1"/>
        </w:rPr>
      </w:pPr>
      <w:r w:rsidRPr="008028D6">
        <w:rPr>
          <w:i/>
          <w:iCs/>
          <w:color w:val="000000" w:themeColor="text1"/>
        </w:rPr>
        <w:t>Keywords: Sexual Harm Prevention Orders; Sexually Transmitted Infections; Pt 2 Sexual Offences Act 2003;</w:t>
      </w:r>
      <w:r w:rsidR="004731B4">
        <w:rPr>
          <w:i/>
          <w:iCs/>
          <w:color w:val="92D050"/>
        </w:rPr>
        <w:t xml:space="preserve"> </w:t>
      </w:r>
      <w:r w:rsidRPr="008028D6">
        <w:rPr>
          <w:i/>
          <w:iCs/>
          <w:color w:val="000000" w:themeColor="text1"/>
        </w:rPr>
        <w:t>Sexual Behaviour; Sentencing</w:t>
      </w:r>
    </w:p>
    <w:p w14:paraId="426E36F9" w14:textId="77777777" w:rsidR="00C02D6C" w:rsidRPr="008028D6" w:rsidRDefault="00C02D6C" w:rsidP="00221A04">
      <w:pPr>
        <w:pStyle w:val="Heading1"/>
        <w:jc w:val="both"/>
        <w:rPr>
          <w:color w:val="000000" w:themeColor="text1"/>
        </w:rPr>
      </w:pPr>
      <w:r w:rsidRPr="008028D6">
        <w:rPr>
          <w:color w:val="000000" w:themeColor="text1"/>
        </w:rPr>
        <w:t>Introduction</w:t>
      </w:r>
    </w:p>
    <w:p w14:paraId="124B4FA1" w14:textId="6E5CC84E" w:rsidR="00275D1B" w:rsidRPr="008028D6" w:rsidRDefault="00C02D6C" w:rsidP="00221A04">
      <w:pPr>
        <w:jc w:val="both"/>
        <w:rPr>
          <w:rFonts w:cstheme="minorHAnsi"/>
          <w:color w:val="000000" w:themeColor="text1"/>
        </w:rPr>
      </w:pPr>
      <w:r w:rsidRPr="008028D6">
        <w:rPr>
          <w:rFonts w:cstheme="minorHAnsi"/>
          <w:color w:val="000000" w:themeColor="text1"/>
        </w:rPr>
        <w:t xml:space="preserve">The continued criminalisation of HIV transmission, along with the limited </w:t>
      </w:r>
      <w:r w:rsidR="00FA4FE4" w:rsidRPr="008028D6">
        <w:rPr>
          <w:rFonts w:cstheme="minorHAnsi"/>
          <w:color w:val="000000" w:themeColor="text1"/>
        </w:rPr>
        <w:t>use</w:t>
      </w:r>
      <w:r w:rsidRPr="008028D6">
        <w:rPr>
          <w:rFonts w:cstheme="minorHAnsi"/>
          <w:color w:val="000000" w:themeColor="text1"/>
        </w:rPr>
        <w:t xml:space="preserve"> of the criminal law in instances where other sexually transmitted infections are passed</w:t>
      </w:r>
      <w:r w:rsidR="00DB5A00" w:rsidRPr="008028D6">
        <w:rPr>
          <w:rFonts w:cstheme="minorHAnsi"/>
          <w:color w:val="000000" w:themeColor="text1"/>
        </w:rPr>
        <w:t xml:space="preserve"> between sexual partners, </w:t>
      </w:r>
      <w:r w:rsidRPr="008028D6">
        <w:rPr>
          <w:rFonts w:cstheme="minorHAnsi"/>
          <w:color w:val="000000" w:themeColor="text1"/>
        </w:rPr>
        <w:t xml:space="preserve">remains a contentious </w:t>
      </w:r>
      <w:r w:rsidR="00DB5A00" w:rsidRPr="008028D6">
        <w:rPr>
          <w:rFonts w:cstheme="minorHAnsi"/>
          <w:color w:val="000000" w:themeColor="text1"/>
        </w:rPr>
        <w:t xml:space="preserve">legal issue. In the decade and a half since </w:t>
      </w:r>
      <w:r w:rsidR="00DB5A00" w:rsidRPr="008028D6">
        <w:rPr>
          <w:rFonts w:cstheme="minorHAnsi"/>
          <w:i/>
          <w:color w:val="000000" w:themeColor="text1"/>
        </w:rPr>
        <w:t xml:space="preserve">Dica </w:t>
      </w:r>
      <w:r w:rsidR="00DB5A00" w:rsidRPr="008028D6">
        <w:rPr>
          <w:rFonts w:cstheme="minorHAnsi"/>
          <w:color w:val="000000" w:themeColor="text1"/>
        </w:rPr>
        <w:t xml:space="preserve">and </w:t>
      </w:r>
      <w:r w:rsidR="00DB5A00" w:rsidRPr="008028D6">
        <w:rPr>
          <w:rFonts w:cstheme="minorHAnsi"/>
          <w:i/>
          <w:color w:val="000000" w:themeColor="text1"/>
        </w:rPr>
        <w:t>Konzani</w:t>
      </w:r>
      <w:r w:rsidR="00DB5A00" w:rsidRPr="008028D6">
        <w:rPr>
          <w:rFonts w:cstheme="minorHAnsi"/>
          <w:color w:val="000000" w:themeColor="text1"/>
        </w:rPr>
        <w:t>, which firmly established the application of s</w:t>
      </w:r>
      <w:r w:rsidR="00FD474E" w:rsidRPr="008028D6">
        <w:rPr>
          <w:rFonts w:cstheme="minorHAnsi"/>
          <w:color w:val="000000" w:themeColor="text1"/>
        </w:rPr>
        <w:t>s</w:t>
      </w:r>
      <w:r w:rsidR="00B7698E" w:rsidRPr="008028D6">
        <w:rPr>
          <w:rFonts w:cstheme="minorHAnsi"/>
          <w:color w:val="000000" w:themeColor="text1"/>
        </w:rPr>
        <w:t xml:space="preserve"> </w:t>
      </w:r>
      <w:r w:rsidR="00DB5A00" w:rsidRPr="008028D6">
        <w:rPr>
          <w:rFonts w:cstheme="minorHAnsi"/>
          <w:color w:val="000000" w:themeColor="text1"/>
        </w:rPr>
        <w:t>18 and 20</w:t>
      </w:r>
      <w:r w:rsidR="00FD474E" w:rsidRPr="008028D6">
        <w:rPr>
          <w:rFonts w:cstheme="minorHAnsi"/>
          <w:color w:val="000000" w:themeColor="text1"/>
        </w:rPr>
        <w:t xml:space="preserve"> of the</w:t>
      </w:r>
      <w:r w:rsidR="00DB5A00" w:rsidRPr="008028D6">
        <w:rPr>
          <w:rFonts w:cstheme="minorHAnsi"/>
          <w:color w:val="000000" w:themeColor="text1"/>
        </w:rPr>
        <w:t xml:space="preserve"> Offences Against the Person Act 1861</w:t>
      </w:r>
      <w:r w:rsidR="00B53D95" w:rsidRPr="008028D6">
        <w:rPr>
          <w:rFonts w:cstheme="minorHAnsi"/>
          <w:color w:val="000000" w:themeColor="text1"/>
        </w:rPr>
        <w:t xml:space="preserve"> (“OAPA 1861”)</w:t>
      </w:r>
      <w:r w:rsidR="008012CC" w:rsidRPr="008028D6">
        <w:rPr>
          <w:rFonts w:cstheme="minorHAnsi"/>
          <w:color w:val="000000" w:themeColor="text1"/>
        </w:rPr>
        <w:t xml:space="preserve"> </w:t>
      </w:r>
      <w:r w:rsidR="00DB5A00" w:rsidRPr="008028D6">
        <w:rPr>
          <w:rFonts w:cstheme="minorHAnsi"/>
          <w:color w:val="000000" w:themeColor="text1"/>
        </w:rPr>
        <w:t>in transmission cases,</w:t>
      </w:r>
      <w:r w:rsidR="008143C8" w:rsidRPr="008028D6">
        <w:rPr>
          <w:rStyle w:val="FootnoteReference"/>
          <w:rFonts w:cstheme="minorHAnsi"/>
          <w:color w:val="000000" w:themeColor="text1"/>
        </w:rPr>
        <w:footnoteReference w:id="1"/>
      </w:r>
      <w:r w:rsidR="00ED5EE8" w:rsidRPr="008028D6">
        <w:rPr>
          <w:rFonts w:cstheme="minorHAnsi"/>
          <w:color w:val="000000" w:themeColor="text1"/>
        </w:rPr>
        <w:t xml:space="preserve"> </w:t>
      </w:r>
      <w:r w:rsidR="00F710DC" w:rsidRPr="008028D6">
        <w:rPr>
          <w:rFonts w:cstheme="minorHAnsi"/>
          <w:color w:val="000000" w:themeColor="text1"/>
        </w:rPr>
        <w:t>there has been extensive debate</w:t>
      </w:r>
      <w:r w:rsidR="001C7042" w:rsidRPr="008028D6">
        <w:rPr>
          <w:rFonts w:cstheme="minorHAnsi"/>
          <w:color w:val="000000" w:themeColor="text1"/>
        </w:rPr>
        <w:t xml:space="preserve"> </w:t>
      </w:r>
      <w:r w:rsidR="008119FB" w:rsidRPr="008028D6">
        <w:rPr>
          <w:rFonts w:cstheme="minorHAnsi"/>
          <w:color w:val="000000" w:themeColor="text1"/>
        </w:rPr>
        <w:t>surroundin</w:t>
      </w:r>
      <w:r w:rsidR="00886475" w:rsidRPr="008028D6">
        <w:rPr>
          <w:rFonts w:cstheme="minorHAnsi"/>
          <w:color w:val="000000" w:themeColor="text1"/>
        </w:rPr>
        <w:t>g</w:t>
      </w:r>
      <w:r w:rsidR="008119FB" w:rsidRPr="008028D6">
        <w:rPr>
          <w:rFonts w:cstheme="minorHAnsi"/>
          <w:color w:val="000000" w:themeColor="text1"/>
        </w:rPr>
        <w:t xml:space="preserve"> the </w:t>
      </w:r>
      <w:r w:rsidR="00DA6CE0" w:rsidRPr="008028D6">
        <w:rPr>
          <w:rFonts w:cstheme="minorHAnsi"/>
          <w:color w:val="000000" w:themeColor="text1"/>
        </w:rPr>
        <w:t>overall use of the criminal law in this area</w:t>
      </w:r>
      <w:r w:rsidR="0083345D" w:rsidRPr="008028D6">
        <w:rPr>
          <w:rFonts w:cstheme="minorHAnsi"/>
          <w:color w:val="000000" w:themeColor="text1"/>
        </w:rPr>
        <w:t xml:space="preserve"> and </w:t>
      </w:r>
      <w:r w:rsidR="00DA6CE0" w:rsidRPr="008028D6">
        <w:rPr>
          <w:rFonts w:cstheme="minorHAnsi"/>
          <w:color w:val="000000" w:themeColor="text1"/>
        </w:rPr>
        <w:t>the nature and adequacy of consent as a defence</w:t>
      </w:r>
      <w:r w:rsidR="0083345D" w:rsidRPr="008028D6">
        <w:rPr>
          <w:rFonts w:cstheme="minorHAnsi"/>
          <w:color w:val="000000" w:themeColor="text1"/>
        </w:rPr>
        <w:t>.</w:t>
      </w:r>
      <w:r w:rsidR="003039FE" w:rsidRPr="008028D6">
        <w:rPr>
          <w:rStyle w:val="FootnoteReference"/>
          <w:rFonts w:cstheme="minorHAnsi"/>
          <w:color w:val="000000" w:themeColor="text1"/>
        </w:rPr>
        <w:footnoteReference w:id="2"/>
      </w:r>
      <w:r w:rsidR="0083345D" w:rsidRPr="008028D6">
        <w:rPr>
          <w:rFonts w:cstheme="minorHAnsi"/>
          <w:color w:val="000000" w:themeColor="text1"/>
        </w:rPr>
        <w:t xml:space="preserve"> Alongside</w:t>
      </w:r>
      <w:r w:rsidR="00500284" w:rsidRPr="008028D6">
        <w:rPr>
          <w:rFonts w:cstheme="minorHAnsi"/>
          <w:color w:val="000000" w:themeColor="text1"/>
        </w:rPr>
        <w:t xml:space="preserve"> this, there has also been</w:t>
      </w:r>
      <w:r w:rsidR="00836AED" w:rsidRPr="008028D6">
        <w:rPr>
          <w:rFonts w:cstheme="minorHAnsi"/>
          <w:color w:val="000000" w:themeColor="text1"/>
        </w:rPr>
        <w:t xml:space="preserve"> </w:t>
      </w:r>
      <w:r w:rsidR="005F6195" w:rsidRPr="008028D6">
        <w:rPr>
          <w:rFonts w:cstheme="minorHAnsi"/>
          <w:color w:val="000000" w:themeColor="text1"/>
        </w:rPr>
        <w:t xml:space="preserve">considerable debate over </w:t>
      </w:r>
      <w:r w:rsidR="00DA6CE0" w:rsidRPr="008028D6">
        <w:rPr>
          <w:rFonts w:cstheme="minorHAnsi"/>
          <w:color w:val="000000" w:themeColor="text1"/>
        </w:rPr>
        <w:t xml:space="preserve">the impact of </w:t>
      </w:r>
      <w:r w:rsidR="0046159F" w:rsidRPr="008028D6">
        <w:rPr>
          <w:rFonts w:cstheme="minorHAnsi"/>
          <w:color w:val="000000" w:themeColor="text1"/>
        </w:rPr>
        <w:t>condom us</w:t>
      </w:r>
      <w:r w:rsidR="00500284" w:rsidRPr="008028D6">
        <w:rPr>
          <w:rFonts w:cstheme="minorHAnsi"/>
          <w:color w:val="000000" w:themeColor="text1"/>
        </w:rPr>
        <w:t>ag</w:t>
      </w:r>
      <w:r w:rsidR="0046159F" w:rsidRPr="008028D6">
        <w:rPr>
          <w:rFonts w:cstheme="minorHAnsi"/>
          <w:color w:val="000000" w:themeColor="text1"/>
        </w:rPr>
        <w:t>e</w:t>
      </w:r>
      <w:r w:rsidR="005F6195" w:rsidRPr="008028D6">
        <w:rPr>
          <w:rFonts w:cstheme="minorHAnsi"/>
          <w:color w:val="000000" w:themeColor="text1"/>
        </w:rPr>
        <w:t xml:space="preserve"> and,</w:t>
      </w:r>
      <w:r w:rsidR="0046159F" w:rsidRPr="008028D6">
        <w:rPr>
          <w:rFonts w:cstheme="minorHAnsi"/>
          <w:color w:val="000000" w:themeColor="text1"/>
        </w:rPr>
        <w:t xml:space="preserve"> more recently, the impact of </w:t>
      </w:r>
      <w:r w:rsidR="00FF41EB" w:rsidRPr="008028D6">
        <w:rPr>
          <w:rFonts w:cstheme="minorHAnsi"/>
          <w:color w:val="000000" w:themeColor="text1"/>
        </w:rPr>
        <w:t>pharmaceutical prevention techniques</w:t>
      </w:r>
      <w:r w:rsidR="00500284" w:rsidRPr="008028D6">
        <w:rPr>
          <w:rFonts w:cstheme="minorHAnsi"/>
          <w:color w:val="000000" w:themeColor="text1"/>
        </w:rPr>
        <w:t xml:space="preserve">, </w:t>
      </w:r>
      <w:r w:rsidR="00FF41EB" w:rsidRPr="008028D6">
        <w:rPr>
          <w:rFonts w:cstheme="minorHAnsi"/>
          <w:color w:val="000000" w:themeColor="text1"/>
        </w:rPr>
        <w:t>in the form of Pre-Exposure Prophylaxis</w:t>
      </w:r>
      <w:r w:rsidR="00733272" w:rsidRPr="008028D6">
        <w:rPr>
          <w:rFonts w:cstheme="minorHAnsi"/>
          <w:color w:val="000000" w:themeColor="text1"/>
        </w:rPr>
        <w:t xml:space="preserve"> (“</w:t>
      </w:r>
      <w:proofErr w:type="spellStart"/>
      <w:r w:rsidR="00733272" w:rsidRPr="008028D6">
        <w:rPr>
          <w:rFonts w:cstheme="minorHAnsi"/>
          <w:color w:val="000000" w:themeColor="text1"/>
        </w:rPr>
        <w:t>PrEP</w:t>
      </w:r>
      <w:proofErr w:type="spellEnd"/>
      <w:r w:rsidR="00733272" w:rsidRPr="008028D6">
        <w:rPr>
          <w:rFonts w:cstheme="minorHAnsi"/>
          <w:color w:val="000000" w:themeColor="text1"/>
        </w:rPr>
        <w:t>”)</w:t>
      </w:r>
      <w:r w:rsidR="00FF41EB" w:rsidRPr="008028D6">
        <w:rPr>
          <w:rFonts w:cstheme="minorHAnsi"/>
          <w:color w:val="000000" w:themeColor="text1"/>
        </w:rPr>
        <w:t xml:space="preserve"> and the use of</w:t>
      </w:r>
      <w:r w:rsidR="00733272" w:rsidRPr="008028D6">
        <w:rPr>
          <w:rFonts w:cstheme="minorHAnsi"/>
          <w:color w:val="000000" w:themeColor="text1"/>
        </w:rPr>
        <w:t xml:space="preserve"> treatment as a form of prevention (“</w:t>
      </w:r>
      <w:proofErr w:type="spellStart"/>
      <w:r w:rsidR="00733272" w:rsidRPr="008028D6">
        <w:rPr>
          <w:rFonts w:cstheme="minorHAnsi"/>
          <w:color w:val="000000" w:themeColor="text1"/>
        </w:rPr>
        <w:t>TasP</w:t>
      </w:r>
      <w:proofErr w:type="spellEnd"/>
      <w:r w:rsidR="00733272" w:rsidRPr="008028D6">
        <w:rPr>
          <w:rFonts w:cstheme="minorHAnsi"/>
          <w:color w:val="000000" w:themeColor="text1"/>
        </w:rPr>
        <w:t>”).</w:t>
      </w:r>
      <w:r w:rsidR="008B6242" w:rsidRPr="008028D6">
        <w:rPr>
          <w:rStyle w:val="FootnoteReference"/>
          <w:rFonts w:cstheme="minorHAnsi"/>
          <w:color w:val="000000" w:themeColor="text1"/>
        </w:rPr>
        <w:footnoteReference w:id="3"/>
      </w:r>
      <w:r w:rsidR="009F389B" w:rsidRPr="008028D6">
        <w:rPr>
          <w:rFonts w:cstheme="minorHAnsi"/>
          <w:color w:val="000000" w:themeColor="text1"/>
        </w:rPr>
        <w:t xml:space="preserve"> </w:t>
      </w:r>
    </w:p>
    <w:p w14:paraId="17F2BA1E" w14:textId="2DA81A23" w:rsidR="00825708" w:rsidRPr="008028D6" w:rsidRDefault="004B4015" w:rsidP="00221A04">
      <w:pPr>
        <w:jc w:val="both"/>
        <w:rPr>
          <w:rFonts w:cstheme="minorHAnsi"/>
          <w:color w:val="000000" w:themeColor="text1"/>
        </w:rPr>
      </w:pPr>
      <w:r w:rsidRPr="008028D6">
        <w:rPr>
          <w:rFonts w:cstheme="minorHAnsi"/>
          <w:color w:val="000000" w:themeColor="text1"/>
        </w:rPr>
        <w:t>T</w:t>
      </w:r>
      <w:r w:rsidR="00350F6E" w:rsidRPr="008028D6">
        <w:rPr>
          <w:rFonts w:cstheme="minorHAnsi"/>
          <w:color w:val="000000" w:themeColor="text1"/>
        </w:rPr>
        <w:t xml:space="preserve">he issue of how to effectively sentence in STI transmission cases has also </w:t>
      </w:r>
      <w:r w:rsidR="000F32D8" w:rsidRPr="008028D6">
        <w:rPr>
          <w:rFonts w:cstheme="minorHAnsi"/>
          <w:color w:val="000000" w:themeColor="text1"/>
        </w:rPr>
        <w:t>been</w:t>
      </w:r>
      <w:r w:rsidR="00FD474E" w:rsidRPr="008028D6">
        <w:rPr>
          <w:rFonts w:cstheme="minorHAnsi"/>
          <w:color w:val="000000" w:themeColor="text1"/>
        </w:rPr>
        <w:t xml:space="preserve"> a point of contention</w:t>
      </w:r>
      <w:r w:rsidR="000F32D8" w:rsidRPr="008028D6">
        <w:rPr>
          <w:rFonts w:cstheme="minorHAnsi"/>
          <w:color w:val="000000" w:themeColor="text1"/>
        </w:rPr>
        <w:t xml:space="preserve">. </w:t>
      </w:r>
      <w:r w:rsidR="00BF5160" w:rsidRPr="008028D6">
        <w:rPr>
          <w:rFonts w:cstheme="minorHAnsi"/>
          <w:color w:val="000000" w:themeColor="text1"/>
        </w:rPr>
        <w:t xml:space="preserve">Phillips and </w:t>
      </w:r>
      <w:proofErr w:type="spellStart"/>
      <w:r w:rsidR="00BF5160" w:rsidRPr="008028D6">
        <w:rPr>
          <w:rFonts w:cstheme="minorHAnsi"/>
          <w:color w:val="000000" w:themeColor="text1"/>
        </w:rPr>
        <w:t>Sukthankar</w:t>
      </w:r>
      <w:proofErr w:type="spellEnd"/>
      <w:r w:rsidR="000F32D8" w:rsidRPr="008028D6">
        <w:rPr>
          <w:rFonts w:cstheme="minorHAnsi"/>
          <w:color w:val="000000" w:themeColor="text1"/>
        </w:rPr>
        <w:t xml:space="preserve"> argue</w:t>
      </w:r>
      <w:r w:rsidR="00BF5160" w:rsidRPr="008028D6">
        <w:rPr>
          <w:rFonts w:cstheme="minorHAnsi"/>
          <w:color w:val="000000" w:themeColor="text1"/>
        </w:rPr>
        <w:t xml:space="preserve"> that</w:t>
      </w:r>
      <w:r w:rsidR="002B51EE" w:rsidRPr="008028D6">
        <w:rPr>
          <w:rFonts w:cstheme="minorHAnsi"/>
          <w:color w:val="000000" w:themeColor="text1"/>
        </w:rPr>
        <w:t>,</w:t>
      </w:r>
      <w:r w:rsidR="00BF5160" w:rsidRPr="008028D6">
        <w:rPr>
          <w:rFonts w:cstheme="minorHAnsi"/>
          <w:color w:val="000000" w:themeColor="text1"/>
        </w:rPr>
        <w:t xml:space="preserve"> taking into consideration </w:t>
      </w:r>
      <w:r w:rsidR="001F3B45" w:rsidRPr="008028D6">
        <w:rPr>
          <w:rFonts w:cstheme="minorHAnsi"/>
          <w:color w:val="000000" w:themeColor="text1"/>
        </w:rPr>
        <w:t xml:space="preserve">the typical theoretical justifications for punishment as encapsulated in </w:t>
      </w:r>
      <w:r w:rsidR="006600B3" w:rsidRPr="008028D6">
        <w:rPr>
          <w:rFonts w:cstheme="minorHAnsi"/>
          <w:color w:val="000000" w:themeColor="text1"/>
        </w:rPr>
        <w:t xml:space="preserve">the </w:t>
      </w:r>
      <w:r w:rsidR="001F3B45" w:rsidRPr="008028D6">
        <w:rPr>
          <w:rFonts w:cstheme="minorHAnsi"/>
          <w:color w:val="000000" w:themeColor="text1"/>
        </w:rPr>
        <w:t>Criminal Justice Act 2003</w:t>
      </w:r>
      <w:r w:rsidR="006600B3" w:rsidRPr="008028D6">
        <w:rPr>
          <w:rFonts w:cstheme="minorHAnsi"/>
          <w:color w:val="000000" w:themeColor="text1"/>
        </w:rPr>
        <w:t xml:space="preserve"> s.142</w:t>
      </w:r>
      <w:r w:rsidR="001F3B45" w:rsidRPr="008028D6">
        <w:rPr>
          <w:rFonts w:cstheme="minorHAnsi"/>
          <w:color w:val="000000" w:themeColor="text1"/>
        </w:rPr>
        <w:t xml:space="preserve">, </w:t>
      </w:r>
      <w:r w:rsidR="003C68B8" w:rsidRPr="008028D6">
        <w:rPr>
          <w:rFonts w:cstheme="minorHAnsi"/>
          <w:color w:val="000000" w:themeColor="text1"/>
        </w:rPr>
        <w:t>it is difficult to justify custodial sentences in reckless transmission cases.</w:t>
      </w:r>
      <w:r w:rsidR="003C68B8" w:rsidRPr="008028D6">
        <w:rPr>
          <w:rStyle w:val="FootnoteReference"/>
          <w:rFonts w:cstheme="minorHAnsi"/>
          <w:color w:val="000000" w:themeColor="text1"/>
        </w:rPr>
        <w:footnoteReference w:id="4"/>
      </w:r>
      <w:r w:rsidR="003C68B8" w:rsidRPr="008028D6">
        <w:rPr>
          <w:rFonts w:cstheme="minorHAnsi"/>
          <w:color w:val="000000" w:themeColor="text1"/>
        </w:rPr>
        <w:t xml:space="preserve"> </w:t>
      </w:r>
      <w:r w:rsidR="00E06F32" w:rsidRPr="008028D6">
        <w:rPr>
          <w:rFonts w:cstheme="minorHAnsi"/>
          <w:color w:val="000000" w:themeColor="text1"/>
        </w:rPr>
        <w:t xml:space="preserve">These issues have been further complicated by the </w:t>
      </w:r>
      <w:r w:rsidR="00E06F32" w:rsidRPr="008028D6">
        <w:rPr>
          <w:rFonts w:cstheme="minorHAnsi"/>
          <w:color w:val="000000" w:themeColor="text1"/>
        </w:rPr>
        <w:lastRenderedPageBreak/>
        <w:t>relatively recent development</w:t>
      </w:r>
      <w:r w:rsidR="008012CC" w:rsidRPr="008028D6">
        <w:rPr>
          <w:rFonts w:cstheme="minorHAnsi"/>
          <w:color w:val="000000" w:themeColor="text1"/>
        </w:rPr>
        <w:t xml:space="preserve">s of </w:t>
      </w:r>
      <w:r w:rsidR="008012CC" w:rsidRPr="008028D6">
        <w:rPr>
          <w:rFonts w:cstheme="minorHAnsi"/>
          <w:i/>
          <w:iCs/>
          <w:color w:val="000000" w:themeColor="text1"/>
        </w:rPr>
        <w:t>Rowe</w:t>
      </w:r>
      <w:r w:rsidR="00605AFC" w:rsidRPr="008028D6">
        <w:rPr>
          <w:rFonts w:cstheme="minorHAnsi"/>
          <w:i/>
          <w:iCs/>
          <w:color w:val="000000" w:themeColor="text1"/>
        </w:rPr>
        <w:t>,</w:t>
      </w:r>
      <w:r w:rsidR="008012CC" w:rsidRPr="008028D6">
        <w:rPr>
          <w:rFonts w:cstheme="minorHAnsi"/>
          <w:i/>
          <w:iCs/>
          <w:color w:val="000000" w:themeColor="text1"/>
        </w:rPr>
        <w:t xml:space="preserve"> </w:t>
      </w:r>
      <w:r w:rsidR="00860D34" w:rsidRPr="008028D6">
        <w:rPr>
          <w:rFonts w:cstheme="minorHAnsi"/>
          <w:color w:val="000000" w:themeColor="text1"/>
        </w:rPr>
        <w:t xml:space="preserve">which became </w:t>
      </w:r>
      <w:r w:rsidR="008012CC" w:rsidRPr="008028D6">
        <w:rPr>
          <w:rFonts w:cstheme="minorHAnsi"/>
          <w:color w:val="000000" w:themeColor="text1"/>
        </w:rPr>
        <w:t>the first case to result in a conviction for intentional transmission under</w:t>
      </w:r>
      <w:r w:rsidR="00B53D95" w:rsidRPr="008028D6">
        <w:rPr>
          <w:rFonts w:cstheme="minorHAnsi"/>
          <w:color w:val="000000" w:themeColor="text1"/>
        </w:rPr>
        <w:t xml:space="preserve"> </w:t>
      </w:r>
      <w:r w:rsidR="008012CC" w:rsidRPr="008028D6">
        <w:rPr>
          <w:rFonts w:cstheme="minorHAnsi"/>
          <w:color w:val="000000" w:themeColor="text1"/>
        </w:rPr>
        <w:t>OAPA</w:t>
      </w:r>
      <w:r w:rsidR="00B53D95" w:rsidRPr="008028D6">
        <w:rPr>
          <w:rFonts w:cstheme="minorHAnsi"/>
          <w:color w:val="000000" w:themeColor="text1"/>
        </w:rPr>
        <w:t xml:space="preserve"> 1861, s20</w:t>
      </w:r>
      <w:r w:rsidR="008012CC" w:rsidRPr="008028D6">
        <w:rPr>
          <w:rFonts w:cstheme="minorHAnsi"/>
          <w:color w:val="000000" w:themeColor="text1"/>
        </w:rPr>
        <w:t>.</w:t>
      </w:r>
      <w:r w:rsidR="00AF3D54" w:rsidRPr="008028D6">
        <w:rPr>
          <w:rStyle w:val="FootnoteReference"/>
          <w:rFonts w:cstheme="minorHAnsi"/>
          <w:color w:val="000000" w:themeColor="text1"/>
        </w:rPr>
        <w:footnoteReference w:id="5"/>
      </w:r>
      <w:r w:rsidR="00C91B8D" w:rsidRPr="008028D6">
        <w:rPr>
          <w:rFonts w:cstheme="minorHAnsi"/>
          <w:color w:val="000000" w:themeColor="text1"/>
        </w:rPr>
        <w:t xml:space="preserve"> </w:t>
      </w:r>
      <w:r w:rsidR="00001B3E" w:rsidRPr="008028D6">
        <w:rPr>
          <w:rFonts w:cstheme="minorHAnsi"/>
          <w:color w:val="000000" w:themeColor="text1"/>
        </w:rPr>
        <w:t>In addition,</w:t>
      </w:r>
      <w:r w:rsidR="00C91B8D" w:rsidRPr="008028D6">
        <w:rPr>
          <w:rFonts w:cstheme="minorHAnsi"/>
          <w:color w:val="000000" w:themeColor="text1"/>
        </w:rPr>
        <w:t xml:space="preserve"> l</w:t>
      </w:r>
      <w:r w:rsidR="00825708" w:rsidRPr="008028D6">
        <w:rPr>
          <w:rFonts w:cstheme="minorHAnsi"/>
          <w:color w:val="000000" w:themeColor="text1"/>
        </w:rPr>
        <w:t>eaving aside</w:t>
      </w:r>
      <w:r w:rsidR="00492C28" w:rsidRPr="008028D6">
        <w:rPr>
          <w:rFonts w:cstheme="minorHAnsi"/>
          <w:color w:val="000000" w:themeColor="text1"/>
        </w:rPr>
        <w:t xml:space="preserve"> </w:t>
      </w:r>
      <w:r w:rsidR="00825708" w:rsidRPr="008028D6">
        <w:rPr>
          <w:rFonts w:cstheme="minorHAnsi"/>
          <w:color w:val="000000" w:themeColor="text1"/>
        </w:rPr>
        <w:t>intentional transmission cases</w:t>
      </w:r>
      <w:r w:rsidR="00B53D95" w:rsidRPr="008028D6">
        <w:rPr>
          <w:rFonts w:cstheme="minorHAnsi"/>
          <w:color w:val="000000" w:themeColor="text1"/>
        </w:rPr>
        <w:t xml:space="preserve"> such as </w:t>
      </w:r>
      <w:r w:rsidR="00B53D95" w:rsidRPr="008028D6">
        <w:rPr>
          <w:rFonts w:cstheme="minorHAnsi"/>
          <w:i/>
          <w:iCs/>
          <w:color w:val="000000" w:themeColor="text1"/>
        </w:rPr>
        <w:t>Rowe</w:t>
      </w:r>
      <w:r w:rsidR="00825708" w:rsidRPr="008028D6">
        <w:rPr>
          <w:rFonts w:cstheme="minorHAnsi"/>
          <w:color w:val="000000" w:themeColor="text1"/>
        </w:rPr>
        <w:t xml:space="preserve">, Burris and Weait have highlighted </w:t>
      </w:r>
      <w:r w:rsidR="00BD0CC9" w:rsidRPr="008028D6">
        <w:rPr>
          <w:rFonts w:cstheme="minorHAnsi"/>
          <w:color w:val="000000" w:themeColor="text1"/>
        </w:rPr>
        <w:t xml:space="preserve">the moral arguments against using the criminal law </w:t>
      </w:r>
      <w:r w:rsidR="000C1E27" w:rsidRPr="008028D6">
        <w:rPr>
          <w:rFonts w:cstheme="minorHAnsi"/>
          <w:color w:val="000000" w:themeColor="text1"/>
        </w:rPr>
        <w:t>in this area</w:t>
      </w:r>
      <w:r w:rsidR="00252924" w:rsidRPr="008028D6">
        <w:rPr>
          <w:rFonts w:cstheme="minorHAnsi"/>
          <w:color w:val="000000" w:themeColor="text1"/>
        </w:rPr>
        <w:t>.</w:t>
      </w:r>
      <w:r w:rsidR="000C1E27" w:rsidRPr="008028D6">
        <w:rPr>
          <w:rFonts w:cstheme="minorHAnsi"/>
          <w:color w:val="000000" w:themeColor="text1"/>
        </w:rPr>
        <w:t xml:space="preserve"> </w:t>
      </w:r>
      <w:r w:rsidR="00B53D95" w:rsidRPr="008028D6">
        <w:rPr>
          <w:rFonts w:cstheme="minorHAnsi"/>
          <w:color w:val="000000" w:themeColor="text1"/>
        </w:rPr>
        <w:t>They point</w:t>
      </w:r>
      <w:r w:rsidR="000C1E27" w:rsidRPr="008028D6">
        <w:rPr>
          <w:rFonts w:cstheme="minorHAnsi"/>
          <w:color w:val="000000" w:themeColor="text1"/>
        </w:rPr>
        <w:t xml:space="preserve"> out that uneven</w:t>
      </w:r>
      <w:r w:rsidR="00B53D95" w:rsidRPr="008028D6">
        <w:rPr>
          <w:rFonts w:cstheme="minorHAnsi"/>
          <w:color w:val="000000" w:themeColor="text1"/>
        </w:rPr>
        <w:t>ly</w:t>
      </w:r>
      <w:r w:rsidR="000C1E27" w:rsidRPr="008028D6">
        <w:rPr>
          <w:rFonts w:cstheme="minorHAnsi"/>
          <w:color w:val="000000" w:themeColor="text1"/>
        </w:rPr>
        <w:t xml:space="preserve"> distributi</w:t>
      </w:r>
      <w:r w:rsidR="00B53D95" w:rsidRPr="008028D6">
        <w:rPr>
          <w:rFonts w:cstheme="minorHAnsi"/>
          <w:color w:val="000000" w:themeColor="text1"/>
        </w:rPr>
        <w:t>ng</w:t>
      </w:r>
      <w:r w:rsidR="000C1E27" w:rsidRPr="008028D6">
        <w:rPr>
          <w:rFonts w:cstheme="minorHAnsi"/>
          <w:color w:val="000000" w:themeColor="text1"/>
        </w:rPr>
        <w:t xml:space="preserve"> responsibility for preventing HIV transmission</w:t>
      </w:r>
      <w:r w:rsidR="002551A5" w:rsidRPr="008028D6">
        <w:rPr>
          <w:rFonts w:cstheme="minorHAnsi"/>
          <w:color w:val="000000" w:themeColor="text1"/>
        </w:rPr>
        <w:t xml:space="preserve"> on</w:t>
      </w:r>
      <w:r w:rsidR="004E6A6D" w:rsidRPr="008028D6">
        <w:rPr>
          <w:rFonts w:cstheme="minorHAnsi"/>
          <w:color w:val="000000" w:themeColor="text1"/>
        </w:rPr>
        <w:t xml:space="preserve">to predominantly those living with HIV does little to aid in the public health goal of </w:t>
      </w:r>
      <w:r w:rsidR="0074794F" w:rsidRPr="008028D6">
        <w:rPr>
          <w:rFonts w:cstheme="minorHAnsi"/>
          <w:color w:val="000000" w:themeColor="text1"/>
        </w:rPr>
        <w:t xml:space="preserve">lowering </w:t>
      </w:r>
      <w:r w:rsidR="000E19E0" w:rsidRPr="008028D6">
        <w:rPr>
          <w:rFonts w:cstheme="minorHAnsi"/>
          <w:color w:val="000000" w:themeColor="text1"/>
        </w:rPr>
        <w:t>transmission rates,</w:t>
      </w:r>
      <w:r w:rsidR="000E19E0" w:rsidRPr="008028D6">
        <w:rPr>
          <w:rStyle w:val="FootnoteReference"/>
          <w:rFonts w:cstheme="minorHAnsi"/>
          <w:color w:val="000000" w:themeColor="text1"/>
        </w:rPr>
        <w:footnoteReference w:id="6"/>
      </w:r>
      <w:r w:rsidR="000E19E0" w:rsidRPr="008028D6">
        <w:rPr>
          <w:rFonts w:cstheme="minorHAnsi"/>
          <w:color w:val="000000" w:themeColor="text1"/>
        </w:rPr>
        <w:t xml:space="preserve"> particularly when the deterrent effect of the criminal law in this area is questionable.</w:t>
      </w:r>
      <w:r w:rsidR="000E19E0" w:rsidRPr="008028D6">
        <w:rPr>
          <w:rStyle w:val="FootnoteReference"/>
          <w:rFonts w:cstheme="minorHAnsi"/>
          <w:color w:val="000000" w:themeColor="text1"/>
        </w:rPr>
        <w:footnoteReference w:id="7"/>
      </w:r>
    </w:p>
    <w:p w14:paraId="50303A3C" w14:textId="66BCC8A7" w:rsidR="009E5452" w:rsidRPr="00252514" w:rsidRDefault="00643BE7" w:rsidP="00221A04">
      <w:pPr>
        <w:jc w:val="both"/>
        <w:rPr>
          <w:rFonts w:cstheme="minorHAnsi"/>
          <w:color w:val="92D050"/>
        </w:rPr>
      </w:pPr>
      <w:r w:rsidRPr="008028D6">
        <w:rPr>
          <w:rFonts w:cstheme="minorHAnsi"/>
          <w:color w:val="000000" w:themeColor="text1"/>
        </w:rPr>
        <w:t>In addition to these moral and theoretical arguments,</w:t>
      </w:r>
      <w:r w:rsidR="002558AC" w:rsidRPr="008028D6">
        <w:rPr>
          <w:rFonts w:cstheme="minorHAnsi"/>
          <w:color w:val="000000" w:themeColor="text1"/>
        </w:rPr>
        <w:t xml:space="preserve"> this piece suggests that there are practical concerns around the statutory sentencing framework which remain underexplored</w:t>
      </w:r>
      <w:r w:rsidR="007D4D3A" w:rsidRPr="008028D6">
        <w:rPr>
          <w:rFonts w:cstheme="minorHAnsi"/>
          <w:color w:val="000000" w:themeColor="text1"/>
        </w:rPr>
        <w:t xml:space="preserve">. </w:t>
      </w:r>
      <w:r w:rsidR="00237A69" w:rsidRPr="008028D6">
        <w:rPr>
          <w:rFonts w:cstheme="minorHAnsi"/>
          <w:color w:val="000000" w:themeColor="text1"/>
        </w:rPr>
        <w:t>It argues that sentencing provisions reveal implicit assumptions underpinning the use of the criminal law as a response to STI transmission</w:t>
      </w:r>
      <w:r w:rsidR="00A20AD1" w:rsidRPr="008028D6">
        <w:rPr>
          <w:rFonts w:cstheme="minorHAnsi"/>
          <w:color w:val="000000" w:themeColor="text1"/>
        </w:rPr>
        <w:t xml:space="preserve">. </w:t>
      </w:r>
      <w:r w:rsidR="005F6BA7" w:rsidRPr="008028D6">
        <w:rPr>
          <w:rFonts w:cstheme="minorHAnsi"/>
          <w:color w:val="000000" w:themeColor="text1"/>
        </w:rPr>
        <w:t>It</w:t>
      </w:r>
      <w:r w:rsidR="009B1E44" w:rsidRPr="008028D6">
        <w:rPr>
          <w:rFonts w:cstheme="minorHAnsi"/>
          <w:color w:val="000000" w:themeColor="text1"/>
        </w:rPr>
        <w:t xml:space="preserve"> explores </w:t>
      </w:r>
      <w:r w:rsidR="00CE25E3" w:rsidRPr="008028D6">
        <w:rPr>
          <w:rFonts w:cstheme="minorHAnsi"/>
          <w:color w:val="000000" w:themeColor="text1"/>
        </w:rPr>
        <w:t>the proper limits of certain sentencing provisions</w:t>
      </w:r>
      <w:r w:rsidR="00D564DE" w:rsidRPr="008028D6">
        <w:rPr>
          <w:rFonts w:cstheme="minorHAnsi"/>
          <w:color w:val="000000" w:themeColor="text1"/>
        </w:rPr>
        <w:t xml:space="preserve"> in light of the unusual evolution of the criminal law in this area. </w:t>
      </w:r>
      <w:r w:rsidR="00032921" w:rsidRPr="008028D6">
        <w:rPr>
          <w:rFonts w:cstheme="minorHAnsi"/>
          <w:color w:val="000000" w:themeColor="text1"/>
        </w:rPr>
        <w:t xml:space="preserve">It does so by analysing the development and implementation of the Sexual Harm Prevention Order (“SHPO”) and </w:t>
      </w:r>
      <w:r w:rsidR="00F71409" w:rsidRPr="008028D6">
        <w:rPr>
          <w:rFonts w:cstheme="minorHAnsi"/>
          <w:color w:val="000000" w:themeColor="text1"/>
        </w:rPr>
        <w:t xml:space="preserve">the associated framework found in </w:t>
      </w:r>
      <w:r w:rsidR="00252514">
        <w:rPr>
          <w:rFonts w:cstheme="minorHAnsi"/>
          <w:color w:val="000000" w:themeColor="text1"/>
        </w:rPr>
        <w:t>the Sexual Offences Act 2003</w:t>
      </w:r>
      <w:r w:rsidR="0065242E">
        <w:rPr>
          <w:rFonts w:cstheme="minorHAnsi"/>
          <w:color w:val="000000" w:themeColor="text1"/>
        </w:rPr>
        <w:t>.</w:t>
      </w:r>
      <w:r w:rsidR="00252514">
        <w:rPr>
          <w:rFonts w:cstheme="minorHAnsi"/>
          <w:color w:val="000000" w:themeColor="text1"/>
        </w:rPr>
        <w:t xml:space="preserve"> </w:t>
      </w:r>
      <w:r w:rsidR="00000FD7" w:rsidRPr="008028D6">
        <w:rPr>
          <w:rFonts w:cstheme="minorHAnsi"/>
          <w:color w:val="000000" w:themeColor="text1"/>
        </w:rPr>
        <w:t>It argues that</w:t>
      </w:r>
      <w:r w:rsidR="005F6BA7" w:rsidRPr="008028D6">
        <w:rPr>
          <w:rFonts w:cstheme="minorHAnsi"/>
          <w:color w:val="000000" w:themeColor="text1"/>
        </w:rPr>
        <w:t>,</w:t>
      </w:r>
      <w:r w:rsidR="00000FD7" w:rsidRPr="008028D6">
        <w:rPr>
          <w:rFonts w:cstheme="minorHAnsi"/>
          <w:color w:val="000000" w:themeColor="text1"/>
        </w:rPr>
        <w:t xml:space="preserve"> a</w:t>
      </w:r>
      <w:r w:rsidR="00B734E3" w:rsidRPr="008028D6">
        <w:rPr>
          <w:rFonts w:cstheme="minorHAnsi"/>
          <w:color w:val="000000" w:themeColor="text1"/>
        </w:rPr>
        <w:t xml:space="preserve">s others have </w:t>
      </w:r>
      <w:r w:rsidR="00286257" w:rsidRPr="008028D6">
        <w:rPr>
          <w:rFonts w:cstheme="minorHAnsi"/>
          <w:color w:val="000000" w:themeColor="text1"/>
        </w:rPr>
        <w:t>addressed</w:t>
      </w:r>
      <w:r w:rsidR="00B734E3" w:rsidRPr="008028D6">
        <w:rPr>
          <w:rFonts w:cstheme="minorHAnsi"/>
          <w:color w:val="000000" w:themeColor="text1"/>
        </w:rPr>
        <w:t xml:space="preserve"> in </w:t>
      </w:r>
      <w:r w:rsidR="00286257" w:rsidRPr="008028D6">
        <w:rPr>
          <w:rFonts w:cstheme="minorHAnsi"/>
          <w:color w:val="000000" w:themeColor="text1"/>
        </w:rPr>
        <w:t>the context of</w:t>
      </w:r>
      <w:r w:rsidR="00B734E3" w:rsidRPr="008028D6">
        <w:rPr>
          <w:rFonts w:cstheme="minorHAnsi"/>
          <w:color w:val="000000" w:themeColor="text1"/>
        </w:rPr>
        <w:t xml:space="preserve"> the SHPOs </w:t>
      </w:r>
      <w:r w:rsidR="00374B09" w:rsidRPr="008028D6">
        <w:rPr>
          <w:rFonts w:cstheme="minorHAnsi"/>
          <w:color w:val="000000" w:themeColor="text1"/>
        </w:rPr>
        <w:t>predecessor the Sexual Offence Prevention Order (“SOPO”),</w:t>
      </w:r>
      <w:r w:rsidR="00374B09" w:rsidRPr="008028D6">
        <w:rPr>
          <w:rStyle w:val="FootnoteReference"/>
          <w:rFonts w:cstheme="minorHAnsi"/>
          <w:color w:val="000000" w:themeColor="text1"/>
        </w:rPr>
        <w:footnoteReference w:id="8"/>
      </w:r>
      <w:r w:rsidR="00374B09" w:rsidRPr="008028D6">
        <w:rPr>
          <w:rFonts w:cstheme="minorHAnsi"/>
          <w:color w:val="000000" w:themeColor="text1"/>
        </w:rPr>
        <w:t xml:space="preserve"> </w:t>
      </w:r>
      <w:r w:rsidR="0035015C" w:rsidRPr="008028D6">
        <w:rPr>
          <w:rFonts w:cstheme="minorHAnsi"/>
          <w:color w:val="000000" w:themeColor="text1"/>
        </w:rPr>
        <w:t xml:space="preserve">under the current statutory framework </w:t>
      </w:r>
      <w:r w:rsidR="0020350A" w:rsidRPr="008028D6">
        <w:rPr>
          <w:rFonts w:cstheme="minorHAnsi"/>
          <w:color w:val="000000" w:themeColor="text1"/>
        </w:rPr>
        <w:t>SHPOs are not</w:t>
      </w:r>
      <w:r w:rsidR="00D50B19" w:rsidRPr="008028D6">
        <w:rPr>
          <w:rFonts w:cstheme="minorHAnsi"/>
          <w:color w:val="000000" w:themeColor="text1"/>
        </w:rPr>
        <w:t xml:space="preserve"> </w:t>
      </w:r>
      <w:r w:rsidR="00D777E8" w:rsidRPr="008028D6">
        <w:rPr>
          <w:rFonts w:cstheme="minorHAnsi"/>
          <w:color w:val="000000" w:themeColor="text1"/>
        </w:rPr>
        <w:t xml:space="preserve">appropriate in </w:t>
      </w:r>
      <w:r w:rsidR="006D5961" w:rsidRPr="008028D6">
        <w:rPr>
          <w:rFonts w:cstheme="minorHAnsi"/>
          <w:color w:val="000000" w:themeColor="text1"/>
        </w:rPr>
        <w:t xml:space="preserve">STI transmission cases owing to the limited definition of </w:t>
      </w:r>
      <w:r w:rsidR="006624B8" w:rsidRPr="008028D6">
        <w:rPr>
          <w:rFonts w:cstheme="minorHAnsi"/>
          <w:color w:val="000000" w:themeColor="text1"/>
        </w:rPr>
        <w:t xml:space="preserve">“sexual” harm. </w:t>
      </w:r>
    </w:p>
    <w:p w14:paraId="0C57C7AA" w14:textId="3FEFDF56" w:rsidR="00643BE7" w:rsidRPr="008028D6" w:rsidRDefault="00570B86" w:rsidP="00221A04">
      <w:pPr>
        <w:jc w:val="both"/>
        <w:rPr>
          <w:rFonts w:cstheme="minorHAnsi"/>
          <w:color w:val="000000" w:themeColor="text1"/>
        </w:rPr>
      </w:pPr>
      <w:r w:rsidRPr="008028D6">
        <w:rPr>
          <w:rFonts w:cstheme="minorHAnsi"/>
          <w:color w:val="000000" w:themeColor="text1"/>
        </w:rPr>
        <w:t>In the first section</w:t>
      </w:r>
      <w:r w:rsidR="00CD2DA1" w:rsidRPr="008028D6">
        <w:rPr>
          <w:rFonts w:cstheme="minorHAnsi"/>
          <w:color w:val="000000" w:themeColor="text1"/>
        </w:rPr>
        <w:t>,</w:t>
      </w:r>
      <w:r w:rsidRPr="008028D6">
        <w:rPr>
          <w:rFonts w:cstheme="minorHAnsi"/>
          <w:color w:val="000000" w:themeColor="text1"/>
        </w:rPr>
        <w:t xml:space="preserve"> </w:t>
      </w:r>
      <w:r w:rsidR="002771B8" w:rsidRPr="008028D6">
        <w:rPr>
          <w:rFonts w:cstheme="minorHAnsi"/>
          <w:color w:val="000000" w:themeColor="text1"/>
        </w:rPr>
        <w:t>this article</w:t>
      </w:r>
      <w:r w:rsidRPr="008028D6">
        <w:rPr>
          <w:rFonts w:cstheme="minorHAnsi"/>
          <w:color w:val="000000" w:themeColor="text1"/>
        </w:rPr>
        <w:t xml:space="preserve"> charts </w:t>
      </w:r>
      <w:r w:rsidR="003E1C6F" w:rsidRPr="008028D6">
        <w:rPr>
          <w:rFonts w:cstheme="minorHAnsi"/>
          <w:color w:val="000000" w:themeColor="text1"/>
        </w:rPr>
        <w:t xml:space="preserve">the social and political context surrounding the development of SOPOs in the </w:t>
      </w:r>
      <w:r w:rsidR="00D17C27" w:rsidRPr="008028D6">
        <w:rPr>
          <w:rFonts w:cstheme="minorHAnsi"/>
          <w:color w:val="000000" w:themeColor="text1"/>
        </w:rPr>
        <w:t>early 2000s</w:t>
      </w:r>
      <w:r w:rsidR="00BD5327" w:rsidRPr="008028D6">
        <w:rPr>
          <w:rFonts w:cstheme="minorHAnsi"/>
          <w:color w:val="000000" w:themeColor="text1"/>
        </w:rPr>
        <w:t xml:space="preserve"> and the more recent reformulation of these provisions in the mid-2010s</w:t>
      </w:r>
      <w:r w:rsidR="00513D3A" w:rsidRPr="008028D6">
        <w:rPr>
          <w:rFonts w:cstheme="minorHAnsi"/>
          <w:color w:val="000000" w:themeColor="text1"/>
        </w:rPr>
        <w:t xml:space="preserve">. </w:t>
      </w:r>
      <w:r w:rsidR="007D249F" w:rsidRPr="008028D6">
        <w:rPr>
          <w:rFonts w:cstheme="minorHAnsi"/>
          <w:color w:val="000000" w:themeColor="text1"/>
        </w:rPr>
        <w:t>As part of this discussion</w:t>
      </w:r>
      <w:r w:rsidR="00CD2DA1" w:rsidRPr="008028D6">
        <w:rPr>
          <w:rFonts w:cstheme="minorHAnsi"/>
          <w:color w:val="000000" w:themeColor="text1"/>
        </w:rPr>
        <w:t>,</w:t>
      </w:r>
      <w:r w:rsidR="007D249F" w:rsidRPr="008028D6">
        <w:rPr>
          <w:rFonts w:cstheme="minorHAnsi"/>
          <w:color w:val="000000" w:themeColor="text1"/>
        </w:rPr>
        <w:t xml:space="preserve"> it will demonstrate the continued relevancy of SOPO case law,</w:t>
      </w:r>
      <w:r w:rsidR="006B4B71" w:rsidRPr="008028D6">
        <w:rPr>
          <w:rFonts w:cstheme="minorHAnsi"/>
          <w:color w:val="000000" w:themeColor="text1"/>
        </w:rPr>
        <w:t xml:space="preserve"> </w:t>
      </w:r>
      <w:r w:rsidR="00CA6B17" w:rsidRPr="008028D6">
        <w:rPr>
          <w:rFonts w:cstheme="minorHAnsi"/>
          <w:color w:val="000000" w:themeColor="text1"/>
        </w:rPr>
        <w:t xml:space="preserve">as well as highlighting the </w:t>
      </w:r>
      <w:r w:rsidR="00E3063D" w:rsidRPr="008028D6">
        <w:rPr>
          <w:rFonts w:cstheme="minorHAnsi"/>
          <w:color w:val="000000" w:themeColor="text1"/>
        </w:rPr>
        <w:t xml:space="preserve">Parliamentary </w:t>
      </w:r>
      <w:r w:rsidR="00393109" w:rsidRPr="008028D6">
        <w:rPr>
          <w:rFonts w:cstheme="minorHAnsi"/>
          <w:color w:val="000000" w:themeColor="text1"/>
        </w:rPr>
        <w:t xml:space="preserve">Process surrounding the repeal and replacement of SOPOs in 2014. </w:t>
      </w:r>
      <w:r w:rsidR="0015566A" w:rsidRPr="008028D6">
        <w:rPr>
          <w:rFonts w:cstheme="minorHAnsi"/>
          <w:color w:val="000000" w:themeColor="text1"/>
        </w:rPr>
        <w:t>In the second section, it will discuss the</w:t>
      </w:r>
      <w:r w:rsidR="00555D76" w:rsidRPr="008028D6">
        <w:rPr>
          <w:rFonts w:cstheme="minorHAnsi"/>
          <w:color w:val="000000" w:themeColor="text1"/>
        </w:rPr>
        <w:t xml:space="preserve"> case of </w:t>
      </w:r>
      <w:proofErr w:type="spellStart"/>
      <w:r w:rsidR="00555D76" w:rsidRPr="008028D6">
        <w:rPr>
          <w:rFonts w:cstheme="minorHAnsi"/>
          <w:i/>
          <w:iCs/>
          <w:color w:val="000000" w:themeColor="text1"/>
        </w:rPr>
        <w:t>Marangwanda</w:t>
      </w:r>
      <w:proofErr w:type="spellEnd"/>
      <w:r w:rsidR="00555D76" w:rsidRPr="008028D6">
        <w:rPr>
          <w:rFonts w:cstheme="minorHAnsi"/>
          <w:color w:val="000000" w:themeColor="text1"/>
        </w:rPr>
        <w:t>,</w:t>
      </w:r>
      <w:r w:rsidR="00555D76" w:rsidRPr="008028D6">
        <w:rPr>
          <w:rStyle w:val="FootnoteReference"/>
          <w:rFonts w:cstheme="minorHAnsi"/>
          <w:color w:val="000000" w:themeColor="text1"/>
        </w:rPr>
        <w:footnoteReference w:id="9"/>
      </w:r>
      <w:r w:rsidR="00BD5327" w:rsidRPr="008028D6">
        <w:rPr>
          <w:rFonts w:cstheme="minorHAnsi"/>
          <w:color w:val="000000" w:themeColor="text1"/>
        </w:rPr>
        <w:t xml:space="preserve"> </w:t>
      </w:r>
      <w:r w:rsidR="00DC4553" w:rsidRPr="008028D6">
        <w:rPr>
          <w:rFonts w:cstheme="minorHAnsi"/>
          <w:color w:val="000000" w:themeColor="text1"/>
        </w:rPr>
        <w:t>an atypical example of a transmission case relating to an infection other than HI</w:t>
      </w:r>
      <w:r w:rsidR="008128C0" w:rsidRPr="008028D6">
        <w:rPr>
          <w:rFonts w:cstheme="minorHAnsi"/>
          <w:color w:val="000000" w:themeColor="text1"/>
        </w:rPr>
        <w:t>V, where a SOPO was imposed</w:t>
      </w:r>
      <w:r w:rsidR="00A4075A" w:rsidRPr="008028D6">
        <w:rPr>
          <w:rFonts w:cstheme="minorHAnsi"/>
          <w:color w:val="000000" w:themeColor="text1"/>
        </w:rPr>
        <w:t>. The particu</w:t>
      </w:r>
      <w:r w:rsidR="006270A5" w:rsidRPr="008028D6">
        <w:rPr>
          <w:rFonts w:cstheme="minorHAnsi"/>
          <w:color w:val="000000" w:themeColor="text1"/>
        </w:rPr>
        <w:t xml:space="preserve">larities of </w:t>
      </w:r>
      <w:proofErr w:type="spellStart"/>
      <w:r w:rsidR="006270A5" w:rsidRPr="008028D6">
        <w:rPr>
          <w:rFonts w:cstheme="minorHAnsi"/>
          <w:i/>
          <w:iCs/>
          <w:color w:val="000000" w:themeColor="text1"/>
        </w:rPr>
        <w:t>Marangwanda</w:t>
      </w:r>
      <w:proofErr w:type="spellEnd"/>
      <w:r w:rsidR="006270A5" w:rsidRPr="008028D6">
        <w:rPr>
          <w:rFonts w:cstheme="minorHAnsi"/>
          <w:i/>
          <w:iCs/>
          <w:color w:val="000000" w:themeColor="text1"/>
        </w:rPr>
        <w:t xml:space="preserve"> </w:t>
      </w:r>
      <w:r w:rsidR="006270A5" w:rsidRPr="008028D6">
        <w:rPr>
          <w:rFonts w:cstheme="minorHAnsi"/>
          <w:color w:val="000000" w:themeColor="text1"/>
        </w:rPr>
        <w:t>have been noted before, most prominently in the Law Commission’s 2015 Report into the Offences Against the Person Act.</w:t>
      </w:r>
      <w:r w:rsidR="0086284F" w:rsidRPr="008028D6">
        <w:rPr>
          <w:rStyle w:val="FootnoteReference"/>
          <w:rFonts w:cstheme="minorHAnsi"/>
          <w:color w:val="000000" w:themeColor="text1"/>
        </w:rPr>
        <w:footnoteReference w:id="10"/>
      </w:r>
      <w:r w:rsidR="008145DD" w:rsidRPr="008028D6">
        <w:rPr>
          <w:rFonts w:cstheme="minorHAnsi"/>
          <w:color w:val="000000" w:themeColor="text1"/>
        </w:rPr>
        <w:t xml:space="preserve"> This section argues that</w:t>
      </w:r>
      <w:r w:rsidR="008120CB" w:rsidRPr="008028D6">
        <w:rPr>
          <w:rFonts w:cstheme="minorHAnsi"/>
          <w:color w:val="000000" w:themeColor="text1"/>
        </w:rPr>
        <w:t>,</w:t>
      </w:r>
      <w:r w:rsidR="008145DD" w:rsidRPr="008028D6">
        <w:rPr>
          <w:rFonts w:cstheme="minorHAnsi"/>
          <w:color w:val="000000" w:themeColor="text1"/>
        </w:rPr>
        <w:t xml:space="preserve"> in light of the recent reforms outlined in the first section, </w:t>
      </w:r>
      <w:r w:rsidR="00054B5F" w:rsidRPr="008028D6">
        <w:rPr>
          <w:rFonts w:cstheme="minorHAnsi"/>
          <w:color w:val="000000" w:themeColor="text1"/>
        </w:rPr>
        <w:t xml:space="preserve">the </w:t>
      </w:r>
      <w:r w:rsidR="00E80566" w:rsidRPr="008028D6">
        <w:rPr>
          <w:rFonts w:cstheme="minorHAnsi"/>
          <w:color w:val="000000" w:themeColor="text1"/>
        </w:rPr>
        <w:t xml:space="preserve">potential rationales which may justify the Court’s approach in </w:t>
      </w:r>
      <w:proofErr w:type="spellStart"/>
      <w:r w:rsidR="00E80566" w:rsidRPr="008028D6">
        <w:rPr>
          <w:rFonts w:cstheme="minorHAnsi"/>
          <w:i/>
          <w:iCs/>
          <w:color w:val="000000" w:themeColor="text1"/>
        </w:rPr>
        <w:t>Marangwanda</w:t>
      </w:r>
      <w:proofErr w:type="spellEnd"/>
      <w:r w:rsidR="00E80566" w:rsidRPr="008028D6">
        <w:rPr>
          <w:rFonts w:cstheme="minorHAnsi"/>
          <w:i/>
          <w:iCs/>
          <w:color w:val="000000" w:themeColor="text1"/>
        </w:rPr>
        <w:t xml:space="preserve"> </w:t>
      </w:r>
      <w:r w:rsidR="00E80566" w:rsidRPr="008028D6">
        <w:rPr>
          <w:rFonts w:cstheme="minorHAnsi"/>
          <w:color w:val="000000" w:themeColor="text1"/>
        </w:rPr>
        <w:t xml:space="preserve">no longer </w:t>
      </w:r>
      <w:r w:rsidR="002771B8" w:rsidRPr="008028D6">
        <w:rPr>
          <w:rFonts w:cstheme="minorHAnsi"/>
          <w:color w:val="000000" w:themeColor="text1"/>
        </w:rPr>
        <w:t>apply</w:t>
      </w:r>
      <w:r w:rsidR="008120CB" w:rsidRPr="008028D6">
        <w:rPr>
          <w:rFonts w:cstheme="minorHAnsi"/>
          <w:color w:val="000000" w:themeColor="text1"/>
        </w:rPr>
        <w:t xml:space="preserve">. Consequently, </w:t>
      </w:r>
      <w:r w:rsidR="009B45D9" w:rsidRPr="008028D6">
        <w:rPr>
          <w:rFonts w:cstheme="minorHAnsi"/>
          <w:color w:val="000000" w:themeColor="text1"/>
        </w:rPr>
        <w:t xml:space="preserve">and in light of recent case law </w:t>
      </w:r>
      <w:r w:rsidR="002771B8" w:rsidRPr="008028D6">
        <w:rPr>
          <w:rFonts w:cstheme="minorHAnsi"/>
          <w:color w:val="000000" w:themeColor="text1"/>
        </w:rPr>
        <w:t>that</w:t>
      </w:r>
      <w:r w:rsidR="009B45D9" w:rsidRPr="008028D6">
        <w:rPr>
          <w:rFonts w:cstheme="minorHAnsi"/>
          <w:color w:val="000000" w:themeColor="text1"/>
        </w:rPr>
        <w:t xml:space="preserve"> has re-emphasised </w:t>
      </w:r>
      <w:r w:rsidR="002771B8" w:rsidRPr="008028D6">
        <w:rPr>
          <w:rFonts w:cstheme="minorHAnsi"/>
          <w:color w:val="000000" w:themeColor="text1"/>
        </w:rPr>
        <w:t xml:space="preserve">the limitations of </w:t>
      </w:r>
      <w:r w:rsidR="00067CC8" w:rsidRPr="008028D6">
        <w:rPr>
          <w:rFonts w:cstheme="minorHAnsi"/>
          <w:color w:val="000000" w:themeColor="text1"/>
        </w:rPr>
        <w:t xml:space="preserve">SHPOs </w:t>
      </w:r>
      <w:r w:rsidR="002771B8" w:rsidRPr="008028D6">
        <w:rPr>
          <w:rFonts w:cstheme="minorHAnsi"/>
          <w:color w:val="000000" w:themeColor="text1"/>
        </w:rPr>
        <w:t>in</w:t>
      </w:r>
      <w:r w:rsidR="00067CC8" w:rsidRPr="008028D6">
        <w:rPr>
          <w:rFonts w:cstheme="minorHAnsi"/>
          <w:color w:val="000000" w:themeColor="text1"/>
        </w:rPr>
        <w:t xml:space="preserve"> application to risks of </w:t>
      </w:r>
      <w:r w:rsidR="009B45D9" w:rsidRPr="008028D6">
        <w:rPr>
          <w:color w:val="000000" w:themeColor="text1"/>
        </w:rPr>
        <w:t>‘sexual harm as set out in the statutory language’,</w:t>
      </w:r>
      <w:r w:rsidR="009B45D9" w:rsidRPr="008028D6">
        <w:rPr>
          <w:rStyle w:val="FootnoteReference"/>
          <w:color w:val="000000" w:themeColor="text1"/>
        </w:rPr>
        <w:footnoteReference w:id="11"/>
      </w:r>
      <w:r w:rsidR="009B45D9" w:rsidRPr="008028D6">
        <w:rPr>
          <w:color w:val="000000" w:themeColor="text1"/>
        </w:rPr>
        <w:t xml:space="preserve"> </w:t>
      </w:r>
      <w:r w:rsidR="00D37AC6" w:rsidRPr="008028D6">
        <w:rPr>
          <w:rFonts w:cstheme="minorHAnsi"/>
          <w:color w:val="000000" w:themeColor="text1"/>
        </w:rPr>
        <w:t xml:space="preserve">the third section questions how transmission offences should be framed and highlights some of the issues that remain unresolved in light of </w:t>
      </w:r>
      <w:r w:rsidR="00975AB0" w:rsidRPr="008028D6">
        <w:rPr>
          <w:rFonts w:cstheme="minorHAnsi"/>
          <w:color w:val="000000" w:themeColor="text1"/>
        </w:rPr>
        <w:t xml:space="preserve">the lack of clarity in this area. </w:t>
      </w:r>
      <w:r w:rsidR="00A8643E" w:rsidRPr="008028D6">
        <w:rPr>
          <w:rFonts w:cstheme="minorHAnsi"/>
          <w:color w:val="000000" w:themeColor="text1"/>
        </w:rPr>
        <w:t>This paper then</w:t>
      </w:r>
      <w:r w:rsidR="00720BB1" w:rsidRPr="008028D6">
        <w:rPr>
          <w:rFonts w:cstheme="minorHAnsi"/>
          <w:color w:val="000000" w:themeColor="text1"/>
        </w:rPr>
        <w:t xml:space="preserve"> concludes by arguing that, notwithstanding the decision in </w:t>
      </w:r>
      <w:proofErr w:type="spellStart"/>
      <w:r w:rsidR="00720BB1" w:rsidRPr="008028D6">
        <w:rPr>
          <w:rFonts w:cstheme="minorHAnsi"/>
          <w:i/>
          <w:iCs/>
          <w:color w:val="000000" w:themeColor="text1"/>
        </w:rPr>
        <w:t>Marangwanda</w:t>
      </w:r>
      <w:proofErr w:type="spellEnd"/>
      <w:r w:rsidR="00720BB1" w:rsidRPr="008028D6">
        <w:rPr>
          <w:rFonts w:cstheme="minorHAnsi"/>
          <w:i/>
          <w:iCs/>
          <w:color w:val="000000" w:themeColor="text1"/>
        </w:rPr>
        <w:t xml:space="preserve">, </w:t>
      </w:r>
      <w:r w:rsidR="00720BB1" w:rsidRPr="008028D6">
        <w:rPr>
          <w:rFonts w:cstheme="minorHAnsi"/>
          <w:color w:val="000000" w:themeColor="text1"/>
        </w:rPr>
        <w:t xml:space="preserve">the transmission of sexually communicable infections is not a “sexual harm” for sentencing purposes. </w:t>
      </w:r>
    </w:p>
    <w:p w14:paraId="6665828C" w14:textId="59189F46" w:rsidR="00472683" w:rsidRPr="008028D6" w:rsidRDefault="0053293A" w:rsidP="00221A04">
      <w:pPr>
        <w:pStyle w:val="Heading1"/>
        <w:jc w:val="both"/>
        <w:rPr>
          <w:color w:val="000000" w:themeColor="text1"/>
        </w:rPr>
      </w:pPr>
      <w:r w:rsidRPr="008028D6">
        <w:rPr>
          <w:color w:val="000000" w:themeColor="text1"/>
        </w:rPr>
        <w:lastRenderedPageBreak/>
        <w:t xml:space="preserve">A Short History of Sexual Harm Prevention Orders </w:t>
      </w:r>
    </w:p>
    <w:p w14:paraId="6B9CCFFC" w14:textId="5A705B64" w:rsidR="007C6224" w:rsidRPr="008028D6" w:rsidRDefault="007C6224" w:rsidP="00221A04">
      <w:pPr>
        <w:jc w:val="both"/>
        <w:rPr>
          <w:rFonts w:cstheme="minorHAnsi"/>
          <w:color w:val="000000" w:themeColor="text1"/>
        </w:rPr>
      </w:pPr>
      <w:r w:rsidRPr="008028D6">
        <w:rPr>
          <w:rFonts w:cstheme="minorHAnsi"/>
          <w:color w:val="000000" w:themeColor="text1"/>
        </w:rPr>
        <w:t xml:space="preserve">Sexual Offence Prevention Orders were introduced by New Labour via the SOA 2003 to replace the Sexual Offender Orders found in the Crime </w:t>
      </w:r>
      <w:r w:rsidR="002F35EB" w:rsidRPr="008028D6">
        <w:rPr>
          <w:rFonts w:cstheme="minorHAnsi"/>
          <w:color w:val="000000" w:themeColor="text1"/>
        </w:rPr>
        <w:t>and Disorder Act 1998. Both SOPOs and the older SOOs reflect the shift in New Labour’s crime and punishment policy</w:t>
      </w:r>
      <w:r w:rsidR="00BF64BD" w:rsidRPr="008028D6">
        <w:rPr>
          <w:rFonts w:cstheme="minorHAnsi"/>
          <w:color w:val="000000" w:themeColor="text1"/>
        </w:rPr>
        <w:t>,</w:t>
      </w:r>
      <w:r w:rsidR="002F35EB" w:rsidRPr="008028D6">
        <w:rPr>
          <w:rFonts w:cstheme="minorHAnsi"/>
          <w:color w:val="000000" w:themeColor="text1"/>
        </w:rPr>
        <w:t xml:space="preserve"> </w:t>
      </w:r>
      <w:r w:rsidR="00BF64BD" w:rsidRPr="008028D6">
        <w:rPr>
          <w:rFonts w:cstheme="minorHAnsi"/>
          <w:color w:val="000000" w:themeColor="text1"/>
        </w:rPr>
        <w:t>drawing on t</w:t>
      </w:r>
      <w:r w:rsidR="005C205F" w:rsidRPr="008028D6">
        <w:rPr>
          <w:rFonts w:cstheme="minorHAnsi"/>
          <w:color w:val="000000" w:themeColor="text1"/>
        </w:rPr>
        <w:t>he ‘broad political rhetoric of risk management and increased public protection</w:t>
      </w:r>
      <w:r w:rsidR="00D61E22" w:rsidRPr="008028D6">
        <w:rPr>
          <w:rFonts w:cstheme="minorHAnsi"/>
          <w:color w:val="000000" w:themeColor="text1"/>
        </w:rPr>
        <w:t>’</w:t>
      </w:r>
      <w:r w:rsidR="00BF64BD" w:rsidRPr="008028D6">
        <w:rPr>
          <w:rFonts w:cstheme="minorHAnsi"/>
          <w:color w:val="000000" w:themeColor="text1"/>
        </w:rPr>
        <w:t xml:space="preserve"> of the period</w:t>
      </w:r>
      <w:r w:rsidR="00D61E22" w:rsidRPr="008028D6">
        <w:rPr>
          <w:rFonts w:cstheme="minorHAnsi"/>
          <w:color w:val="000000" w:themeColor="text1"/>
        </w:rPr>
        <w:t>,</w:t>
      </w:r>
      <w:r w:rsidR="00D61E22" w:rsidRPr="008028D6">
        <w:rPr>
          <w:rStyle w:val="FootnoteReference"/>
          <w:rFonts w:cstheme="minorHAnsi"/>
          <w:color w:val="000000" w:themeColor="text1"/>
        </w:rPr>
        <w:footnoteReference w:id="12"/>
      </w:r>
      <w:r w:rsidR="00D71E60" w:rsidRPr="008028D6">
        <w:rPr>
          <w:rFonts w:cstheme="minorHAnsi"/>
          <w:color w:val="000000" w:themeColor="text1"/>
        </w:rPr>
        <w:t xml:space="preserve"> </w:t>
      </w:r>
      <w:r w:rsidR="00BF64BD" w:rsidRPr="008028D6">
        <w:rPr>
          <w:rFonts w:cstheme="minorHAnsi"/>
          <w:color w:val="000000" w:themeColor="text1"/>
        </w:rPr>
        <w:t xml:space="preserve">towards </w:t>
      </w:r>
      <w:r w:rsidR="002F35EB" w:rsidRPr="008028D6">
        <w:rPr>
          <w:rFonts w:cstheme="minorHAnsi"/>
          <w:color w:val="000000" w:themeColor="text1"/>
        </w:rPr>
        <w:t>addressing</w:t>
      </w:r>
      <w:r w:rsidR="009F2489" w:rsidRPr="008028D6">
        <w:rPr>
          <w:rFonts w:cstheme="minorHAnsi"/>
          <w:color w:val="000000" w:themeColor="text1"/>
        </w:rPr>
        <w:t xml:space="preserve"> </w:t>
      </w:r>
      <w:r w:rsidR="002F35EB" w:rsidRPr="008028D6">
        <w:rPr>
          <w:rFonts w:cstheme="minorHAnsi"/>
          <w:color w:val="000000" w:themeColor="text1"/>
        </w:rPr>
        <w:t>non-criminal behaviou</w:t>
      </w:r>
      <w:r w:rsidR="00942FA4" w:rsidRPr="008028D6">
        <w:rPr>
          <w:rFonts w:cstheme="minorHAnsi"/>
          <w:color w:val="000000" w:themeColor="text1"/>
        </w:rPr>
        <w:t>r</w:t>
      </w:r>
      <w:r w:rsidR="00E01C49" w:rsidRPr="008028D6">
        <w:rPr>
          <w:rFonts w:cstheme="minorHAnsi"/>
          <w:color w:val="000000" w:themeColor="text1"/>
        </w:rPr>
        <w:t xml:space="preserve"> thought to be ‘indicative of risk’ </w:t>
      </w:r>
      <w:r w:rsidR="002F35EB" w:rsidRPr="008028D6">
        <w:rPr>
          <w:rFonts w:cstheme="minorHAnsi"/>
          <w:color w:val="000000" w:themeColor="text1"/>
        </w:rPr>
        <w:t>through preventative measures.</w:t>
      </w:r>
      <w:r w:rsidR="00012ACF" w:rsidRPr="008028D6">
        <w:rPr>
          <w:rStyle w:val="FootnoteReference"/>
          <w:rFonts w:cstheme="minorHAnsi"/>
          <w:color w:val="000000" w:themeColor="text1"/>
        </w:rPr>
        <w:footnoteReference w:id="13"/>
      </w:r>
      <w:r w:rsidR="00D874AB" w:rsidRPr="008028D6">
        <w:rPr>
          <w:rFonts w:cstheme="minorHAnsi"/>
          <w:color w:val="000000" w:themeColor="text1"/>
        </w:rPr>
        <w:t xml:space="preserve"> As such, SOPOs were never positioned as a sentence in their own right, but instead could be granted alongside </w:t>
      </w:r>
      <w:r w:rsidR="001C402F" w:rsidRPr="008028D6">
        <w:rPr>
          <w:rFonts w:cstheme="minorHAnsi"/>
          <w:color w:val="000000" w:themeColor="text1"/>
        </w:rPr>
        <w:t>a sentence or following the application of a Chief Constable</w:t>
      </w:r>
      <w:r w:rsidR="00A8643E" w:rsidRPr="008028D6">
        <w:rPr>
          <w:rFonts w:cstheme="minorHAnsi"/>
          <w:color w:val="000000" w:themeColor="text1"/>
        </w:rPr>
        <w:t>,</w:t>
      </w:r>
      <w:r w:rsidR="001C402F" w:rsidRPr="008028D6">
        <w:rPr>
          <w:rFonts w:cstheme="minorHAnsi"/>
          <w:color w:val="000000" w:themeColor="text1"/>
        </w:rPr>
        <w:t xml:space="preserve"> in order to reduce the risk of future offending.</w:t>
      </w:r>
      <w:r w:rsidR="001C402F" w:rsidRPr="008028D6">
        <w:rPr>
          <w:rStyle w:val="FootnoteReference"/>
          <w:rFonts w:cstheme="minorHAnsi"/>
          <w:color w:val="000000" w:themeColor="text1"/>
        </w:rPr>
        <w:footnoteReference w:id="14"/>
      </w:r>
    </w:p>
    <w:p w14:paraId="4E9199FD" w14:textId="25829874" w:rsidR="001C402F" w:rsidRPr="008028D6" w:rsidRDefault="001C402F" w:rsidP="00221A04">
      <w:pPr>
        <w:jc w:val="both"/>
        <w:rPr>
          <w:rFonts w:cstheme="minorHAnsi"/>
          <w:color w:val="000000" w:themeColor="text1"/>
        </w:rPr>
      </w:pPr>
      <w:r w:rsidRPr="008028D6">
        <w:rPr>
          <w:rFonts w:cstheme="minorHAnsi"/>
          <w:color w:val="000000" w:themeColor="text1"/>
        </w:rPr>
        <w:t>As Shute notes, SOOs were subject to criticism on the grounds that they prov</w:t>
      </w:r>
      <w:r w:rsidR="002D7DA9" w:rsidRPr="008028D6">
        <w:rPr>
          <w:rFonts w:cstheme="minorHAnsi"/>
          <w:color w:val="000000" w:themeColor="text1"/>
        </w:rPr>
        <w:t xml:space="preserve">ided the </w:t>
      </w:r>
      <w:r w:rsidR="005A039C" w:rsidRPr="008028D6">
        <w:rPr>
          <w:rFonts w:cstheme="minorHAnsi"/>
          <w:color w:val="000000" w:themeColor="text1"/>
        </w:rPr>
        <w:t>c</w:t>
      </w:r>
      <w:r w:rsidR="002D7DA9" w:rsidRPr="008028D6">
        <w:rPr>
          <w:rFonts w:cstheme="minorHAnsi"/>
          <w:color w:val="000000" w:themeColor="text1"/>
        </w:rPr>
        <w:t>ourts with potentially wide-ranging powers to restrict behaviour, even where th</w:t>
      </w:r>
      <w:r w:rsidR="003251E2" w:rsidRPr="008028D6">
        <w:rPr>
          <w:rFonts w:cstheme="minorHAnsi"/>
          <w:color w:val="000000" w:themeColor="text1"/>
        </w:rPr>
        <w:t xml:space="preserve">e behaviour </w:t>
      </w:r>
      <w:r w:rsidR="005A039C" w:rsidRPr="008028D6">
        <w:rPr>
          <w:rFonts w:cstheme="minorHAnsi"/>
          <w:color w:val="000000" w:themeColor="text1"/>
        </w:rPr>
        <w:t>indicative of</w:t>
      </w:r>
      <w:r w:rsidR="001C629B" w:rsidRPr="008028D6">
        <w:rPr>
          <w:rFonts w:cstheme="minorHAnsi"/>
          <w:color w:val="000000" w:themeColor="text1"/>
        </w:rPr>
        <w:t xml:space="preserve"> risk did not constitute a criminal offence.</w:t>
      </w:r>
      <w:r w:rsidR="001C629B" w:rsidRPr="008028D6">
        <w:rPr>
          <w:rStyle w:val="FootnoteReference"/>
          <w:rFonts w:cstheme="minorHAnsi"/>
          <w:color w:val="000000" w:themeColor="text1"/>
        </w:rPr>
        <w:footnoteReference w:id="15"/>
      </w:r>
      <w:r w:rsidR="009E18F7" w:rsidRPr="008028D6">
        <w:rPr>
          <w:rFonts w:cstheme="minorHAnsi"/>
          <w:color w:val="000000" w:themeColor="text1"/>
        </w:rPr>
        <w:t xml:space="preserve"> This possibility continued under SOPO provisions after</w:t>
      </w:r>
      <w:r w:rsidR="005A039C" w:rsidRPr="008028D6">
        <w:rPr>
          <w:rFonts w:cstheme="minorHAnsi"/>
          <w:color w:val="000000" w:themeColor="text1"/>
        </w:rPr>
        <w:t xml:space="preserve"> </w:t>
      </w:r>
      <w:r w:rsidR="009E18F7" w:rsidRPr="008028D6">
        <w:rPr>
          <w:rFonts w:cstheme="minorHAnsi"/>
          <w:color w:val="000000" w:themeColor="text1"/>
        </w:rPr>
        <w:t>the SOA 2003</w:t>
      </w:r>
      <w:r w:rsidR="005A039C" w:rsidRPr="008028D6">
        <w:rPr>
          <w:rFonts w:cstheme="minorHAnsi"/>
          <w:color w:val="000000" w:themeColor="text1"/>
        </w:rPr>
        <w:t xml:space="preserve"> reforms</w:t>
      </w:r>
      <w:r w:rsidR="009E18F7" w:rsidRPr="008028D6">
        <w:rPr>
          <w:rFonts w:cstheme="minorHAnsi"/>
          <w:color w:val="000000" w:themeColor="text1"/>
        </w:rPr>
        <w:t xml:space="preserve">, </w:t>
      </w:r>
      <w:r w:rsidR="00A8643E" w:rsidRPr="008028D6">
        <w:rPr>
          <w:rFonts w:cstheme="minorHAnsi"/>
          <w:color w:val="000000" w:themeColor="text1"/>
        </w:rPr>
        <w:t xml:space="preserve">with </w:t>
      </w:r>
      <w:r w:rsidR="009E18F7" w:rsidRPr="008028D6">
        <w:rPr>
          <w:rFonts w:cstheme="minorHAnsi"/>
          <w:color w:val="000000" w:themeColor="text1"/>
        </w:rPr>
        <w:t xml:space="preserve">the explanatory notes to that act giving an example where: </w:t>
      </w:r>
    </w:p>
    <w:p w14:paraId="5AEF28CD" w14:textId="77777777" w:rsidR="00BD53F1" w:rsidRPr="008028D6" w:rsidRDefault="00BD53F1" w:rsidP="00221A04">
      <w:pPr>
        <w:ind w:left="720"/>
        <w:jc w:val="both"/>
        <w:rPr>
          <w:rFonts w:cstheme="minorHAnsi"/>
          <w:color w:val="000000" w:themeColor="text1"/>
        </w:rPr>
      </w:pPr>
      <w:r w:rsidRPr="008028D6">
        <w:rPr>
          <w:rFonts w:cstheme="minorHAnsi"/>
          <w:color w:val="000000" w:themeColor="text1"/>
        </w:rPr>
        <w:t xml:space="preserve">An offender has a conviction for sexual activity with a child and has been released after his term of imprisonment. Following his </w:t>
      </w:r>
      <w:proofErr w:type="gramStart"/>
      <w:r w:rsidRPr="008028D6">
        <w:rPr>
          <w:rFonts w:cstheme="minorHAnsi"/>
          <w:color w:val="000000" w:themeColor="text1"/>
        </w:rPr>
        <w:t>release</w:t>
      </w:r>
      <w:proofErr w:type="gramEnd"/>
      <w:r w:rsidRPr="008028D6">
        <w:rPr>
          <w:rFonts w:cstheme="minorHAnsi"/>
          <w:color w:val="000000" w:themeColor="text1"/>
        </w:rPr>
        <w:t xml:space="preserve"> he behaves in a way that suggests he is likely to offend again, for example by loitering around schools or inviting children back to his house.</w:t>
      </w:r>
      <w:r w:rsidRPr="008028D6">
        <w:rPr>
          <w:rStyle w:val="FootnoteReference"/>
          <w:rFonts w:cstheme="minorHAnsi"/>
          <w:color w:val="000000" w:themeColor="text1"/>
        </w:rPr>
        <w:footnoteReference w:id="16"/>
      </w:r>
      <w:r w:rsidRPr="008028D6">
        <w:rPr>
          <w:rFonts w:cstheme="minorHAnsi"/>
          <w:color w:val="000000" w:themeColor="text1"/>
        </w:rPr>
        <w:t xml:space="preserve"> </w:t>
      </w:r>
    </w:p>
    <w:p w14:paraId="23FD1572" w14:textId="77777777" w:rsidR="00BD53F1" w:rsidRPr="008028D6" w:rsidRDefault="00BD53F1" w:rsidP="00221A04">
      <w:pPr>
        <w:jc w:val="both"/>
        <w:rPr>
          <w:rFonts w:cstheme="minorHAnsi"/>
          <w:color w:val="000000" w:themeColor="text1"/>
        </w:rPr>
      </w:pPr>
      <w:r w:rsidRPr="008028D6">
        <w:rPr>
          <w:rFonts w:cstheme="minorHAnsi"/>
          <w:color w:val="000000" w:themeColor="text1"/>
        </w:rPr>
        <w:t xml:space="preserve">In between the introduction of SOOs and their reform to SOPOs, the first pieces of case law continued to develop the use of preventative orders. </w:t>
      </w:r>
      <w:r w:rsidRPr="008028D6">
        <w:rPr>
          <w:rFonts w:cstheme="minorHAnsi"/>
          <w:i/>
          <w:iCs/>
          <w:color w:val="000000" w:themeColor="text1"/>
        </w:rPr>
        <w:t>B v Chief Constable of Avon &amp; Somerset</w:t>
      </w:r>
      <w:r w:rsidRPr="008028D6">
        <w:rPr>
          <w:rFonts w:cstheme="minorHAnsi"/>
          <w:color w:val="000000" w:themeColor="text1"/>
        </w:rPr>
        <w:t xml:space="preserve"> highlights how the courts interpreted Parliament’s intentions in the introduction of SOOs: </w:t>
      </w:r>
    </w:p>
    <w:p w14:paraId="3F2C6924" w14:textId="77777777" w:rsidR="00BD53F1" w:rsidRPr="008028D6" w:rsidRDefault="00BD53F1" w:rsidP="00221A04">
      <w:pPr>
        <w:ind w:left="720"/>
        <w:jc w:val="both"/>
        <w:rPr>
          <w:rFonts w:cstheme="minorHAnsi"/>
          <w:color w:val="000000" w:themeColor="text1"/>
        </w:rPr>
      </w:pPr>
      <w:r w:rsidRPr="008028D6">
        <w:rPr>
          <w:rFonts w:cstheme="minorHAnsi"/>
          <w:color w:val="000000" w:themeColor="text1"/>
        </w:rPr>
        <w:t xml:space="preserve">Parliament might have decided to wait until, if at all, the offender did offend </w:t>
      </w:r>
      <w:proofErr w:type="gramStart"/>
      <w:r w:rsidRPr="008028D6">
        <w:rPr>
          <w:rFonts w:cstheme="minorHAnsi"/>
          <w:color w:val="000000" w:themeColor="text1"/>
        </w:rPr>
        <w:t>again</w:t>
      </w:r>
      <w:proofErr w:type="gramEnd"/>
      <w:r w:rsidRPr="008028D6">
        <w:rPr>
          <w:rFonts w:cstheme="minorHAnsi"/>
          <w:color w:val="000000" w:themeColor="text1"/>
        </w:rPr>
        <w:t xml:space="preserve"> and then appropriate charges could be laid on the basis of that further offending. Before 1998 there was effectively no choice but to act in that way. But the obvious disadvantage was that, by the time the offender had offended again, some victim had suffered. The rationale of section 2 was, by means of an injunctive order, to seek to avoid the contingency of any further suffering by any further victim. It would also of course be to the advantage of a defendant if he were to be saved from further offending. As in the case of a civil injunction, a breach of the court's order may attract a sanction. But, also as in the case of a civil injunction, the order, although restraining the defendant from doing that which is prohibited, imposes no penalty or disability upon him. I am accordingly satisfied that, as a matter of English domestic law, the application is a civil proceeding, as Parliament undoubtedly intended it to be.</w:t>
      </w:r>
      <w:r w:rsidRPr="008028D6">
        <w:rPr>
          <w:rStyle w:val="FootnoteReference"/>
          <w:rFonts w:cstheme="minorHAnsi"/>
          <w:color w:val="000000" w:themeColor="text1"/>
        </w:rPr>
        <w:footnoteReference w:id="17"/>
      </w:r>
    </w:p>
    <w:p w14:paraId="25CA62CC" w14:textId="12221888" w:rsidR="00BD53F1" w:rsidRPr="008028D6" w:rsidRDefault="00BD53F1" w:rsidP="00221A04">
      <w:pPr>
        <w:jc w:val="both"/>
        <w:rPr>
          <w:rFonts w:cstheme="minorHAnsi"/>
          <w:color w:val="000000" w:themeColor="text1"/>
        </w:rPr>
      </w:pPr>
      <w:r w:rsidRPr="008028D6">
        <w:rPr>
          <w:rFonts w:cstheme="minorHAnsi"/>
          <w:color w:val="000000" w:themeColor="text1"/>
        </w:rPr>
        <w:t>The decision of the High Court in</w:t>
      </w:r>
      <w:r w:rsidRPr="008028D6">
        <w:rPr>
          <w:rFonts w:cstheme="minorHAnsi"/>
          <w:i/>
          <w:iCs/>
          <w:color w:val="000000" w:themeColor="text1"/>
        </w:rPr>
        <w:t xml:space="preserve"> B </w:t>
      </w:r>
      <w:r w:rsidRPr="008028D6">
        <w:rPr>
          <w:rFonts w:cstheme="minorHAnsi"/>
          <w:color w:val="000000" w:themeColor="text1"/>
        </w:rPr>
        <w:t>also ma</w:t>
      </w:r>
      <w:r w:rsidR="00A8643E" w:rsidRPr="008028D6">
        <w:rPr>
          <w:rFonts w:cstheme="minorHAnsi"/>
          <w:color w:val="000000" w:themeColor="text1"/>
        </w:rPr>
        <w:t>de</w:t>
      </w:r>
      <w:r w:rsidRPr="008028D6">
        <w:rPr>
          <w:rFonts w:cstheme="minorHAnsi"/>
          <w:color w:val="000000" w:themeColor="text1"/>
        </w:rPr>
        <w:t xml:space="preserve"> clear that those subject to SOOs were entitled to orders being ‘clear and readily intelligible in its terms, specific as to time and place, and </w:t>
      </w:r>
      <w:r w:rsidRPr="008028D6">
        <w:rPr>
          <w:rFonts w:cstheme="minorHAnsi"/>
          <w:i/>
          <w:iCs/>
          <w:color w:val="000000" w:themeColor="text1"/>
        </w:rPr>
        <w:t>no wider than was necessary to restrain the particular harm</w:t>
      </w:r>
      <w:r w:rsidRPr="008028D6">
        <w:rPr>
          <w:rFonts w:cstheme="minorHAnsi"/>
          <w:color w:val="000000" w:themeColor="text1"/>
        </w:rPr>
        <w:t xml:space="preserve"> which it was feared the appellant might cause’.</w:t>
      </w:r>
      <w:r w:rsidRPr="008028D6">
        <w:rPr>
          <w:rStyle w:val="FootnoteReference"/>
          <w:rFonts w:cstheme="minorHAnsi"/>
          <w:color w:val="000000" w:themeColor="text1"/>
        </w:rPr>
        <w:footnoteReference w:id="18"/>
      </w:r>
      <w:r w:rsidRPr="008028D6">
        <w:rPr>
          <w:rFonts w:cstheme="minorHAnsi"/>
          <w:color w:val="000000" w:themeColor="text1"/>
        </w:rPr>
        <w:t xml:space="preserve"> </w:t>
      </w:r>
    </w:p>
    <w:p w14:paraId="603CE1FB" w14:textId="77777777" w:rsidR="00BD53F1" w:rsidRPr="008028D6" w:rsidRDefault="00BD53F1" w:rsidP="00221A04">
      <w:pPr>
        <w:pStyle w:val="Heading2"/>
        <w:jc w:val="both"/>
        <w:rPr>
          <w:color w:val="000000" w:themeColor="text1"/>
        </w:rPr>
      </w:pPr>
      <w:r w:rsidRPr="008028D6">
        <w:rPr>
          <w:color w:val="000000" w:themeColor="text1"/>
        </w:rPr>
        <w:lastRenderedPageBreak/>
        <w:t>Media Focus: Public Debate on SRO Provisions</w:t>
      </w:r>
    </w:p>
    <w:p w14:paraId="1AB64B07" w14:textId="31816787" w:rsidR="00BD53F1" w:rsidRPr="008028D6" w:rsidRDefault="00BD53F1" w:rsidP="00221A04">
      <w:pPr>
        <w:jc w:val="both"/>
        <w:rPr>
          <w:rFonts w:cstheme="minorHAnsi"/>
          <w:color w:val="000000" w:themeColor="text1"/>
        </w:rPr>
      </w:pPr>
      <w:r w:rsidRPr="008028D6">
        <w:rPr>
          <w:rFonts w:cstheme="minorHAnsi"/>
          <w:color w:val="000000" w:themeColor="text1"/>
        </w:rPr>
        <w:t xml:space="preserve">Alongside the progression from SOOs to SOPOs to SHPOs, the </w:t>
      </w:r>
      <w:r w:rsidR="00A8643E" w:rsidRPr="008028D6">
        <w:rPr>
          <w:rFonts w:cstheme="minorHAnsi"/>
          <w:color w:val="000000" w:themeColor="text1"/>
        </w:rPr>
        <w:t>re-</w:t>
      </w:r>
      <w:r w:rsidRPr="008028D6">
        <w:rPr>
          <w:rFonts w:cstheme="minorHAnsi"/>
          <w:color w:val="000000" w:themeColor="text1"/>
        </w:rPr>
        <w:t xml:space="preserve">development of Risk of Sexual Harm Orders (RSHOs) </w:t>
      </w:r>
      <w:r w:rsidR="00A8643E" w:rsidRPr="008028D6">
        <w:rPr>
          <w:rFonts w:cstheme="minorHAnsi"/>
          <w:color w:val="000000" w:themeColor="text1"/>
        </w:rPr>
        <w:t>in</w:t>
      </w:r>
      <w:r w:rsidRPr="008028D6">
        <w:rPr>
          <w:rFonts w:cstheme="minorHAnsi"/>
          <w:color w:val="000000" w:themeColor="text1"/>
        </w:rPr>
        <w:t>to Sexual Risk Orders (SROs) should also be noted. The Risk of Sexual Harm Order w</w:t>
      </w:r>
      <w:r w:rsidR="00A8643E" w:rsidRPr="008028D6">
        <w:rPr>
          <w:rFonts w:cstheme="minorHAnsi"/>
          <w:color w:val="000000" w:themeColor="text1"/>
        </w:rPr>
        <w:t>as</w:t>
      </w:r>
      <w:r w:rsidRPr="008028D6">
        <w:rPr>
          <w:rFonts w:cstheme="minorHAnsi"/>
          <w:color w:val="000000" w:themeColor="text1"/>
        </w:rPr>
        <w:t xml:space="preserve"> initially conceived of as a tool to address child </w:t>
      </w:r>
      <w:r w:rsidR="00541010" w:rsidRPr="008028D6">
        <w:rPr>
          <w:rFonts w:cstheme="minorHAnsi"/>
          <w:color w:val="000000" w:themeColor="text1"/>
        </w:rPr>
        <w:t>“</w:t>
      </w:r>
      <w:r w:rsidRPr="008028D6">
        <w:rPr>
          <w:rFonts w:cstheme="minorHAnsi"/>
          <w:color w:val="000000" w:themeColor="text1"/>
        </w:rPr>
        <w:t>grooming</w:t>
      </w:r>
      <w:r w:rsidR="00541010" w:rsidRPr="008028D6">
        <w:rPr>
          <w:rFonts w:cstheme="minorHAnsi"/>
          <w:color w:val="000000" w:themeColor="text1"/>
        </w:rPr>
        <w:t>”</w:t>
      </w:r>
      <w:r w:rsidRPr="008028D6">
        <w:rPr>
          <w:rFonts w:cstheme="minorHAnsi"/>
          <w:color w:val="000000" w:themeColor="text1"/>
        </w:rPr>
        <w:t xml:space="preserve"> risks and other sexual risks to children.</w:t>
      </w:r>
      <w:r w:rsidRPr="008028D6">
        <w:rPr>
          <w:rStyle w:val="FootnoteReference"/>
          <w:rFonts w:cstheme="minorHAnsi"/>
          <w:color w:val="000000" w:themeColor="text1"/>
        </w:rPr>
        <w:footnoteReference w:id="19"/>
      </w:r>
      <w:r w:rsidRPr="008028D6">
        <w:rPr>
          <w:rFonts w:cstheme="minorHAnsi"/>
          <w:color w:val="000000" w:themeColor="text1"/>
        </w:rPr>
        <w:t xml:space="preserve"> </w:t>
      </w:r>
      <w:r w:rsidR="00A8643E" w:rsidRPr="008028D6">
        <w:rPr>
          <w:rFonts w:cstheme="minorHAnsi"/>
          <w:color w:val="000000" w:themeColor="text1"/>
        </w:rPr>
        <w:t>C</w:t>
      </w:r>
      <w:r w:rsidRPr="008028D6">
        <w:rPr>
          <w:rFonts w:cstheme="minorHAnsi"/>
          <w:color w:val="000000" w:themeColor="text1"/>
        </w:rPr>
        <w:t xml:space="preserve">ritics of the RSHO, and subsequently of the SRO, have pointed out that much of the behaviour </w:t>
      </w:r>
      <w:r w:rsidR="00A8643E" w:rsidRPr="008028D6">
        <w:rPr>
          <w:rFonts w:cstheme="minorHAnsi"/>
          <w:color w:val="000000" w:themeColor="text1"/>
        </w:rPr>
        <w:t>which can qualify an</w:t>
      </w:r>
      <w:r w:rsidRPr="008028D6">
        <w:rPr>
          <w:rFonts w:cstheme="minorHAnsi"/>
          <w:color w:val="000000" w:themeColor="text1"/>
        </w:rPr>
        <w:t xml:space="preserve"> individual for an SRO is likely to </w:t>
      </w:r>
      <w:r w:rsidR="00A8643E" w:rsidRPr="008028D6">
        <w:rPr>
          <w:rFonts w:cstheme="minorHAnsi"/>
          <w:color w:val="000000" w:themeColor="text1"/>
        </w:rPr>
        <w:t>constitute</w:t>
      </w:r>
      <w:r w:rsidRPr="008028D6">
        <w:rPr>
          <w:rFonts w:cstheme="minorHAnsi"/>
          <w:color w:val="000000" w:themeColor="text1"/>
        </w:rPr>
        <w:t xml:space="preserve"> an offence in its own right.</w:t>
      </w:r>
      <w:r w:rsidRPr="008028D6">
        <w:rPr>
          <w:rStyle w:val="FootnoteReference"/>
          <w:rFonts w:cstheme="minorHAnsi"/>
          <w:color w:val="000000" w:themeColor="text1"/>
        </w:rPr>
        <w:footnoteReference w:id="20"/>
      </w:r>
      <w:r w:rsidRPr="008028D6">
        <w:rPr>
          <w:rFonts w:cstheme="minorHAnsi"/>
          <w:color w:val="000000" w:themeColor="text1"/>
        </w:rPr>
        <w:t xml:space="preserve"> Where it is not, SROs might attract similar criticism to other preventative orders in that they can potentially impose a broad range of restrictions on those not convicted of any criminal behaviour.</w:t>
      </w:r>
      <w:r w:rsidRPr="008028D6">
        <w:rPr>
          <w:rStyle w:val="FootnoteReference"/>
          <w:rFonts w:cstheme="minorHAnsi"/>
          <w:color w:val="000000" w:themeColor="text1"/>
        </w:rPr>
        <w:footnoteReference w:id="21"/>
      </w:r>
    </w:p>
    <w:p w14:paraId="5E691426" w14:textId="6245B875" w:rsidR="00BD53F1" w:rsidRPr="008028D6" w:rsidRDefault="00BD53F1" w:rsidP="00221A04">
      <w:pPr>
        <w:jc w:val="both"/>
        <w:rPr>
          <w:rFonts w:cstheme="minorHAnsi"/>
          <w:color w:val="000000" w:themeColor="text1"/>
        </w:rPr>
      </w:pPr>
      <w:r w:rsidRPr="008028D6">
        <w:rPr>
          <w:rFonts w:cstheme="minorHAnsi"/>
          <w:color w:val="000000" w:themeColor="text1"/>
        </w:rPr>
        <w:t xml:space="preserve">SHROs were, like SOPOs, subject to reform as part of the Anti-Social Behaviour, Crime and Policing Act 2014, </w:t>
      </w:r>
      <w:r w:rsidR="008B74B5" w:rsidRPr="008028D6">
        <w:rPr>
          <w:rFonts w:cstheme="minorHAnsi"/>
          <w:color w:val="000000" w:themeColor="text1"/>
        </w:rPr>
        <w:t>which</w:t>
      </w:r>
      <w:r w:rsidRPr="008028D6">
        <w:rPr>
          <w:rFonts w:cstheme="minorHAnsi"/>
          <w:color w:val="000000" w:themeColor="text1"/>
        </w:rPr>
        <w:t xml:space="preserve"> expanded the use of SROs to harms not directed at children.</w:t>
      </w:r>
      <w:r w:rsidRPr="008028D6">
        <w:rPr>
          <w:rStyle w:val="FootnoteReference"/>
          <w:rFonts w:cstheme="minorHAnsi"/>
          <w:color w:val="000000" w:themeColor="text1"/>
        </w:rPr>
        <w:footnoteReference w:id="22"/>
      </w:r>
      <w:r w:rsidRPr="008028D6">
        <w:rPr>
          <w:rFonts w:cstheme="minorHAnsi"/>
          <w:color w:val="000000" w:themeColor="text1"/>
        </w:rPr>
        <w:t xml:space="preserve"> The Chief Constable applying for the order must have reasonable cause to believe that the order is necessary, and the defendant must have done an act of a sexual nature, in order for the application to be valid.</w:t>
      </w:r>
      <w:r w:rsidRPr="008028D6">
        <w:rPr>
          <w:rStyle w:val="FootnoteReference"/>
          <w:rFonts w:cstheme="minorHAnsi"/>
          <w:color w:val="000000" w:themeColor="text1"/>
        </w:rPr>
        <w:footnoteReference w:id="23"/>
      </w:r>
      <w:r w:rsidRPr="008028D6">
        <w:rPr>
          <w:rFonts w:cstheme="minorHAnsi"/>
          <w:color w:val="000000" w:themeColor="text1"/>
        </w:rPr>
        <w:t xml:space="preserve"> SROs have been subject to both academic and media critique, particularly </w:t>
      </w:r>
      <w:r w:rsidR="00523E6A" w:rsidRPr="008028D6">
        <w:rPr>
          <w:rFonts w:cstheme="minorHAnsi"/>
          <w:color w:val="000000" w:themeColor="text1"/>
        </w:rPr>
        <w:t xml:space="preserve">in relation </w:t>
      </w:r>
      <w:r w:rsidRPr="008028D6">
        <w:rPr>
          <w:rFonts w:cstheme="minorHAnsi"/>
          <w:color w:val="000000" w:themeColor="text1"/>
        </w:rPr>
        <w:t>to sweeping restrictions upon defendants.</w:t>
      </w:r>
      <w:r w:rsidRPr="008028D6">
        <w:rPr>
          <w:rStyle w:val="FootnoteReference"/>
          <w:rFonts w:cstheme="minorHAnsi"/>
          <w:color w:val="000000" w:themeColor="text1"/>
        </w:rPr>
        <w:footnoteReference w:id="24"/>
      </w:r>
    </w:p>
    <w:p w14:paraId="0036D006" w14:textId="064ECB7B" w:rsidR="00BD53F1" w:rsidRPr="008028D6" w:rsidRDefault="00BD53F1" w:rsidP="00221A04">
      <w:pPr>
        <w:jc w:val="both"/>
        <w:rPr>
          <w:rFonts w:cstheme="minorHAnsi"/>
          <w:color w:val="000000" w:themeColor="text1"/>
        </w:rPr>
      </w:pPr>
      <w:r w:rsidRPr="008028D6">
        <w:rPr>
          <w:rFonts w:cstheme="minorHAnsi"/>
          <w:color w:val="000000" w:themeColor="text1"/>
        </w:rPr>
        <w:t xml:space="preserve">The rationale behind discussing SROs here is that, by way of contrast to SHPOs, SROs are (some might suggest, overly) broad in scope </w:t>
      </w:r>
      <w:r w:rsidR="00E14768" w:rsidRPr="008028D6">
        <w:rPr>
          <w:rFonts w:cstheme="minorHAnsi"/>
          <w:color w:val="000000" w:themeColor="text1"/>
        </w:rPr>
        <w:t xml:space="preserve">in </w:t>
      </w:r>
      <w:r w:rsidR="009B5B42" w:rsidRPr="008028D6">
        <w:rPr>
          <w:rFonts w:cstheme="minorHAnsi"/>
          <w:color w:val="000000" w:themeColor="text1"/>
        </w:rPr>
        <w:t>respect of</w:t>
      </w:r>
      <w:r w:rsidRPr="008028D6">
        <w:rPr>
          <w:rFonts w:cstheme="minorHAnsi"/>
          <w:color w:val="000000" w:themeColor="text1"/>
        </w:rPr>
        <w:t xml:space="preserve"> the harm(s) they can be imposed to prevent. Notwithstanding the definition in s122B, which defines harm in the context of SROs as physical or psychological harm caused by the defendant doing an act of a sexual nature, the scope of sexual risk orders seems broad to say the least. Home Office guidance highlights that “act of a sexual nature” is not defined in the legislation and ‘</w:t>
      </w:r>
      <w:r w:rsidRPr="008028D6">
        <w:rPr>
          <w:rFonts w:cstheme="minorHAnsi"/>
          <w:i/>
          <w:iCs/>
          <w:color w:val="000000" w:themeColor="text1"/>
        </w:rPr>
        <w:t xml:space="preserve">intentionally </w:t>
      </w:r>
      <w:r w:rsidRPr="008028D6">
        <w:rPr>
          <w:rFonts w:cstheme="minorHAnsi"/>
          <w:color w:val="000000" w:themeColor="text1"/>
        </w:rPr>
        <w:t xml:space="preserve">covers a broad range of behaviour’ </w:t>
      </w:r>
      <w:r w:rsidR="00E26A12" w:rsidRPr="008028D6">
        <w:rPr>
          <w:rFonts w:cstheme="minorHAnsi"/>
          <w:color w:val="000000" w:themeColor="text1"/>
        </w:rPr>
        <w:t>that</w:t>
      </w:r>
      <w:r w:rsidRPr="008028D6">
        <w:rPr>
          <w:rFonts w:cstheme="minorHAnsi"/>
          <w:color w:val="000000" w:themeColor="text1"/>
        </w:rPr>
        <w:t xml:space="preserve"> may ‘in other circumstances and contexts, have innocent intentions’.</w:t>
      </w:r>
      <w:r w:rsidRPr="008028D6">
        <w:rPr>
          <w:rStyle w:val="FootnoteReference"/>
          <w:rFonts w:cstheme="minorHAnsi"/>
          <w:color w:val="000000" w:themeColor="text1"/>
        </w:rPr>
        <w:footnoteReference w:id="25"/>
      </w:r>
      <w:r w:rsidRPr="008028D6">
        <w:rPr>
          <w:rFonts w:cstheme="minorHAnsi"/>
          <w:color w:val="000000" w:themeColor="text1"/>
        </w:rPr>
        <w:t xml:space="preserve"> Although the qualifying behaviour necessary for an order to be made must fall within acts of a sexual nature, the </w:t>
      </w:r>
      <w:r w:rsidR="00E26A12" w:rsidRPr="008028D6">
        <w:rPr>
          <w:rFonts w:cstheme="minorHAnsi"/>
          <w:color w:val="000000" w:themeColor="text1"/>
        </w:rPr>
        <w:t>A</w:t>
      </w:r>
      <w:r w:rsidRPr="008028D6">
        <w:rPr>
          <w:rFonts w:cstheme="minorHAnsi"/>
          <w:color w:val="000000" w:themeColor="text1"/>
        </w:rPr>
        <w:t>ct is</w:t>
      </w:r>
      <w:r w:rsidR="00CD2DA1" w:rsidRPr="008028D6">
        <w:rPr>
          <w:rFonts w:cstheme="minorHAnsi"/>
          <w:color w:val="000000" w:themeColor="text1"/>
        </w:rPr>
        <w:t>,</w:t>
      </w:r>
      <w:r w:rsidRPr="008028D6">
        <w:rPr>
          <w:rFonts w:cstheme="minorHAnsi"/>
          <w:color w:val="000000" w:themeColor="text1"/>
        </w:rPr>
        <w:t xml:space="preserve"> in fact</w:t>
      </w:r>
      <w:r w:rsidR="00CD2DA1" w:rsidRPr="008028D6">
        <w:rPr>
          <w:rFonts w:cstheme="minorHAnsi"/>
          <w:color w:val="000000" w:themeColor="text1"/>
        </w:rPr>
        <w:t>,</w:t>
      </w:r>
      <w:r w:rsidRPr="008028D6">
        <w:rPr>
          <w:rFonts w:cstheme="minorHAnsi"/>
          <w:color w:val="000000" w:themeColor="text1"/>
        </w:rPr>
        <w:t xml:space="preserve"> unclear about whether the harm that it intends to prevent must fall within this definition</w:t>
      </w:r>
      <w:r w:rsidR="006B6EEE" w:rsidRPr="008028D6">
        <w:rPr>
          <w:rFonts w:cstheme="minorHAnsi"/>
          <w:color w:val="000000" w:themeColor="text1"/>
        </w:rPr>
        <w:t xml:space="preserve"> as well</w:t>
      </w:r>
      <w:r w:rsidRPr="008028D6">
        <w:rPr>
          <w:rFonts w:cstheme="minorHAnsi"/>
          <w:color w:val="000000" w:themeColor="text1"/>
        </w:rPr>
        <w:t>.</w:t>
      </w:r>
    </w:p>
    <w:p w14:paraId="1DC01622" w14:textId="66D4FB03" w:rsidR="009758DC" w:rsidRPr="008028D6" w:rsidRDefault="00961EAA" w:rsidP="00221A04">
      <w:pPr>
        <w:jc w:val="both"/>
        <w:rPr>
          <w:rFonts w:cstheme="minorHAnsi"/>
          <w:color w:val="000000" w:themeColor="text1"/>
        </w:rPr>
      </w:pPr>
      <w:r w:rsidRPr="008028D6">
        <w:rPr>
          <w:rFonts w:cstheme="minorHAnsi"/>
          <w:color w:val="000000" w:themeColor="text1"/>
        </w:rPr>
        <w:t>If the arguments relating to the application of SHPOs below is correct</w:t>
      </w:r>
      <w:r w:rsidR="00F82B4C" w:rsidRPr="008028D6">
        <w:rPr>
          <w:rFonts w:cstheme="minorHAnsi"/>
          <w:color w:val="000000" w:themeColor="text1"/>
        </w:rPr>
        <w:t>,</w:t>
      </w:r>
      <w:r w:rsidRPr="008028D6">
        <w:rPr>
          <w:rFonts w:cstheme="minorHAnsi"/>
          <w:color w:val="000000" w:themeColor="text1"/>
        </w:rPr>
        <w:t xml:space="preserve"> and they are not suitable in order to prevent the risk of STI transmission, then SROs may remain open to courts as an alternative. Certainly</w:t>
      </w:r>
      <w:r w:rsidR="0020544A" w:rsidRPr="008028D6">
        <w:rPr>
          <w:rFonts w:cstheme="minorHAnsi"/>
          <w:color w:val="000000" w:themeColor="text1"/>
        </w:rPr>
        <w:t>,</w:t>
      </w:r>
      <w:r w:rsidRPr="008028D6">
        <w:rPr>
          <w:rFonts w:cstheme="minorHAnsi"/>
          <w:color w:val="000000" w:themeColor="text1"/>
        </w:rPr>
        <w:t xml:space="preserve"> this </w:t>
      </w:r>
      <w:r w:rsidR="00E26A12" w:rsidRPr="008028D6">
        <w:rPr>
          <w:rFonts w:cstheme="minorHAnsi"/>
          <w:color w:val="000000" w:themeColor="text1"/>
        </w:rPr>
        <w:t>article</w:t>
      </w:r>
      <w:r w:rsidRPr="008028D6">
        <w:rPr>
          <w:rFonts w:cstheme="minorHAnsi"/>
          <w:color w:val="000000" w:themeColor="text1"/>
        </w:rPr>
        <w:t xml:space="preserve"> does not advocate for </w:t>
      </w:r>
      <w:r w:rsidR="00A95844" w:rsidRPr="008028D6">
        <w:rPr>
          <w:rFonts w:cstheme="minorHAnsi"/>
          <w:color w:val="000000" w:themeColor="text1"/>
        </w:rPr>
        <w:t>SROs to be used in this way. Instead</w:t>
      </w:r>
      <w:r w:rsidR="006B6EEE" w:rsidRPr="008028D6">
        <w:rPr>
          <w:rFonts w:cstheme="minorHAnsi"/>
          <w:color w:val="000000" w:themeColor="text1"/>
        </w:rPr>
        <w:t>,</w:t>
      </w:r>
      <w:r w:rsidR="004C3002" w:rsidRPr="008028D6">
        <w:rPr>
          <w:rFonts w:cstheme="minorHAnsi"/>
          <w:color w:val="000000" w:themeColor="text1"/>
        </w:rPr>
        <w:t xml:space="preserve"> </w:t>
      </w:r>
      <w:r w:rsidR="00541559" w:rsidRPr="008028D6">
        <w:rPr>
          <w:rFonts w:cstheme="minorHAnsi"/>
          <w:color w:val="000000" w:themeColor="text1"/>
        </w:rPr>
        <w:t xml:space="preserve">by shifting </w:t>
      </w:r>
      <w:r w:rsidR="004F39F0" w:rsidRPr="008028D6">
        <w:rPr>
          <w:rFonts w:cstheme="minorHAnsi"/>
          <w:color w:val="000000" w:themeColor="text1"/>
        </w:rPr>
        <w:t>discussion to that debate</w:t>
      </w:r>
      <w:r w:rsidR="00166523" w:rsidRPr="008028D6">
        <w:rPr>
          <w:rFonts w:cstheme="minorHAnsi"/>
          <w:color w:val="000000" w:themeColor="text1"/>
        </w:rPr>
        <w:t>,</w:t>
      </w:r>
      <w:r w:rsidR="003D4F06" w:rsidRPr="008028D6">
        <w:rPr>
          <w:rFonts w:cstheme="minorHAnsi"/>
          <w:color w:val="000000" w:themeColor="text1"/>
        </w:rPr>
        <w:t xml:space="preserve"> it </w:t>
      </w:r>
      <w:r w:rsidR="00B12B18" w:rsidRPr="008028D6">
        <w:rPr>
          <w:rFonts w:cstheme="minorHAnsi"/>
          <w:color w:val="000000" w:themeColor="text1"/>
        </w:rPr>
        <w:t xml:space="preserve">aims to bring similar levels of scrutiny to the use of preventative orders in STI transmission cases as has been seen in some public discourse over the use of SROs. </w:t>
      </w:r>
      <w:r w:rsidR="009758DC" w:rsidRPr="008028D6">
        <w:rPr>
          <w:rFonts w:cstheme="minorHAnsi"/>
          <w:color w:val="000000" w:themeColor="text1"/>
        </w:rPr>
        <w:t xml:space="preserve">Arguably, were SROs used for the purpose of preventing the transmission of sexually communicable infections, it would be entirely possible that such orders could be used without the subject of the order having been found guilty, or potentially even suspected of, transmitting an infection to another. The serious moral concerns that this should warrant, particularly in the context of overly zealous police officers continuing investigations into people living with HIV for non-disclosure, even where there </w:t>
      </w:r>
      <w:r w:rsidR="001C4D0C" w:rsidRPr="008028D6">
        <w:rPr>
          <w:rFonts w:cstheme="minorHAnsi"/>
          <w:color w:val="000000" w:themeColor="text1"/>
        </w:rPr>
        <w:t>was</w:t>
      </w:r>
      <w:r w:rsidR="009758DC" w:rsidRPr="008028D6">
        <w:rPr>
          <w:rFonts w:cstheme="minorHAnsi"/>
          <w:color w:val="000000" w:themeColor="text1"/>
        </w:rPr>
        <w:t xml:space="preserve"> never </w:t>
      </w:r>
      <w:r w:rsidR="009758DC" w:rsidRPr="008028D6">
        <w:rPr>
          <w:rFonts w:cstheme="minorHAnsi"/>
          <w:color w:val="000000" w:themeColor="text1"/>
        </w:rPr>
        <w:lastRenderedPageBreak/>
        <w:t>a risk of transmission,</w:t>
      </w:r>
      <w:r w:rsidR="009758DC" w:rsidRPr="008028D6">
        <w:rPr>
          <w:rStyle w:val="FootnoteReference"/>
          <w:rFonts w:cstheme="minorHAnsi"/>
          <w:color w:val="000000" w:themeColor="text1"/>
        </w:rPr>
        <w:footnoteReference w:id="26"/>
      </w:r>
      <w:r w:rsidR="009758DC" w:rsidRPr="008028D6">
        <w:rPr>
          <w:rFonts w:cstheme="minorHAnsi"/>
          <w:color w:val="000000" w:themeColor="text1"/>
        </w:rPr>
        <w:t xml:space="preserve"> </w:t>
      </w:r>
      <w:r w:rsidR="00595DD2" w:rsidRPr="008028D6">
        <w:rPr>
          <w:rFonts w:cstheme="minorHAnsi"/>
          <w:color w:val="000000" w:themeColor="text1"/>
        </w:rPr>
        <w:t>would arguably</w:t>
      </w:r>
      <w:r w:rsidR="009758DC" w:rsidRPr="008028D6">
        <w:rPr>
          <w:rFonts w:cstheme="minorHAnsi"/>
          <w:color w:val="000000" w:themeColor="text1"/>
        </w:rPr>
        <w:t xml:space="preserve"> be a strong argument against the </w:t>
      </w:r>
      <w:r w:rsidR="00977EDD" w:rsidRPr="008028D6">
        <w:rPr>
          <w:rFonts w:cstheme="minorHAnsi"/>
          <w:color w:val="000000" w:themeColor="text1"/>
        </w:rPr>
        <w:t>use of</w:t>
      </w:r>
      <w:r w:rsidR="009758DC" w:rsidRPr="008028D6">
        <w:rPr>
          <w:rFonts w:cstheme="minorHAnsi"/>
          <w:color w:val="000000" w:themeColor="text1"/>
        </w:rPr>
        <w:t xml:space="preserve"> SROs in this way</w:t>
      </w:r>
      <w:r w:rsidR="00595DD2" w:rsidRPr="008028D6">
        <w:rPr>
          <w:rFonts w:cstheme="minorHAnsi"/>
          <w:color w:val="000000" w:themeColor="text1"/>
        </w:rPr>
        <w:t xml:space="preserve"> and </w:t>
      </w:r>
      <w:r w:rsidR="00E26A12" w:rsidRPr="008028D6">
        <w:rPr>
          <w:rFonts w:cstheme="minorHAnsi"/>
          <w:color w:val="000000" w:themeColor="text1"/>
        </w:rPr>
        <w:t>support</w:t>
      </w:r>
      <w:r w:rsidR="00595DD2" w:rsidRPr="008028D6">
        <w:rPr>
          <w:rFonts w:cstheme="minorHAnsi"/>
          <w:color w:val="000000" w:themeColor="text1"/>
        </w:rPr>
        <w:t xml:space="preserve"> the general argument that</w:t>
      </w:r>
      <w:r w:rsidR="00977EDD" w:rsidRPr="008028D6">
        <w:rPr>
          <w:rFonts w:cstheme="minorHAnsi"/>
          <w:color w:val="000000" w:themeColor="text1"/>
        </w:rPr>
        <w:t xml:space="preserve"> criminalisation is an ineffective response to STI transmission. </w:t>
      </w:r>
      <w:r w:rsidR="00595DD2" w:rsidRPr="008028D6">
        <w:rPr>
          <w:rFonts w:cstheme="minorHAnsi"/>
          <w:color w:val="000000" w:themeColor="text1"/>
        </w:rPr>
        <w:t xml:space="preserve"> </w:t>
      </w:r>
    </w:p>
    <w:p w14:paraId="5DC77210" w14:textId="489EB231" w:rsidR="000F3D52" w:rsidRPr="008028D6" w:rsidRDefault="008C3DE0" w:rsidP="00221A04">
      <w:pPr>
        <w:pStyle w:val="Heading2"/>
        <w:jc w:val="both"/>
        <w:rPr>
          <w:color w:val="000000" w:themeColor="text1"/>
        </w:rPr>
      </w:pPr>
      <w:r w:rsidRPr="008028D6">
        <w:rPr>
          <w:color w:val="000000" w:themeColor="text1"/>
        </w:rPr>
        <w:t>Reform</w:t>
      </w:r>
      <w:r w:rsidR="000F3D52" w:rsidRPr="008028D6">
        <w:rPr>
          <w:color w:val="000000" w:themeColor="text1"/>
        </w:rPr>
        <w:t>:</w:t>
      </w:r>
      <w:r w:rsidR="00A07487" w:rsidRPr="008028D6">
        <w:rPr>
          <w:color w:val="000000" w:themeColor="text1"/>
        </w:rPr>
        <w:t xml:space="preserve"> Parliament and the</w:t>
      </w:r>
      <w:r w:rsidR="000F3D52" w:rsidRPr="008028D6">
        <w:rPr>
          <w:color w:val="000000" w:themeColor="text1"/>
        </w:rPr>
        <w:t xml:space="preserve"> A</w:t>
      </w:r>
      <w:r w:rsidR="002059EF" w:rsidRPr="008028D6">
        <w:rPr>
          <w:color w:val="000000" w:themeColor="text1"/>
        </w:rPr>
        <w:t xml:space="preserve">nti-Social </w:t>
      </w:r>
      <w:r w:rsidR="000F3D52" w:rsidRPr="008028D6">
        <w:rPr>
          <w:color w:val="000000" w:themeColor="text1"/>
        </w:rPr>
        <w:t>B</w:t>
      </w:r>
      <w:r w:rsidR="002059EF" w:rsidRPr="008028D6">
        <w:rPr>
          <w:color w:val="000000" w:themeColor="text1"/>
        </w:rPr>
        <w:t xml:space="preserve">ehaviour </w:t>
      </w:r>
      <w:r w:rsidR="000F3D52" w:rsidRPr="008028D6">
        <w:rPr>
          <w:color w:val="000000" w:themeColor="text1"/>
        </w:rPr>
        <w:t>C</w:t>
      </w:r>
      <w:r w:rsidR="002059EF" w:rsidRPr="008028D6">
        <w:rPr>
          <w:color w:val="000000" w:themeColor="text1"/>
        </w:rPr>
        <w:t xml:space="preserve">rime and </w:t>
      </w:r>
      <w:r w:rsidR="000F3D52" w:rsidRPr="008028D6">
        <w:rPr>
          <w:color w:val="000000" w:themeColor="text1"/>
        </w:rPr>
        <w:t>P</w:t>
      </w:r>
      <w:r w:rsidR="002059EF" w:rsidRPr="008028D6">
        <w:rPr>
          <w:color w:val="000000" w:themeColor="text1"/>
        </w:rPr>
        <w:t xml:space="preserve">olicing </w:t>
      </w:r>
      <w:r w:rsidR="000F3D52" w:rsidRPr="008028D6">
        <w:rPr>
          <w:color w:val="000000" w:themeColor="text1"/>
        </w:rPr>
        <w:t>A</w:t>
      </w:r>
      <w:r w:rsidR="002059EF" w:rsidRPr="008028D6">
        <w:rPr>
          <w:color w:val="000000" w:themeColor="text1"/>
        </w:rPr>
        <w:t>ct</w:t>
      </w:r>
      <w:r w:rsidR="000F3D52" w:rsidRPr="008028D6">
        <w:rPr>
          <w:color w:val="000000" w:themeColor="text1"/>
        </w:rPr>
        <w:t xml:space="preserve"> 2014</w:t>
      </w:r>
    </w:p>
    <w:p w14:paraId="476FC5D3" w14:textId="471599CB" w:rsidR="000F3D52" w:rsidRPr="008028D6" w:rsidRDefault="000F3D52" w:rsidP="00221A04">
      <w:pPr>
        <w:jc w:val="both"/>
        <w:rPr>
          <w:color w:val="000000" w:themeColor="text1"/>
        </w:rPr>
      </w:pPr>
      <w:r w:rsidRPr="008028D6">
        <w:rPr>
          <w:color w:val="000000" w:themeColor="text1"/>
        </w:rPr>
        <w:t>Subject to the development through case law, discussed in the next section, SOPOs remained in place following the 2003 Act until</w:t>
      </w:r>
      <w:r w:rsidR="00705AEB" w:rsidRPr="008028D6">
        <w:rPr>
          <w:color w:val="000000" w:themeColor="text1"/>
        </w:rPr>
        <w:t>, during</w:t>
      </w:r>
      <w:r w:rsidRPr="008028D6">
        <w:rPr>
          <w:color w:val="000000" w:themeColor="text1"/>
        </w:rPr>
        <w:t xml:space="preserve"> the</w:t>
      </w:r>
      <w:r w:rsidR="00720BB1" w:rsidRPr="008028D6">
        <w:rPr>
          <w:color w:val="000000" w:themeColor="text1"/>
        </w:rPr>
        <w:t xml:space="preserve"> 2010</w:t>
      </w:r>
      <w:r w:rsidR="00A07487" w:rsidRPr="008028D6">
        <w:rPr>
          <w:color w:val="000000" w:themeColor="text1"/>
        </w:rPr>
        <w:t>-2015</w:t>
      </w:r>
      <w:r w:rsidR="00720BB1" w:rsidRPr="008028D6">
        <w:rPr>
          <w:color w:val="000000" w:themeColor="text1"/>
        </w:rPr>
        <w:t xml:space="preserve"> Conservative-Liberal Democrat </w:t>
      </w:r>
      <w:r w:rsidRPr="008028D6">
        <w:rPr>
          <w:color w:val="000000" w:themeColor="text1"/>
        </w:rPr>
        <w:t>Coalition Government</w:t>
      </w:r>
      <w:r w:rsidR="00705AEB" w:rsidRPr="008028D6">
        <w:rPr>
          <w:color w:val="000000" w:themeColor="text1"/>
        </w:rPr>
        <w:t xml:space="preserve">, the Association of </w:t>
      </w:r>
      <w:r w:rsidR="0002042B" w:rsidRPr="008028D6">
        <w:rPr>
          <w:color w:val="000000" w:themeColor="text1"/>
        </w:rPr>
        <w:t>Chief Police Officers</w:t>
      </w:r>
      <w:r w:rsidRPr="008028D6">
        <w:rPr>
          <w:color w:val="000000" w:themeColor="text1"/>
        </w:rPr>
        <w:t xml:space="preserve"> commissioned the Davies Review</w:t>
      </w:r>
      <w:r w:rsidR="00E26A12" w:rsidRPr="008028D6">
        <w:rPr>
          <w:color w:val="000000" w:themeColor="text1"/>
        </w:rPr>
        <w:t>.</w:t>
      </w:r>
      <w:r w:rsidR="00E26A12" w:rsidRPr="008028D6">
        <w:rPr>
          <w:rStyle w:val="FootnoteReference"/>
          <w:color w:val="000000" w:themeColor="text1"/>
        </w:rPr>
        <w:footnoteReference w:id="27"/>
      </w:r>
      <w:r w:rsidR="00E26A12" w:rsidRPr="008028D6">
        <w:rPr>
          <w:color w:val="000000" w:themeColor="text1"/>
        </w:rPr>
        <w:t xml:space="preserve"> This</w:t>
      </w:r>
      <w:r w:rsidR="00C07680" w:rsidRPr="008028D6">
        <w:rPr>
          <w:color w:val="000000" w:themeColor="text1"/>
        </w:rPr>
        <w:t xml:space="preserve"> </w:t>
      </w:r>
      <w:r w:rsidR="00166523" w:rsidRPr="008028D6">
        <w:rPr>
          <w:color w:val="000000" w:themeColor="text1"/>
        </w:rPr>
        <w:t>contribut</w:t>
      </w:r>
      <w:r w:rsidR="00E26A12" w:rsidRPr="008028D6">
        <w:rPr>
          <w:color w:val="000000" w:themeColor="text1"/>
        </w:rPr>
        <w:t>ed</w:t>
      </w:r>
      <w:r w:rsidR="00EF450A" w:rsidRPr="008028D6">
        <w:rPr>
          <w:color w:val="000000" w:themeColor="text1"/>
        </w:rPr>
        <w:t>, in part,</w:t>
      </w:r>
      <w:r w:rsidRPr="008028D6">
        <w:rPr>
          <w:color w:val="000000" w:themeColor="text1"/>
        </w:rPr>
        <w:t xml:space="preserve"> to the reforms included in the Anti-Social Behaviour, Crime and Policing Act 2014.</w:t>
      </w:r>
      <w:r w:rsidR="00E26A12" w:rsidRPr="008028D6">
        <w:rPr>
          <w:rStyle w:val="FootnoteReference"/>
          <w:color w:val="000000" w:themeColor="text1"/>
        </w:rPr>
        <w:footnoteReference w:id="28"/>
      </w:r>
      <w:r w:rsidRPr="008028D6">
        <w:rPr>
          <w:color w:val="000000" w:themeColor="text1"/>
        </w:rPr>
        <w:t xml:space="preserve"> The new orders were introduced into what became s103A SOA 2003 and allowed the court to make an order where: </w:t>
      </w:r>
    </w:p>
    <w:p w14:paraId="26050CB7" w14:textId="77777777" w:rsidR="000F3D52" w:rsidRPr="008028D6" w:rsidRDefault="000F3D52" w:rsidP="00221A04">
      <w:pPr>
        <w:jc w:val="both"/>
        <w:rPr>
          <w:color w:val="000000" w:themeColor="text1"/>
        </w:rPr>
      </w:pPr>
      <w:r w:rsidRPr="008028D6">
        <w:rPr>
          <w:color w:val="000000" w:themeColor="text1"/>
        </w:rPr>
        <w:tab/>
        <w:t>(a)the court deals with the defendant in respect of—</w:t>
      </w:r>
    </w:p>
    <w:p w14:paraId="2AC592E3" w14:textId="77777777" w:rsidR="000F3D52" w:rsidRPr="008028D6" w:rsidRDefault="000F3D52" w:rsidP="00221A04">
      <w:pPr>
        <w:ind w:left="720" w:firstLine="720"/>
        <w:jc w:val="both"/>
        <w:rPr>
          <w:color w:val="000000" w:themeColor="text1"/>
        </w:rPr>
      </w:pPr>
      <w:r w:rsidRPr="008028D6">
        <w:rPr>
          <w:color w:val="000000" w:themeColor="text1"/>
        </w:rPr>
        <w:t>(</w:t>
      </w:r>
      <w:proofErr w:type="spellStart"/>
      <w:r w:rsidRPr="008028D6">
        <w:rPr>
          <w:color w:val="000000" w:themeColor="text1"/>
        </w:rPr>
        <w:t>i</w:t>
      </w:r>
      <w:proofErr w:type="spellEnd"/>
      <w:r w:rsidRPr="008028D6">
        <w:rPr>
          <w:color w:val="000000" w:themeColor="text1"/>
        </w:rPr>
        <w:t>)an offence listed in Schedule 3 or 5, or</w:t>
      </w:r>
    </w:p>
    <w:p w14:paraId="78A0D019" w14:textId="77777777" w:rsidR="000F3D52" w:rsidRPr="008028D6" w:rsidRDefault="000F3D52" w:rsidP="00221A04">
      <w:pPr>
        <w:ind w:left="1440"/>
        <w:jc w:val="both"/>
        <w:rPr>
          <w:color w:val="000000" w:themeColor="text1"/>
        </w:rPr>
      </w:pPr>
      <w:r w:rsidRPr="008028D6">
        <w:rPr>
          <w:color w:val="000000" w:themeColor="text1"/>
        </w:rPr>
        <w:t>(ii)a finding that the defendant is not guilty of an offence listed in Schedule 3 or 5 by reason of insanity, or</w:t>
      </w:r>
    </w:p>
    <w:p w14:paraId="4C5C53C8" w14:textId="77777777" w:rsidR="000F3D52" w:rsidRPr="008028D6" w:rsidRDefault="000F3D52" w:rsidP="00221A04">
      <w:pPr>
        <w:ind w:left="1440"/>
        <w:jc w:val="both"/>
        <w:rPr>
          <w:color w:val="000000" w:themeColor="text1"/>
        </w:rPr>
      </w:pPr>
      <w:r w:rsidRPr="008028D6">
        <w:rPr>
          <w:color w:val="000000" w:themeColor="text1"/>
        </w:rPr>
        <w:t xml:space="preserve">(iii)a finding that the defendant is under a disability and has done the act charged against the defendant in respect of an offence listed in Schedule 3 or 5, </w:t>
      </w:r>
    </w:p>
    <w:p w14:paraId="0D06ED83" w14:textId="77777777" w:rsidR="000F3D52" w:rsidRPr="008028D6" w:rsidRDefault="000F3D52" w:rsidP="00221A04">
      <w:pPr>
        <w:ind w:firstLine="720"/>
        <w:jc w:val="both"/>
        <w:rPr>
          <w:color w:val="000000" w:themeColor="text1"/>
        </w:rPr>
      </w:pPr>
      <w:r w:rsidRPr="008028D6">
        <w:rPr>
          <w:color w:val="000000" w:themeColor="text1"/>
        </w:rPr>
        <w:t>and</w:t>
      </w:r>
    </w:p>
    <w:p w14:paraId="5DD26380" w14:textId="77777777" w:rsidR="000F3D52" w:rsidRPr="008028D6" w:rsidRDefault="000F3D52" w:rsidP="00221A04">
      <w:pPr>
        <w:ind w:left="720"/>
        <w:jc w:val="both"/>
        <w:rPr>
          <w:color w:val="000000" w:themeColor="text1"/>
        </w:rPr>
      </w:pPr>
      <w:r w:rsidRPr="008028D6">
        <w:rPr>
          <w:color w:val="000000" w:themeColor="text1"/>
        </w:rPr>
        <w:t>(b)the court is satisfied that it is necessary to make a sexual harm prevention order, for the purpose of—</w:t>
      </w:r>
    </w:p>
    <w:p w14:paraId="6B400615" w14:textId="77777777" w:rsidR="000F3D52" w:rsidRPr="008028D6" w:rsidRDefault="000F3D52" w:rsidP="00221A04">
      <w:pPr>
        <w:ind w:left="1440"/>
        <w:jc w:val="both"/>
        <w:rPr>
          <w:color w:val="000000" w:themeColor="text1"/>
        </w:rPr>
      </w:pPr>
      <w:r w:rsidRPr="008028D6">
        <w:rPr>
          <w:color w:val="000000" w:themeColor="text1"/>
        </w:rPr>
        <w:t>(</w:t>
      </w:r>
      <w:proofErr w:type="spellStart"/>
      <w:r w:rsidRPr="008028D6">
        <w:rPr>
          <w:color w:val="000000" w:themeColor="text1"/>
        </w:rPr>
        <w:t>i</w:t>
      </w:r>
      <w:proofErr w:type="spellEnd"/>
      <w:r w:rsidRPr="008028D6">
        <w:rPr>
          <w:color w:val="000000" w:themeColor="text1"/>
        </w:rPr>
        <w:t>)protecting the public or any particular members of the public from sexual harm from the defendant, or</w:t>
      </w:r>
    </w:p>
    <w:p w14:paraId="123632A4" w14:textId="4ADFCC21" w:rsidR="000F3D52" w:rsidRPr="008028D6" w:rsidRDefault="000F3D52" w:rsidP="00221A04">
      <w:pPr>
        <w:ind w:left="1440"/>
        <w:jc w:val="both"/>
        <w:rPr>
          <w:color w:val="000000" w:themeColor="text1"/>
        </w:rPr>
      </w:pPr>
      <w:r w:rsidRPr="008028D6">
        <w:rPr>
          <w:color w:val="000000" w:themeColor="text1"/>
        </w:rPr>
        <w:t>(ii)protecting children or vulnerable adults generally, or any particular children or vulnerable adults, from sexual harm from the defendant outside the United Kingdom.</w:t>
      </w:r>
      <w:r w:rsidRPr="008028D6">
        <w:rPr>
          <w:rStyle w:val="FootnoteReference"/>
          <w:color w:val="000000" w:themeColor="text1"/>
        </w:rPr>
        <w:footnoteReference w:id="29"/>
      </w:r>
    </w:p>
    <w:p w14:paraId="44417D58" w14:textId="1D443C50" w:rsidR="000F3D52" w:rsidRPr="008028D6" w:rsidRDefault="000F3D52" w:rsidP="00221A04">
      <w:pPr>
        <w:jc w:val="both"/>
        <w:rPr>
          <w:color w:val="000000" w:themeColor="text1"/>
        </w:rPr>
      </w:pPr>
      <w:r w:rsidRPr="008028D6">
        <w:rPr>
          <w:color w:val="000000" w:themeColor="text1"/>
        </w:rPr>
        <w:t>The, then, Policing</w:t>
      </w:r>
      <w:r w:rsidR="0035797B" w:rsidRPr="008028D6">
        <w:rPr>
          <w:color w:val="000000" w:themeColor="text1"/>
        </w:rPr>
        <w:t xml:space="preserve"> and Criminal Justice</w:t>
      </w:r>
      <w:r w:rsidRPr="008028D6">
        <w:rPr>
          <w:color w:val="000000" w:themeColor="text1"/>
        </w:rPr>
        <w:t xml:space="preserve"> Minister Damien Green, who led </w:t>
      </w:r>
      <w:r w:rsidR="00CD2DA1" w:rsidRPr="008028D6">
        <w:rPr>
          <w:color w:val="000000" w:themeColor="text1"/>
        </w:rPr>
        <w:t xml:space="preserve">the </w:t>
      </w:r>
      <w:r w:rsidRPr="008028D6">
        <w:rPr>
          <w:color w:val="000000" w:themeColor="text1"/>
        </w:rPr>
        <w:t xml:space="preserve">debate on the </w:t>
      </w:r>
      <w:r w:rsidR="00CD2DA1" w:rsidRPr="008028D6">
        <w:rPr>
          <w:color w:val="000000" w:themeColor="text1"/>
        </w:rPr>
        <w:t>reforms</w:t>
      </w:r>
      <w:r w:rsidRPr="008028D6">
        <w:rPr>
          <w:color w:val="000000" w:themeColor="text1"/>
        </w:rPr>
        <w:t xml:space="preserve"> </w:t>
      </w:r>
      <w:r w:rsidR="00CD2DA1" w:rsidRPr="008028D6">
        <w:rPr>
          <w:color w:val="000000" w:themeColor="text1"/>
        </w:rPr>
        <w:t>which replaced SOPOs with</w:t>
      </w:r>
      <w:r w:rsidRPr="008028D6">
        <w:rPr>
          <w:color w:val="000000" w:themeColor="text1"/>
        </w:rPr>
        <w:t xml:space="preserve"> </w:t>
      </w:r>
      <w:r w:rsidR="00CD2DA1" w:rsidRPr="008028D6">
        <w:rPr>
          <w:color w:val="000000" w:themeColor="text1"/>
        </w:rPr>
        <w:t>SHPOs</w:t>
      </w:r>
      <w:r w:rsidRPr="008028D6">
        <w:rPr>
          <w:color w:val="000000" w:themeColor="text1"/>
        </w:rPr>
        <w:t xml:space="preserve">, explained </w:t>
      </w:r>
      <w:r w:rsidR="00CD2DA1" w:rsidRPr="008028D6">
        <w:rPr>
          <w:color w:val="000000" w:themeColor="text1"/>
        </w:rPr>
        <w:t>that</w:t>
      </w:r>
      <w:r w:rsidRPr="008028D6">
        <w:rPr>
          <w:color w:val="000000" w:themeColor="text1"/>
        </w:rPr>
        <w:t xml:space="preserve"> the new order enabled the court</w:t>
      </w:r>
      <w:r w:rsidR="0035797B" w:rsidRPr="008028D6">
        <w:rPr>
          <w:color w:val="000000" w:themeColor="text1"/>
        </w:rPr>
        <w:t>s</w:t>
      </w:r>
      <w:r w:rsidRPr="008028D6">
        <w:rPr>
          <w:color w:val="000000" w:themeColor="text1"/>
        </w:rPr>
        <w:t xml:space="preserve"> to “impose an order for the purposes of protecting the public in the UK and/or children or vulnerable adults from sexual harm”.</w:t>
      </w:r>
      <w:r w:rsidRPr="008028D6">
        <w:rPr>
          <w:rStyle w:val="FootnoteReference"/>
          <w:color w:val="000000" w:themeColor="text1"/>
        </w:rPr>
        <w:footnoteReference w:id="30"/>
      </w:r>
      <w:r w:rsidRPr="008028D6">
        <w:rPr>
          <w:color w:val="000000" w:themeColor="text1"/>
        </w:rPr>
        <w:t xml:space="preserve">  In the statutory notes accompanying the amendment to ss103 and 104, it explains that the standard of harm required to make the order necessary was being downgraded from serious sexual harm to sexual harm,</w:t>
      </w:r>
      <w:r w:rsidRPr="008028D6">
        <w:rPr>
          <w:rStyle w:val="FootnoteReference"/>
          <w:color w:val="000000" w:themeColor="text1"/>
        </w:rPr>
        <w:footnoteReference w:id="31"/>
      </w:r>
      <w:r w:rsidRPr="008028D6">
        <w:rPr>
          <w:color w:val="000000" w:themeColor="text1"/>
        </w:rPr>
        <w:t xml:space="preserve"> something echoed in subsequent judgements addressing SHPOs.</w:t>
      </w:r>
      <w:r w:rsidRPr="008028D6">
        <w:rPr>
          <w:rStyle w:val="FootnoteReference"/>
          <w:color w:val="000000" w:themeColor="text1"/>
        </w:rPr>
        <w:footnoteReference w:id="32"/>
      </w:r>
    </w:p>
    <w:p w14:paraId="1F72628D" w14:textId="6C9559E1" w:rsidR="000F3D52" w:rsidRPr="008028D6" w:rsidRDefault="000F3D52" w:rsidP="00221A04">
      <w:pPr>
        <w:jc w:val="both"/>
        <w:rPr>
          <w:color w:val="000000" w:themeColor="text1"/>
        </w:rPr>
      </w:pPr>
      <w:r w:rsidRPr="008028D6">
        <w:rPr>
          <w:color w:val="000000" w:themeColor="text1"/>
        </w:rPr>
        <w:t xml:space="preserve">When introduced, SOPO provisions explained that: </w:t>
      </w:r>
      <w:r w:rsidR="00537DEB" w:rsidRPr="008028D6">
        <w:rPr>
          <w:color w:val="000000" w:themeColor="text1"/>
        </w:rPr>
        <w:t>‘</w:t>
      </w:r>
      <w:r w:rsidRPr="008028D6">
        <w:rPr>
          <w:color w:val="000000" w:themeColor="text1"/>
        </w:rPr>
        <w:t>“[p]</w:t>
      </w:r>
      <w:proofErr w:type="spellStart"/>
      <w:r w:rsidRPr="008028D6">
        <w:rPr>
          <w:color w:val="000000" w:themeColor="text1"/>
        </w:rPr>
        <w:t>rotecting</w:t>
      </w:r>
      <w:proofErr w:type="spellEnd"/>
      <w:r w:rsidRPr="008028D6">
        <w:rPr>
          <w:color w:val="000000" w:themeColor="text1"/>
        </w:rPr>
        <w:t xml:space="preserve"> the public or any particular members of the public from serious sexual harm from the defendant” means protecting the public in the United Kingdom or any particular members of that public from serious physical or psychological harm, caused </w:t>
      </w:r>
      <w:r w:rsidRPr="008028D6">
        <w:rPr>
          <w:color w:val="000000" w:themeColor="text1"/>
        </w:rPr>
        <w:lastRenderedPageBreak/>
        <w:t xml:space="preserve">by the defendant committing one or more offences listed in </w:t>
      </w:r>
      <w:r w:rsidRPr="008028D6">
        <w:rPr>
          <w:i/>
          <w:iCs/>
          <w:color w:val="000000" w:themeColor="text1"/>
        </w:rPr>
        <w:t>Schedule 3</w:t>
      </w:r>
      <w:r w:rsidRPr="008028D6">
        <w:rPr>
          <w:color w:val="000000" w:themeColor="text1"/>
        </w:rPr>
        <w:t>.</w:t>
      </w:r>
      <w:r w:rsidR="00537DEB" w:rsidRPr="008028D6">
        <w:rPr>
          <w:color w:val="000000" w:themeColor="text1"/>
        </w:rPr>
        <w:t>’</w:t>
      </w:r>
      <w:r w:rsidRPr="008028D6">
        <w:rPr>
          <w:rStyle w:val="FootnoteReference"/>
          <w:color w:val="000000" w:themeColor="text1"/>
        </w:rPr>
        <w:footnoteReference w:id="33"/>
      </w:r>
      <w:r w:rsidRPr="008028D6">
        <w:rPr>
          <w:color w:val="000000" w:themeColor="text1"/>
        </w:rPr>
        <w:t xml:space="preserve"> As </w:t>
      </w:r>
      <w:bookmarkStart w:id="0" w:name="_Hlk43998479"/>
      <w:r w:rsidRPr="008028D6">
        <w:rPr>
          <w:color w:val="000000" w:themeColor="text1"/>
        </w:rPr>
        <w:t>amended</w:t>
      </w:r>
      <w:bookmarkEnd w:id="0"/>
      <w:r w:rsidRPr="008028D6">
        <w:rPr>
          <w:color w:val="000000" w:themeColor="text1"/>
        </w:rPr>
        <w:t xml:space="preserve">, a specific definition of sexual harm was given in s103B: </w:t>
      </w:r>
    </w:p>
    <w:p w14:paraId="023B7CF0" w14:textId="77777777" w:rsidR="000F3D52" w:rsidRPr="008028D6" w:rsidRDefault="000F3D52" w:rsidP="00221A04">
      <w:pPr>
        <w:jc w:val="both"/>
        <w:rPr>
          <w:color w:val="000000" w:themeColor="text1"/>
        </w:rPr>
      </w:pPr>
      <w:r w:rsidRPr="008028D6">
        <w:rPr>
          <w:color w:val="000000" w:themeColor="text1"/>
        </w:rPr>
        <w:tab/>
        <w:t>“sexual harm” from a person means physical or psychological harm caused—</w:t>
      </w:r>
    </w:p>
    <w:p w14:paraId="3F34C221" w14:textId="77777777" w:rsidR="000F3D52" w:rsidRPr="008028D6" w:rsidRDefault="000F3D52" w:rsidP="00221A04">
      <w:pPr>
        <w:ind w:left="720" w:firstLine="720"/>
        <w:jc w:val="both"/>
        <w:rPr>
          <w:color w:val="000000" w:themeColor="text1"/>
        </w:rPr>
      </w:pPr>
      <w:r w:rsidRPr="008028D6">
        <w:rPr>
          <w:color w:val="000000" w:themeColor="text1"/>
        </w:rPr>
        <w:t>(a)by the person committing one or more offences listed in Schedule 3, or</w:t>
      </w:r>
    </w:p>
    <w:p w14:paraId="660835A5" w14:textId="77777777" w:rsidR="000F3D52" w:rsidRPr="008028D6" w:rsidRDefault="000F3D52" w:rsidP="00221A04">
      <w:pPr>
        <w:ind w:left="1440"/>
        <w:jc w:val="both"/>
        <w:rPr>
          <w:color w:val="000000" w:themeColor="text1"/>
        </w:rPr>
      </w:pPr>
      <w:r w:rsidRPr="008028D6">
        <w:rPr>
          <w:color w:val="000000" w:themeColor="text1"/>
        </w:rPr>
        <w:t>(b</w:t>
      </w:r>
      <w:proofErr w:type="gramStart"/>
      <w:r w:rsidRPr="008028D6">
        <w:rPr>
          <w:color w:val="000000" w:themeColor="text1"/>
        </w:rPr>
        <w:t>)(</w:t>
      </w:r>
      <w:proofErr w:type="gramEnd"/>
      <w:r w:rsidRPr="008028D6">
        <w:rPr>
          <w:color w:val="000000" w:themeColor="text1"/>
        </w:rPr>
        <w:t>in the context of harm outside the United Kingdom) by the person doing, outside the United Kingdom, anything which would constitute an offence listed in Schedule 3 if done in any part of the United Kingdom</w:t>
      </w:r>
      <w:r w:rsidRPr="008028D6">
        <w:rPr>
          <w:rStyle w:val="FootnoteReference"/>
          <w:color w:val="000000" w:themeColor="text1"/>
        </w:rPr>
        <w:footnoteReference w:id="34"/>
      </w:r>
    </w:p>
    <w:p w14:paraId="0749DD92" w14:textId="2438CF03" w:rsidR="00233432" w:rsidRPr="008028D6" w:rsidRDefault="000F3D52" w:rsidP="00221A04">
      <w:pPr>
        <w:jc w:val="both"/>
        <w:rPr>
          <w:color w:val="000000" w:themeColor="text1"/>
        </w:rPr>
      </w:pPr>
      <w:r w:rsidRPr="008028D6">
        <w:rPr>
          <w:color w:val="000000" w:themeColor="text1"/>
        </w:rPr>
        <w:t>The explanatory notes to the A</w:t>
      </w:r>
      <w:r w:rsidR="009009B5" w:rsidRPr="008028D6">
        <w:rPr>
          <w:color w:val="000000" w:themeColor="text1"/>
        </w:rPr>
        <w:t>nti-Social Behaviour, Crime and Policing Act</w:t>
      </w:r>
      <w:r w:rsidRPr="008028D6">
        <w:rPr>
          <w:color w:val="000000" w:themeColor="text1"/>
        </w:rPr>
        <w:t xml:space="preserve"> 2014, discussed above, do explain the introduction of Schedule 5: “</w:t>
      </w:r>
      <w:r w:rsidRPr="008028D6">
        <w:rPr>
          <w:i/>
          <w:iCs/>
          <w:color w:val="000000" w:themeColor="text1"/>
        </w:rPr>
        <w:t xml:space="preserve">Subsection (1) </w:t>
      </w:r>
      <w:r w:rsidRPr="008028D6">
        <w:rPr>
          <w:color w:val="000000" w:themeColor="text1"/>
        </w:rPr>
        <w:t>introduces Schedule 5. This makes amendments to Part 2 of the Sexual Offences Act 2003, which provides for the use of civil orders to prevent sexual harm.”</w:t>
      </w:r>
      <w:r w:rsidRPr="008028D6">
        <w:rPr>
          <w:rStyle w:val="FootnoteReference"/>
          <w:color w:val="000000" w:themeColor="text1"/>
        </w:rPr>
        <w:footnoteReference w:id="35"/>
      </w:r>
      <w:r w:rsidRPr="008028D6">
        <w:rPr>
          <w:color w:val="000000" w:themeColor="text1"/>
        </w:rPr>
        <w:t xml:space="preserve"> However, no alternative definition of sexual harm </w:t>
      </w:r>
      <w:r w:rsidR="00233432">
        <w:rPr>
          <w:color w:val="000000" w:themeColor="text1"/>
        </w:rPr>
        <w:t>was</w:t>
      </w:r>
      <w:r w:rsidRPr="008028D6">
        <w:rPr>
          <w:color w:val="000000" w:themeColor="text1"/>
        </w:rPr>
        <w:t xml:space="preserve"> given, either in relation to </w:t>
      </w:r>
      <w:proofErr w:type="spellStart"/>
      <w:r w:rsidRPr="008028D6">
        <w:rPr>
          <w:color w:val="000000" w:themeColor="text1"/>
        </w:rPr>
        <w:t>Sch</w:t>
      </w:r>
      <w:proofErr w:type="spellEnd"/>
      <w:r w:rsidRPr="008028D6">
        <w:rPr>
          <w:color w:val="000000" w:themeColor="text1"/>
        </w:rPr>
        <w:t xml:space="preserve"> 5 or generally, other than those which link to the s103B definition. </w:t>
      </w:r>
    </w:p>
    <w:p w14:paraId="11B4BB67" w14:textId="5946C9B5" w:rsidR="00EF09D7" w:rsidRPr="008028D6" w:rsidRDefault="00A57171" w:rsidP="00221A04">
      <w:pPr>
        <w:pStyle w:val="Heading1"/>
        <w:jc w:val="both"/>
        <w:rPr>
          <w:color w:val="000000" w:themeColor="text1"/>
        </w:rPr>
      </w:pPr>
      <w:r w:rsidRPr="008028D6">
        <w:rPr>
          <w:color w:val="000000" w:themeColor="text1"/>
        </w:rPr>
        <w:t xml:space="preserve">Sentencing v Risk Reduction: </w:t>
      </w:r>
      <w:r w:rsidR="00F57306" w:rsidRPr="008028D6">
        <w:rPr>
          <w:color w:val="000000" w:themeColor="text1"/>
        </w:rPr>
        <w:t>Development Through Case Law</w:t>
      </w:r>
    </w:p>
    <w:p w14:paraId="2CF8C072" w14:textId="124ED7FA" w:rsidR="00C12CCB" w:rsidRPr="008028D6" w:rsidRDefault="00C12CCB" w:rsidP="00221A04">
      <w:pPr>
        <w:jc w:val="both"/>
        <w:rPr>
          <w:color w:val="000000" w:themeColor="text1"/>
        </w:rPr>
      </w:pPr>
      <w:r w:rsidRPr="008028D6">
        <w:rPr>
          <w:color w:val="000000" w:themeColor="text1"/>
        </w:rPr>
        <w:t xml:space="preserve">This section addresses the major case law covering the use of SOPOs and SHPOs since their introduction in the 2003 Act. The main aim of this section is to highlight the limitations </w:t>
      </w:r>
      <w:r w:rsidR="009009B5" w:rsidRPr="008028D6">
        <w:rPr>
          <w:color w:val="000000" w:themeColor="text1"/>
        </w:rPr>
        <w:t>introduced by the courts to govern</w:t>
      </w:r>
      <w:r w:rsidRPr="008028D6">
        <w:rPr>
          <w:color w:val="000000" w:themeColor="text1"/>
        </w:rPr>
        <w:t xml:space="preserve"> the use of SOPOs and their continued relevance under the new </w:t>
      </w:r>
      <w:r w:rsidR="00677D40" w:rsidRPr="008028D6">
        <w:rPr>
          <w:color w:val="000000" w:themeColor="text1"/>
        </w:rPr>
        <w:t xml:space="preserve">SHPO </w:t>
      </w:r>
      <w:r w:rsidRPr="008028D6">
        <w:rPr>
          <w:color w:val="000000" w:themeColor="text1"/>
        </w:rPr>
        <w:t>framework. As outlined above, the most significant change brought about by the Anti-Social Behaviour, Crime and Policing Act 2014 was to downgrade the relatively high requirements of a “serious sexual harm” necessary for an SOPO to be ordered, to only requiring risk of a “sexual harm”. Consequently, the restrictions imposed by the courts pre-2014, where they do not relate to the severity of the harm the order aims to prevent, arguably have continuing relevance under the new regime.</w:t>
      </w:r>
      <w:r w:rsidRPr="008028D6">
        <w:rPr>
          <w:rStyle w:val="FootnoteReference"/>
          <w:color w:val="000000" w:themeColor="text1"/>
        </w:rPr>
        <w:footnoteReference w:id="36"/>
      </w:r>
    </w:p>
    <w:p w14:paraId="5DFB9853" w14:textId="6AD655CC" w:rsidR="00C12CCB" w:rsidRPr="008028D6" w:rsidRDefault="00C12CCB" w:rsidP="00221A04">
      <w:pPr>
        <w:jc w:val="both"/>
        <w:rPr>
          <w:color w:val="000000" w:themeColor="text1"/>
        </w:rPr>
      </w:pPr>
      <w:r w:rsidRPr="008028D6">
        <w:rPr>
          <w:i/>
          <w:iCs/>
          <w:color w:val="000000" w:themeColor="text1"/>
        </w:rPr>
        <w:t>R v Smith and Others</w:t>
      </w:r>
      <w:r w:rsidRPr="008028D6">
        <w:rPr>
          <w:color w:val="000000" w:themeColor="text1"/>
        </w:rPr>
        <w:t xml:space="preserve"> was decided on appeal in 2011 under SOPO provisions</w:t>
      </w:r>
      <w:r w:rsidR="009009B5" w:rsidRPr="008028D6">
        <w:rPr>
          <w:color w:val="000000" w:themeColor="text1"/>
        </w:rPr>
        <w:t>;</w:t>
      </w:r>
      <w:r w:rsidR="00AD30F3" w:rsidRPr="008028D6">
        <w:rPr>
          <w:rStyle w:val="FootnoteReference"/>
          <w:color w:val="000000" w:themeColor="text1"/>
        </w:rPr>
        <w:footnoteReference w:id="37"/>
      </w:r>
      <w:r w:rsidRPr="008028D6">
        <w:rPr>
          <w:color w:val="000000" w:themeColor="text1"/>
        </w:rPr>
        <w:t xml:space="preserve"> it involved four separate appellant cases all addressing the scope of sexual offence prevention orders.</w:t>
      </w:r>
      <w:r w:rsidRPr="008028D6">
        <w:rPr>
          <w:rStyle w:val="FootnoteReference"/>
          <w:color w:val="000000" w:themeColor="text1"/>
        </w:rPr>
        <w:footnoteReference w:id="38"/>
      </w:r>
      <w:r w:rsidRPr="008028D6">
        <w:rPr>
          <w:color w:val="000000" w:themeColor="text1"/>
        </w:rPr>
        <w:t xml:space="preserve"> The Court of Appeal restated the three-part test which had been put forward in </w:t>
      </w:r>
      <w:r w:rsidRPr="008028D6">
        <w:rPr>
          <w:i/>
          <w:iCs/>
          <w:color w:val="000000" w:themeColor="text1"/>
        </w:rPr>
        <w:t>Mortimer,</w:t>
      </w:r>
      <w:r w:rsidRPr="008028D6">
        <w:rPr>
          <w:rStyle w:val="FootnoteReference"/>
          <w:color w:val="000000" w:themeColor="text1"/>
        </w:rPr>
        <w:footnoteReference w:id="39"/>
      </w:r>
      <w:r w:rsidRPr="008028D6">
        <w:rPr>
          <w:i/>
          <w:iCs/>
          <w:color w:val="000000" w:themeColor="text1"/>
        </w:rPr>
        <w:t xml:space="preserve"> </w:t>
      </w:r>
      <w:r w:rsidRPr="008028D6">
        <w:rPr>
          <w:color w:val="000000" w:themeColor="text1"/>
        </w:rPr>
        <w:t xml:space="preserve">derived from </w:t>
      </w:r>
      <w:r w:rsidRPr="008028D6">
        <w:rPr>
          <w:i/>
          <w:iCs/>
          <w:color w:val="000000" w:themeColor="text1"/>
        </w:rPr>
        <w:t>Collard:</w:t>
      </w:r>
      <w:r w:rsidRPr="008028D6">
        <w:rPr>
          <w:rStyle w:val="FootnoteReference"/>
          <w:color w:val="000000" w:themeColor="text1"/>
        </w:rPr>
        <w:footnoteReference w:id="40"/>
      </w:r>
    </w:p>
    <w:p w14:paraId="180F89DD" w14:textId="77777777" w:rsidR="00C12CCB" w:rsidRPr="008028D6" w:rsidRDefault="00C12CCB" w:rsidP="00221A04">
      <w:pPr>
        <w:pStyle w:val="ListParagraph"/>
        <w:numPr>
          <w:ilvl w:val="0"/>
          <w:numId w:val="1"/>
        </w:numPr>
        <w:rPr>
          <w:color w:val="000000" w:themeColor="text1"/>
        </w:rPr>
      </w:pPr>
      <w:r w:rsidRPr="008028D6">
        <w:rPr>
          <w:color w:val="000000" w:themeColor="text1"/>
        </w:rPr>
        <w:t>Is the making of an order necessary to protect from serious sexual harm through the commission of scheduled offences?</w:t>
      </w:r>
    </w:p>
    <w:p w14:paraId="2728915E" w14:textId="77777777" w:rsidR="00C12CCB" w:rsidRPr="008028D6" w:rsidRDefault="00C12CCB" w:rsidP="00221A04">
      <w:pPr>
        <w:pStyle w:val="ListParagraph"/>
        <w:numPr>
          <w:ilvl w:val="0"/>
          <w:numId w:val="1"/>
        </w:numPr>
        <w:rPr>
          <w:color w:val="000000" w:themeColor="text1"/>
        </w:rPr>
      </w:pPr>
      <w:r w:rsidRPr="008028D6">
        <w:rPr>
          <w:color w:val="000000" w:themeColor="text1"/>
        </w:rPr>
        <w:t>If some order is necessary, are the terms proposed nevertheless oppressive?</w:t>
      </w:r>
    </w:p>
    <w:p w14:paraId="5A5D91D2" w14:textId="1D9D9C8C" w:rsidR="00C12CCB" w:rsidRPr="008028D6" w:rsidRDefault="00C12CCB" w:rsidP="00221A04">
      <w:pPr>
        <w:pStyle w:val="ListParagraph"/>
        <w:numPr>
          <w:ilvl w:val="0"/>
          <w:numId w:val="1"/>
        </w:numPr>
        <w:rPr>
          <w:color w:val="000000" w:themeColor="text1"/>
        </w:rPr>
      </w:pPr>
      <w:r w:rsidRPr="008028D6">
        <w:rPr>
          <w:color w:val="000000" w:themeColor="text1"/>
        </w:rPr>
        <w:t>Overall are the terms proportionate?</w:t>
      </w:r>
      <w:r w:rsidRPr="008028D6">
        <w:rPr>
          <w:rStyle w:val="FootnoteReference"/>
          <w:color w:val="000000" w:themeColor="text1"/>
        </w:rPr>
        <w:footnoteReference w:id="41"/>
      </w:r>
    </w:p>
    <w:p w14:paraId="52B01ADA" w14:textId="28A4193D" w:rsidR="00C12CCB" w:rsidRPr="008028D6" w:rsidRDefault="00C12CCB" w:rsidP="00221A04">
      <w:pPr>
        <w:jc w:val="both"/>
        <w:rPr>
          <w:color w:val="000000" w:themeColor="text1"/>
        </w:rPr>
      </w:pPr>
      <w:r w:rsidRPr="008028D6">
        <w:rPr>
          <w:color w:val="000000" w:themeColor="text1"/>
        </w:rPr>
        <w:t xml:space="preserve">Several further points made in </w:t>
      </w:r>
      <w:r w:rsidRPr="008028D6">
        <w:rPr>
          <w:i/>
          <w:iCs/>
          <w:color w:val="000000" w:themeColor="text1"/>
        </w:rPr>
        <w:t xml:space="preserve">Smith </w:t>
      </w:r>
      <w:r w:rsidRPr="008028D6">
        <w:rPr>
          <w:color w:val="000000" w:themeColor="text1"/>
        </w:rPr>
        <w:t>are worth emphasising. Firstly, Hughes LJ highlights the secondary nature of the orders discussed here,</w:t>
      </w:r>
      <w:r w:rsidRPr="008028D6">
        <w:rPr>
          <w:rStyle w:val="FootnoteReference"/>
          <w:color w:val="000000" w:themeColor="text1"/>
        </w:rPr>
        <w:footnoteReference w:id="42"/>
      </w:r>
      <w:r w:rsidRPr="008028D6">
        <w:rPr>
          <w:color w:val="000000" w:themeColor="text1"/>
        </w:rPr>
        <w:t xml:space="preserve"> demonstrating that SHPO provisions need to be interpreted through the aim of reducing the risk of harm rather than punishing the offender per se.</w:t>
      </w:r>
      <w:r w:rsidRPr="008028D6">
        <w:rPr>
          <w:rStyle w:val="FootnoteReference"/>
          <w:color w:val="000000" w:themeColor="text1"/>
        </w:rPr>
        <w:footnoteReference w:id="43"/>
      </w:r>
      <w:r w:rsidRPr="008028D6">
        <w:rPr>
          <w:color w:val="000000" w:themeColor="text1"/>
        </w:rPr>
        <w:t xml:space="preserve"> </w:t>
      </w:r>
      <w:r w:rsidRPr="008028D6">
        <w:rPr>
          <w:color w:val="000000" w:themeColor="text1"/>
        </w:rPr>
        <w:lastRenderedPageBreak/>
        <w:t xml:space="preserve">Secondly, and critically, the judgement explicitly addresses the distinction between </w:t>
      </w:r>
      <w:r w:rsidR="00541010" w:rsidRPr="008028D6">
        <w:rPr>
          <w:color w:val="000000" w:themeColor="text1"/>
        </w:rPr>
        <w:t>“</w:t>
      </w:r>
      <w:r w:rsidRPr="008028D6">
        <w:rPr>
          <w:color w:val="000000" w:themeColor="text1"/>
        </w:rPr>
        <w:t>serious sexual harm</w:t>
      </w:r>
      <w:r w:rsidR="00541010" w:rsidRPr="008028D6">
        <w:rPr>
          <w:color w:val="000000" w:themeColor="text1"/>
        </w:rPr>
        <w:t>”</w:t>
      </w:r>
      <w:r w:rsidRPr="008028D6">
        <w:rPr>
          <w:color w:val="000000" w:themeColor="text1"/>
        </w:rPr>
        <w:t xml:space="preserve"> and </w:t>
      </w:r>
      <w:r w:rsidR="00541010" w:rsidRPr="008028D6">
        <w:rPr>
          <w:color w:val="000000" w:themeColor="text1"/>
        </w:rPr>
        <w:t>“</w:t>
      </w:r>
      <w:r w:rsidRPr="008028D6">
        <w:rPr>
          <w:color w:val="000000" w:themeColor="text1"/>
        </w:rPr>
        <w:t>serious harm</w:t>
      </w:r>
      <w:r w:rsidR="00541010" w:rsidRPr="008028D6">
        <w:rPr>
          <w:color w:val="000000" w:themeColor="text1"/>
        </w:rPr>
        <w:t>”</w:t>
      </w:r>
      <w:r w:rsidRPr="008028D6">
        <w:rPr>
          <w:color w:val="000000" w:themeColor="text1"/>
        </w:rPr>
        <w:t xml:space="preserve"> with reference to the definition provided in </w:t>
      </w:r>
      <w:proofErr w:type="spellStart"/>
      <w:r w:rsidRPr="008028D6">
        <w:rPr>
          <w:color w:val="000000" w:themeColor="text1"/>
        </w:rPr>
        <w:t>Sch</w:t>
      </w:r>
      <w:proofErr w:type="spellEnd"/>
      <w:r w:rsidRPr="008028D6">
        <w:rPr>
          <w:color w:val="000000" w:themeColor="text1"/>
        </w:rPr>
        <w:t xml:space="preserve"> 3 of the 2003 Act.</w:t>
      </w:r>
      <w:r w:rsidRPr="008028D6">
        <w:rPr>
          <w:rStyle w:val="FootnoteReference"/>
          <w:color w:val="000000" w:themeColor="text1"/>
        </w:rPr>
        <w:footnoteReference w:id="44"/>
      </w:r>
    </w:p>
    <w:p w14:paraId="4902F6CF" w14:textId="77777777" w:rsidR="00C12CCB" w:rsidRPr="008028D6" w:rsidRDefault="00C12CCB" w:rsidP="00221A04">
      <w:pPr>
        <w:pStyle w:val="Heading2"/>
        <w:jc w:val="both"/>
        <w:rPr>
          <w:color w:val="000000" w:themeColor="text1"/>
        </w:rPr>
      </w:pPr>
      <w:r w:rsidRPr="008028D6">
        <w:rPr>
          <w:color w:val="000000" w:themeColor="text1"/>
        </w:rPr>
        <w:t xml:space="preserve">The Continued Relevance of </w:t>
      </w:r>
      <w:r w:rsidRPr="008028D6">
        <w:rPr>
          <w:i/>
          <w:iCs/>
          <w:color w:val="000000" w:themeColor="text1"/>
        </w:rPr>
        <w:t>Smith</w:t>
      </w:r>
      <w:r w:rsidRPr="008028D6">
        <w:rPr>
          <w:color w:val="000000" w:themeColor="text1"/>
        </w:rPr>
        <w:t xml:space="preserve"> and Older SOPO Case Law</w:t>
      </w:r>
    </w:p>
    <w:p w14:paraId="11C34655" w14:textId="19234F8D" w:rsidR="00C12CCB" w:rsidRPr="008028D6" w:rsidRDefault="00C12CCB" w:rsidP="00221A04">
      <w:pPr>
        <w:jc w:val="both"/>
        <w:rPr>
          <w:color w:val="000000" w:themeColor="text1"/>
        </w:rPr>
      </w:pPr>
      <w:r w:rsidRPr="008028D6">
        <w:rPr>
          <w:color w:val="000000" w:themeColor="text1"/>
        </w:rPr>
        <w:t xml:space="preserve">The continued relevance of </w:t>
      </w:r>
      <w:r w:rsidRPr="008028D6">
        <w:rPr>
          <w:i/>
          <w:iCs/>
          <w:color w:val="000000" w:themeColor="text1"/>
        </w:rPr>
        <w:t xml:space="preserve">Smith </w:t>
      </w:r>
      <w:r w:rsidRPr="008028D6">
        <w:rPr>
          <w:color w:val="000000" w:themeColor="text1"/>
        </w:rPr>
        <w:t>and other pre-2014 cases can be seen</w:t>
      </w:r>
      <w:r w:rsidR="0038568A" w:rsidRPr="008028D6">
        <w:rPr>
          <w:color w:val="000000" w:themeColor="text1"/>
        </w:rPr>
        <w:t xml:space="preserve"> both in case law which has emphasise</w:t>
      </w:r>
      <w:r w:rsidR="00486299" w:rsidRPr="008028D6">
        <w:rPr>
          <w:color w:val="000000" w:themeColor="text1"/>
        </w:rPr>
        <w:t>d</w:t>
      </w:r>
      <w:r w:rsidR="0038568A" w:rsidRPr="008028D6">
        <w:rPr>
          <w:color w:val="000000" w:themeColor="text1"/>
        </w:rPr>
        <w:t xml:space="preserve"> that the 2014 refo</w:t>
      </w:r>
      <w:r w:rsidR="00486299" w:rsidRPr="008028D6">
        <w:rPr>
          <w:color w:val="000000" w:themeColor="text1"/>
        </w:rPr>
        <w:t xml:space="preserve">rms primarily dealt with downgrading the level of harm necessary for an order to be imposed and in </w:t>
      </w:r>
      <w:r w:rsidRPr="008028D6">
        <w:rPr>
          <w:color w:val="000000" w:themeColor="text1"/>
        </w:rPr>
        <w:t xml:space="preserve">the continued use of </w:t>
      </w:r>
      <w:r w:rsidRPr="008028D6">
        <w:rPr>
          <w:i/>
          <w:iCs/>
          <w:color w:val="000000" w:themeColor="text1"/>
        </w:rPr>
        <w:t>Smith</w:t>
      </w:r>
      <w:r w:rsidRPr="008028D6">
        <w:rPr>
          <w:color w:val="000000" w:themeColor="text1"/>
        </w:rPr>
        <w:t xml:space="preserve"> </w:t>
      </w:r>
      <w:r w:rsidR="00486299" w:rsidRPr="008028D6">
        <w:rPr>
          <w:color w:val="000000" w:themeColor="text1"/>
        </w:rPr>
        <w:t>when</w:t>
      </w:r>
      <w:r w:rsidRPr="008028D6">
        <w:rPr>
          <w:color w:val="000000" w:themeColor="text1"/>
        </w:rPr>
        <w:t xml:space="preserve"> underlin</w:t>
      </w:r>
      <w:r w:rsidR="00486299" w:rsidRPr="008028D6">
        <w:rPr>
          <w:color w:val="000000" w:themeColor="text1"/>
        </w:rPr>
        <w:t>ing</w:t>
      </w:r>
      <w:r w:rsidRPr="008028D6">
        <w:rPr>
          <w:color w:val="000000" w:themeColor="text1"/>
        </w:rPr>
        <w:t xml:space="preserve"> that SHPO’s must be necessary and workable.</w:t>
      </w:r>
      <w:r w:rsidRPr="008028D6">
        <w:rPr>
          <w:rStyle w:val="FootnoteReference"/>
          <w:color w:val="000000" w:themeColor="text1"/>
        </w:rPr>
        <w:footnoteReference w:id="45"/>
      </w:r>
      <w:r w:rsidRPr="008028D6">
        <w:rPr>
          <w:color w:val="000000" w:themeColor="text1"/>
        </w:rPr>
        <w:t xml:space="preserve"> </w:t>
      </w:r>
      <w:r w:rsidR="001F581C" w:rsidRPr="008028D6">
        <w:rPr>
          <w:color w:val="000000" w:themeColor="text1"/>
        </w:rPr>
        <w:t>However, t</w:t>
      </w:r>
      <w:r w:rsidRPr="008028D6">
        <w:rPr>
          <w:color w:val="000000" w:themeColor="text1"/>
        </w:rPr>
        <w:t xml:space="preserve">his is not to suggest that there have not been developments in how SHPOs are </w:t>
      </w:r>
      <w:r w:rsidR="001F581C" w:rsidRPr="008028D6">
        <w:rPr>
          <w:color w:val="000000" w:themeColor="text1"/>
        </w:rPr>
        <w:t>imposed.</w:t>
      </w:r>
    </w:p>
    <w:p w14:paraId="0B6DEA46" w14:textId="4C778A5A" w:rsidR="00C12CCB" w:rsidRPr="008028D6" w:rsidRDefault="00C12CCB" w:rsidP="00221A04">
      <w:pPr>
        <w:jc w:val="both"/>
        <w:rPr>
          <w:color w:val="000000" w:themeColor="text1"/>
        </w:rPr>
      </w:pPr>
      <w:r w:rsidRPr="008028D6">
        <w:rPr>
          <w:color w:val="000000" w:themeColor="text1"/>
        </w:rPr>
        <w:t>The more recent use of SHPOs has, in particular, demonstrate</w:t>
      </w:r>
      <w:r w:rsidR="001F581C" w:rsidRPr="008028D6">
        <w:rPr>
          <w:color w:val="000000" w:themeColor="text1"/>
        </w:rPr>
        <w:t>d</w:t>
      </w:r>
      <w:r w:rsidRPr="008028D6">
        <w:rPr>
          <w:color w:val="000000" w:themeColor="text1"/>
        </w:rPr>
        <w:t xml:space="preserve"> that orders must be placed in a broader social context, particularly as </w:t>
      </w:r>
      <w:r w:rsidR="00240386" w:rsidRPr="008028D6">
        <w:rPr>
          <w:color w:val="000000" w:themeColor="text1"/>
        </w:rPr>
        <w:t>it relates</w:t>
      </w:r>
      <w:r w:rsidRPr="008028D6">
        <w:rPr>
          <w:color w:val="000000" w:themeColor="text1"/>
        </w:rPr>
        <w:t xml:space="preserve"> to the conditions which can be imposed on defendants. </w:t>
      </w:r>
      <w:r w:rsidRPr="008028D6">
        <w:rPr>
          <w:i/>
          <w:iCs/>
          <w:color w:val="000000" w:themeColor="text1"/>
        </w:rPr>
        <w:t xml:space="preserve">Smith </w:t>
      </w:r>
      <w:r w:rsidRPr="008028D6">
        <w:rPr>
          <w:color w:val="000000" w:themeColor="text1"/>
        </w:rPr>
        <w:t xml:space="preserve">and </w:t>
      </w:r>
      <w:r w:rsidRPr="008028D6">
        <w:rPr>
          <w:i/>
          <w:iCs/>
          <w:color w:val="000000" w:themeColor="text1"/>
        </w:rPr>
        <w:t>Parsons and</w:t>
      </w:r>
      <w:r w:rsidRPr="008028D6">
        <w:rPr>
          <w:color w:val="000000" w:themeColor="text1"/>
        </w:rPr>
        <w:t xml:space="preserve"> </w:t>
      </w:r>
      <w:r w:rsidRPr="008028D6">
        <w:rPr>
          <w:i/>
          <w:iCs/>
          <w:color w:val="000000" w:themeColor="text1"/>
        </w:rPr>
        <w:t>Morgan</w:t>
      </w:r>
      <w:r w:rsidRPr="008028D6">
        <w:rPr>
          <w:color w:val="000000" w:themeColor="text1"/>
        </w:rPr>
        <w:t xml:space="preserve"> both highlight that blanket bans on internet usage are likely to be overly oppressive in modern society.</w:t>
      </w:r>
      <w:r w:rsidR="009009B5" w:rsidRPr="008028D6">
        <w:rPr>
          <w:rStyle w:val="FootnoteReference"/>
          <w:color w:val="000000" w:themeColor="text1"/>
        </w:rPr>
        <w:footnoteReference w:id="46"/>
      </w:r>
      <w:r w:rsidRPr="008028D6">
        <w:rPr>
          <w:i/>
          <w:iCs/>
          <w:color w:val="000000" w:themeColor="text1"/>
        </w:rPr>
        <w:t xml:space="preserve"> McLellan</w:t>
      </w:r>
      <w:r w:rsidRPr="008028D6">
        <w:rPr>
          <w:color w:val="000000" w:themeColor="text1"/>
        </w:rPr>
        <w:t xml:space="preserve"> also </w:t>
      </w:r>
      <w:r w:rsidR="00131D32" w:rsidRPr="008028D6">
        <w:rPr>
          <w:color w:val="000000" w:themeColor="text1"/>
        </w:rPr>
        <w:t>highlights</w:t>
      </w:r>
      <w:r w:rsidRPr="008028D6">
        <w:rPr>
          <w:color w:val="000000" w:themeColor="text1"/>
        </w:rPr>
        <w:t xml:space="preserve"> that indefinite SHPOs should not, other than in </w:t>
      </w:r>
      <w:r w:rsidR="00131D32" w:rsidRPr="008028D6">
        <w:rPr>
          <w:color w:val="000000" w:themeColor="text1"/>
        </w:rPr>
        <w:t xml:space="preserve">very </w:t>
      </w:r>
      <w:r w:rsidRPr="008028D6">
        <w:rPr>
          <w:color w:val="000000" w:themeColor="text1"/>
        </w:rPr>
        <w:t>limited circumstances, be made, and that the general principle that any sentence not be made for any longer than is necessary</w:t>
      </w:r>
      <w:r w:rsidR="00240386" w:rsidRPr="008028D6">
        <w:rPr>
          <w:color w:val="000000" w:themeColor="text1"/>
        </w:rPr>
        <w:t xml:space="preserve"> should be</w:t>
      </w:r>
      <w:r w:rsidRPr="008028D6">
        <w:rPr>
          <w:color w:val="000000" w:themeColor="text1"/>
        </w:rPr>
        <w:t xml:space="preserve"> applied</w:t>
      </w:r>
      <w:r w:rsidR="00126AFC" w:rsidRPr="008028D6">
        <w:rPr>
          <w:color w:val="000000" w:themeColor="text1"/>
        </w:rPr>
        <w:t>.</w:t>
      </w:r>
      <w:r w:rsidRPr="008028D6">
        <w:rPr>
          <w:rStyle w:val="FootnoteReference"/>
          <w:color w:val="000000" w:themeColor="text1"/>
        </w:rPr>
        <w:footnoteReference w:id="47"/>
      </w:r>
      <w:r w:rsidRPr="008028D6">
        <w:rPr>
          <w:color w:val="000000" w:themeColor="text1"/>
        </w:rPr>
        <w:t xml:space="preserve"> </w:t>
      </w:r>
      <w:r w:rsidR="00126AFC" w:rsidRPr="008028D6">
        <w:rPr>
          <w:color w:val="000000" w:themeColor="text1"/>
        </w:rPr>
        <w:t>This</w:t>
      </w:r>
      <w:r w:rsidRPr="008028D6">
        <w:rPr>
          <w:color w:val="000000" w:themeColor="text1"/>
        </w:rPr>
        <w:t xml:space="preserve"> principle has</w:t>
      </w:r>
      <w:r w:rsidR="00126AFC" w:rsidRPr="008028D6">
        <w:rPr>
          <w:color w:val="000000" w:themeColor="text1"/>
        </w:rPr>
        <w:t xml:space="preserve"> subsequently</w:t>
      </w:r>
      <w:r w:rsidRPr="008028D6">
        <w:rPr>
          <w:color w:val="000000" w:themeColor="text1"/>
        </w:rPr>
        <w:t xml:space="preserve"> been applied in </w:t>
      </w:r>
      <w:r w:rsidRPr="008028D6">
        <w:rPr>
          <w:i/>
          <w:iCs/>
          <w:color w:val="000000" w:themeColor="text1"/>
        </w:rPr>
        <w:t>Stannard</w:t>
      </w:r>
      <w:r w:rsidRPr="008028D6">
        <w:rPr>
          <w:rStyle w:val="FootnoteReference"/>
          <w:color w:val="000000" w:themeColor="text1"/>
        </w:rPr>
        <w:footnoteReference w:id="48"/>
      </w:r>
      <w:r w:rsidRPr="008028D6">
        <w:rPr>
          <w:i/>
          <w:iCs/>
          <w:color w:val="000000" w:themeColor="text1"/>
        </w:rPr>
        <w:t xml:space="preserve"> </w:t>
      </w:r>
      <w:r w:rsidRPr="008028D6">
        <w:rPr>
          <w:color w:val="000000" w:themeColor="text1"/>
        </w:rPr>
        <w:t xml:space="preserve">and </w:t>
      </w:r>
      <w:proofErr w:type="spellStart"/>
      <w:r w:rsidRPr="008028D6">
        <w:rPr>
          <w:i/>
          <w:iCs/>
          <w:color w:val="000000" w:themeColor="text1"/>
        </w:rPr>
        <w:t>Thursby</w:t>
      </w:r>
      <w:proofErr w:type="spellEnd"/>
      <w:r w:rsidRPr="008028D6">
        <w:rPr>
          <w:i/>
          <w:iCs/>
          <w:color w:val="000000" w:themeColor="text1"/>
        </w:rPr>
        <w:t>.</w:t>
      </w:r>
      <w:r w:rsidRPr="008028D6">
        <w:rPr>
          <w:rStyle w:val="FootnoteReference"/>
          <w:color w:val="000000" w:themeColor="text1"/>
        </w:rPr>
        <w:footnoteReference w:id="49"/>
      </w:r>
      <w:r w:rsidRPr="008028D6">
        <w:rPr>
          <w:color w:val="000000" w:themeColor="text1"/>
        </w:rPr>
        <w:t xml:space="preserve">  </w:t>
      </w:r>
    </w:p>
    <w:p w14:paraId="352B5881" w14:textId="4F2F8BDC" w:rsidR="00BD53F1" w:rsidRPr="008028D6" w:rsidRDefault="007A13CF" w:rsidP="00221A04">
      <w:pPr>
        <w:pStyle w:val="Heading1"/>
        <w:jc w:val="both"/>
        <w:rPr>
          <w:color w:val="000000" w:themeColor="text1"/>
        </w:rPr>
      </w:pPr>
      <w:r w:rsidRPr="008028D6">
        <w:rPr>
          <w:color w:val="000000" w:themeColor="text1"/>
        </w:rPr>
        <w:t>Preventing a “Sexual Harm”</w:t>
      </w:r>
    </w:p>
    <w:p w14:paraId="25C145A4" w14:textId="66F4619D" w:rsidR="00D819F9" w:rsidRPr="008028D6" w:rsidRDefault="00B957F5" w:rsidP="00221A04">
      <w:pPr>
        <w:jc w:val="both"/>
        <w:rPr>
          <w:color w:val="000000" w:themeColor="text1"/>
        </w:rPr>
      </w:pPr>
      <w:r w:rsidRPr="008028D6">
        <w:rPr>
          <w:color w:val="000000" w:themeColor="text1"/>
        </w:rPr>
        <w:t xml:space="preserve">Having demonstrated how recent case law on SHPOs continues to emphasise that an order must be </w:t>
      </w:r>
      <w:r w:rsidRPr="008028D6">
        <w:rPr>
          <w:i/>
          <w:iCs/>
          <w:color w:val="000000" w:themeColor="text1"/>
        </w:rPr>
        <w:t>necessary</w:t>
      </w:r>
      <w:r w:rsidRPr="008028D6">
        <w:rPr>
          <w:color w:val="000000" w:themeColor="text1"/>
        </w:rPr>
        <w:t xml:space="preserve"> to prevent a sexual harm, this section returns to the statutory language and argues that transmission of an STI is beyond the meaning of </w:t>
      </w:r>
      <w:r w:rsidRPr="008028D6">
        <w:rPr>
          <w:i/>
          <w:iCs/>
          <w:color w:val="000000" w:themeColor="text1"/>
        </w:rPr>
        <w:t xml:space="preserve">sexual harm </w:t>
      </w:r>
      <w:r w:rsidRPr="008028D6">
        <w:rPr>
          <w:color w:val="000000" w:themeColor="text1"/>
        </w:rPr>
        <w:t>in this context. The section</w:t>
      </w:r>
      <w:r w:rsidR="00D819F9" w:rsidRPr="008028D6">
        <w:rPr>
          <w:color w:val="000000" w:themeColor="text1"/>
        </w:rPr>
        <w:t xml:space="preserve"> then goes on to discuss the decision of the Court of Appeal in </w:t>
      </w:r>
      <w:proofErr w:type="spellStart"/>
      <w:r w:rsidR="00D819F9" w:rsidRPr="008028D6">
        <w:rPr>
          <w:i/>
          <w:iCs/>
          <w:color w:val="000000" w:themeColor="text1"/>
        </w:rPr>
        <w:t>Marangwanda</w:t>
      </w:r>
      <w:proofErr w:type="spellEnd"/>
      <w:r w:rsidR="00D819F9" w:rsidRPr="008028D6">
        <w:rPr>
          <w:i/>
          <w:iCs/>
          <w:color w:val="000000" w:themeColor="text1"/>
        </w:rPr>
        <w:t xml:space="preserve"> </w:t>
      </w:r>
      <w:r w:rsidR="00D819F9" w:rsidRPr="008028D6">
        <w:rPr>
          <w:color w:val="000000" w:themeColor="text1"/>
        </w:rPr>
        <w:t xml:space="preserve">where preventing the transmission of gonorrhoea was considered to be a sexual harm for this purpose. </w:t>
      </w:r>
      <w:r w:rsidR="00102B81" w:rsidRPr="008028D6">
        <w:rPr>
          <w:color w:val="000000" w:themeColor="text1"/>
        </w:rPr>
        <w:t>It</w:t>
      </w:r>
      <w:r w:rsidR="00D819F9" w:rsidRPr="008028D6">
        <w:rPr>
          <w:color w:val="000000" w:themeColor="text1"/>
        </w:rPr>
        <w:t xml:space="preserve"> then considers whether a counterargument could be made that despite both the general statutory language applicable in the case, and the specific nature of the facts in </w:t>
      </w:r>
      <w:proofErr w:type="spellStart"/>
      <w:r w:rsidR="00D819F9" w:rsidRPr="008028D6">
        <w:rPr>
          <w:i/>
          <w:iCs/>
          <w:color w:val="000000" w:themeColor="text1"/>
        </w:rPr>
        <w:t>Marangwanda</w:t>
      </w:r>
      <w:proofErr w:type="spellEnd"/>
      <w:r w:rsidR="00D819F9" w:rsidRPr="008028D6">
        <w:rPr>
          <w:i/>
          <w:iCs/>
          <w:color w:val="000000" w:themeColor="text1"/>
        </w:rPr>
        <w:t xml:space="preserve">, </w:t>
      </w:r>
      <w:r w:rsidR="00D819F9" w:rsidRPr="008028D6">
        <w:rPr>
          <w:color w:val="000000" w:themeColor="text1"/>
        </w:rPr>
        <w:t>it nevertheless is possible to interpret STI transmission as a sexual harm</w:t>
      </w:r>
      <w:r w:rsidR="00102B81" w:rsidRPr="008028D6">
        <w:rPr>
          <w:color w:val="000000" w:themeColor="text1"/>
        </w:rPr>
        <w:t xml:space="preserve">. </w:t>
      </w:r>
      <w:r w:rsidR="00A92198" w:rsidRPr="008028D6">
        <w:rPr>
          <w:color w:val="000000" w:themeColor="text1"/>
        </w:rPr>
        <w:t>This counterargument is ultimately rejected and, w</w:t>
      </w:r>
      <w:r w:rsidR="00D819F9" w:rsidRPr="008028D6">
        <w:rPr>
          <w:color w:val="000000" w:themeColor="text1"/>
        </w:rPr>
        <w:t xml:space="preserve">ith all </w:t>
      </w:r>
      <w:r w:rsidR="00D8532B" w:rsidRPr="008028D6">
        <w:rPr>
          <w:color w:val="000000" w:themeColor="text1"/>
        </w:rPr>
        <w:t>possible</w:t>
      </w:r>
      <w:r w:rsidR="00D819F9" w:rsidRPr="008028D6">
        <w:rPr>
          <w:color w:val="000000" w:themeColor="text1"/>
        </w:rPr>
        <w:t xml:space="preserve"> respect to both the Court in </w:t>
      </w:r>
      <w:proofErr w:type="spellStart"/>
      <w:r w:rsidR="00D819F9" w:rsidRPr="008028D6">
        <w:rPr>
          <w:i/>
          <w:iCs/>
          <w:color w:val="000000" w:themeColor="text1"/>
        </w:rPr>
        <w:t>Marangwanda</w:t>
      </w:r>
      <w:proofErr w:type="spellEnd"/>
      <w:r w:rsidR="00D819F9" w:rsidRPr="008028D6">
        <w:rPr>
          <w:i/>
          <w:iCs/>
          <w:color w:val="000000" w:themeColor="text1"/>
        </w:rPr>
        <w:t xml:space="preserve"> </w:t>
      </w:r>
      <w:r w:rsidR="00D819F9" w:rsidRPr="008028D6">
        <w:rPr>
          <w:color w:val="000000" w:themeColor="text1"/>
        </w:rPr>
        <w:t>and the drafters of the relevant legislation and statutory guidance, it is argued that</w:t>
      </w:r>
      <w:r w:rsidR="00D8532B" w:rsidRPr="008028D6">
        <w:rPr>
          <w:color w:val="000000" w:themeColor="text1"/>
        </w:rPr>
        <w:t xml:space="preserve"> the approach taken in respect of </w:t>
      </w:r>
      <w:proofErr w:type="spellStart"/>
      <w:r w:rsidR="00D819F9" w:rsidRPr="008028D6">
        <w:rPr>
          <w:color w:val="000000" w:themeColor="text1"/>
        </w:rPr>
        <w:t>Sch</w:t>
      </w:r>
      <w:proofErr w:type="spellEnd"/>
      <w:r w:rsidR="00D819F9" w:rsidRPr="008028D6">
        <w:rPr>
          <w:color w:val="000000" w:themeColor="text1"/>
        </w:rPr>
        <w:t xml:space="preserve"> 5 creates unnecessary confusion over the role of SHPOs and when they can be </w:t>
      </w:r>
      <w:r w:rsidRPr="008028D6">
        <w:rPr>
          <w:color w:val="000000" w:themeColor="text1"/>
        </w:rPr>
        <w:t>imposed</w:t>
      </w:r>
      <w:r w:rsidR="00102B81" w:rsidRPr="008028D6">
        <w:rPr>
          <w:color w:val="000000" w:themeColor="text1"/>
        </w:rPr>
        <w:t xml:space="preserve">. </w:t>
      </w:r>
    </w:p>
    <w:p w14:paraId="02996732" w14:textId="77777777" w:rsidR="00D819F9" w:rsidRPr="008028D6" w:rsidRDefault="00D819F9" w:rsidP="00221A04">
      <w:pPr>
        <w:pStyle w:val="Heading2"/>
        <w:jc w:val="both"/>
        <w:rPr>
          <w:color w:val="000000" w:themeColor="text1"/>
        </w:rPr>
      </w:pPr>
      <w:r w:rsidRPr="008028D6">
        <w:rPr>
          <w:color w:val="000000" w:themeColor="text1"/>
        </w:rPr>
        <w:t>Home Office Guidance</w:t>
      </w:r>
    </w:p>
    <w:p w14:paraId="521888A2" w14:textId="77777777" w:rsidR="00D819F9" w:rsidRPr="008028D6" w:rsidRDefault="00D819F9" w:rsidP="00221A04">
      <w:pPr>
        <w:jc w:val="both"/>
        <w:rPr>
          <w:color w:val="000000" w:themeColor="text1"/>
        </w:rPr>
      </w:pPr>
      <w:r w:rsidRPr="008028D6">
        <w:rPr>
          <w:color w:val="000000" w:themeColor="text1"/>
        </w:rPr>
        <w:t xml:space="preserve">As stated earlier, the explanatory notes for the 2014 Act outline one example of a situation where a defendant might be issued with a SHPO in response to non-criminal behaviour, following a prior conviction for a qualifying offence. Statutory guidance issued by the Home Office in 2018 may provide additional insight into the justification for the inclusion of </w:t>
      </w:r>
      <w:proofErr w:type="spellStart"/>
      <w:r w:rsidRPr="008028D6">
        <w:rPr>
          <w:color w:val="000000" w:themeColor="text1"/>
        </w:rPr>
        <w:t>Sch</w:t>
      </w:r>
      <w:proofErr w:type="spellEnd"/>
      <w:r w:rsidRPr="008028D6">
        <w:rPr>
          <w:color w:val="000000" w:themeColor="text1"/>
        </w:rPr>
        <w:t xml:space="preserve"> 5 offences as qualifying offences. The guidance states that: </w:t>
      </w:r>
    </w:p>
    <w:p w14:paraId="123E93C9" w14:textId="77777777" w:rsidR="00D819F9" w:rsidRPr="008028D6" w:rsidRDefault="00D819F9" w:rsidP="00221A04">
      <w:pPr>
        <w:ind w:left="720"/>
        <w:jc w:val="both"/>
        <w:rPr>
          <w:color w:val="000000" w:themeColor="text1"/>
        </w:rPr>
      </w:pPr>
      <w:r w:rsidRPr="008028D6">
        <w:rPr>
          <w:color w:val="000000" w:themeColor="text1"/>
        </w:rPr>
        <w:t xml:space="preserve">[I]n addition to the sexual offences listed in Schedule 3, an SHPO may be made in relation to a defendant with a conviction, caution or finding for an offence listed in Schedule 5 of the </w:t>
      </w:r>
      <w:r w:rsidRPr="008028D6">
        <w:rPr>
          <w:color w:val="000000" w:themeColor="text1"/>
        </w:rPr>
        <w:lastRenderedPageBreak/>
        <w:t>2003 Act. These offences are primarily violent offences, including the offence of murder, but it remains possible that in some instances these offences may be sexually motivated.</w:t>
      </w:r>
      <w:r w:rsidRPr="008028D6">
        <w:rPr>
          <w:rStyle w:val="FootnoteReference"/>
          <w:color w:val="000000" w:themeColor="text1"/>
        </w:rPr>
        <w:footnoteReference w:id="50"/>
      </w:r>
    </w:p>
    <w:p w14:paraId="05B843D7" w14:textId="2360D921" w:rsidR="00D819F9" w:rsidRPr="008028D6" w:rsidRDefault="00D819F9" w:rsidP="00221A04">
      <w:pPr>
        <w:jc w:val="both"/>
        <w:rPr>
          <w:color w:val="000000" w:themeColor="text1"/>
        </w:rPr>
      </w:pPr>
      <w:r w:rsidRPr="008028D6">
        <w:rPr>
          <w:color w:val="000000" w:themeColor="text1"/>
        </w:rPr>
        <w:t xml:space="preserve">As such, the intention of Parliament </w:t>
      </w:r>
      <w:r w:rsidR="006F7E9D" w:rsidRPr="008028D6">
        <w:rPr>
          <w:color w:val="000000" w:themeColor="text1"/>
        </w:rPr>
        <w:t>in including</w:t>
      </w:r>
      <w:r w:rsidRPr="008028D6">
        <w:rPr>
          <w:color w:val="000000" w:themeColor="text1"/>
        </w:rPr>
        <w:t xml:space="preserve"> </w:t>
      </w:r>
      <w:proofErr w:type="spellStart"/>
      <w:r w:rsidRPr="008028D6">
        <w:rPr>
          <w:color w:val="000000" w:themeColor="text1"/>
        </w:rPr>
        <w:t>Sch</w:t>
      </w:r>
      <w:proofErr w:type="spellEnd"/>
      <w:r w:rsidRPr="008028D6">
        <w:rPr>
          <w:color w:val="000000" w:themeColor="text1"/>
        </w:rPr>
        <w:t xml:space="preserve"> 5</w:t>
      </w:r>
      <w:r w:rsidR="006F7E9D" w:rsidRPr="008028D6">
        <w:rPr>
          <w:color w:val="000000" w:themeColor="text1"/>
        </w:rPr>
        <w:t xml:space="preserve"> appears to be</w:t>
      </w:r>
      <w:r w:rsidRPr="008028D6">
        <w:rPr>
          <w:color w:val="000000" w:themeColor="text1"/>
        </w:rPr>
        <w:t xml:space="preserve"> to capture situation</w:t>
      </w:r>
      <w:r w:rsidR="005B50B8" w:rsidRPr="008028D6">
        <w:rPr>
          <w:color w:val="000000" w:themeColor="text1"/>
        </w:rPr>
        <w:t>s</w:t>
      </w:r>
      <w:r w:rsidRPr="008028D6">
        <w:rPr>
          <w:color w:val="000000" w:themeColor="text1"/>
        </w:rPr>
        <w:t xml:space="preserve"> where the offender is convicted only of a violent offence, but </w:t>
      </w:r>
      <w:r w:rsidR="006F7E9D" w:rsidRPr="008028D6">
        <w:rPr>
          <w:color w:val="000000" w:themeColor="text1"/>
        </w:rPr>
        <w:t>where</w:t>
      </w:r>
      <w:r w:rsidRPr="008028D6">
        <w:rPr>
          <w:color w:val="000000" w:themeColor="text1"/>
        </w:rPr>
        <w:t xml:space="preserve"> this conviction </w:t>
      </w:r>
      <w:r w:rsidR="00061169" w:rsidRPr="008028D6">
        <w:rPr>
          <w:color w:val="000000" w:themeColor="text1"/>
        </w:rPr>
        <w:t>suggests</w:t>
      </w:r>
      <w:r w:rsidRPr="008028D6">
        <w:rPr>
          <w:color w:val="000000" w:themeColor="text1"/>
        </w:rPr>
        <w:t xml:space="preserve"> a risk that future offences of a sexual nature</w:t>
      </w:r>
      <w:r w:rsidR="006F7E9D" w:rsidRPr="008028D6">
        <w:rPr>
          <w:color w:val="000000" w:themeColor="text1"/>
        </w:rPr>
        <w:t>,</w:t>
      </w:r>
      <w:r w:rsidRPr="008028D6">
        <w:rPr>
          <w:color w:val="000000" w:themeColor="text1"/>
        </w:rPr>
        <w:t xml:space="preserve"> as defined in the statutory language</w:t>
      </w:r>
      <w:r w:rsidR="006F7E9D" w:rsidRPr="008028D6">
        <w:rPr>
          <w:color w:val="000000" w:themeColor="text1"/>
        </w:rPr>
        <w:t>,</w:t>
      </w:r>
      <w:r w:rsidRPr="008028D6">
        <w:rPr>
          <w:color w:val="000000" w:themeColor="text1"/>
        </w:rPr>
        <w:t xml:space="preserve"> </w:t>
      </w:r>
      <w:r w:rsidR="006F7E9D" w:rsidRPr="008028D6">
        <w:rPr>
          <w:color w:val="000000" w:themeColor="text1"/>
        </w:rPr>
        <w:t>may</w:t>
      </w:r>
      <w:r w:rsidRPr="008028D6">
        <w:rPr>
          <w:color w:val="000000" w:themeColor="text1"/>
        </w:rPr>
        <w:t xml:space="preserve"> be committed. For instance, where a murder or other violent offence include a sexual dimension, but separate </w:t>
      </w:r>
      <w:proofErr w:type="spellStart"/>
      <w:r w:rsidRPr="008028D6">
        <w:rPr>
          <w:color w:val="000000" w:themeColor="text1"/>
        </w:rPr>
        <w:t>Sch</w:t>
      </w:r>
      <w:proofErr w:type="spellEnd"/>
      <w:r w:rsidRPr="008028D6">
        <w:rPr>
          <w:color w:val="000000" w:themeColor="text1"/>
        </w:rPr>
        <w:t xml:space="preserve"> 3 charges are not brought</w:t>
      </w:r>
      <w:r w:rsidR="00061169" w:rsidRPr="008028D6">
        <w:rPr>
          <w:color w:val="000000" w:themeColor="text1"/>
        </w:rPr>
        <w:t>,</w:t>
      </w:r>
      <w:r w:rsidRPr="008028D6">
        <w:rPr>
          <w:color w:val="000000" w:themeColor="text1"/>
        </w:rPr>
        <w:t xml:space="preserve"> the intention appear</w:t>
      </w:r>
      <w:r w:rsidR="005B50B8" w:rsidRPr="008028D6">
        <w:rPr>
          <w:color w:val="000000" w:themeColor="text1"/>
        </w:rPr>
        <w:t>s</w:t>
      </w:r>
      <w:r w:rsidRPr="008028D6">
        <w:rPr>
          <w:color w:val="000000" w:themeColor="text1"/>
        </w:rPr>
        <w:t xml:space="preserve"> to be to enable the court to respond to the risk that the sexual motivation will lead to the commission of future </w:t>
      </w:r>
      <w:r w:rsidRPr="008028D6">
        <w:rPr>
          <w:i/>
          <w:iCs/>
          <w:color w:val="000000" w:themeColor="text1"/>
        </w:rPr>
        <w:t xml:space="preserve">sexual </w:t>
      </w:r>
      <w:r w:rsidRPr="008028D6">
        <w:rPr>
          <w:color w:val="000000" w:themeColor="text1"/>
        </w:rPr>
        <w:t xml:space="preserve">offending.  </w:t>
      </w:r>
    </w:p>
    <w:p w14:paraId="090F3CF7" w14:textId="77777777" w:rsidR="00D819F9" w:rsidRPr="008028D6" w:rsidRDefault="00D819F9" w:rsidP="00221A04">
      <w:pPr>
        <w:jc w:val="both"/>
        <w:rPr>
          <w:color w:val="000000" w:themeColor="text1"/>
        </w:rPr>
      </w:pPr>
      <w:r w:rsidRPr="008028D6">
        <w:rPr>
          <w:color w:val="000000" w:themeColor="text1"/>
        </w:rPr>
        <w:t>Where, for instance, a murder clearly includes a sexual dimension but only a murder charge is brought, there is a certain logic to allow a SHPO to prevent the commission of subsequent sexual offending. However, the guidance also emphasises that: ‘it is not possible to take out an SHPO in relation to a violent offender if there is only a risk of the offender committing a violent crime’.</w:t>
      </w:r>
      <w:r w:rsidRPr="008028D6">
        <w:rPr>
          <w:rStyle w:val="FootnoteReference"/>
          <w:color w:val="000000" w:themeColor="text1"/>
        </w:rPr>
        <w:footnoteReference w:id="51"/>
      </w:r>
      <w:r w:rsidRPr="008028D6">
        <w:rPr>
          <w:color w:val="000000" w:themeColor="text1"/>
        </w:rPr>
        <w:t xml:space="preserve"> </w:t>
      </w:r>
    </w:p>
    <w:p w14:paraId="28A28980" w14:textId="22E35702" w:rsidR="00D819F9" w:rsidRPr="008028D6" w:rsidRDefault="00D819F9" w:rsidP="00221A04">
      <w:pPr>
        <w:pStyle w:val="Heading2"/>
        <w:jc w:val="both"/>
        <w:rPr>
          <w:i/>
          <w:iCs/>
          <w:color w:val="000000" w:themeColor="text1"/>
        </w:rPr>
      </w:pPr>
      <w:proofErr w:type="spellStart"/>
      <w:r w:rsidRPr="008028D6">
        <w:rPr>
          <w:i/>
          <w:iCs/>
          <w:color w:val="000000" w:themeColor="text1"/>
        </w:rPr>
        <w:t>Marangwanda</w:t>
      </w:r>
      <w:proofErr w:type="spellEnd"/>
      <w:r w:rsidRPr="008028D6">
        <w:rPr>
          <w:i/>
          <w:iCs/>
          <w:color w:val="000000" w:themeColor="text1"/>
        </w:rPr>
        <w:t xml:space="preserve"> </w:t>
      </w:r>
    </w:p>
    <w:p w14:paraId="7E81CF0F" w14:textId="23A7B9B6" w:rsidR="00D819F9" w:rsidRPr="008028D6" w:rsidRDefault="00D819F9" w:rsidP="00221A04">
      <w:pPr>
        <w:jc w:val="both"/>
        <w:rPr>
          <w:color w:val="000000" w:themeColor="text1"/>
        </w:rPr>
      </w:pPr>
      <w:r w:rsidRPr="008028D6">
        <w:rPr>
          <w:color w:val="000000" w:themeColor="text1"/>
        </w:rPr>
        <w:t xml:space="preserve">As noted above, </w:t>
      </w:r>
      <w:proofErr w:type="spellStart"/>
      <w:r w:rsidRPr="008028D6">
        <w:rPr>
          <w:color w:val="000000" w:themeColor="text1"/>
        </w:rPr>
        <w:t>Marangwanda</w:t>
      </w:r>
      <w:proofErr w:type="spellEnd"/>
      <w:r w:rsidRPr="008028D6">
        <w:rPr>
          <w:color w:val="000000" w:themeColor="text1"/>
        </w:rPr>
        <w:t xml:space="preserve"> is one of a limited number of cases of biological GBH </w:t>
      </w:r>
      <w:r w:rsidR="00D41960" w:rsidRPr="008028D6">
        <w:rPr>
          <w:color w:val="000000" w:themeColor="text1"/>
        </w:rPr>
        <w:t xml:space="preserve">that </w:t>
      </w:r>
      <w:r w:rsidRPr="008028D6">
        <w:rPr>
          <w:color w:val="000000" w:themeColor="text1"/>
        </w:rPr>
        <w:t>does not relate to HIV transmission and is, therefore, notable for a number of reasons.</w:t>
      </w:r>
      <w:r w:rsidRPr="008028D6">
        <w:rPr>
          <w:rStyle w:val="FootnoteReference"/>
          <w:color w:val="000000" w:themeColor="text1"/>
        </w:rPr>
        <w:footnoteReference w:id="52"/>
      </w:r>
      <w:r w:rsidRPr="008028D6">
        <w:rPr>
          <w:color w:val="000000" w:themeColor="text1"/>
        </w:rPr>
        <w:t xml:space="preserve"> It highlights the continued use of GBH provisions in response to what is, arguably</w:t>
      </w:r>
      <w:r w:rsidR="001102A1" w:rsidRPr="008028D6">
        <w:rPr>
          <w:color w:val="000000" w:themeColor="text1"/>
        </w:rPr>
        <w:t>,</w:t>
      </w:r>
      <w:r w:rsidRPr="008028D6">
        <w:rPr>
          <w:color w:val="000000" w:themeColor="text1"/>
        </w:rPr>
        <w:t xml:space="preserve"> a less serious infection compared to HIV or Herpes</w:t>
      </w:r>
      <w:r w:rsidR="001102A1" w:rsidRPr="008028D6">
        <w:rPr>
          <w:color w:val="000000" w:themeColor="text1"/>
        </w:rPr>
        <w:t>,</w:t>
      </w:r>
      <w:r w:rsidR="001102A1" w:rsidRPr="008028D6">
        <w:rPr>
          <w:rStyle w:val="FootnoteReference"/>
          <w:color w:val="000000" w:themeColor="text1"/>
        </w:rPr>
        <w:t xml:space="preserve"> </w:t>
      </w:r>
      <w:r w:rsidR="001102A1" w:rsidRPr="008028D6">
        <w:rPr>
          <w:rStyle w:val="FootnoteReference"/>
          <w:color w:val="000000" w:themeColor="text1"/>
        </w:rPr>
        <w:footnoteReference w:id="53"/>
      </w:r>
      <w:r w:rsidR="001102A1" w:rsidRPr="008028D6">
        <w:rPr>
          <w:color w:val="000000" w:themeColor="text1"/>
        </w:rPr>
        <w:t xml:space="preserve"> when the availability of treatment options is taken into consideration</w:t>
      </w:r>
      <w:r w:rsidRPr="008028D6">
        <w:rPr>
          <w:color w:val="000000" w:themeColor="text1"/>
        </w:rPr>
        <w:t>.</w:t>
      </w:r>
    </w:p>
    <w:p w14:paraId="54F1714D" w14:textId="77777777" w:rsidR="00D819F9" w:rsidRPr="008028D6" w:rsidRDefault="00D819F9" w:rsidP="00221A04">
      <w:pPr>
        <w:pStyle w:val="Heading3"/>
        <w:jc w:val="both"/>
        <w:rPr>
          <w:color w:val="000000" w:themeColor="text1"/>
        </w:rPr>
      </w:pPr>
      <w:r w:rsidRPr="008028D6">
        <w:rPr>
          <w:color w:val="000000" w:themeColor="text1"/>
        </w:rPr>
        <w:t>Background</w:t>
      </w:r>
    </w:p>
    <w:p w14:paraId="4D9484BE" w14:textId="7B30FF9A" w:rsidR="00D819F9" w:rsidRPr="008028D6" w:rsidRDefault="00D819F9" w:rsidP="00221A04">
      <w:pPr>
        <w:jc w:val="both"/>
        <w:rPr>
          <w:color w:val="000000" w:themeColor="text1"/>
        </w:rPr>
      </w:pPr>
      <w:proofErr w:type="spellStart"/>
      <w:r w:rsidRPr="008028D6">
        <w:rPr>
          <w:color w:val="000000" w:themeColor="text1"/>
        </w:rPr>
        <w:t>Marangwanda</w:t>
      </w:r>
      <w:proofErr w:type="spellEnd"/>
      <w:r w:rsidRPr="008028D6">
        <w:rPr>
          <w:color w:val="000000" w:themeColor="text1"/>
        </w:rPr>
        <w:t xml:space="preserve"> began as a case involving two charges of sexual activity with a child</w:t>
      </w:r>
      <w:r w:rsidR="001102A1" w:rsidRPr="008028D6">
        <w:rPr>
          <w:color w:val="000000" w:themeColor="text1"/>
        </w:rPr>
        <w:t>.</w:t>
      </w:r>
      <w:r w:rsidRPr="008028D6">
        <w:rPr>
          <w:rStyle w:val="FootnoteReference"/>
          <w:color w:val="000000" w:themeColor="text1"/>
        </w:rPr>
        <w:footnoteReference w:id="54"/>
      </w:r>
      <w:r w:rsidRPr="008028D6">
        <w:rPr>
          <w:color w:val="000000" w:themeColor="text1"/>
        </w:rPr>
        <w:t xml:space="preserve"> </w:t>
      </w:r>
      <w:r w:rsidR="001102A1" w:rsidRPr="008028D6">
        <w:rPr>
          <w:color w:val="000000" w:themeColor="text1"/>
        </w:rPr>
        <w:t>T</w:t>
      </w:r>
      <w:r w:rsidRPr="008028D6">
        <w:rPr>
          <w:color w:val="000000" w:themeColor="text1"/>
        </w:rPr>
        <w:t>he defendant’s partner had two children – both aged under 10</w:t>
      </w:r>
      <w:r w:rsidR="00D41960" w:rsidRPr="008028D6">
        <w:rPr>
          <w:color w:val="000000" w:themeColor="text1"/>
        </w:rPr>
        <w:t>, and both</w:t>
      </w:r>
      <w:r w:rsidRPr="008028D6">
        <w:rPr>
          <w:color w:val="000000" w:themeColor="text1"/>
        </w:rPr>
        <w:t xml:space="preserve"> </w:t>
      </w:r>
      <w:r w:rsidR="00D41960" w:rsidRPr="008028D6">
        <w:rPr>
          <w:color w:val="000000" w:themeColor="text1"/>
        </w:rPr>
        <w:t>from a previous</w:t>
      </w:r>
      <w:r w:rsidRPr="008028D6">
        <w:rPr>
          <w:color w:val="000000" w:themeColor="text1"/>
        </w:rPr>
        <w:t xml:space="preserve"> relationship</w:t>
      </w:r>
      <w:r w:rsidR="00D41960" w:rsidRPr="008028D6">
        <w:rPr>
          <w:color w:val="000000" w:themeColor="text1"/>
        </w:rPr>
        <w:t xml:space="preserve"> -</w:t>
      </w:r>
      <w:r w:rsidRPr="008028D6">
        <w:rPr>
          <w:color w:val="000000" w:themeColor="text1"/>
        </w:rPr>
        <w:t xml:space="preserve"> who presented with symptoms of gonorrhoea. The older of the two children subsequently alleged </w:t>
      </w:r>
      <w:r w:rsidR="00D41960" w:rsidRPr="008028D6">
        <w:rPr>
          <w:color w:val="000000" w:themeColor="text1"/>
        </w:rPr>
        <w:t>that they had been</w:t>
      </w:r>
      <w:r w:rsidRPr="008028D6">
        <w:rPr>
          <w:color w:val="000000" w:themeColor="text1"/>
        </w:rPr>
        <w:t xml:space="preserve"> sexually assaulted by the defendant. The defendant’s case at trial was that he did not have gonorrhoea, only thrush, and therefore could not be the source of the infection. At the defendant’s first trial in Newcastle in 2007, the jury could not reach a verdict and the case was therefore listed for retrial. </w:t>
      </w:r>
      <w:r w:rsidR="005B50B8" w:rsidRPr="008028D6">
        <w:rPr>
          <w:color w:val="000000" w:themeColor="text1"/>
        </w:rPr>
        <w:t>Before</w:t>
      </w:r>
      <w:r w:rsidRPr="008028D6">
        <w:rPr>
          <w:color w:val="000000" w:themeColor="text1"/>
        </w:rPr>
        <w:t xml:space="preserve"> the retrial, counsel</w:t>
      </w:r>
      <w:r w:rsidR="005B50B8" w:rsidRPr="008028D6">
        <w:rPr>
          <w:color w:val="000000" w:themeColor="text1"/>
        </w:rPr>
        <w:t xml:space="preserve"> in the case</w:t>
      </w:r>
      <w:r w:rsidRPr="008028D6">
        <w:rPr>
          <w:color w:val="000000" w:themeColor="text1"/>
        </w:rPr>
        <w:t xml:space="preserve"> </w:t>
      </w:r>
      <w:r w:rsidR="005B50B8" w:rsidRPr="008028D6">
        <w:rPr>
          <w:color w:val="000000" w:themeColor="text1"/>
        </w:rPr>
        <w:t>reached</w:t>
      </w:r>
      <w:r w:rsidRPr="008028D6">
        <w:rPr>
          <w:color w:val="000000" w:themeColor="text1"/>
        </w:rPr>
        <w:t xml:space="preserve"> an agreement that the defendant would enter a plea on two GBH charges, on the basis of reckless transmission. This was agreed and the written basis of plea was drafted to state that: </w:t>
      </w:r>
      <w:r w:rsidRPr="008028D6">
        <w:rPr>
          <w:color w:val="000000" w:themeColor="text1"/>
        </w:rPr>
        <w:tab/>
      </w:r>
    </w:p>
    <w:p w14:paraId="55B54AD5" w14:textId="7998F645" w:rsidR="00D819F9" w:rsidRPr="008028D6" w:rsidRDefault="00D819F9" w:rsidP="00221A04">
      <w:pPr>
        <w:ind w:left="720"/>
        <w:jc w:val="both"/>
        <w:rPr>
          <w:color w:val="000000" w:themeColor="text1"/>
        </w:rPr>
      </w:pPr>
      <w:r w:rsidRPr="008028D6">
        <w:rPr>
          <w:color w:val="000000" w:themeColor="text1"/>
        </w:rPr>
        <w:t>Such transmission was carried ou</w:t>
      </w:r>
      <w:r w:rsidR="00D41960" w:rsidRPr="008028D6">
        <w:rPr>
          <w:color w:val="000000" w:themeColor="text1"/>
        </w:rPr>
        <w:t>t</w:t>
      </w:r>
      <w:r w:rsidRPr="008028D6">
        <w:rPr>
          <w:color w:val="000000" w:themeColor="text1"/>
        </w:rPr>
        <w:t xml:space="preserve"> not in any way by means of any sexual contact, direct or indirect. Such transmission was likely to have been occasioned in circumstances where the Defendant, after having touched himself and then failing to apply the proper hygiene standards, has then gone on to touch the children in an ordinary way. The Defendant would, on occasion, be involved in the daily care of the two young Complainants. This would include assisting with washing, dressing and general supervisory activities with the same.</w:t>
      </w:r>
      <w:r w:rsidRPr="008028D6">
        <w:rPr>
          <w:rStyle w:val="FootnoteReference"/>
          <w:color w:val="000000" w:themeColor="text1"/>
        </w:rPr>
        <w:footnoteReference w:id="55"/>
      </w:r>
    </w:p>
    <w:p w14:paraId="2704B71B" w14:textId="6510C396" w:rsidR="00D819F9" w:rsidRPr="008028D6" w:rsidRDefault="00D819F9" w:rsidP="00221A04">
      <w:pPr>
        <w:jc w:val="both"/>
        <w:rPr>
          <w:color w:val="000000" w:themeColor="text1"/>
        </w:rPr>
      </w:pPr>
      <w:r w:rsidRPr="008028D6">
        <w:rPr>
          <w:color w:val="000000" w:themeColor="text1"/>
        </w:rPr>
        <w:t>The defendant was sentenced on the 29</w:t>
      </w:r>
      <w:r w:rsidRPr="008028D6">
        <w:rPr>
          <w:color w:val="000000" w:themeColor="text1"/>
          <w:vertAlign w:val="superscript"/>
        </w:rPr>
        <w:t>th</w:t>
      </w:r>
      <w:r w:rsidRPr="008028D6">
        <w:rPr>
          <w:color w:val="000000" w:themeColor="text1"/>
        </w:rPr>
        <w:t xml:space="preserve"> June 2007 to 2 years imprisonment, with the Recorder recommending deportation. The defendant was also disqualified from working with children, subject </w:t>
      </w:r>
      <w:r w:rsidRPr="008028D6">
        <w:rPr>
          <w:color w:val="000000" w:themeColor="text1"/>
        </w:rPr>
        <w:lastRenderedPageBreak/>
        <w:t>to the provisions in the Criminal Justice and Court Services Act</w:t>
      </w:r>
      <w:r w:rsidR="001102A1" w:rsidRPr="008028D6">
        <w:rPr>
          <w:color w:val="000000" w:themeColor="text1"/>
        </w:rPr>
        <w:t xml:space="preserve"> 2000, s.26</w:t>
      </w:r>
      <w:r w:rsidRPr="008028D6">
        <w:rPr>
          <w:color w:val="000000" w:themeColor="text1"/>
        </w:rPr>
        <w:t xml:space="preserve">, and a Sexual Offence Prevention Order was made. </w:t>
      </w:r>
    </w:p>
    <w:p w14:paraId="7AF14598" w14:textId="77777777" w:rsidR="00D819F9" w:rsidRPr="008028D6" w:rsidRDefault="00D819F9" w:rsidP="00221A04">
      <w:pPr>
        <w:pStyle w:val="Heading3"/>
        <w:jc w:val="both"/>
        <w:rPr>
          <w:color w:val="000000" w:themeColor="text1"/>
        </w:rPr>
      </w:pPr>
      <w:r w:rsidRPr="008028D6">
        <w:rPr>
          <w:color w:val="000000" w:themeColor="text1"/>
        </w:rPr>
        <w:t>Appeal</w:t>
      </w:r>
    </w:p>
    <w:p w14:paraId="1507E0AB" w14:textId="77777777" w:rsidR="00D819F9" w:rsidRPr="008028D6" w:rsidRDefault="00D819F9" w:rsidP="00221A04">
      <w:pPr>
        <w:jc w:val="both"/>
        <w:rPr>
          <w:color w:val="000000" w:themeColor="text1"/>
        </w:rPr>
      </w:pPr>
      <w:r w:rsidRPr="008028D6">
        <w:rPr>
          <w:color w:val="000000" w:themeColor="text1"/>
        </w:rPr>
        <w:t xml:space="preserve">The defendant appealed the conviction on the basis that: </w:t>
      </w:r>
    </w:p>
    <w:p w14:paraId="6A42AAC1" w14:textId="77777777" w:rsidR="00D819F9" w:rsidRPr="008028D6" w:rsidRDefault="00D819F9" w:rsidP="00221A04">
      <w:pPr>
        <w:pStyle w:val="ListParagraph"/>
        <w:numPr>
          <w:ilvl w:val="0"/>
          <w:numId w:val="2"/>
        </w:numPr>
        <w:rPr>
          <w:color w:val="000000" w:themeColor="text1"/>
        </w:rPr>
      </w:pPr>
      <w:r w:rsidRPr="008028D6">
        <w:rPr>
          <w:color w:val="000000" w:themeColor="text1"/>
        </w:rPr>
        <w:t>It was not medically possible for gonorrhoea to be transmitted in the way described in his plea, and,</w:t>
      </w:r>
    </w:p>
    <w:p w14:paraId="1A9D9584" w14:textId="77777777" w:rsidR="00D819F9" w:rsidRPr="008028D6" w:rsidRDefault="00D819F9" w:rsidP="00221A04">
      <w:pPr>
        <w:pStyle w:val="ListParagraph"/>
        <w:numPr>
          <w:ilvl w:val="0"/>
          <w:numId w:val="2"/>
        </w:numPr>
        <w:rPr>
          <w:color w:val="000000" w:themeColor="text1"/>
        </w:rPr>
      </w:pPr>
      <w:r w:rsidRPr="008028D6">
        <w:rPr>
          <w:color w:val="000000" w:themeColor="text1"/>
        </w:rPr>
        <w:t>Even if it were, the defendant did not act recklessly in any event, and/or,</w:t>
      </w:r>
    </w:p>
    <w:p w14:paraId="2A7DB5E8" w14:textId="77777777" w:rsidR="00D819F9" w:rsidRPr="008028D6" w:rsidRDefault="00D819F9" w:rsidP="00221A04">
      <w:pPr>
        <w:pStyle w:val="ListParagraph"/>
        <w:numPr>
          <w:ilvl w:val="0"/>
          <w:numId w:val="2"/>
        </w:numPr>
        <w:rPr>
          <w:color w:val="000000" w:themeColor="text1"/>
        </w:rPr>
      </w:pPr>
      <w:r w:rsidRPr="008028D6">
        <w:rPr>
          <w:color w:val="000000" w:themeColor="text1"/>
        </w:rPr>
        <w:t xml:space="preserve">Even if it were, that behaviour could not be classified as criminal, and, </w:t>
      </w:r>
    </w:p>
    <w:p w14:paraId="33B84DAA" w14:textId="29F5C954" w:rsidR="00D819F9" w:rsidRPr="008028D6" w:rsidRDefault="00D819F9" w:rsidP="000C1A44">
      <w:pPr>
        <w:pStyle w:val="ListParagraph"/>
        <w:numPr>
          <w:ilvl w:val="0"/>
          <w:numId w:val="2"/>
        </w:numPr>
        <w:rPr>
          <w:color w:val="000000" w:themeColor="text1"/>
        </w:rPr>
      </w:pPr>
      <w:r w:rsidRPr="008028D6">
        <w:rPr>
          <w:color w:val="000000" w:themeColor="text1"/>
        </w:rPr>
        <w:t>In any event, the defendant’s plea w</w:t>
      </w:r>
      <w:r w:rsidR="00303DCE" w:rsidRPr="008028D6">
        <w:rPr>
          <w:color w:val="000000" w:themeColor="text1"/>
        </w:rPr>
        <w:t>as</w:t>
      </w:r>
      <w:r w:rsidRPr="008028D6">
        <w:rPr>
          <w:color w:val="000000" w:themeColor="text1"/>
        </w:rPr>
        <w:t xml:space="preserve"> involuntary as a result of pressure from defence</w:t>
      </w:r>
      <w:r w:rsidR="000C1A44" w:rsidRPr="008028D6">
        <w:rPr>
          <w:color w:val="000000" w:themeColor="text1"/>
        </w:rPr>
        <w:t xml:space="preserve"> </w:t>
      </w:r>
      <w:r w:rsidRPr="008028D6">
        <w:rPr>
          <w:color w:val="000000" w:themeColor="text1"/>
        </w:rPr>
        <w:t xml:space="preserve">counsel. </w:t>
      </w:r>
    </w:p>
    <w:p w14:paraId="40883811" w14:textId="1072BA14" w:rsidR="00D819F9" w:rsidRPr="008028D6" w:rsidRDefault="00590D77" w:rsidP="00590D77">
      <w:pPr>
        <w:jc w:val="both"/>
        <w:rPr>
          <w:color w:val="000000" w:themeColor="text1"/>
        </w:rPr>
      </w:pPr>
      <w:r w:rsidRPr="008028D6">
        <w:rPr>
          <w:color w:val="000000" w:themeColor="text1"/>
        </w:rPr>
        <w:t>Expert</w:t>
      </w:r>
      <w:r w:rsidR="000C1A44" w:rsidRPr="008028D6">
        <w:rPr>
          <w:color w:val="000000" w:themeColor="text1"/>
        </w:rPr>
        <w:t xml:space="preserve"> evidence on the first ground </w:t>
      </w:r>
      <w:r w:rsidRPr="008028D6">
        <w:rPr>
          <w:color w:val="000000" w:themeColor="text1"/>
        </w:rPr>
        <w:t>had been</w:t>
      </w:r>
      <w:r w:rsidR="000C1A44" w:rsidRPr="008028D6">
        <w:rPr>
          <w:color w:val="000000" w:themeColor="text1"/>
        </w:rPr>
        <w:t xml:space="preserve"> considered in </w:t>
      </w:r>
      <w:r w:rsidRPr="008028D6">
        <w:rPr>
          <w:color w:val="000000" w:themeColor="text1"/>
        </w:rPr>
        <w:t xml:space="preserve">detail during </w:t>
      </w:r>
      <w:r w:rsidR="000C1A44" w:rsidRPr="008028D6">
        <w:rPr>
          <w:color w:val="000000" w:themeColor="text1"/>
        </w:rPr>
        <w:t>the original trial</w:t>
      </w:r>
      <w:r w:rsidRPr="008028D6">
        <w:rPr>
          <w:color w:val="000000" w:themeColor="text1"/>
        </w:rPr>
        <w:t xml:space="preserve"> and the CoA reiterated three points made by the defence expert. </w:t>
      </w:r>
      <w:r w:rsidR="000C1A44" w:rsidRPr="008028D6">
        <w:rPr>
          <w:color w:val="000000" w:themeColor="text1"/>
        </w:rPr>
        <w:t xml:space="preserve"> Firstly, it was </w:t>
      </w:r>
      <w:r w:rsidRPr="008028D6">
        <w:rPr>
          <w:color w:val="000000" w:themeColor="text1"/>
        </w:rPr>
        <w:t>claimed</w:t>
      </w:r>
      <w:r w:rsidR="000C1A44" w:rsidRPr="008028D6">
        <w:rPr>
          <w:color w:val="000000" w:themeColor="text1"/>
        </w:rPr>
        <w:t xml:space="preserve"> that it was not possible for gonorrhoea to be transmitted through wholly ordinary contact such as the sharing of towels. Secondly, it was emphasised that gonorrhoea is easily transmitted through genital contact. </w:t>
      </w:r>
      <w:r w:rsidRPr="008028D6">
        <w:rPr>
          <w:color w:val="000000" w:themeColor="text1"/>
        </w:rPr>
        <w:t xml:space="preserve">Finally, the expert evidence indicated </w:t>
      </w:r>
      <w:r w:rsidR="00D819F9" w:rsidRPr="008028D6">
        <w:rPr>
          <w:color w:val="000000" w:themeColor="text1"/>
        </w:rPr>
        <w:t>that transmission of the kind described by the defendant, via unwashed hands, was high</w:t>
      </w:r>
      <w:r w:rsidR="00D41960" w:rsidRPr="008028D6">
        <w:rPr>
          <w:color w:val="000000" w:themeColor="text1"/>
        </w:rPr>
        <w:t>ly</w:t>
      </w:r>
      <w:r w:rsidR="00D819F9" w:rsidRPr="008028D6">
        <w:rPr>
          <w:color w:val="000000" w:themeColor="text1"/>
        </w:rPr>
        <w:t xml:space="preserve"> unlikely, but not inconceivable.</w:t>
      </w:r>
      <w:r w:rsidR="00D819F9" w:rsidRPr="008028D6">
        <w:rPr>
          <w:rStyle w:val="FootnoteReference"/>
          <w:color w:val="000000" w:themeColor="text1"/>
        </w:rPr>
        <w:footnoteReference w:id="56"/>
      </w:r>
      <w:r w:rsidR="00D819F9" w:rsidRPr="008028D6">
        <w:rPr>
          <w:color w:val="000000" w:themeColor="text1"/>
        </w:rPr>
        <w:t xml:space="preserve"> This position appears to be, generally, </w:t>
      </w:r>
      <w:r w:rsidR="00AE6961" w:rsidRPr="008028D6">
        <w:rPr>
          <w:color w:val="000000" w:themeColor="text1"/>
        </w:rPr>
        <w:t>supported</w:t>
      </w:r>
      <w:r w:rsidR="00D819F9" w:rsidRPr="008028D6">
        <w:rPr>
          <w:color w:val="000000" w:themeColor="text1"/>
        </w:rPr>
        <w:t xml:space="preserve"> by scientific research which </w:t>
      </w:r>
      <w:r w:rsidR="001102A1" w:rsidRPr="008028D6">
        <w:rPr>
          <w:color w:val="000000" w:themeColor="text1"/>
        </w:rPr>
        <w:t>indicates</w:t>
      </w:r>
      <w:r w:rsidR="00D819F9" w:rsidRPr="008028D6">
        <w:rPr>
          <w:color w:val="000000" w:themeColor="text1"/>
        </w:rPr>
        <w:t xml:space="preserve"> that the non-sexual transmission of gonorrhoea is possible,</w:t>
      </w:r>
      <w:r w:rsidR="00D819F9" w:rsidRPr="008028D6">
        <w:rPr>
          <w:rStyle w:val="FootnoteReference"/>
          <w:color w:val="000000" w:themeColor="text1"/>
        </w:rPr>
        <w:footnoteReference w:id="57"/>
      </w:r>
      <w:r w:rsidR="00D819F9" w:rsidRPr="008028D6">
        <w:rPr>
          <w:color w:val="000000" w:themeColor="text1"/>
        </w:rPr>
        <w:t xml:space="preserve"> but is highly unlikely in paediatric gonorrhoea cases.</w:t>
      </w:r>
      <w:r w:rsidR="00D819F9" w:rsidRPr="008028D6">
        <w:rPr>
          <w:rStyle w:val="FootnoteReference"/>
          <w:color w:val="000000" w:themeColor="text1"/>
        </w:rPr>
        <w:footnoteReference w:id="58"/>
      </w:r>
    </w:p>
    <w:p w14:paraId="44DBBEB0" w14:textId="2489A220" w:rsidR="00D819F9" w:rsidRPr="008028D6" w:rsidRDefault="00D819F9" w:rsidP="00221A04">
      <w:pPr>
        <w:jc w:val="both"/>
        <w:rPr>
          <w:color w:val="000000" w:themeColor="text1"/>
        </w:rPr>
      </w:pPr>
      <w:r w:rsidRPr="008028D6">
        <w:rPr>
          <w:color w:val="000000" w:themeColor="text1"/>
        </w:rPr>
        <w:t xml:space="preserve">On the basis that </w:t>
      </w:r>
      <w:r w:rsidR="001102A1" w:rsidRPr="008028D6">
        <w:rPr>
          <w:color w:val="000000" w:themeColor="text1"/>
        </w:rPr>
        <w:t>transmission</w:t>
      </w:r>
      <w:r w:rsidRPr="008028D6">
        <w:rPr>
          <w:color w:val="000000" w:themeColor="text1"/>
        </w:rPr>
        <w:t xml:space="preserve"> was medically possible, albeit improbable, the first, second and third grounds of appeal were all unsuccessful.</w:t>
      </w:r>
      <w:r w:rsidR="000C1A44" w:rsidRPr="008028D6">
        <w:rPr>
          <w:color w:val="000000" w:themeColor="text1"/>
        </w:rPr>
        <w:t xml:space="preserve"> The final ground does not appear to have been advanced at the appeal hearing. </w:t>
      </w:r>
      <w:r w:rsidRPr="008028D6">
        <w:rPr>
          <w:color w:val="000000" w:themeColor="text1"/>
        </w:rPr>
        <w:t xml:space="preserve"> However, underlying these issues is the fact that, during the course of sentencing during the retrial, prosecution counsel were quite transparent that: ‘if it appears to [the Judge], or indeed anyone who were to hear about it, [that the plea] seem to be something of a fudge, undoubtedly it is’, but that it was done in order to prevent the need for the complainants to give evidence again.</w:t>
      </w:r>
      <w:r w:rsidRPr="008028D6">
        <w:rPr>
          <w:rStyle w:val="FootnoteReference"/>
          <w:color w:val="000000" w:themeColor="text1"/>
        </w:rPr>
        <w:footnoteReference w:id="59"/>
      </w:r>
    </w:p>
    <w:p w14:paraId="3D2F4FF6" w14:textId="77777777" w:rsidR="00D819F9" w:rsidRPr="008028D6" w:rsidRDefault="00D819F9" w:rsidP="00221A04">
      <w:pPr>
        <w:pStyle w:val="Heading3"/>
        <w:jc w:val="both"/>
        <w:rPr>
          <w:color w:val="000000" w:themeColor="text1"/>
        </w:rPr>
      </w:pPr>
      <w:r w:rsidRPr="008028D6">
        <w:rPr>
          <w:color w:val="000000" w:themeColor="text1"/>
        </w:rPr>
        <w:t xml:space="preserve">Sentence </w:t>
      </w:r>
    </w:p>
    <w:p w14:paraId="5B1B6B07" w14:textId="70BBA774" w:rsidR="00D819F9" w:rsidRPr="008028D6" w:rsidRDefault="00D819F9" w:rsidP="00221A04">
      <w:pPr>
        <w:jc w:val="both"/>
        <w:rPr>
          <w:color w:val="000000" w:themeColor="text1"/>
        </w:rPr>
      </w:pPr>
      <w:r w:rsidRPr="008028D6">
        <w:rPr>
          <w:color w:val="000000" w:themeColor="text1"/>
        </w:rPr>
        <w:t xml:space="preserve">The particularities of </w:t>
      </w:r>
      <w:proofErr w:type="spellStart"/>
      <w:r w:rsidRPr="008028D6">
        <w:rPr>
          <w:i/>
          <w:iCs/>
          <w:color w:val="000000" w:themeColor="text1"/>
        </w:rPr>
        <w:t>Marangwanda</w:t>
      </w:r>
      <w:proofErr w:type="spellEnd"/>
      <w:r w:rsidRPr="008028D6">
        <w:rPr>
          <w:i/>
          <w:iCs/>
          <w:color w:val="000000" w:themeColor="text1"/>
        </w:rPr>
        <w:t xml:space="preserve"> </w:t>
      </w:r>
      <w:r w:rsidRPr="008028D6">
        <w:rPr>
          <w:color w:val="000000" w:themeColor="text1"/>
        </w:rPr>
        <w:t xml:space="preserve">and the “fudge” that appears to have taken place in reaching the plea may go some way to explaining why the sentencing in this case is particularly complex. Had the defendant been convicted of the initial charge then the SOPO might have been more readily drafted to reflect the harm </w:t>
      </w:r>
      <w:r w:rsidR="003F6E5F" w:rsidRPr="008028D6">
        <w:rPr>
          <w:color w:val="000000" w:themeColor="text1"/>
        </w:rPr>
        <w:t xml:space="preserve">which </w:t>
      </w:r>
      <w:r w:rsidRPr="008028D6">
        <w:rPr>
          <w:color w:val="000000" w:themeColor="text1"/>
        </w:rPr>
        <w:t xml:space="preserve">the court may have had in mind when sentencing the defendant. However, I now turn to the sentencing decision in the case to highlight why the case is so demonstrative of the challenges of sentencing in biological GBH cases. Addressing the SOPO, the Court of Appeal judgement reads: </w:t>
      </w:r>
    </w:p>
    <w:p w14:paraId="45E5E381" w14:textId="77777777" w:rsidR="00D819F9" w:rsidRPr="008028D6" w:rsidRDefault="00D819F9" w:rsidP="00221A04">
      <w:pPr>
        <w:ind w:left="720"/>
        <w:jc w:val="both"/>
        <w:rPr>
          <w:color w:val="000000" w:themeColor="text1"/>
        </w:rPr>
      </w:pPr>
      <w:r w:rsidRPr="008028D6">
        <w:rPr>
          <w:color w:val="000000" w:themeColor="text1"/>
        </w:rPr>
        <w:t xml:space="preserve">So far as the Sexual Offences Protection Order is concerned, the necessary criteria provided in section 104 of the Sexual Offences Act 2003 are met. </w:t>
      </w:r>
      <w:r w:rsidRPr="008028D6">
        <w:rPr>
          <w:b/>
          <w:bCs/>
          <w:color w:val="000000" w:themeColor="text1"/>
        </w:rPr>
        <w:t>The section 20 offences are Schedule 5 offences</w:t>
      </w:r>
      <w:r w:rsidRPr="008028D6">
        <w:rPr>
          <w:color w:val="000000" w:themeColor="text1"/>
        </w:rPr>
        <w:t xml:space="preserve"> and so the order can be made providing the court is satisfied it is necessary for the </w:t>
      </w:r>
      <w:r w:rsidRPr="008028D6">
        <w:rPr>
          <w:b/>
          <w:bCs/>
          <w:color w:val="000000" w:themeColor="text1"/>
        </w:rPr>
        <w:t xml:space="preserve">purposes of protecting the public or any particular member of the public from </w:t>
      </w:r>
      <w:r w:rsidRPr="008028D6">
        <w:rPr>
          <w:b/>
          <w:bCs/>
          <w:color w:val="000000" w:themeColor="text1"/>
          <w:u w:val="single"/>
        </w:rPr>
        <w:t>serious sexual harm</w:t>
      </w:r>
      <w:r w:rsidRPr="008028D6">
        <w:rPr>
          <w:b/>
          <w:bCs/>
          <w:color w:val="000000" w:themeColor="text1"/>
        </w:rPr>
        <w:t xml:space="preserve"> from the defendant</w:t>
      </w:r>
      <w:r w:rsidRPr="008028D6">
        <w:rPr>
          <w:color w:val="000000" w:themeColor="text1"/>
        </w:rPr>
        <w:t xml:space="preserve">. </w:t>
      </w:r>
      <w:r w:rsidRPr="008028D6">
        <w:rPr>
          <w:b/>
          <w:bCs/>
          <w:color w:val="000000" w:themeColor="text1"/>
        </w:rPr>
        <w:t>The transmission of gonorrhoea is clearly serious sexual harm</w:t>
      </w:r>
      <w:r w:rsidRPr="008028D6">
        <w:rPr>
          <w:color w:val="000000" w:themeColor="text1"/>
        </w:rPr>
        <w:t xml:space="preserve"> </w:t>
      </w:r>
      <w:r w:rsidRPr="008028D6">
        <w:rPr>
          <w:b/>
          <w:bCs/>
          <w:color w:val="000000" w:themeColor="text1"/>
        </w:rPr>
        <w:t xml:space="preserve">as </w:t>
      </w:r>
      <w:r w:rsidRPr="008028D6">
        <w:rPr>
          <w:b/>
          <w:bCs/>
          <w:color w:val="000000" w:themeColor="text1"/>
          <w:u w:val="single"/>
        </w:rPr>
        <w:lastRenderedPageBreak/>
        <w:t>defined in section 106(3)</w:t>
      </w:r>
      <w:r w:rsidRPr="008028D6">
        <w:rPr>
          <w:b/>
          <w:bCs/>
          <w:color w:val="000000" w:themeColor="text1"/>
        </w:rPr>
        <w:t xml:space="preserve"> of the Act.</w:t>
      </w:r>
      <w:r w:rsidRPr="008028D6">
        <w:rPr>
          <w:color w:val="000000" w:themeColor="text1"/>
        </w:rPr>
        <w:t xml:space="preserve"> In the judgment of this court, a Sexual Offences Prevention Order is appropriate in the case of a person who has the care of young children, who is prepared to act recklessly and </w:t>
      </w:r>
      <w:r w:rsidRPr="008028D6">
        <w:rPr>
          <w:b/>
          <w:bCs/>
          <w:color w:val="000000" w:themeColor="text1"/>
        </w:rPr>
        <w:t>so subject those children to the risk of the transmission of a sexual disease</w:t>
      </w:r>
      <w:r w:rsidRPr="008028D6">
        <w:rPr>
          <w:color w:val="000000" w:themeColor="text1"/>
        </w:rPr>
        <w:t xml:space="preserve">. It is also particularly important to bear in mind that the court making such an order is </w:t>
      </w:r>
      <w:r w:rsidRPr="008028D6">
        <w:rPr>
          <w:b/>
          <w:bCs/>
          <w:color w:val="000000" w:themeColor="text1"/>
        </w:rPr>
        <w:t>not only concerned with the facts of the offence which prompts the making of the order but also all matters of background concerning the appellant</w:t>
      </w:r>
      <w:r w:rsidRPr="008028D6">
        <w:rPr>
          <w:color w:val="000000" w:themeColor="text1"/>
        </w:rPr>
        <w:t>, which are relevant to assessment of the risk of further offending.</w:t>
      </w:r>
      <w:r w:rsidRPr="008028D6">
        <w:rPr>
          <w:rStyle w:val="FootnoteReference"/>
          <w:color w:val="000000" w:themeColor="text1"/>
        </w:rPr>
        <w:footnoteReference w:id="60"/>
      </w:r>
    </w:p>
    <w:p w14:paraId="1F559E49" w14:textId="791C1838" w:rsidR="00D819F9" w:rsidRPr="008028D6" w:rsidRDefault="00D819F9" w:rsidP="00221A04">
      <w:pPr>
        <w:jc w:val="both"/>
        <w:rPr>
          <w:color w:val="000000" w:themeColor="text1"/>
        </w:rPr>
      </w:pPr>
      <w:r w:rsidRPr="008028D6">
        <w:rPr>
          <w:color w:val="000000" w:themeColor="text1"/>
        </w:rPr>
        <w:t>As noted above, the original statutory language found in s</w:t>
      </w:r>
      <w:r w:rsidR="00221750" w:rsidRPr="008028D6">
        <w:rPr>
          <w:color w:val="000000" w:themeColor="text1"/>
        </w:rPr>
        <w:t>.</w:t>
      </w:r>
      <w:r w:rsidRPr="008028D6">
        <w:rPr>
          <w:color w:val="000000" w:themeColor="text1"/>
        </w:rPr>
        <w:t xml:space="preserve">106 defines serious sexual harms with specific reference to the offences listed in </w:t>
      </w:r>
      <w:proofErr w:type="spellStart"/>
      <w:r w:rsidRPr="008028D6">
        <w:rPr>
          <w:color w:val="000000" w:themeColor="text1"/>
        </w:rPr>
        <w:t>Sch</w:t>
      </w:r>
      <w:proofErr w:type="spellEnd"/>
      <w:r w:rsidRPr="008028D6">
        <w:rPr>
          <w:color w:val="000000" w:themeColor="text1"/>
        </w:rPr>
        <w:t xml:space="preserve"> 3 of the Act. With all respect to the Court in </w:t>
      </w:r>
      <w:proofErr w:type="spellStart"/>
      <w:r w:rsidRPr="008028D6">
        <w:rPr>
          <w:i/>
          <w:iCs/>
          <w:color w:val="000000" w:themeColor="text1"/>
        </w:rPr>
        <w:t>Marangwanda</w:t>
      </w:r>
      <w:proofErr w:type="spellEnd"/>
      <w:r w:rsidRPr="008028D6">
        <w:rPr>
          <w:color w:val="000000" w:themeColor="text1"/>
        </w:rPr>
        <w:t xml:space="preserve">, </w:t>
      </w:r>
      <w:r w:rsidR="00541010" w:rsidRPr="008028D6">
        <w:rPr>
          <w:color w:val="000000" w:themeColor="text1"/>
        </w:rPr>
        <w:t xml:space="preserve">here </w:t>
      </w:r>
      <w:r w:rsidRPr="008028D6">
        <w:rPr>
          <w:color w:val="000000" w:themeColor="text1"/>
        </w:rPr>
        <w:t>this does not appear to be</w:t>
      </w:r>
      <w:r w:rsidR="00541010" w:rsidRPr="008028D6">
        <w:rPr>
          <w:color w:val="000000" w:themeColor="text1"/>
        </w:rPr>
        <w:t xml:space="preserve"> the</w:t>
      </w:r>
      <w:r w:rsidRPr="008028D6">
        <w:rPr>
          <w:color w:val="000000" w:themeColor="text1"/>
        </w:rPr>
        <w:t xml:space="preserve"> case.</w:t>
      </w:r>
      <w:r w:rsidRPr="008028D6">
        <w:rPr>
          <w:rStyle w:val="FootnoteReference"/>
          <w:color w:val="000000" w:themeColor="text1"/>
        </w:rPr>
        <w:footnoteReference w:id="61"/>
      </w:r>
      <w:r w:rsidRPr="008028D6">
        <w:rPr>
          <w:color w:val="000000" w:themeColor="text1"/>
        </w:rPr>
        <w:t xml:space="preserve"> The Court itself highlights that s</w:t>
      </w:r>
      <w:r w:rsidR="00221750" w:rsidRPr="008028D6">
        <w:rPr>
          <w:color w:val="000000" w:themeColor="text1"/>
        </w:rPr>
        <w:t>.</w:t>
      </w:r>
      <w:r w:rsidRPr="008028D6">
        <w:rPr>
          <w:color w:val="000000" w:themeColor="text1"/>
        </w:rPr>
        <w:t xml:space="preserve">20 offences are </w:t>
      </w:r>
      <w:proofErr w:type="spellStart"/>
      <w:r w:rsidRPr="008028D6">
        <w:rPr>
          <w:color w:val="000000" w:themeColor="text1"/>
        </w:rPr>
        <w:t>Sch</w:t>
      </w:r>
      <w:proofErr w:type="spellEnd"/>
      <w:r w:rsidRPr="008028D6">
        <w:rPr>
          <w:color w:val="000000" w:themeColor="text1"/>
        </w:rPr>
        <w:t xml:space="preserve"> 5 offences and through reference to, then, s</w:t>
      </w:r>
      <w:r w:rsidR="00541010" w:rsidRPr="008028D6">
        <w:rPr>
          <w:color w:val="000000" w:themeColor="text1"/>
        </w:rPr>
        <w:t>.</w:t>
      </w:r>
      <w:r w:rsidRPr="008028D6">
        <w:rPr>
          <w:color w:val="000000" w:themeColor="text1"/>
        </w:rPr>
        <w:t xml:space="preserve">106 relies on a definition of serious sexual harm which only captures </w:t>
      </w:r>
      <w:proofErr w:type="spellStart"/>
      <w:r w:rsidRPr="008028D6">
        <w:rPr>
          <w:color w:val="000000" w:themeColor="text1"/>
        </w:rPr>
        <w:t>Sch</w:t>
      </w:r>
      <w:proofErr w:type="spellEnd"/>
      <w:r w:rsidRPr="008028D6">
        <w:rPr>
          <w:color w:val="000000" w:themeColor="text1"/>
        </w:rPr>
        <w:t xml:space="preserve"> 3 offences. </w:t>
      </w:r>
    </w:p>
    <w:p w14:paraId="32A628DE" w14:textId="7C69D344" w:rsidR="00D819F9" w:rsidRPr="008028D6" w:rsidRDefault="00D819F9" w:rsidP="00221A04">
      <w:pPr>
        <w:jc w:val="both"/>
        <w:rPr>
          <w:color w:val="000000" w:themeColor="text1"/>
        </w:rPr>
      </w:pPr>
      <w:r w:rsidRPr="008028D6">
        <w:rPr>
          <w:color w:val="000000" w:themeColor="text1"/>
        </w:rPr>
        <w:t xml:space="preserve">Confusion over this point can be readily explained through the unusual nature of the statutory framework, which allows SHPOs to be made in response to either a </w:t>
      </w:r>
      <w:proofErr w:type="spellStart"/>
      <w:r w:rsidRPr="008028D6">
        <w:rPr>
          <w:color w:val="000000" w:themeColor="text1"/>
        </w:rPr>
        <w:t>Sch</w:t>
      </w:r>
      <w:proofErr w:type="spellEnd"/>
      <w:r w:rsidRPr="008028D6">
        <w:rPr>
          <w:color w:val="000000" w:themeColor="text1"/>
        </w:rPr>
        <w:t xml:space="preserve"> 3 or 5 offence, but only in order to prevent </w:t>
      </w:r>
      <w:r w:rsidR="00221750" w:rsidRPr="008028D6">
        <w:rPr>
          <w:color w:val="000000" w:themeColor="text1"/>
        </w:rPr>
        <w:t xml:space="preserve">one found in </w:t>
      </w:r>
      <w:proofErr w:type="spellStart"/>
      <w:r w:rsidRPr="008028D6">
        <w:rPr>
          <w:color w:val="000000" w:themeColor="text1"/>
        </w:rPr>
        <w:t>Sch</w:t>
      </w:r>
      <w:proofErr w:type="spellEnd"/>
      <w:r w:rsidRPr="008028D6">
        <w:rPr>
          <w:color w:val="000000" w:themeColor="text1"/>
        </w:rPr>
        <w:t xml:space="preserve"> 3.</w:t>
      </w:r>
      <w:r w:rsidR="00221750" w:rsidRPr="008028D6">
        <w:rPr>
          <w:color w:val="000000" w:themeColor="text1"/>
        </w:rPr>
        <w:t xml:space="preserve"> </w:t>
      </w:r>
      <w:r w:rsidR="00D41960" w:rsidRPr="008028D6">
        <w:rPr>
          <w:color w:val="000000" w:themeColor="text1"/>
        </w:rPr>
        <w:t>This</w:t>
      </w:r>
      <w:r w:rsidR="00221750" w:rsidRPr="008028D6">
        <w:rPr>
          <w:color w:val="000000" w:themeColor="text1"/>
        </w:rPr>
        <w:t xml:space="preserve"> framework </w:t>
      </w:r>
      <w:r w:rsidR="00D41960" w:rsidRPr="008028D6">
        <w:rPr>
          <w:color w:val="000000" w:themeColor="text1"/>
        </w:rPr>
        <w:t>has</w:t>
      </w:r>
      <w:r w:rsidRPr="008028D6">
        <w:rPr>
          <w:color w:val="000000" w:themeColor="text1"/>
        </w:rPr>
        <w:t xml:space="preserve"> remained in place through the reform of SOPOs to SHPOs. </w:t>
      </w:r>
    </w:p>
    <w:p w14:paraId="2B7A9807" w14:textId="1E45CDCD" w:rsidR="00D819F9" w:rsidRPr="008028D6" w:rsidRDefault="00D819F9" w:rsidP="00221A04">
      <w:pPr>
        <w:jc w:val="both"/>
        <w:rPr>
          <w:color w:val="000000" w:themeColor="text1"/>
        </w:rPr>
      </w:pPr>
      <w:r w:rsidRPr="008028D6">
        <w:rPr>
          <w:color w:val="000000" w:themeColor="text1"/>
        </w:rPr>
        <w:t xml:space="preserve">The emphasis on protecting children from the risk of transmission in the </w:t>
      </w:r>
      <w:proofErr w:type="spellStart"/>
      <w:r w:rsidRPr="008028D6">
        <w:rPr>
          <w:i/>
          <w:iCs/>
          <w:color w:val="000000" w:themeColor="text1"/>
        </w:rPr>
        <w:t>Marangwanda</w:t>
      </w:r>
      <w:proofErr w:type="spellEnd"/>
      <w:r w:rsidRPr="008028D6">
        <w:rPr>
          <w:i/>
          <w:iCs/>
          <w:color w:val="000000" w:themeColor="text1"/>
        </w:rPr>
        <w:t xml:space="preserve"> </w:t>
      </w:r>
      <w:r w:rsidRPr="008028D6">
        <w:rPr>
          <w:color w:val="000000" w:themeColor="text1"/>
        </w:rPr>
        <w:t xml:space="preserve">judgement might be seen as an attempt to introduce a potential </w:t>
      </w:r>
      <w:proofErr w:type="spellStart"/>
      <w:r w:rsidRPr="008028D6">
        <w:rPr>
          <w:color w:val="000000" w:themeColor="text1"/>
        </w:rPr>
        <w:t>Sch</w:t>
      </w:r>
      <w:proofErr w:type="spellEnd"/>
      <w:r w:rsidRPr="008028D6">
        <w:rPr>
          <w:color w:val="000000" w:themeColor="text1"/>
        </w:rPr>
        <w:t xml:space="preserve"> 3 offence, as it could be argued that the transmission of a sexual infection to children necessitates a sexual act with a child, which would be a </w:t>
      </w:r>
      <w:proofErr w:type="spellStart"/>
      <w:r w:rsidRPr="008028D6">
        <w:rPr>
          <w:color w:val="000000" w:themeColor="text1"/>
        </w:rPr>
        <w:t>Sch</w:t>
      </w:r>
      <w:proofErr w:type="spellEnd"/>
      <w:r w:rsidRPr="008028D6">
        <w:rPr>
          <w:color w:val="000000" w:themeColor="text1"/>
        </w:rPr>
        <w:t xml:space="preserve"> 3 offence. </w:t>
      </w:r>
      <w:r w:rsidR="00122FC9" w:rsidRPr="008028D6">
        <w:rPr>
          <w:color w:val="000000" w:themeColor="text1"/>
        </w:rPr>
        <w:t>Considering, h</w:t>
      </w:r>
      <w:r w:rsidRPr="008028D6">
        <w:rPr>
          <w:color w:val="000000" w:themeColor="text1"/>
        </w:rPr>
        <w:t xml:space="preserve">owever, considering that the court accepted the plea on the basis that it was possible to transmit gonorrhoea on a non-sexual basis, this appears doubtful. </w:t>
      </w:r>
    </w:p>
    <w:p w14:paraId="1927140B" w14:textId="3D06F088" w:rsidR="00D819F9" w:rsidRPr="008028D6" w:rsidRDefault="00D819F9" w:rsidP="00221A04">
      <w:pPr>
        <w:jc w:val="both"/>
        <w:rPr>
          <w:color w:val="000000" w:themeColor="text1"/>
        </w:rPr>
      </w:pPr>
      <w:r w:rsidRPr="008028D6">
        <w:rPr>
          <w:color w:val="000000" w:themeColor="text1"/>
        </w:rPr>
        <w:t xml:space="preserve">Clearly this is an unusual case, and the recognition that the outcome involved a significant </w:t>
      </w:r>
      <w:r w:rsidR="00541010" w:rsidRPr="008028D6">
        <w:rPr>
          <w:color w:val="000000" w:themeColor="text1"/>
        </w:rPr>
        <w:t>“</w:t>
      </w:r>
      <w:r w:rsidRPr="008028D6">
        <w:rPr>
          <w:color w:val="000000" w:themeColor="text1"/>
        </w:rPr>
        <w:t>fudge</w:t>
      </w:r>
      <w:r w:rsidR="00541010" w:rsidRPr="008028D6">
        <w:rPr>
          <w:color w:val="000000" w:themeColor="text1"/>
        </w:rPr>
        <w:t>”</w:t>
      </w:r>
      <w:r w:rsidRPr="008028D6">
        <w:rPr>
          <w:color w:val="000000" w:themeColor="text1"/>
        </w:rPr>
        <w:t xml:space="preserve"> might be used to justify the decision that the Court of Appeal reached in this case. </w:t>
      </w:r>
      <w:r w:rsidR="00FA6AA5" w:rsidRPr="008028D6">
        <w:rPr>
          <w:color w:val="000000" w:themeColor="text1"/>
        </w:rPr>
        <w:t>T</w:t>
      </w:r>
      <w:r w:rsidRPr="008028D6">
        <w:rPr>
          <w:color w:val="000000" w:themeColor="text1"/>
        </w:rPr>
        <w:t>he continued relevance of SOPO case law under the new regime, alongside the relative lack of case law in this area,</w:t>
      </w:r>
      <w:r w:rsidR="00FA6AA5" w:rsidRPr="008028D6">
        <w:rPr>
          <w:color w:val="000000" w:themeColor="text1"/>
        </w:rPr>
        <w:t xml:space="preserve"> however,</w:t>
      </w:r>
      <w:r w:rsidRPr="008028D6">
        <w:rPr>
          <w:color w:val="000000" w:themeColor="text1"/>
        </w:rPr>
        <w:t xml:space="preserve"> also justifies additional consideration of </w:t>
      </w:r>
      <w:proofErr w:type="spellStart"/>
      <w:r w:rsidRPr="008028D6">
        <w:rPr>
          <w:i/>
          <w:iCs/>
          <w:color w:val="000000" w:themeColor="text1"/>
        </w:rPr>
        <w:t>Marangwanda</w:t>
      </w:r>
      <w:proofErr w:type="spellEnd"/>
      <w:r w:rsidRPr="008028D6">
        <w:rPr>
          <w:i/>
          <w:iCs/>
          <w:color w:val="000000" w:themeColor="text1"/>
        </w:rPr>
        <w:t xml:space="preserve"> </w:t>
      </w:r>
      <w:r w:rsidRPr="008028D6">
        <w:rPr>
          <w:color w:val="000000" w:themeColor="text1"/>
        </w:rPr>
        <w:t xml:space="preserve">and what it perhaps suggests about the criminalisation of STI transmission in England and Wales. </w:t>
      </w:r>
    </w:p>
    <w:p w14:paraId="2B4A1DE4" w14:textId="77777777" w:rsidR="006D4292" w:rsidRPr="008028D6" w:rsidRDefault="006D4292" w:rsidP="00221A04">
      <w:pPr>
        <w:pStyle w:val="Heading1"/>
        <w:jc w:val="both"/>
        <w:rPr>
          <w:color w:val="000000" w:themeColor="text1"/>
        </w:rPr>
      </w:pPr>
      <w:r w:rsidRPr="008028D6">
        <w:rPr>
          <w:color w:val="000000" w:themeColor="text1"/>
        </w:rPr>
        <w:t xml:space="preserve">Could These Harms Nevertheless Be </w:t>
      </w:r>
      <w:r w:rsidRPr="008028D6">
        <w:rPr>
          <w:i/>
          <w:iCs/>
          <w:color w:val="000000" w:themeColor="text1"/>
        </w:rPr>
        <w:t>Sexual</w:t>
      </w:r>
      <w:r w:rsidRPr="008028D6">
        <w:rPr>
          <w:color w:val="000000" w:themeColor="text1"/>
        </w:rPr>
        <w:t xml:space="preserve">? </w:t>
      </w:r>
    </w:p>
    <w:p w14:paraId="6724FE8E" w14:textId="200F98BE" w:rsidR="00AF665F" w:rsidRPr="008028D6" w:rsidRDefault="00175350" w:rsidP="00221A04">
      <w:pPr>
        <w:jc w:val="both"/>
        <w:rPr>
          <w:color w:val="000000" w:themeColor="text1"/>
        </w:rPr>
      </w:pPr>
      <w:r w:rsidRPr="008028D6">
        <w:rPr>
          <w:color w:val="000000" w:themeColor="text1"/>
        </w:rPr>
        <w:t>One</w:t>
      </w:r>
      <w:r w:rsidR="006D4292" w:rsidRPr="008028D6">
        <w:rPr>
          <w:color w:val="000000" w:themeColor="text1"/>
        </w:rPr>
        <w:t xml:space="preserve"> counterargument </w:t>
      </w:r>
      <w:r w:rsidRPr="008028D6">
        <w:rPr>
          <w:color w:val="000000" w:themeColor="text1"/>
        </w:rPr>
        <w:t xml:space="preserve">to my claims about </w:t>
      </w:r>
      <w:proofErr w:type="spellStart"/>
      <w:r w:rsidRPr="008028D6">
        <w:rPr>
          <w:i/>
          <w:iCs/>
          <w:color w:val="000000" w:themeColor="text1"/>
        </w:rPr>
        <w:t>Marangwanda</w:t>
      </w:r>
      <w:proofErr w:type="spellEnd"/>
      <w:r w:rsidRPr="008028D6">
        <w:rPr>
          <w:color w:val="000000" w:themeColor="text1"/>
        </w:rPr>
        <w:t xml:space="preserve"> might </w:t>
      </w:r>
      <w:r w:rsidR="006D4292" w:rsidRPr="008028D6">
        <w:rPr>
          <w:color w:val="000000" w:themeColor="text1"/>
        </w:rPr>
        <w:t xml:space="preserve">be that it is nevertheless possible for transmission of a sexually communicable disease to be dealt with by way of a </w:t>
      </w:r>
      <w:proofErr w:type="spellStart"/>
      <w:r w:rsidR="006D4292" w:rsidRPr="008028D6">
        <w:rPr>
          <w:color w:val="000000" w:themeColor="text1"/>
        </w:rPr>
        <w:t>Sch</w:t>
      </w:r>
      <w:proofErr w:type="spellEnd"/>
      <w:r w:rsidR="006D4292" w:rsidRPr="008028D6">
        <w:rPr>
          <w:color w:val="000000" w:themeColor="text1"/>
        </w:rPr>
        <w:t xml:space="preserve"> 3 offence and, therefore, it is a legitimate use of the SHPO provisions to prevent the commission of that offence. Above, I discuss how, in </w:t>
      </w:r>
      <w:proofErr w:type="spellStart"/>
      <w:r w:rsidR="006D4292" w:rsidRPr="008028D6">
        <w:rPr>
          <w:i/>
          <w:iCs/>
          <w:color w:val="000000" w:themeColor="text1"/>
        </w:rPr>
        <w:t>Maranwanda</w:t>
      </w:r>
      <w:proofErr w:type="spellEnd"/>
      <w:r w:rsidR="006D4292" w:rsidRPr="008028D6">
        <w:rPr>
          <w:i/>
          <w:iCs/>
          <w:color w:val="000000" w:themeColor="text1"/>
        </w:rPr>
        <w:t xml:space="preserve">, </w:t>
      </w:r>
      <w:r w:rsidR="006D4292" w:rsidRPr="008028D6">
        <w:rPr>
          <w:color w:val="000000" w:themeColor="text1"/>
        </w:rPr>
        <w:t>this could potentially be used to keep within the s</w:t>
      </w:r>
      <w:r w:rsidR="00541010" w:rsidRPr="008028D6">
        <w:rPr>
          <w:color w:val="000000" w:themeColor="text1"/>
        </w:rPr>
        <w:t>.</w:t>
      </w:r>
      <w:r w:rsidR="006D4292" w:rsidRPr="008028D6">
        <w:rPr>
          <w:color w:val="000000" w:themeColor="text1"/>
        </w:rPr>
        <w:t xml:space="preserve">106 </w:t>
      </w:r>
      <w:r w:rsidR="002F1389" w:rsidRPr="008028D6">
        <w:rPr>
          <w:color w:val="000000" w:themeColor="text1"/>
        </w:rPr>
        <w:t xml:space="preserve">(now s.103B) </w:t>
      </w:r>
      <w:r w:rsidR="006D4292" w:rsidRPr="008028D6">
        <w:rPr>
          <w:color w:val="000000" w:themeColor="text1"/>
        </w:rPr>
        <w:t>definition by focusing on the risk of sexual activity with a child, although I consider this argument relatively weak considering the court’s focus on the transmission of gonorrhoea as a serious sexual harm in its own right</w:t>
      </w:r>
      <w:r w:rsidRPr="008028D6">
        <w:rPr>
          <w:color w:val="000000" w:themeColor="text1"/>
        </w:rPr>
        <w:t>.</w:t>
      </w:r>
      <w:r w:rsidR="006D4292" w:rsidRPr="008028D6">
        <w:rPr>
          <w:color w:val="000000" w:themeColor="text1"/>
        </w:rPr>
        <w:t xml:space="preserve"> Indeed, as the Court of Appeal states in </w:t>
      </w:r>
      <w:r w:rsidR="006D4292" w:rsidRPr="008028D6">
        <w:rPr>
          <w:i/>
          <w:iCs/>
          <w:color w:val="000000" w:themeColor="text1"/>
        </w:rPr>
        <w:t>Parsons and Morgan</w:t>
      </w:r>
      <w:r w:rsidR="006D4292" w:rsidRPr="008028D6">
        <w:rPr>
          <w:color w:val="000000" w:themeColor="text1"/>
        </w:rPr>
        <w:t>,</w:t>
      </w:r>
      <w:r w:rsidR="006D4292" w:rsidRPr="008028D6">
        <w:rPr>
          <w:i/>
          <w:iCs/>
          <w:color w:val="000000" w:themeColor="text1"/>
        </w:rPr>
        <w:t xml:space="preserve"> </w:t>
      </w:r>
      <w:r w:rsidR="006D4292" w:rsidRPr="008028D6">
        <w:rPr>
          <w:color w:val="000000" w:themeColor="text1"/>
        </w:rPr>
        <w:t xml:space="preserve">building on </w:t>
      </w:r>
      <w:r w:rsidR="006D4292" w:rsidRPr="008028D6">
        <w:rPr>
          <w:i/>
          <w:iCs/>
          <w:color w:val="000000" w:themeColor="text1"/>
        </w:rPr>
        <w:t>Smith</w:t>
      </w:r>
      <w:r w:rsidR="006D4292" w:rsidRPr="008028D6">
        <w:rPr>
          <w:color w:val="000000" w:themeColor="text1"/>
        </w:rPr>
        <w:t>,</w:t>
      </w:r>
      <w:r w:rsidR="006D4292" w:rsidRPr="008028D6">
        <w:rPr>
          <w:i/>
          <w:iCs/>
          <w:color w:val="000000" w:themeColor="text1"/>
        </w:rPr>
        <w:t xml:space="preserve"> </w:t>
      </w:r>
      <w:r w:rsidR="006D4292" w:rsidRPr="008028D6">
        <w:rPr>
          <w:color w:val="000000" w:themeColor="text1"/>
        </w:rPr>
        <w:t>SHPOs should not impose multiple conditions on a defendant ‘just in case’ he commits an offence of a different kind, although it would be open to them to do so.</w:t>
      </w:r>
      <w:r w:rsidR="006D4292" w:rsidRPr="008028D6">
        <w:rPr>
          <w:rStyle w:val="FootnoteReference"/>
          <w:color w:val="000000" w:themeColor="text1"/>
        </w:rPr>
        <w:footnoteReference w:id="62"/>
      </w:r>
      <w:r w:rsidR="006D4292" w:rsidRPr="008028D6">
        <w:rPr>
          <w:color w:val="000000" w:themeColor="text1"/>
        </w:rPr>
        <w:t xml:space="preserve"> </w:t>
      </w:r>
    </w:p>
    <w:p w14:paraId="636B2970" w14:textId="0A435126" w:rsidR="00E51669" w:rsidRPr="008028D6" w:rsidRDefault="00720BB1" w:rsidP="00221A04">
      <w:pPr>
        <w:jc w:val="both"/>
        <w:rPr>
          <w:color w:val="000000" w:themeColor="text1"/>
        </w:rPr>
      </w:pPr>
      <w:r w:rsidRPr="008028D6">
        <w:rPr>
          <w:color w:val="000000" w:themeColor="text1"/>
        </w:rPr>
        <w:t>The Court also emphasised that the use of SHPOs was limited to instances of ‘sexual harm as set out in the statutory language’,</w:t>
      </w:r>
      <w:r w:rsidRPr="008028D6">
        <w:rPr>
          <w:rStyle w:val="FootnoteReference"/>
          <w:color w:val="000000" w:themeColor="text1"/>
        </w:rPr>
        <w:t xml:space="preserve"> </w:t>
      </w:r>
      <w:r w:rsidRPr="008028D6">
        <w:rPr>
          <w:rStyle w:val="FootnoteReference"/>
          <w:color w:val="000000" w:themeColor="text1"/>
        </w:rPr>
        <w:footnoteReference w:id="63"/>
      </w:r>
      <w:r w:rsidRPr="008028D6">
        <w:rPr>
          <w:color w:val="000000" w:themeColor="text1"/>
        </w:rPr>
        <w:t xml:space="preserve"> although there was little additional guidance on this point. </w:t>
      </w:r>
      <w:r w:rsidR="00CB7DF3" w:rsidRPr="008028D6">
        <w:rPr>
          <w:color w:val="000000" w:themeColor="text1"/>
        </w:rPr>
        <w:t xml:space="preserve">In addition to </w:t>
      </w:r>
      <w:r w:rsidR="00DA2E7B" w:rsidRPr="008028D6">
        <w:rPr>
          <w:color w:val="000000" w:themeColor="text1"/>
        </w:rPr>
        <w:t>STI transmission</w:t>
      </w:r>
      <w:r w:rsidR="00262AD8" w:rsidRPr="008028D6">
        <w:rPr>
          <w:color w:val="000000" w:themeColor="text1"/>
        </w:rPr>
        <w:t xml:space="preserve"> c</w:t>
      </w:r>
      <w:r w:rsidR="001840EC" w:rsidRPr="008028D6">
        <w:rPr>
          <w:color w:val="000000" w:themeColor="text1"/>
        </w:rPr>
        <w:t>ases</w:t>
      </w:r>
      <w:r w:rsidR="00DA2E7B" w:rsidRPr="008028D6">
        <w:rPr>
          <w:color w:val="000000" w:themeColor="text1"/>
        </w:rPr>
        <w:t>,</w:t>
      </w:r>
      <w:r w:rsidR="00CB7DF3" w:rsidRPr="008028D6">
        <w:rPr>
          <w:color w:val="000000" w:themeColor="text1"/>
        </w:rPr>
        <w:t xml:space="preserve"> </w:t>
      </w:r>
      <w:r w:rsidR="00DA2E7B" w:rsidRPr="008028D6">
        <w:rPr>
          <w:color w:val="000000" w:themeColor="text1"/>
        </w:rPr>
        <w:t xml:space="preserve">other limitations to the existing statutory language </w:t>
      </w:r>
      <w:r w:rsidR="00313A22" w:rsidRPr="008028D6">
        <w:rPr>
          <w:color w:val="000000" w:themeColor="text1"/>
        </w:rPr>
        <w:t>have also been noted</w:t>
      </w:r>
      <w:r w:rsidR="00CB7DF3" w:rsidRPr="008028D6">
        <w:rPr>
          <w:color w:val="000000" w:themeColor="text1"/>
        </w:rPr>
        <w:t xml:space="preserve">. </w:t>
      </w:r>
      <w:r w:rsidR="00CB7DF3" w:rsidRPr="008028D6">
        <w:rPr>
          <w:color w:val="000000" w:themeColor="text1"/>
        </w:rPr>
        <w:lastRenderedPageBreak/>
        <w:t xml:space="preserve">Harris has recently pointed out that what is sometimes termed “revenge pornography” is not found in </w:t>
      </w:r>
      <w:proofErr w:type="spellStart"/>
      <w:r w:rsidR="00CB7DF3" w:rsidRPr="008028D6">
        <w:rPr>
          <w:color w:val="000000" w:themeColor="text1"/>
        </w:rPr>
        <w:t>Sch</w:t>
      </w:r>
      <w:proofErr w:type="spellEnd"/>
      <w:r w:rsidR="00CB7DF3" w:rsidRPr="008028D6">
        <w:rPr>
          <w:color w:val="000000" w:themeColor="text1"/>
        </w:rPr>
        <w:t xml:space="preserve"> 3 or </w:t>
      </w:r>
      <w:proofErr w:type="spellStart"/>
      <w:r w:rsidR="00CB7DF3" w:rsidRPr="008028D6">
        <w:rPr>
          <w:color w:val="000000" w:themeColor="text1"/>
        </w:rPr>
        <w:t>Sch</w:t>
      </w:r>
      <w:proofErr w:type="spellEnd"/>
      <w:r w:rsidR="00CB7DF3" w:rsidRPr="008028D6">
        <w:rPr>
          <w:color w:val="000000" w:themeColor="text1"/>
        </w:rPr>
        <w:t xml:space="preserve"> 5.</w:t>
      </w:r>
      <w:r w:rsidR="00AF1DBD" w:rsidRPr="008028D6">
        <w:rPr>
          <w:rStyle w:val="FootnoteReference"/>
          <w:color w:val="000000" w:themeColor="text1"/>
        </w:rPr>
        <w:t xml:space="preserve"> </w:t>
      </w:r>
      <w:r w:rsidR="00AF1DBD" w:rsidRPr="008028D6">
        <w:rPr>
          <w:rStyle w:val="FootnoteReference"/>
          <w:color w:val="000000" w:themeColor="text1"/>
        </w:rPr>
        <w:footnoteReference w:id="64"/>
      </w:r>
      <w:r w:rsidR="00AF1DBD" w:rsidRPr="008028D6">
        <w:rPr>
          <w:color w:val="000000" w:themeColor="text1"/>
        </w:rPr>
        <w:t xml:space="preserve"> </w:t>
      </w:r>
      <w:r w:rsidR="00262AD8" w:rsidRPr="008028D6">
        <w:rPr>
          <w:color w:val="000000" w:themeColor="text1"/>
        </w:rPr>
        <w:t xml:space="preserve"> This, he argues, is indicative o</w:t>
      </w:r>
      <w:r w:rsidR="0002420B" w:rsidRPr="008028D6">
        <w:rPr>
          <w:color w:val="000000" w:themeColor="text1"/>
        </w:rPr>
        <w:t xml:space="preserve">f a broader issue </w:t>
      </w:r>
      <w:r w:rsidR="00313A22" w:rsidRPr="008028D6">
        <w:rPr>
          <w:color w:val="000000" w:themeColor="text1"/>
        </w:rPr>
        <w:t xml:space="preserve">with </w:t>
      </w:r>
      <w:r w:rsidR="00D971A5" w:rsidRPr="008028D6">
        <w:rPr>
          <w:color w:val="000000" w:themeColor="text1"/>
        </w:rPr>
        <w:t xml:space="preserve">prescriptive, </w:t>
      </w:r>
      <w:r w:rsidR="00342750" w:rsidRPr="008028D6">
        <w:rPr>
          <w:color w:val="000000" w:themeColor="text1"/>
        </w:rPr>
        <w:t>list approaches</w:t>
      </w:r>
      <w:r w:rsidR="00D971A5" w:rsidRPr="008028D6">
        <w:rPr>
          <w:color w:val="000000" w:themeColor="text1"/>
        </w:rPr>
        <w:t xml:space="preserve">, </w:t>
      </w:r>
      <w:r w:rsidR="00313A22" w:rsidRPr="008028D6">
        <w:rPr>
          <w:color w:val="000000" w:themeColor="text1"/>
        </w:rPr>
        <w:t>where there is</w:t>
      </w:r>
      <w:r w:rsidR="00F37891" w:rsidRPr="008028D6">
        <w:rPr>
          <w:color w:val="000000" w:themeColor="text1"/>
        </w:rPr>
        <w:t xml:space="preserve"> </w:t>
      </w:r>
      <w:r w:rsidR="007A3A02" w:rsidRPr="008028D6">
        <w:rPr>
          <w:color w:val="000000" w:themeColor="text1"/>
        </w:rPr>
        <w:t>‘</w:t>
      </w:r>
      <w:r w:rsidR="0007527B" w:rsidRPr="008028D6">
        <w:rPr>
          <w:color w:val="000000" w:themeColor="text1"/>
        </w:rPr>
        <w:t xml:space="preserve">a risk of omitting an offence in error, and </w:t>
      </w:r>
      <w:r w:rsidR="006A1C12" w:rsidRPr="008028D6">
        <w:rPr>
          <w:color w:val="000000" w:themeColor="text1"/>
        </w:rPr>
        <w:t xml:space="preserve">[where] </w:t>
      </w:r>
      <w:r w:rsidR="0007527B" w:rsidRPr="008028D6">
        <w:rPr>
          <w:color w:val="000000" w:themeColor="text1"/>
        </w:rPr>
        <w:t>there is little scope for a purposive approach to construction in order to remedy such a defect’</w:t>
      </w:r>
      <w:r w:rsidR="00262AD8" w:rsidRPr="008028D6">
        <w:rPr>
          <w:color w:val="000000" w:themeColor="text1"/>
        </w:rPr>
        <w:t>.</w:t>
      </w:r>
      <w:r w:rsidR="0007527B" w:rsidRPr="008028D6">
        <w:rPr>
          <w:rStyle w:val="FootnoteReference"/>
          <w:color w:val="000000" w:themeColor="text1"/>
        </w:rPr>
        <w:footnoteReference w:id="65"/>
      </w:r>
      <w:r w:rsidR="007A3A02" w:rsidRPr="008028D6">
        <w:rPr>
          <w:color w:val="000000" w:themeColor="text1"/>
        </w:rPr>
        <w:t xml:space="preserve"> </w:t>
      </w:r>
    </w:p>
    <w:p w14:paraId="1F02B016" w14:textId="18758164" w:rsidR="00E51669" w:rsidRPr="008028D6" w:rsidRDefault="00306B56" w:rsidP="00221A04">
      <w:pPr>
        <w:jc w:val="both"/>
        <w:rPr>
          <w:color w:val="000000" w:themeColor="text1"/>
        </w:rPr>
      </w:pPr>
      <w:r w:rsidRPr="008028D6">
        <w:rPr>
          <w:color w:val="000000" w:themeColor="text1"/>
        </w:rPr>
        <w:t>Beyond</w:t>
      </w:r>
      <w:r w:rsidR="006D4292" w:rsidRPr="008028D6">
        <w:rPr>
          <w:color w:val="000000" w:themeColor="text1"/>
        </w:rPr>
        <w:t xml:space="preserve"> the</w:t>
      </w:r>
      <w:r w:rsidR="004F3B9A" w:rsidRPr="008028D6">
        <w:rPr>
          <w:color w:val="000000" w:themeColor="text1"/>
        </w:rPr>
        <w:t xml:space="preserve"> </w:t>
      </w:r>
      <w:r w:rsidR="006D4292" w:rsidRPr="008028D6">
        <w:rPr>
          <w:color w:val="000000" w:themeColor="text1"/>
        </w:rPr>
        <w:t xml:space="preserve">issues addressed in </w:t>
      </w:r>
      <w:proofErr w:type="spellStart"/>
      <w:r w:rsidR="006D4292" w:rsidRPr="008028D6">
        <w:rPr>
          <w:i/>
          <w:iCs/>
          <w:color w:val="000000" w:themeColor="text1"/>
        </w:rPr>
        <w:t>Marangwanda</w:t>
      </w:r>
      <w:proofErr w:type="spellEnd"/>
      <w:r w:rsidR="006D4292" w:rsidRPr="008028D6">
        <w:rPr>
          <w:color w:val="000000" w:themeColor="text1"/>
        </w:rPr>
        <w:t>,</w:t>
      </w:r>
      <w:r w:rsidRPr="008028D6">
        <w:rPr>
          <w:i/>
          <w:iCs/>
          <w:color w:val="000000" w:themeColor="text1"/>
        </w:rPr>
        <w:t xml:space="preserve"> </w:t>
      </w:r>
      <w:r w:rsidRPr="008028D6">
        <w:rPr>
          <w:color w:val="000000" w:themeColor="text1"/>
        </w:rPr>
        <w:t>however,</w:t>
      </w:r>
      <w:r w:rsidR="006D4292" w:rsidRPr="008028D6">
        <w:rPr>
          <w:i/>
          <w:iCs/>
          <w:color w:val="000000" w:themeColor="text1"/>
        </w:rPr>
        <w:t xml:space="preserve"> </w:t>
      </w:r>
      <w:r w:rsidR="006D4292" w:rsidRPr="008028D6">
        <w:rPr>
          <w:color w:val="000000" w:themeColor="text1"/>
        </w:rPr>
        <w:t xml:space="preserve">the issue of whether the courts could respond to biological GBH as something other </w:t>
      </w:r>
      <w:r w:rsidR="00541010" w:rsidRPr="008028D6">
        <w:rPr>
          <w:color w:val="000000" w:themeColor="text1"/>
        </w:rPr>
        <w:t>than</w:t>
      </w:r>
      <w:r w:rsidR="006D4292" w:rsidRPr="008028D6">
        <w:rPr>
          <w:color w:val="000000" w:themeColor="text1"/>
        </w:rPr>
        <w:t xml:space="preserve"> a </w:t>
      </w:r>
      <w:proofErr w:type="spellStart"/>
      <w:r w:rsidR="006D4292" w:rsidRPr="008028D6">
        <w:rPr>
          <w:color w:val="000000" w:themeColor="text1"/>
        </w:rPr>
        <w:t>Sch</w:t>
      </w:r>
      <w:proofErr w:type="spellEnd"/>
      <w:r w:rsidR="006D4292" w:rsidRPr="008028D6">
        <w:rPr>
          <w:color w:val="000000" w:themeColor="text1"/>
        </w:rPr>
        <w:t xml:space="preserve"> 5 offence remain</w:t>
      </w:r>
      <w:r w:rsidR="00962E9D" w:rsidRPr="008028D6">
        <w:rPr>
          <w:color w:val="000000" w:themeColor="text1"/>
        </w:rPr>
        <w:t>s</w:t>
      </w:r>
      <w:r w:rsidR="00281233" w:rsidRPr="008028D6">
        <w:rPr>
          <w:color w:val="000000" w:themeColor="text1"/>
        </w:rPr>
        <w:t xml:space="preserve"> a particularly complex </w:t>
      </w:r>
      <w:r w:rsidR="003A4E34" w:rsidRPr="008028D6">
        <w:rPr>
          <w:color w:val="000000" w:themeColor="text1"/>
        </w:rPr>
        <w:t xml:space="preserve">example of where </w:t>
      </w:r>
      <w:r w:rsidR="00E16A01" w:rsidRPr="008028D6">
        <w:rPr>
          <w:color w:val="000000" w:themeColor="text1"/>
        </w:rPr>
        <w:t>a</w:t>
      </w:r>
      <w:r w:rsidR="003A4E34" w:rsidRPr="008028D6">
        <w:rPr>
          <w:color w:val="000000" w:themeColor="text1"/>
        </w:rPr>
        <w:t xml:space="preserve"> list approach</w:t>
      </w:r>
      <w:r w:rsidR="00E16A01" w:rsidRPr="008028D6">
        <w:rPr>
          <w:color w:val="000000" w:themeColor="text1"/>
        </w:rPr>
        <w:t xml:space="preserve"> such as this</w:t>
      </w:r>
      <w:r w:rsidR="003A4E34" w:rsidRPr="008028D6">
        <w:rPr>
          <w:color w:val="000000" w:themeColor="text1"/>
        </w:rPr>
        <w:t xml:space="preserve"> </w:t>
      </w:r>
      <w:r w:rsidR="00B135E2" w:rsidRPr="008028D6">
        <w:rPr>
          <w:color w:val="000000" w:themeColor="text1"/>
        </w:rPr>
        <w:t xml:space="preserve">may flounder. </w:t>
      </w:r>
      <w:r w:rsidR="006D4292" w:rsidRPr="008028D6">
        <w:rPr>
          <w:color w:val="000000" w:themeColor="text1"/>
        </w:rPr>
        <w:t xml:space="preserve">As noted above, there is </w:t>
      </w:r>
      <w:r w:rsidR="004D13A0" w:rsidRPr="008028D6">
        <w:rPr>
          <w:color w:val="000000" w:themeColor="text1"/>
        </w:rPr>
        <w:t xml:space="preserve">a </w:t>
      </w:r>
      <w:r w:rsidR="006D4292" w:rsidRPr="008028D6">
        <w:rPr>
          <w:color w:val="000000" w:themeColor="text1"/>
        </w:rPr>
        <w:t>longstanding debate over whether biological GBH cases could also be prosecuted as rape or</w:t>
      </w:r>
      <w:r w:rsidR="00541010" w:rsidRPr="008028D6">
        <w:rPr>
          <w:color w:val="000000" w:themeColor="text1"/>
        </w:rPr>
        <w:t xml:space="preserve"> some</w:t>
      </w:r>
      <w:r w:rsidR="006D4292" w:rsidRPr="008028D6">
        <w:rPr>
          <w:color w:val="000000" w:themeColor="text1"/>
        </w:rPr>
        <w:t xml:space="preserve"> other SOA 2003 charge, </w:t>
      </w:r>
      <w:r w:rsidR="00541010" w:rsidRPr="008028D6">
        <w:rPr>
          <w:color w:val="000000" w:themeColor="text1"/>
        </w:rPr>
        <w:t>both of which would be</w:t>
      </w:r>
      <w:r w:rsidR="006D4292" w:rsidRPr="008028D6">
        <w:rPr>
          <w:color w:val="000000" w:themeColor="text1"/>
        </w:rPr>
        <w:t xml:space="preserve"> within </w:t>
      </w:r>
      <w:proofErr w:type="spellStart"/>
      <w:r w:rsidR="006D4292" w:rsidRPr="008028D6">
        <w:rPr>
          <w:color w:val="000000" w:themeColor="text1"/>
        </w:rPr>
        <w:t>Sch</w:t>
      </w:r>
      <w:proofErr w:type="spellEnd"/>
      <w:r w:rsidR="006D4292" w:rsidRPr="008028D6">
        <w:rPr>
          <w:color w:val="000000" w:themeColor="text1"/>
        </w:rPr>
        <w:t xml:space="preserve"> 3</w:t>
      </w:r>
      <w:r w:rsidR="00FB415D" w:rsidRPr="008028D6">
        <w:rPr>
          <w:color w:val="000000" w:themeColor="text1"/>
        </w:rPr>
        <w:t>.</w:t>
      </w:r>
    </w:p>
    <w:p w14:paraId="02135F3F" w14:textId="77B8CDED" w:rsidR="00756956" w:rsidRPr="008028D6" w:rsidRDefault="006D4292" w:rsidP="00221A04">
      <w:pPr>
        <w:jc w:val="both"/>
        <w:rPr>
          <w:color w:val="000000" w:themeColor="text1"/>
        </w:rPr>
      </w:pPr>
      <w:r w:rsidRPr="008028D6">
        <w:rPr>
          <w:color w:val="000000" w:themeColor="text1"/>
        </w:rPr>
        <w:t>Many of the arguments in favour of expanding the role of the SOA 2003 to cover what, to date, have been OAPA</w:t>
      </w:r>
      <w:r w:rsidR="00EA41F7" w:rsidRPr="008028D6">
        <w:rPr>
          <w:color w:val="000000" w:themeColor="text1"/>
        </w:rPr>
        <w:t xml:space="preserve"> 1861</w:t>
      </w:r>
      <w:r w:rsidRPr="008028D6">
        <w:rPr>
          <w:color w:val="000000" w:themeColor="text1"/>
        </w:rPr>
        <w:t xml:space="preserve"> cases have focused on the distinction between non-disclosure of HIV (or other STIs) and active deception on the part of the defendant.</w:t>
      </w:r>
      <w:r w:rsidRPr="008028D6">
        <w:rPr>
          <w:rStyle w:val="FootnoteReference"/>
          <w:color w:val="000000" w:themeColor="text1"/>
        </w:rPr>
        <w:footnoteReference w:id="66"/>
      </w:r>
      <w:r w:rsidRPr="008028D6">
        <w:rPr>
          <w:color w:val="000000" w:themeColor="text1"/>
        </w:rPr>
        <w:t xml:space="preserve"> </w:t>
      </w:r>
      <w:r w:rsidR="00306B56" w:rsidRPr="008028D6">
        <w:rPr>
          <w:color w:val="000000" w:themeColor="text1"/>
        </w:rPr>
        <w:t>Such</w:t>
      </w:r>
      <w:r w:rsidRPr="008028D6">
        <w:rPr>
          <w:color w:val="000000" w:themeColor="text1"/>
        </w:rPr>
        <w:t xml:space="preserve"> arguments should be assessed with </w:t>
      </w:r>
      <w:r w:rsidR="004D13A0" w:rsidRPr="008028D6">
        <w:rPr>
          <w:color w:val="000000" w:themeColor="text1"/>
        </w:rPr>
        <w:t xml:space="preserve">the </w:t>
      </w:r>
      <w:r w:rsidRPr="008028D6">
        <w:rPr>
          <w:color w:val="000000" w:themeColor="text1"/>
        </w:rPr>
        <w:t xml:space="preserve">logic of </w:t>
      </w:r>
      <w:r w:rsidRPr="008028D6">
        <w:rPr>
          <w:i/>
          <w:iCs/>
          <w:color w:val="000000" w:themeColor="text1"/>
        </w:rPr>
        <w:t xml:space="preserve">Dica </w:t>
      </w:r>
      <w:r w:rsidRPr="008028D6">
        <w:rPr>
          <w:color w:val="000000" w:themeColor="text1"/>
        </w:rPr>
        <w:t xml:space="preserve">and </w:t>
      </w:r>
      <w:r w:rsidRPr="008028D6">
        <w:rPr>
          <w:i/>
          <w:iCs/>
          <w:color w:val="000000" w:themeColor="text1"/>
        </w:rPr>
        <w:t xml:space="preserve">Konzani </w:t>
      </w:r>
      <w:r w:rsidRPr="008028D6">
        <w:rPr>
          <w:color w:val="000000" w:themeColor="text1"/>
        </w:rPr>
        <w:t>in mind. One of the potential justifications for the approach of the appellate courts in those cases is that, whatever the moral arguments in favour or against disclosure in all case</w:t>
      </w:r>
      <w:r w:rsidR="00F75A33" w:rsidRPr="008028D6">
        <w:rPr>
          <w:color w:val="000000" w:themeColor="text1"/>
        </w:rPr>
        <w:t>s</w:t>
      </w:r>
      <w:r w:rsidR="00306B56" w:rsidRPr="008028D6">
        <w:rPr>
          <w:color w:val="000000" w:themeColor="text1"/>
        </w:rPr>
        <w:t>,</w:t>
      </w:r>
      <w:r w:rsidRPr="008028D6">
        <w:rPr>
          <w:color w:val="000000" w:themeColor="text1"/>
        </w:rPr>
        <w:t xml:space="preserve"> the criminal law should only intervene where (reckless) transmission has taken place, or where intentional transmission has taken place or been attempted. Where</w:t>
      </w:r>
      <w:r w:rsidR="00C702D4" w:rsidRPr="008028D6">
        <w:rPr>
          <w:color w:val="000000" w:themeColor="text1"/>
        </w:rPr>
        <w:t>,</w:t>
      </w:r>
      <w:r w:rsidRPr="008028D6">
        <w:rPr>
          <w:color w:val="000000" w:themeColor="text1"/>
        </w:rPr>
        <w:t xml:space="preserve"> through condom use, </w:t>
      </w:r>
      <w:proofErr w:type="spellStart"/>
      <w:r w:rsidRPr="008028D6">
        <w:rPr>
          <w:color w:val="000000" w:themeColor="text1"/>
        </w:rPr>
        <w:t>TasP</w:t>
      </w:r>
      <w:proofErr w:type="spellEnd"/>
      <w:r w:rsidRPr="008028D6">
        <w:rPr>
          <w:color w:val="000000" w:themeColor="text1"/>
        </w:rPr>
        <w:t xml:space="preserve">, or </w:t>
      </w:r>
      <w:proofErr w:type="spellStart"/>
      <w:r w:rsidRPr="008028D6">
        <w:rPr>
          <w:color w:val="000000" w:themeColor="text1"/>
        </w:rPr>
        <w:t>PrEP</w:t>
      </w:r>
      <w:proofErr w:type="spellEnd"/>
      <w:r w:rsidRPr="008028D6">
        <w:rPr>
          <w:color w:val="000000" w:themeColor="text1"/>
        </w:rPr>
        <w:t xml:space="preserve"> there is no/negligibly low transmission risk, the courts appear reluctant to extend the reach of the criminal law</w:t>
      </w:r>
      <w:r w:rsidR="00560814" w:rsidRPr="008028D6">
        <w:rPr>
          <w:color w:val="000000" w:themeColor="text1"/>
        </w:rPr>
        <w:t xml:space="preserve"> on this basis</w:t>
      </w:r>
      <w:r w:rsidR="005A0815" w:rsidRPr="008028D6">
        <w:rPr>
          <w:color w:val="000000" w:themeColor="text1"/>
        </w:rPr>
        <w:t>.</w:t>
      </w:r>
      <w:r w:rsidRPr="008028D6">
        <w:rPr>
          <w:rStyle w:val="FootnoteReference"/>
          <w:color w:val="000000" w:themeColor="text1"/>
        </w:rPr>
        <w:footnoteReference w:id="67"/>
      </w:r>
      <w:r w:rsidRPr="008028D6">
        <w:rPr>
          <w:color w:val="000000" w:themeColor="text1"/>
        </w:rPr>
        <w:t xml:space="preserve"> </w:t>
      </w:r>
      <w:r w:rsidR="00956E2D" w:rsidRPr="008028D6">
        <w:rPr>
          <w:color w:val="000000" w:themeColor="text1"/>
        </w:rPr>
        <w:t xml:space="preserve">If the courts are applying SHPO provisions by constructing STI transmission as a sexual harm, then they are in fact jettisoning this distinction and opening thousands of those living with HIV, in particular, to potential SOA charges, with less consideration given to the transmission risk that they pose to others </w:t>
      </w:r>
      <w:r w:rsidR="00C702D4" w:rsidRPr="008028D6">
        <w:rPr>
          <w:color w:val="000000" w:themeColor="text1"/>
        </w:rPr>
        <w:t>(</w:t>
      </w:r>
      <w:r w:rsidR="00956E2D" w:rsidRPr="008028D6">
        <w:rPr>
          <w:color w:val="000000" w:themeColor="text1"/>
        </w:rPr>
        <w:t>which in undetectable viral load cases is absent</w:t>
      </w:r>
      <w:r w:rsidR="00C702D4" w:rsidRPr="008028D6">
        <w:rPr>
          <w:color w:val="000000" w:themeColor="text1"/>
        </w:rPr>
        <w:t>)</w:t>
      </w:r>
      <w:r w:rsidR="00956E2D" w:rsidRPr="008028D6">
        <w:rPr>
          <w:color w:val="000000" w:themeColor="text1"/>
        </w:rPr>
        <w:t xml:space="preserve">. </w:t>
      </w:r>
      <w:r w:rsidR="0020180E" w:rsidRPr="008028D6">
        <w:rPr>
          <w:color w:val="000000" w:themeColor="text1"/>
        </w:rPr>
        <w:t>Ashworth has emphasised that ‘t</w:t>
      </w:r>
      <w:r w:rsidR="00133EA5" w:rsidRPr="008028D6">
        <w:rPr>
          <w:color w:val="000000" w:themeColor="text1"/>
        </w:rPr>
        <w:t>he rationale for most preventative orders… must be found in public protection. A rationale that could lead to over-broad restrictions if not restrained by some proportionality standard.</w:t>
      </w:r>
      <w:r w:rsidR="0020180E" w:rsidRPr="008028D6">
        <w:rPr>
          <w:color w:val="000000" w:themeColor="text1"/>
        </w:rPr>
        <w:t>’</w:t>
      </w:r>
      <w:r w:rsidR="00133EA5" w:rsidRPr="008028D6">
        <w:rPr>
          <w:rStyle w:val="FootnoteReference"/>
          <w:color w:val="000000" w:themeColor="text1"/>
        </w:rPr>
        <w:footnoteReference w:id="68"/>
      </w:r>
      <w:r w:rsidR="00133EA5" w:rsidRPr="008028D6">
        <w:rPr>
          <w:color w:val="000000" w:themeColor="text1"/>
        </w:rPr>
        <w:t xml:space="preserve"> </w:t>
      </w:r>
      <w:r w:rsidR="00FD6C72" w:rsidRPr="008028D6">
        <w:rPr>
          <w:color w:val="000000" w:themeColor="text1"/>
        </w:rPr>
        <w:t xml:space="preserve"> This latter eventuality should be a legitimate concern in STI transmission cases</w:t>
      </w:r>
      <w:r w:rsidR="00756956" w:rsidRPr="008028D6">
        <w:rPr>
          <w:color w:val="000000" w:themeColor="text1"/>
        </w:rPr>
        <w:t xml:space="preserve">, where negligible or </w:t>
      </w:r>
      <w:r w:rsidR="00956E2D" w:rsidRPr="008028D6">
        <w:rPr>
          <w:color w:val="000000" w:themeColor="text1"/>
        </w:rPr>
        <w:t xml:space="preserve">theoretical risks </w:t>
      </w:r>
      <w:r w:rsidR="001B785A" w:rsidRPr="008028D6">
        <w:rPr>
          <w:color w:val="000000" w:themeColor="text1"/>
        </w:rPr>
        <w:t xml:space="preserve">may result in disproportionate restrictions. </w:t>
      </w:r>
    </w:p>
    <w:p w14:paraId="51F84883" w14:textId="13EDE605" w:rsidR="006D4292" w:rsidRPr="008028D6" w:rsidRDefault="006D4292" w:rsidP="00221A04">
      <w:pPr>
        <w:jc w:val="both"/>
        <w:rPr>
          <w:color w:val="000000" w:themeColor="text1"/>
        </w:rPr>
      </w:pPr>
      <w:r w:rsidRPr="008028D6">
        <w:rPr>
          <w:color w:val="000000" w:themeColor="text1"/>
        </w:rPr>
        <w:t>Although HIV and other STI transmission might be conceptualised of as a sexual harm in the public consciousness, these have not, to date, be</w:t>
      </w:r>
      <w:r w:rsidR="00C702D4" w:rsidRPr="008028D6">
        <w:rPr>
          <w:color w:val="000000" w:themeColor="text1"/>
        </w:rPr>
        <w:t>en</w:t>
      </w:r>
      <w:r w:rsidRPr="008028D6">
        <w:rPr>
          <w:color w:val="000000" w:themeColor="text1"/>
        </w:rPr>
        <w:t xml:space="preserve"> responded to as such in English </w:t>
      </w:r>
      <w:r w:rsidR="000D3042" w:rsidRPr="008028D6">
        <w:rPr>
          <w:color w:val="000000" w:themeColor="text1"/>
        </w:rPr>
        <w:t>c</w:t>
      </w:r>
      <w:r w:rsidRPr="008028D6">
        <w:rPr>
          <w:color w:val="000000" w:themeColor="text1"/>
        </w:rPr>
        <w:t xml:space="preserve">riminal </w:t>
      </w:r>
      <w:r w:rsidR="000D3042" w:rsidRPr="008028D6">
        <w:rPr>
          <w:color w:val="000000" w:themeColor="text1"/>
        </w:rPr>
        <w:t>l</w:t>
      </w:r>
      <w:r w:rsidRPr="008028D6">
        <w:rPr>
          <w:color w:val="000000" w:themeColor="text1"/>
        </w:rPr>
        <w:t xml:space="preserve">aw. Given that the courts </w:t>
      </w:r>
      <w:r w:rsidR="003353D0" w:rsidRPr="008028D6">
        <w:rPr>
          <w:color w:val="000000" w:themeColor="text1"/>
        </w:rPr>
        <w:t>continue to emphasise</w:t>
      </w:r>
      <w:r w:rsidRPr="008028D6">
        <w:rPr>
          <w:color w:val="000000" w:themeColor="text1"/>
        </w:rPr>
        <w:t xml:space="preserve"> that </w:t>
      </w:r>
      <w:r w:rsidR="00AE2020" w:rsidRPr="008028D6">
        <w:rPr>
          <w:color w:val="000000" w:themeColor="text1"/>
        </w:rPr>
        <w:t>SHPOs</w:t>
      </w:r>
      <w:r w:rsidRPr="008028D6">
        <w:rPr>
          <w:color w:val="000000" w:themeColor="text1"/>
        </w:rPr>
        <w:t xml:space="preserve"> can only be made to where necessary to protect the public, or a member of the public, from ‘sexual harm as set out in the statutory language’,</w:t>
      </w:r>
      <w:r w:rsidRPr="008028D6">
        <w:rPr>
          <w:rStyle w:val="FootnoteReference"/>
          <w:color w:val="000000" w:themeColor="text1"/>
        </w:rPr>
        <w:footnoteReference w:id="69"/>
      </w:r>
      <w:r w:rsidRPr="008028D6">
        <w:rPr>
          <w:color w:val="000000" w:themeColor="text1"/>
        </w:rPr>
        <w:t xml:space="preserve"> it is surprising that such orders have been made seemingly to reduce the risk that (albeit it sexual) transmission of a communicable disease takes place. </w:t>
      </w:r>
    </w:p>
    <w:p w14:paraId="3D02BA35" w14:textId="6C781097" w:rsidR="006D4292" w:rsidRPr="008028D6" w:rsidRDefault="006D4292" w:rsidP="00221A04">
      <w:pPr>
        <w:jc w:val="both"/>
        <w:rPr>
          <w:color w:val="000000" w:themeColor="text1"/>
        </w:rPr>
      </w:pPr>
      <w:r w:rsidRPr="008028D6">
        <w:rPr>
          <w:color w:val="000000" w:themeColor="text1"/>
        </w:rPr>
        <w:t xml:space="preserve">This might be attributed to the piecemeal development of the criminal law governing STI transmission in </w:t>
      </w:r>
      <w:r w:rsidRPr="008028D6">
        <w:rPr>
          <w:i/>
          <w:iCs/>
          <w:color w:val="000000" w:themeColor="text1"/>
        </w:rPr>
        <w:t>Dica</w:t>
      </w:r>
      <w:r w:rsidRPr="008028D6">
        <w:rPr>
          <w:color w:val="000000" w:themeColor="text1"/>
        </w:rPr>
        <w:t xml:space="preserve"> and </w:t>
      </w:r>
      <w:r w:rsidRPr="008028D6">
        <w:rPr>
          <w:i/>
          <w:iCs/>
          <w:color w:val="000000" w:themeColor="text1"/>
        </w:rPr>
        <w:t>Konzani,</w:t>
      </w:r>
      <w:r w:rsidRPr="008028D6">
        <w:rPr>
          <w:color w:val="000000" w:themeColor="text1"/>
        </w:rPr>
        <w:t xml:space="preserve"> and latterly in </w:t>
      </w:r>
      <w:r w:rsidRPr="008028D6">
        <w:rPr>
          <w:i/>
          <w:iCs/>
          <w:color w:val="000000" w:themeColor="text1"/>
        </w:rPr>
        <w:t>Rowe</w:t>
      </w:r>
      <w:r w:rsidRPr="008028D6">
        <w:rPr>
          <w:color w:val="000000" w:themeColor="text1"/>
        </w:rPr>
        <w:t xml:space="preserve">, </w:t>
      </w:r>
      <w:r w:rsidR="00231847" w:rsidRPr="008028D6">
        <w:rPr>
          <w:color w:val="000000" w:themeColor="text1"/>
        </w:rPr>
        <w:t xml:space="preserve">as well as in </w:t>
      </w:r>
      <w:r w:rsidRPr="008028D6">
        <w:rPr>
          <w:i/>
          <w:iCs/>
          <w:color w:val="000000" w:themeColor="text1"/>
        </w:rPr>
        <w:t>Assange</w:t>
      </w:r>
      <w:r w:rsidRPr="008028D6">
        <w:rPr>
          <w:color w:val="000000" w:themeColor="text1"/>
        </w:rPr>
        <w:t xml:space="preserve"> and other</w:t>
      </w:r>
      <w:r w:rsidR="003649E9" w:rsidRPr="008028D6">
        <w:rPr>
          <w:color w:val="000000" w:themeColor="text1"/>
        </w:rPr>
        <w:t xml:space="preserve"> cases</w:t>
      </w:r>
      <w:r w:rsidRPr="008028D6">
        <w:rPr>
          <w:color w:val="000000" w:themeColor="text1"/>
        </w:rPr>
        <w:t>.</w:t>
      </w:r>
      <w:r w:rsidRPr="008028D6">
        <w:rPr>
          <w:rStyle w:val="FootnoteReference"/>
          <w:color w:val="000000" w:themeColor="text1"/>
        </w:rPr>
        <w:footnoteReference w:id="70"/>
      </w:r>
      <w:r w:rsidRPr="008028D6">
        <w:rPr>
          <w:color w:val="000000" w:themeColor="text1"/>
        </w:rPr>
        <w:t xml:space="preserve"> Clearly, Parliament </w:t>
      </w:r>
      <w:r w:rsidRPr="008028D6">
        <w:rPr>
          <w:color w:val="000000" w:themeColor="text1"/>
        </w:rPr>
        <w:lastRenderedPageBreak/>
        <w:t xml:space="preserve">could not foresee the route that the courts would take in these cases when it introduced the Sexual Offence Prevention Order in 2003. That being said, any argument that the courts should be entitled to go beyond the statutory language and make Sexual Harm Prevention Orders in order to prevent what is clearly </w:t>
      </w:r>
      <w:r w:rsidRPr="008028D6">
        <w:rPr>
          <w:i/>
          <w:iCs/>
          <w:color w:val="000000" w:themeColor="text1"/>
        </w:rPr>
        <w:t xml:space="preserve">not </w:t>
      </w:r>
      <w:r w:rsidRPr="008028D6">
        <w:rPr>
          <w:color w:val="000000" w:themeColor="text1"/>
        </w:rPr>
        <w:t>a sexual harm within the statutory definition should carry little weight in light of the multiple opportunities that Parliament has had to correct the omission of “biological” GBH from the definition of sexual harm, most notably through the A</w:t>
      </w:r>
      <w:r w:rsidR="00C702D4" w:rsidRPr="008028D6">
        <w:rPr>
          <w:color w:val="000000" w:themeColor="text1"/>
        </w:rPr>
        <w:t xml:space="preserve">nti-Social </w:t>
      </w:r>
      <w:r w:rsidRPr="008028D6">
        <w:rPr>
          <w:color w:val="000000" w:themeColor="text1"/>
        </w:rPr>
        <w:t>B</w:t>
      </w:r>
      <w:r w:rsidR="00C702D4" w:rsidRPr="008028D6">
        <w:rPr>
          <w:color w:val="000000" w:themeColor="text1"/>
        </w:rPr>
        <w:t xml:space="preserve">ehaviour </w:t>
      </w:r>
      <w:r w:rsidRPr="008028D6">
        <w:rPr>
          <w:color w:val="000000" w:themeColor="text1"/>
        </w:rPr>
        <w:t>C</w:t>
      </w:r>
      <w:r w:rsidR="00C702D4" w:rsidRPr="008028D6">
        <w:rPr>
          <w:color w:val="000000" w:themeColor="text1"/>
        </w:rPr>
        <w:t xml:space="preserve">rime and </w:t>
      </w:r>
      <w:r w:rsidRPr="008028D6">
        <w:rPr>
          <w:color w:val="000000" w:themeColor="text1"/>
        </w:rPr>
        <w:t>P</w:t>
      </w:r>
      <w:r w:rsidR="00C702D4" w:rsidRPr="008028D6">
        <w:rPr>
          <w:color w:val="000000" w:themeColor="text1"/>
        </w:rPr>
        <w:t xml:space="preserve">olicing </w:t>
      </w:r>
      <w:r w:rsidRPr="008028D6">
        <w:rPr>
          <w:color w:val="000000" w:themeColor="text1"/>
        </w:rPr>
        <w:t>A</w:t>
      </w:r>
      <w:r w:rsidR="00C702D4" w:rsidRPr="008028D6">
        <w:rPr>
          <w:color w:val="000000" w:themeColor="text1"/>
        </w:rPr>
        <w:t>ct</w:t>
      </w:r>
      <w:r w:rsidRPr="008028D6">
        <w:rPr>
          <w:color w:val="000000" w:themeColor="text1"/>
        </w:rPr>
        <w:t xml:space="preserve"> 2014</w:t>
      </w:r>
      <w:r w:rsidR="0065242E">
        <w:rPr>
          <w:color w:val="000000" w:themeColor="text1"/>
        </w:rPr>
        <w:t>/</w:t>
      </w:r>
      <w:r w:rsidR="00495C79">
        <w:rPr>
          <w:color w:val="000000" w:themeColor="text1"/>
        </w:rPr>
        <w:t xml:space="preserve"> </w:t>
      </w:r>
    </w:p>
    <w:p w14:paraId="2CAE5D52" w14:textId="107BD31A" w:rsidR="006D4292" w:rsidRPr="008028D6" w:rsidRDefault="006D4292" w:rsidP="00221A04">
      <w:pPr>
        <w:jc w:val="both"/>
        <w:rPr>
          <w:color w:val="000000" w:themeColor="text1"/>
        </w:rPr>
      </w:pPr>
      <w:r w:rsidRPr="008028D6">
        <w:rPr>
          <w:color w:val="000000" w:themeColor="text1"/>
        </w:rPr>
        <w:t>Sexual Risk Orders might be used to some effect as an alternative. SROs are not limited by the same statutory language as SHPOs and can be made in response to a single act of a sexual nature provided the order is necessary.</w:t>
      </w:r>
      <w:r w:rsidRPr="008028D6">
        <w:rPr>
          <w:rStyle w:val="FootnoteReference"/>
          <w:color w:val="000000" w:themeColor="text1"/>
        </w:rPr>
        <w:footnoteReference w:id="71"/>
      </w:r>
      <w:r w:rsidRPr="008028D6">
        <w:rPr>
          <w:color w:val="000000" w:themeColor="text1"/>
        </w:rPr>
        <w:t xml:space="preserve"> </w:t>
      </w:r>
      <w:r w:rsidR="00C702D4" w:rsidRPr="008028D6">
        <w:rPr>
          <w:color w:val="000000" w:themeColor="text1"/>
        </w:rPr>
        <w:t>The</w:t>
      </w:r>
      <w:r w:rsidRPr="008028D6">
        <w:rPr>
          <w:color w:val="000000" w:themeColor="text1"/>
        </w:rPr>
        <w:t xml:space="preserve"> arguments against the overuse of SROs</w:t>
      </w:r>
      <w:r w:rsidR="00C702D4" w:rsidRPr="008028D6">
        <w:rPr>
          <w:color w:val="000000" w:themeColor="text1"/>
        </w:rPr>
        <w:t>, however,</w:t>
      </w:r>
      <w:r w:rsidRPr="008028D6">
        <w:rPr>
          <w:color w:val="000000" w:themeColor="text1"/>
        </w:rPr>
        <w:t xml:space="preserve"> remain applicable to their use in HIV/STI transmission cases. Without </w:t>
      </w:r>
      <w:r w:rsidR="00C702D4" w:rsidRPr="008028D6">
        <w:rPr>
          <w:color w:val="000000" w:themeColor="text1"/>
        </w:rPr>
        <w:t xml:space="preserve">going into further discussion about the criminalisation of HIV/STI transmission per se, </w:t>
      </w:r>
      <w:r w:rsidRPr="008028D6">
        <w:rPr>
          <w:color w:val="000000" w:themeColor="text1"/>
        </w:rPr>
        <w:t xml:space="preserve">as that issue deserves more attention than it can be given here, it is worth considering what the aim of sentencing in STI transmission cases should be. </w:t>
      </w:r>
    </w:p>
    <w:p w14:paraId="383ED301" w14:textId="4627B437" w:rsidR="006D4292" w:rsidRPr="008028D6" w:rsidRDefault="00A92198" w:rsidP="00221A04">
      <w:pPr>
        <w:jc w:val="both"/>
        <w:rPr>
          <w:color w:val="000000" w:themeColor="text1"/>
        </w:rPr>
      </w:pPr>
      <w:r w:rsidRPr="008028D6">
        <w:rPr>
          <w:color w:val="000000" w:themeColor="text1"/>
        </w:rPr>
        <w:t>SHPOs are intended to serve a non-punitive function, which is emphasised by the focus on orders being necessary to prevent future offending and not</w:t>
      </w:r>
      <w:r w:rsidR="00E22879" w:rsidRPr="008028D6">
        <w:rPr>
          <w:color w:val="000000" w:themeColor="text1"/>
        </w:rPr>
        <w:t xml:space="preserve"> being</w:t>
      </w:r>
      <w:r w:rsidRPr="008028D6">
        <w:rPr>
          <w:color w:val="000000" w:themeColor="text1"/>
        </w:rPr>
        <w:t xml:space="preserve"> oppressive. If used in HIV transmission cases, </w:t>
      </w:r>
      <w:r w:rsidR="006D4292" w:rsidRPr="008028D6">
        <w:rPr>
          <w:color w:val="000000" w:themeColor="text1"/>
        </w:rPr>
        <w:t>SHPOs might</w:t>
      </w:r>
      <w:r w:rsidR="007811FD" w:rsidRPr="008028D6">
        <w:rPr>
          <w:color w:val="000000" w:themeColor="text1"/>
        </w:rPr>
        <w:t xml:space="preserve"> </w:t>
      </w:r>
      <w:r w:rsidR="006D4292" w:rsidRPr="008028D6">
        <w:rPr>
          <w:color w:val="000000" w:themeColor="text1"/>
        </w:rPr>
        <w:t xml:space="preserve">be seen as an attempt to achieve some specific deterrence and rehabilitation where little otherwise exists. </w:t>
      </w:r>
      <w:r w:rsidRPr="008028D6">
        <w:rPr>
          <w:color w:val="000000" w:themeColor="text1"/>
        </w:rPr>
        <w:t xml:space="preserve">But, </w:t>
      </w:r>
      <w:r w:rsidR="006D4292" w:rsidRPr="008028D6">
        <w:rPr>
          <w:color w:val="000000" w:themeColor="text1"/>
        </w:rPr>
        <w:t xml:space="preserve">Philips and </w:t>
      </w:r>
      <w:proofErr w:type="spellStart"/>
      <w:r w:rsidR="006D4292" w:rsidRPr="008028D6">
        <w:rPr>
          <w:color w:val="000000" w:themeColor="text1"/>
        </w:rPr>
        <w:t>Sukthankar</w:t>
      </w:r>
      <w:proofErr w:type="spellEnd"/>
      <w:r w:rsidR="006D4292" w:rsidRPr="008028D6">
        <w:rPr>
          <w:color w:val="000000" w:themeColor="text1"/>
        </w:rPr>
        <w:t xml:space="preserve"> question whether any specific rehabilitation program intended to prevent recidivism by HIV+ defendants could ever be effective, taking into consideration the significant role chance plays in transmission cases, and note that certainly no successful program for this presently exist</w:t>
      </w:r>
      <w:r w:rsidR="003353D0" w:rsidRPr="008028D6">
        <w:rPr>
          <w:color w:val="000000" w:themeColor="text1"/>
        </w:rPr>
        <w:t>s</w:t>
      </w:r>
      <w:r w:rsidR="006D4292" w:rsidRPr="008028D6">
        <w:rPr>
          <w:color w:val="000000" w:themeColor="text1"/>
        </w:rPr>
        <w:t>.</w:t>
      </w:r>
      <w:r w:rsidR="006D4292" w:rsidRPr="008028D6">
        <w:rPr>
          <w:rStyle w:val="FootnoteReference"/>
          <w:color w:val="000000" w:themeColor="text1"/>
        </w:rPr>
        <w:footnoteReference w:id="72"/>
      </w:r>
      <w:r w:rsidR="006D4292" w:rsidRPr="008028D6">
        <w:rPr>
          <w:color w:val="000000" w:themeColor="text1"/>
        </w:rPr>
        <w:t xml:space="preserve"> Indeed</w:t>
      </w:r>
      <w:r w:rsidR="006B6EEE" w:rsidRPr="008028D6">
        <w:rPr>
          <w:color w:val="000000" w:themeColor="text1"/>
        </w:rPr>
        <w:t>,</w:t>
      </w:r>
      <w:r w:rsidR="006D4292" w:rsidRPr="008028D6">
        <w:rPr>
          <w:color w:val="000000" w:themeColor="text1"/>
        </w:rPr>
        <w:t xml:space="preserve"> the very low numbers of convictions for this kind of case mean that the development of such a program would likely take many years. </w:t>
      </w:r>
    </w:p>
    <w:p w14:paraId="664CD3CB" w14:textId="4E9B9D51" w:rsidR="00D4575F" w:rsidRPr="008028D6" w:rsidRDefault="006D4292" w:rsidP="00D4575F">
      <w:pPr>
        <w:jc w:val="both"/>
        <w:rPr>
          <w:color w:val="000000" w:themeColor="text1"/>
        </w:rPr>
      </w:pPr>
      <w:r w:rsidRPr="008028D6">
        <w:rPr>
          <w:color w:val="000000" w:themeColor="text1"/>
        </w:rPr>
        <w:t xml:space="preserve">Others have noted that the knowledge requirements imposed in some jurisdictions </w:t>
      </w:r>
      <w:r w:rsidR="00E14A68" w:rsidRPr="008028D6">
        <w:rPr>
          <w:color w:val="000000" w:themeColor="text1"/>
        </w:rPr>
        <w:t>result in</w:t>
      </w:r>
      <w:r w:rsidRPr="008028D6">
        <w:rPr>
          <w:color w:val="000000" w:themeColor="text1"/>
        </w:rPr>
        <w:t xml:space="preserve"> a situation where the bodies of those living with HIV are constructed as inherently “criminal and suspect”.</w:t>
      </w:r>
      <w:r w:rsidRPr="008028D6">
        <w:rPr>
          <w:rStyle w:val="FootnoteReference"/>
          <w:color w:val="000000" w:themeColor="text1"/>
        </w:rPr>
        <w:footnoteReference w:id="73"/>
      </w:r>
      <w:r w:rsidRPr="008028D6">
        <w:rPr>
          <w:color w:val="000000" w:themeColor="text1"/>
        </w:rPr>
        <w:t xml:space="preserve"> </w:t>
      </w:r>
      <w:r w:rsidR="00C640E8" w:rsidRPr="008028D6">
        <w:rPr>
          <w:color w:val="000000" w:themeColor="text1"/>
        </w:rPr>
        <w:t>Although</w:t>
      </w:r>
      <w:r w:rsidR="00D4575F" w:rsidRPr="008028D6">
        <w:rPr>
          <w:color w:val="000000" w:themeColor="text1"/>
        </w:rPr>
        <w:t xml:space="preserve"> the rationale behind SHPOs is to be found in public protection, achieving this i</w:t>
      </w:r>
      <w:r w:rsidR="000C63C5" w:rsidRPr="008028D6">
        <w:rPr>
          <w:color w:val="000000" w:themeColor="text1"/>
        </w:rPr>
        <w:t xml:space="preserve">n a proportionate manner arguably entails making an assessment of </w:t>
      </w:r>
      <w:r w:rsidR="00D74978" w:rsidRPr="008028D6">
        <w:rPr>
          <w:color w:val="000000" w:themeColor="text1"/>
        </w:rPr>
        <w:t xml:space="preserve">the specific risk of recidivism by a given defendant. In practical terms this may be especially difficult in STI transmission cases, where establishing that there is </w:t>
      </w:r>
      <w:r w:rsidR="00BE6301" w:rsidRPr="008028D6">
        <w:rPr>
          <w:color w:val="000000" w:themeColor="text1"/>
        </w:rPr>
        <w:t>valid</w:t>
      </w:r>
      <w:r w:rsidR="00D74978" w:rsidRPr="008028D6">
        <w:rPr>
          <w:color w:val="000000" w:themeColor="text1"/>
        </w:rPr>
        <w:t xml:space="preserve"> </w:t>
      </w:r>
      <w:r w:rsidR="00A74A1F" w:rsidRPr="008028D6">
        <w:rPr>
          <w:color w:val="000000" w:themeColor="text1"/>
        </w:rPr>
        <w:t>“</w:t>
      </w:r>
      <w:r w:rsidR="00D74978" w:rsidRPr="008028D6">
        <w:rPr>
          <w:color w:val="000000" w:themeColor="text1"/>
        </w:rPr>
        <w:t>clinical judgment” for the order</w:t>
      </w:r>
      <w:r w:rsidR="005A4130" w:rsidRPr="008028D6">
        <w:rPr>
          <w:color w:val="000000" w:themeColor="text1"/>
        </w:rPr>
        <w:t>,</w:t>
      </w:r>
      <w:r w:rsidR="00D74978" w:rsidRPr="008028D6">
        <w:rPr>
          <w:color w:val="000000" w:themeColor="text1"/>
        </w:rPr>
        <w:t xml:space="preserve"> in terms of reducing the risk of subsequent harm</w:t>
      </w:r>
      <w:r w:rsidR="005A4130" w:rsidRPr="008028D6">
        <w:rPr>
          <w:color w:val="000000" w:themeColor="text1"/>
        </w:rPr>
        <w:t>,</w:t>
      </w:r>
      <w:r w:rsidR="00D74978" w:rsidRPr="008028D6">
        <w:rPr>
          <w:color w:val="000000" w:themeColor="text1"/>
        </w:rPr>
        <w:t xml:space="preserve"> may be challenging.</w:t>
      </w:r>
      <w:r w:rsidR="00D74978" w:rsidRPr="008028D6">
        <w:rPr>
          <w:rStyle w:val="FootnoteReference"/>
          <w:color w:val="000000" w:themeColor="text1"/>
        </w:rPr>
        <w:footnoteReference w:id="74"/>
      </w:r>
      <w:r w:rsidR="00D74978" w:rsidRPr="008028D6">
        <w:rPr>
          <w:color w:val="000000" w:themeColor="text1"/>
        </w:rPr>
        <w:t xml:space="preserve"> A</w:t>
      </w:r>
      <w:r w:rsidR="000C63C5" w:rsidRPr="008028D6">
        <w:rPr>
          <w:color w:val="000000" w:themeColor="text1"/>
        </w:rPr>
        <w:t>s</w:t>
      </w:r>
      <w:r w:rsidR="00D4575F" w:rsidRPr="008028D6">
        <w:rPr>
          <w:color w:val="000000" w:themeColor="text1"/>
        </w:rPr>
        <w:t xml:space="preserve"> Kelly and HHJ </w:t>
      </w:r>
      <w:proofErr w:type="spellStart"/>
      <w:r w:rsidR="00D4575F" w:rsidRPr="008028D6">
        <w:rPr>
          <w:color w:val="000000" w:themeColor="text1"/>
        </w:rPr>
        <w:t>Picton</w:t>
      </w:r>
      <w:proofErr w:type="spellEnd"/>
      <w:r w:rsidR="00D4575F" w:rsidRPr="008028D6">
        <w:rPr>
          <w:color w:val="000000" w:themeColor="text1"/>
        </w:rPr>
        <w:t xml:space="preserve"> have suggested</w:t>
      </w:r>
      <w:r w:rsidR="000C63C5" w:rsidRPr="008028D6">
        <w:rPr>
          <w:color w:val="000000" w:themeColor="text1"/>
        </w:rPr>
        <w:t xml:space="preserve">, </w:t>
      </w:r>
      <w:r w:rsidR="00FF6AF0" w:rsidRPr="008028D6">
        <w:rPr>
          <w:color w:val="000000" w:themeColor="text1"/>
        </w:rPr>
        <w:t>necessity</w:t>
      </w:r>
      <w:r w:rsidR="00D4575F" w:rsidRPr="008028D6">
        <w:rPr>
          <w:color w:val="000000" w:themeColor="text1"/>
        </w:rPr>
        <w:t xml:space="preserve"> issues </w:t>
      </w:r>
      <w:r w:rsidR="00FF6AF0" w:rsidRPr="008028D6">
        <w:rPr>
          <w:color w:val="000000" w:themeColor="text1"/>
        </w:rPr>
        <w:t xml:space="preserve">in relation to SHPOs </w:t>
      </w:r>
      <w:r w:rsidR="00D4575F" w:rsidRPr="008028D6">
        <w:rPr>
          <w:color w:val="000000" w:themeColor="text1"/>
        </w:rPr>
        <w:t>are</w:t>
      </w:r>
      <w:r w:rsidR="00D74978" w:rsidRPr="008028D6">
        <w:rPr>
          <w:color w:val="000000" w:themeColor="text1"/>
        </w:rPr>
        <w:t xml:space="preserve"> likely to be</w:t>
      </w:r>
      <w:r w:rsidR="00D4575F" w:rsidRPr="008028D6">
        <w:rPr>
          <w:color w:val="000000" w:themeColor="text1"/>
        </w:rPr>
        <w:t xml:space="preserve"> determined at first instance level</w:t>
      </w:r>
      <w:r w:rsidR="000C63C5" w:rsidRPr="008028D6">
        <w:rPr>
          <w:color w:val="000000" w:themeColor="text1"/>
        </w:rPr>
        <w:t xml:space="preserve"> and in such circumstances</w:t>
      </w:r>
      <w:r w:rsidR="00D4575F" w:rsidRPr="008028D6">
        <w:rPr>
          <w:color w:val="000000" w:themeColor="text1"/>
        </w:rPr>
        <w:t xml:space="preserve"> it may be difficult to determine the necessity of these orders </w:t>
      </w:r>
      <w:r w:rsidR="00A65B25" w:rsidRPr="008028D6">
        <w:rPr>
          <w:color w:val="000000" w:themeColor="text1"/>
        </w:rPr>
        <w:t>in an individual case</w:t>
      </w:r>
      <w:r w:rsidR="004E6D5A" w:rsidRPr="008028D6">
        <w:rPr>
          <w:color w:val="000000" w:themeColor="text1"/>
        </w:rPr>
        <w:t>,</w:t>
      </w:r>
      <w:r w:rsidR="00A74A1F" w:rsidRPr="008028D6">
        <w:rPr>
          <w:color w:val="000000" w:themeColor="text1"/>
        </w:rPr>
        <w:t xml:space="preserve"> </w:t>
      </w:r>
      <w:r w:rsidR="00D4575F" w:rsidRPr="008028D6">
        <w:rPr>
          <w:color w:val="000000" w:themeColor="text1"/>
        </w:rPr>
        <w:t xml:space="preserve">given the challenge of determining whether </w:t>
      </w:r>
      <w:r w:rsidR="00FF6AF0" w:rsidRPr="008028D6">
        <w:rPr>
          <w:color w:val="000000" w:themeColor="text1"/>
        </w:rPr>
        <w:t xml:space="preserve">it is </w:t>
      </w:r>
      <w:r w:rsidR="00D4575F" w:rsidRPr="008028D6">
        <w:rPr>
          <w:color w:val="000000" w:themeColor="text1"/>
        </w:rPr>
        <w:t>the order, the sentence to which it is typically attached, or some other factor</w:t>
      </w:r>
      <w:r w:rsidR="00980156" w:rsidRPr="008028D6">
        <w:rPr>
          <w:color w:val="000000" w:themeColor="text1"/>
        </w:rPr>
        <w:t xml:space="preserve"> (or combination of factors) which</w:t>
      </w:r>
      <w:r w:rsidR="00D4575F" w:rsidRPr="008028D6">
        <w:rPr>
          <w:color w:val="000000" w:themeColor="text1"/>
        </w:rPr>
        <w:t xml:space="preserve"> serve to prevent recidivism by a </w:t>
      </w:r>
      <w:r w:rsidR="00A65B25" w:rsidRPr="008028D6">
        <w:rPr>
          <w:color w:val="000000" w:themeColor="text1"/>
        </w:rPr>
        <w:t>specific</w:t>
      </w:r>
      <w:r w:rsidR="00D4575F" w:rsidRPr="008028D6">
        <w:rPr>
          <w:color w:val="000000" w:themeColor="text1"/>
        </w:rPr>
        <w:t xml:space="preserve"> defendant</w:t>
      </w:r>
      <w:r w:rsidR="00AD7553" w:rsidRPr="008028D6">
        <w:rPr>
          <w:color w:val="000000" w:themeColor="text1"/>
        </w:rPr>
        <w:t>.</w:t>
      </w:r>
      <w:r w:rsidR="00D4575F" w:rsidRPr="008028D6">
        <w:rPr>
          <w:rStyle w:val="FootnoteReference"/>
          <w:color w:val="000000" w:themeColor="text1"/>
        </w:rPr>
        <w:footnoteReference w:id="75"/>
      </w:r>
      <w:r w:rsidR="00D4575F" w:rsidRPr="008028D6">
        <w:rPr>
          <w:color w:val="000000" w:themeColor="text1"/>
        </w:rPr>
        <w:t xml:space="preserve"> </w:t>
      </w:r>
      <w:r w:rsidR="0074786A" w:rsidRPr="008028D6">
        <w:rPr>
          <w:color w:val="000000" w:themeColor="text1"/>
        </w:rPr>
        <w:t>As such, the use of SROs and SHPOs in transmission case should be challenged, if only because of the significant legitimisation it might give to the stigmatisation of people living with HIV, the criminalisation of transmission already being highly problematic in this respect.</w:t>
      </w:r>
      <w:r w:rsidR="0074786A" w:rsidRPr="008028D6">
        <w:rPr>
          <w:rStyle w:val="FootnoteReference"/>
          <w:color w:val="000000" w:themeColor="text1"/>
        </w:rPr>
        <w:footnoteReference w:id="76"/>
      </w:r>
    </w:p>
    <w:p w14:paraId="52FCBDAD" w14:textId="022CF1F8" w:rsidR="006D4292" w:rsidRPr="008028D6" w:rsidRDefault="006D4292" w:rsidP="00221A04">
      <w:pPr>
        <w:jc w:val="both"/>
        <w:rPr>
          <w:color w:val="000000" w:themeColor="text1"/>
        </w:rPr>
      </w:pPr>
      <w:r w:rsidRPr="008028D6">
        <w:rPr>
          <w:color w:val="000000" w:themeColor="text1"/>
        </w:rPr>
        <w:lastRenderedPageBreak/>
        <w:t>In the Law Commission’s 2015 Report on reform of Offences Against the Person, the use of SOPOs in transmission cases was discussed, although, as the report notes, reform to SHPO</w:t>
      </w:r>
      <w:r w:rsidR="00957CB3" w:rsidRPr="008028D6">
        <w:rPr>
          <w:color w:val="000000" w:themeColor="text1"/>
        </w:rPr>
        <w:t xml:space="preserve"> provisions</w:t>
      </w:r>
      <w:r w:rsidRPr="008028D6">
        <w:rPr>
          <w:color w:val="000000" w:themeColor="text1"/>
        </w:rPr>
        <w:t xml:space="preserve"> </w:t>
      </w:r>
      <w:r w:rsidR="00957CB3" w:rsidRPr="008028D6">
        <w:rPr>
          <w:color w:val="000000" w:themeColor="text1"/>
        </w:rPr>
        <w:t xml:space="preserve">had already taken place and was waiting to fully </w:t>
      </w:r>
      <w:r w:rsidR="00E14A68" w:rsidRPr="008028D6">
        <w:rPr>
          <w:color w:val="000000" w:themeColor="text1"/>
        </w:rPr>
        <w:t>come into force</w:t>
      </w:r>
      <w:r w:rsidRPr="008028D6">
        <w:rPr>
          <w:color w:val="000000" w:themeColor="text1"/>
        </w:rPr>
        <w:t>.</w:t>
      </w:r>
      <w:r w:rsidRPr="008028D6">
        <w:rPr>
          <w:rStyle w:val="FootnoteReference"/>
          <w:color w:val="000000" w:themeColor="text1"/>
        </w:rPr>
        <w:footnoteReference w:id="77"/>
      </w:r>
      <w:r w:rsidRPr="008028D6">
        <w:rPr>
          <w:color w:val="000000" w:themeColor="text1"/>
        </w:rPr>
        <w:t xml:space="preserve"> The CPS response highlighted concern over the use of SOPOs as a general tool for promoting safer sexual activity, whilst the response from Northumbria</w:t>
      </w:r>
      <w:r w:rsidR="00E14A68" w:rsidRPr="008028D6">
        <w:rPr>
          <w:color w:val="000000" w:themeColor="text1"/>
        </w:rPr>
        <w:t xml:space="preserve"> University</w:t>
      </w:r>
      <w:r w:rsidRPr="008028D6">
        <w:rPr>
          <w:color w:val="000000" w:themeColor="text1"/>
        </w:rPr>
        <w:t xml:space="preserve"> highlighted that using SOPOs had no effect other than to impose a criminal sanction in an area where criminal sanctions were already possible.</w:t>
      </w:r>
      <w:r w:rsidRPr="008028D6">
        <w:rPr>
          <w:rStyle w:val="FootnoteReference"/>
          <w:color w:val="000000" w:themeColor="text1"/>
        </w:rPr>
        <w:footnoteReference w:id="78"/>
      </w:r>
      <w:r w:rsidRPr="008028D6">
        <w:rPr>
          <w:color w:val="000000" w:themeColor="text1"/>
        </w:rPr>
        <w:t xml:space="preserve"> Indeed, depending on how the order is phrased, an SHPO relating to biological GBH is likely either to replicate the existing law – focused on instances where transmission </w:t>
      </w:r>
      <w:r w:rsidR="00E14A68" w:rsidRPr="008028D6">
        <w:rPr>
          <w:color w:val="000000" w:themeColor="text1"/>
        </w:rPr>
        <w:t>occurs</w:t>
      </w:r>
      <w:r w:rsidRPr="008028D6">
        <w:rPr>
          <w:color w:val="000000" w:themeColor="text1"/>
        </w:rPr>
        <w:t xml:space="preserve"> – or reflect a major expansion of the law by requiring disclosure irrespective of transmission risk. In the latter case, this clearly has the potential to construct those living with sexually communicable diseases as inherently suspect and risky people.</w:t>
      </w:r>
    </w:p>
    <w:p w14:paraId="45057D66" w14:textId="21591CB0" w:rsidR="006D4292" w:rsidRPr="008028D6" w:rsidRDefault="004E6D5A" w:rsidP="00221A04">
      <w:pPr>
        <w:jc w:val="both"/>
        <w:rPr>
          <w:color w:val="000000" w:themeColor="text1"/>
        </w:rPr>
      </w:pPr>
      <w:r w:rsidRPr="008028D6">
        <w:rPr>
          <w:color w:val="000000" w:themeColor="text1"/>
        </w:rPr>
        <w:t>The</w:t>
      </w:r>
      <w:r w:rsidR="006D4292" w:rsidRPr="008028D6">
        <w:rPr>
          <w:color w:val="000000" w:themeColor="text1"/>
        </w:rPr>
        <w:t xml:space="preserve"> applicability of SHPOs in biological GBH cases is indicative of a broader question concerning how the law addresses HIV and other STI transmission;</w:t>
      </w:r>
      <w:r w:rsidRPr="008028D6">
        <w:rPr>
          <w:color w:val="000000" w:themeColor="text1"/>
        </w:rPr>
        <w:t xml:space="preserve"> that is,</w:t>
      </w:r>
      <w:r w:rsidR="006D4292" w:rsidRPr="008028D6">
        <w:rPr>
          <w:color w:val="000000" w:themeColor="text1"/>
        </w:rPr>
        <w:t xml:space="preserve"> should this be as a sexual offence, raising further questions about the limits of the criminal law where transmission risk is negligible or impossible? Or, should the law continue to treat these as offences against the person? Or, alternatively, should the law look beyond criminal sanctions in these cases and question why HIV transmission continues to be a concern when medical advancements mean that people living with HIV should be able to live long, ordinary, lives</w:t>
      </w:r>
      <w:r w:rsidR="00630D36" w:rsidRPr="008028D6">
        <w:rPr>
          <w:color w:val="000000" w:themeColor="text1"/>
        </w:rPr>
        <w:t>,</w:t>
      </w:r>
      <w:r w:rsidR="006D4292" w:rsidRPr="008028D6">
        <w:rPr>
          <w:color w:val="000000" w:themeColor="text1"/>
        </w:rPr>
        <w:t xml:space="preserve"> with no possibility of transmitting HIV to others.</w:t>
      </w:r>
      <w:r w:rsidR="006D4292" w:rsidRPr="008028D6">
        <w:rPr>
          <w:rStyle w:val="FootnoteReference"/>
          <w:color w:val="000000" w:themeColor="text1"/>
        </w:rPr>
        <w:footnoteReference w:id="79"/>
      </w:r>
    </w:p>
    <w:p w14:paraId="7EA88CF0" w14:textId="22F1699A" w:rsidR="006D4292" w:rsidRPr="008028D6" w:rsidRDefault="006D4292" w:rsidP="00221A04">
      <w:pPr>
        <w:jc w:val="both"/>
        <w:rPr>
          <w:color w:val="000000" w:themeColor="text1"/>
        </w:rPr>
      </w:pPr>
      <w:r w:rsidRPr="008028D6">
        <w:rPr>
          <w:color w:val="000000" w:themeColor="text1"/>
        </w:rPr>
        <w:t>Lisa Power and Yusuf Azad, of the HIV Justice Network and National AIDS Trust respectively, appear to have argued that antisocial behaviour orders were the more appropriate order in HIV transmission cases under the older SOPO provisions, to limited success.</w:t>
      </w:r>
      <w:r w:rsidRPr="008028D6">
        <w:rPr>
          <w:rStyle w:val="FootnoteReference"/>
          <w:color w:val="000000" w:themeColor="text1"/>
        </w:rPr>
        <w:footnoteReference w:id="80"/>
      </w:r>
      <w:r w:rsidRPr="008028D6">
        <w:rPr>
          <w:color w:val="000000" w:themeColor="text1"/>
        </w:rPr>
        <w:t xml:space="preserve"> Their argument – that ASBO provisions were more appropriate in the context of HIV transmission – appears to have followed a similar logic to the argument that I have made here.</w:t>
      </w:r>
      <w:r w:rsidRPr="008028D6">
        <w:rPr>
          <w:rStyle w:val="FootnoteReference"/>
          <w:color w:val="000000" w:themeColor="text1"/>
        </w:rPr>
        <w:footnoteReference w:id="81"/>
      </w:r>
      <w:r w:rsidRPr="008028D6">
        <w:rPr>
          <w:color w:val="000000" w:themeColor="text1"/>
        </w:rPr>
        <w:t xml:space="preserve"> Power also emphasises </w:t>
      </w:r>
      <w:r w:rsidR="007146A8" w:rsidRPr="008028D6">
        <w:rPr>
          <w:color w:val="000000" w:themeColor="text1"/>
        </w:rPr>
        <w:t>her</w:t>
      </w:r>
      <w:r w:rsidRPr="008028D6">
        <w:rPr>
          <w:color w:val="000000" w:themeColor="text1"/>
        </w:rPr>
        <w:t xml:space="preserve"> view that </w:t>
      </w:r>
      <w:r w:rsidR="003A2052" w:rsidRPr="008028D6">
        <w:rPr>
          <w:color w:val="000000" w:themeColor="text1"/>
        </w:rPr>
        <w:t xml:space="preserve">the use of </w:t>
      </w:r>
      <w:r w:rsidR="007146A8" w:rsidRPr="008028D6">
        <w:rPr>
          <w:color w:val="000000" w:themeColor="text1"/>
        </w:rPr>
        <w:t>SOPO</w:t>
      </w:r>
      <w:r w:rsidR="003A2052" w:rsidRPr="008028D6">
        <w:rPr>
          <w:color w:val="000000" w:themeColor="text1"/>
        </w:rPr>
        <w:t xml:space="preserve">s was indicative of the </w:t>
      </w:r>
      <w:r w:rsidR="004E6D5A" w:rsidRPr="008028D6">
        <w:rPr>
          <w:color w:val="000000" w:themeColor="text1"/>
        </w:rPr>
        <w:t>c</w:t>
      </w:r>
      <w:r w:rsidR="003A2052" w:rsidRPr="008028D6">
        <w:rPr>
          <w:color w:val="000000" w:themeColor="text1"/>
        </w:rPr>
        <w:t>ourts’ interest in the sexual dynamic of HIV transmission, even when cases were being brought under the OAPA</w:t>
      </w:r>
      <w:r w:rsidR="00371D18" w:rsidRPr="008028D6">
        <w:rPr>
          <w:color w:val="000000" w:themeColor="text1"/>
        </w:rPr>
        <w:t>,</w:t>
      </w:r>
      <w:r w:rsidR="007146A8" w:rsidRPr="008028D6">
        <w:rPr>
          <w:rStyle w:val="FootnoteReference"/>
          <w:color w:val="000000" w:themeColor="text1"/>
        </w:rPr>
        <w:footnoteReference w:id="82"/>
      </w:r>
      <w:r w:rsidR="007146A8" w:rsidRPr="008028D6">
        <w:rPr>
          <w:color w:val="000000" w:themeColor="text1"/>
        </w:rPr>
        <w:t xml:space="preserve"> </w:t>
      </w:r>
      <w:r w:rsidR="00371D18" w:rsidRPr="008028D6">
        <w:rPr>
          <w:color w:val="000000" w:themeColor="text1"/>
        </w:rPr>
        <w:t xml:space="preserve">something which the </w:t>
      </w:r>
      <w:r w:rsidR="007146A8" w:rsidRPr="008028D6">
        <w:rPr>
          <w:color w:val="000000" w:themeColor="text1"/>
        </w:rPr>
        <w:t>analysis of SHPOs</w:t>
      </w:r>
      <w:r w:rsidR="00371D18" w:rsidRPr="008028D6">
        <w:rPr>
          <w:color w:val="000000" w:themeColor="text1"/>
        </w:rPr>
        <w:t xml:space="preserve"> above </w:t>
      </w:r>
      <w:r w:rsidR="007146A8" w:rsidRPr="008028D6">
        <w:rPr>
          <w:color w:val="000000" w:themeColor="text1"/>
        </w:rPr>
        <w:t xml:space="preserve">continues </w:t>
      </w:r>
      <w:r w:rsidR="00371D18" w:rsidRPr="008028D6">
        <w:rPr>
          <w:color w:val="000000" w:themeColor="text1"/>
        </w:rPr>
        <w:t xml:space="preserve">support. </w:t>
      </w:r>
    </w:p>
    <w:p w14:paraId="73C808D3" w14:textId="1087123F" w:rsidR="00B52C4C" w:rsidRPr="008028D6" w:rsidRDefault="00B52C4C" w:rsidP="00B52C4C">
      <w:pPr>
        <w:pStyle w:val="Heading1"/>
        <w:rPr>
          <w:color w:val="000000" w:themeColor="text1"/>
        </w:rPr>
      </w:pPr>
      <w:r w:rsidRPr="008028D6">
        <w:rPr>
          <w:color w:val="000000" w:themeColor="text1"/>
        </w:rPr>
        <w:t xml:space="preserve">Concluding </w:t>
      </w:r>
      <w:r w:rsidR="00EF5847" w:rsidRPr="008028D6">
        <w:rPr>
          <w:color w:val="000000" w:themeColor="text1"/>
        </w:rPr>
        <w:t>Remarks</w:t>
      </w:r>
    </w:p>
    <w:p w14:paraId="49D56ADD" w14:textId="2BD8A276" w:rsidR="002F27BC" w:rsidRPr="008028D6" w:rsidRDefault="006D4292" w:rsidP="00221A04">
      <w:pPr>
        <w:jc w:val="both"/>
        <w:rPr>
          <w:color w:val="000000" w:themeColor="text1"/>
        </w:rPr>
      </w:pPr>
      <w:r w:rsidRPr="008028D6">
        <w:rPr>
          <w:color w:val="000000" w:themeColor="text1"/>
        </w:rPr>
        <w:t>I have attempted to demonstrate how older SOPO case law continues to have relevance in the age of SHPOs</w:t>
      </w:r>
      <w:r w:rsidR="00516B11" w:rsidRPr="008028D6">
        <w:rPr>
          <w:color w:val="000000" w:themeColor="text1"/>
        </w:rPr>
        <w:t xml:space="preserve"> and that, as a result, the decision of the CoA in </w:t>
      </w:r>
      <w:proofErr w:type="spellStart"/>
      <w:r w:rsidR="00516B11" w:rsidRPr="008028D6">
        <w:rPr>
          <w:i/>
          <w:iCs/>
          <w:color w:val="000000" w:themeColor="text1"/>
        </w:rPr>
        <w:t>Maranwanda</w:t>
      </w:r>
      <w:proofErr w:type="spellEnd"/>
      <w:r w:rsidR="00516B11" w:rsidRPr="008028D6">
        <w:rPr>
          <w:i/>
          <w:iCs/>
          <w:color w:val="000000" w:themeColor="text1"/>
        </w:rPr>
        <w:t xml:space="preserve"> </w:t>
      </w:r>
      <w:r w:rsidR="00516B11" w:rsidRPr="008028D6">
        <w:rPr>
          <w:color w:val="000000" w:themeColor="text1"/>
        </w:rPr>
        <w:t xml:space="preserve">has a continued relevancy to the current sentencing framework. </w:t>
      </w:r>
      <w:r w:rsidR="004E6D5A" w:rsidRPr="008028D6">
        <w:rPr>
          <w:color w:val="000000" w:themeColor="text1"/>
        </w:rPr>
        <w:t>On</w:t>
      </w:r>
      <w:r w:rsidRPr="008028D6">
        <w:rPr>
          <w:color w:val="000000" w:themeColor="text1"/>
        </w:rPr>
        <w:t xml:space="preserve"> the basis of the statutory language and other guidance, the C</w:t>
      </w:r>
      <w:r w:rsidR="00FA3743" w:rsidRPr="008028D6">
        <w:rPr>
          <w:color w:val="000000" w:themeColor="text1"/>
        </w:rPr>
        <w:t xml:space="preserve">ourt </w:t>
      </w:r>
      <w:r w:rsidR="00516B11" w:rsidRPr="008028D6">
        <w:rPr>
          <w:color w:val="000000" w:themeColor="text1"/>
        </w:rPr>
        <w:t>o</w:t>
      </w:r>
      <w:r w:rsidR="00FA3743" w:rsidRPr="008028D6">
        <w:rPr>
          <w:color w:val="000000" w:themeColor="text1"/>
        </w:rPr>
        <w:t xml:space="preserve">f </w:t>
      </w:r>
      <w:r w:rsidRPr="008028D6">
        <w:rPr>
          <w:color w:val="000000" w:themeColor="text1"/>
        </w:rPr>
        <w:t>A</w:t>
      </w:r>
      <w:r w:rsidR="00FA3743" w:rsidRPr="008028D6">
        <w:rPr>
          <w:color w:val="000000" w:themeColor="text1"/>
        </w:rPr>
        <w:t>ppeal</w:t>
      </w:r>
      <w:r w:rsidRPr="008028D6">
        <w:rPr>
          <w:color w:val="000000" w:themeColor="text1"/>
        </w:rPr>
        <w:t xml:space="preserve"> </w:t>
      </w:r>
      <w:r w:rsidR="00516B11" w:rsidRPr="008028D6">
        <w:rPr>
          <w:color w:val="000000" w:themeColor="text1"/>
        </w:rPr>
        <w:t>may</w:t>
      </w:r>
      <w:r w:rsidRPr="008028D6">
        <w:rPr>
          <w:color w:val="000000" w:themeColor="text1"/>
        </w:rPr>
        <w:t xml:space="preserve"> have overstepped the mark in </w:t>
      </w:r>
      <w:proofErr w:type="spellStart"/>
      <w:r w:rsidRPr="008028D6">
        <w:rPr>
          <w:i/>
          <w:iCs/>
          <w:color w:val="000000" w:themeColor="text1"/>
        </w:rPr>
        <w:t>Marangwanda</w:t>
      </w:r>
      <w:proofErr w:type="spellEnd"/>
      <w:r w:rsidRPr="008028D6">
        <w:rPr>
          <w:i/>
          <w:iCs/>
          <w:color w:val="000000" w:themeColor="text1"/>
        </w:rPr>
        <w:t xml:space="preserve">. </w:t>
      </w:r>
      <w:r w:rsidR="002F27BC" w:rsidRPr="008028D6">
        <w:rPr>
          <w:color w:val="000000" w:themeColor="text1"/>
        </w:rPr>
        <w:t>Although the offence the defendant was convicted of qualified him for a Sexual Offence Prevention Order</w:t>
      </w:r>
      <w:r w:rsidR="004E6D5A" w:rsidRPr="008028D6">
        <w:rPr>
          <w:color w:val="000000" w:themeColor="text1"/>
        </w:rPr>
        <w:t>,</w:t>
      </w:r>
      <w:r w:rsidR="002F27BC" w:rsidRPr="008028D6">
        <w:rPr>
          <w:color w:val="000000" w:themeColor="text1"/>
        </w:rPr>
        <w:t xml:space="preserve"> the limitations found in the relevant sentencing legislation arguably prevented the use of SOPOs for the prevention of future offences of the same category.</w:t>
      </w:r>
    </w:p>
    <w:p w14:paraId="57706E7D" w14:textId="3620E272" w:rsidR="00744FAD" w:rsidRPr="008028D6" w:rsidRDefault="002F27BC" w:rsidP="00744FAD">
      <w:pPr>
        <w:jc w:val="both"/>
        <w:rPr>
          <w:i/>
          <w:iCs/>
          <w:color w:val="000000" w:themeColor="text1"/>
        </w:rPr>
      </w:pPr>
      <w:r w:rsidRPr="008028D6">
        <w:rPr>
          <w:color w:val="000000" w:themeColor="text1"/>
        </w:rPr>
        <w:t xml:space="preserve">As discussed above, this particularity has been noted elsewhere, but the changes seen in the sentencing framework </w:t>
      </w:r>
      <w:r w:rsidR="006B2C67" w:rsidRPr="008028D6">
        <w:rPr>
          <w:color w:val="000000" w:themeColor="text1"/>
        </w:rPr>
        <w:t xml:space="preserve">surrounding and following </w:t>
      </w:r>
      <w:r w:rsidRPr="008028D6">
        <w:rPr>
          <w:color w:val="000000" w:themeColor="text1"/>
        </w:rPr>
        <w:t xml:space="preserve">the introduction of SHPOs </w:t>
      </w:r>
      <w:r w:rsidR="006B2C67" w:rsidRPr="008028D6">
        <w:rPr>
          <w:color w:val="000000" w:themeColor="text1"/>
        </w:rPr>
        <w:t xml:space="preserve">offer new grounds for evaluating the limitations Parliament has included on the use of ancillary orders in this way. </w:t>
      </w:r>
      <w:r w:rsidR="00744FAD" w:rsidRPr="008028D6">
        <w:rPr>
          <w:color w:val="000000" w:themeColor="text1"/>
        </w:rPr>
        <w:t xml:space="preserve">Furthermore, the reiteration of the limits of ‘the statutory language’ seen in </w:t>
      </w:r>
      <w:r w:rsidR="00744FAD" w:rsidRPr="008028D6">
        <w:rPr>
          <w:i/>
          <w:iCs/>
          <w:color w:val="000000" w:themeColor="text1"/>
        </w:rPr>
        <w:t>Parson and Morgan</w:t>
      </w:r>
      <w:r w:rsidR="00744FAD" w:rsidRPr="008028D6">
        <w:rPr>
          <w:color w:val="000000" w:themeColor="text1"/>
        </w:rPr>
        <w:t>,</w:t>
      </w:r>
      <w:r w:rsidR="00744FAD" w:rsidRPr="008028D6">
        <w:rPr>
          <w:rStyle w:val="FootnoteReference"/>
          <w:color w:val="000000" w:themeColor="text1"/>
        </w:rPr>
        <w:footnoteReference w:id="83"/>
      </w:r>
      <w:r w:rsidR="00744FAD" w:rsidRPr="008028D6">
        <w:rPr>
          <w:color w:val="000000" w:themeColor="text1"/>
        </w:rPr>
        <w:t xml:space="preserve"> </w:t>
      </w:r>
      <w:r w:rsidR="00744FAD" w:rsidRPr="008028D6">
        <w:rPr>
          <w:color w:val="000000" w:themeColor="text1"/>
        </w:rPr>
        <w:lastRenderedPageBreak/>
        <w:t>demonstrate</w:t>
      </w:r>
      <w:r w:rsidR="00A65B25" w:rsidRPr="008028D6">
        <w:rPr>
          <w:color w:val="000000" w:themeColor="text1"/>
        </w:rPr>
        <w:t>s</w:t>
      </w:r>
      <w:r w:rsidR="00744FAD" w:rsidRPr="008028D6">
        <w:rPr>
          <w:color w:val="000000" w:themeColor="text1"/>
        </w:rPr>
        <w:t xml:space="preserve"> that </w:t>
      </w:r>
      <w:proofErr w:type="spellStart"/>
      <w:r w:rsidR="00744FAD" w:rsidRPr="008028D6">
        <w:rPr>
          <w:i/>
          <w:iCs/>
          <w:color w:val="000000" w:themeColor="text1"/>
        </w:rPr>
        <w:t>Maragnwanda</w:t>
      </w:r>
      <w:proofErr w:type="spellEnd"/>
      <w:r w:rsidR="00744FAD" w:rsidRPr="008028D6">
        <w:rPr>
          <w:i/>
          <w:iCs/>
          <w:color w:val="000000" w:themeColor="text1"/>
        </w:rPr>
        <w:t xml:space="preserve"> </w:t>
      </w:r>
      <w:r w:rsidR="00744FAD" w:rsidRPr="008028D6">
        <w:rPr>
          <w:color w:val="000000" w:themeColor="text1"/>
        </w:rPr>
        <w:t xml:space="preserve">is no longer good law in this respect. </w:t>
      </w:r>
      <w:r w:rsidR="006D4292" w:rsidRPr="008028D6">
        <w:rPr>
          <w:color w:val="000000" w:themeColor="text1"/>
        </w:rPr>
        <w:t>As shown above, the relevancy of this decision goes far beyond the scope of th</w:t>
      </w:r>
      <w:r w:rsidR="008C1E1B" w:rsidRPr="008028D6">
        <w:rPr>
          <w:color w:val="000000" w:themeColor="text1"/>
        </w:rPr>
        <w:t>is</w:t>
      </w:r>
      <w:r w:rsidR="006D4292" w:rsidRPr="008028D6">
        <w:rPr>
          <w:color w:val="000000" w:themeColor="text1"/>
        </w:rPr>
        <w:t xml:space="preserve"> individual case and is indicative of a broader question about how Parliament and the </w:t>
      </w:r>
      <w:r w:rsidR="004E6D5A" w:rsidRPr="008028D6">
        <w:rPr>
          <w:color w:val="000000" w:themeColor="text1"/>
        </w:rPr>
        <w:t>c</w:t>
      </w:r>
      <w:r w:rsidR="006D4292" w:rsidRPr="008028D6">
        <w:rPr>
          <w:color w:val="000000" w:themeColor="text1"/>
        </w:rPr>
        <w:t>ourts have responded (or not responded) to the issue of STI transmission</w:t>
      </w:r>
      <w:r w:rsidR="008C1E1B" w:rsidRPr="008028D6">
        <w:rPr>
          <w:color w:val="000000" w:themeColor="text1"/>
        </w:rPr>
        <w:t>.</w:t>
      </w:r>
    </w:p>
    <w:p w14:paraId="7587E48A" w14:textId="1C0AE3FE" w:rsidR="00B040DF" w:rsidRPr="008028D6" w:rsidRDefault="006D4292" w:rsidP="00221A04">
      <w:pPr>
        <w:jc w:val="both"/>
        <w:rPr>
          <w:color w:val="000000" w:themeColor="text1"/>
        </w:rPr>
      </w:pPr>
      <w:r w:rsidRPr="008028D6">
        <w:rPr>
          <w:color w:val="000000" w:themeColor="text1"/>
        </w:rPr>
        <w:t>Elsewhere</w:t>
      </w:r>
      <w:r w:rsidRPr="008076D4">
        <w:rPr>
          <w:color w:val="70AD47" w:themeColor="accent6"/>
        </w:rPr>
        <w:t xml:space="preserve">, </w:t>
      </w:r>
      <w:r w:rsidR="0065242E" w:rsidRPr="0065242E">
        <w:t>Giles has</w:t>
      </w:r>
      <w:r w:rsidR="00B03BFB" w:rsidRPr="0065242E">
        <w:t xml:space="preserve"> </w:t>
      </w:r>
      <w:r w:rsidRPr="0065242E">
        <w:t xml:space="preserve">noted </w:t>
      </w:r>
      <w:r w:rsidRPr="008028D6">
        <w:rPr>
          <w:color w:val="000000" w:themeColor="text1"/>
        </w:rPr>
        <w:t xml:space="preserve">how the distinction between </w:t>
      </w:r>
      <w:proofErr w:type="spellStart"/>
      <w:r w:rsidRPr="008028D6">
        <w:rPr>
          <w:color w:val="000000" w:themeColor="text1"/>
        </w:rPr>
        <w:t>Sch</w:t>
      </w:r>
      <w:proofErr w:type="spellEnd"/>
      <w:r w:rsidRPr="008028D6">
        <w:rPr>
          <w:color w:val="000000" w:themeColor="text1"/>
        </w:rPr>
        <w:t xml:space="preserve"> 3 and </w:t>
      </w:r>
      <w:proofErr w:type="spellStart"/>
      <w:r w:rsidRPr="008028D6">
        <w:rPr>
          <w:color w:val="000000" w:themeColor="text1"/>
        </w:rPr>
        <w:t>Sch</w:t>
      </w:r>
      <w:proofErr w:type="spellEnd"/>
      <w:r w:rsidRPr="008028D6">
        <w:rPr>
          <w:color w:val="000000" w:themeColor="text1"/>
        </w:rPr>
        <w:t xml:space="preserve"> 5</w:t>
      </w:r>
      <w:r w:rsidR="000C08CE" w:rsidRPr="008028D6">
        <w:rPr>
          <w:color w:val="000000" w:themeColor="text1"/>
        </w:rPr>
        <w:t xml:space="preserve"> </w:t>
      </w:r>
      <w:r w:rsidRPr="008028D6">
        <w:rPr>
          <w:color w:val="000000" w:themeColor="text1"/>
        </w:rPr>
        <w:t>should</w:t>
      </w:r>
      <w:r w:rsidR="000C08CE" w:rsidRPr="008028D6">
        <w:rPr>
          <w:color w:val="000000" w:themeColor="text1"/>
        </w:rPr>
        <w:t xml:space="preserve"> </w:t>
      </w:r>
      <w:r w:rsidRPr="008028D6">
        <w:rPr>
          <w:color w:val="000000" w:themeColor="text1"/>
        </w:rPr>
        <w:t xml:space="preserve">also have implications </w:t>
      </w:r>
      <w:r w:rsidR="00F8618D" w:rsidRPr="008028D6">
        <w:rPr>
          <w:color w:val="000000" w:themeColor="text1"/>
        </w:rPr>
        <w:t>for</w:t>
      </w:r>
      <w:r w:rsidRPr="008028D6">
        <w:rPr>
          <w:color w:val="000000" w:themeColor="text1"/>
        </w:rPr>
        <w:t xml:space="preserve"> the use of other </w:t>
      </w:r>
      <w:r w:rsidR="008C1E1B" w:rsidRPr="008028D6">
        <w:rPr>
          <w:color w:val="000000" w:themeColor="text1"/>
        </w:rPr>
        <w:t xml:space="preserve">non-punitive ancillary </w:t>
      </w:r>
      <w:r w:rsidRPr="008028D6">
        <w:rPr>
          <w:color w:val="000000" w:themeColor="text1"/>
        </w:rPr>
        <w:t>sentencing order</w:t>
      </w:r>
      <w:r w:rsidR="00B040DF" w:rsidRPr="008028D6">
        <w:rPr>
          <w:color w:val="000000" w:themeColor="text1"/>
        </w:rPr>
        <w:t>s</w:t>
      </w:r>
      <w:r w:rsidRPr="008028D6">
        <w:rPr>
          <w:color w:val="000000" w:themeColor="text1"/>
        </w:rPr>
        <w:t xml:space="preserve">, </w:t>
      </w:r>
      <w:r w:rsidR="008C1E1B" w:rsidRPr="008028D6">
        <w:rPr>
          <w:color w:val="000000" w:themeColor="text1"/>
        </w:rPr>
        <w:t>specifically</w:t>
      </w:r>
      <w:r w:rsidR="000C08CE" w:rsidRPr="008028D6">
        <w:rPr>
          <w:color w:val="000000" w:themeColor="text1"/>
        </w:rPr>
        <w:t xml:space="preserve"> those</w:t>
      </w:r>
      <w:r w:rsidRPr="008028D6">
        <w:rPr>
          <w:color w:val="000000" w:themeColor="text1"/>
        </w:rPr>
        <w:t xml:space="preserve"> relating to the sex offenders register, in HIV transmission cases.</w:t>
      </w:r>
      <w:r w:rsidRPr="008028D6">
        <w:rPr>
          <w:rStyle w:val="FootnoteReference"/>
          <w:color w:val="000000" w:themeColor="text1"/>
        </w:rPr>
        <w:footnoteReference w:id="84"/>
      </w:r>
      <w:r w:rsidR="00F8618D" w:rsidRPr="008028D6">
        <w:rPr>
          <w:color w:val="000000" w:themeColor="text1"/>
        </w:rPr>
        <w:t xml:space="preserve"> </w:t>
      </w:r>
      <w:r w:rsidRPr="008028D6">
        <w:rPr>
          <w:color w:val="000000" w:themeColor="text1"/>
        </w:rPr>
        <w:t xml:space="preserve">Through the analysis presented here, I have highlighted how the piecemeal development of HIV/STI transmission law, the inaction of Parliament, and perhaps the sex-centric focus of the </w:t>
      </w:r>
      <w:r w:rsidR="004E6D5A" w:rsidRPr="008028D6">
        <w:rPr>
          <w:color w:val="000000" w:themeColor="text1"/>
        </w:rPr>
        <w:t>c</w:t>
      </w:r>
      <w:r w:rsidRPr="008028D6">
        <w:rPr>
          <w:color w:val="000000" w:themeColor="text1"/>
        </w:rPr>
        <w:t xml:space="preserve">ourts in STI transmission cases </w:t>
      </w:r>
      <w:r w:rsidR="00F8618D" w:rsidRPr="008028D6">
        <w:rPr>
          <w:color w:val="000000" w:themeColor="text1"/>
        </w:rPr>
        <w:t>may have</w:t>
      </w:r>
      <w:r w:rsidR="00EF5847" w:rsidRPr="008028D6">
        <w:rPr>
          <w:color w:val="000000" w:themeColor="text1"/>
        </w:rPr>
        <w:t xml:space="preserve"> resulted in</w:t>
      </w:r>
      <w:r w:rsidRPr="008028D6">
        <w:rPr>
          <w:color w:val="000000" w:themeColor="text1"/>
        </w:rPr>
        <w:t xml:space="preserve"> </w:t>
      </w:r>
      <w:r w:rsidR="00F8618D" w:rsidRPr="008028D6">
        <w:rPr>
          <w:color w:val="000000" w:themeColor="text1"/>
        </w:rPr>
        <w:t xml:space="preserve">an </w:t>
      </w:r>
      <w:r w:rsidRPr="008028D6">
        <w:rPr>
          <w:color w:val="000000" w:themeColor="text1"/>
        </w:rPr>
        <w:t>unstable and potentially unworkable</w:t>
      </w:r>
      <w:r w:rsidR="00EF5847" w:rsidRPr="008028D6">
        <w:rPr>
          <w:color w:val="000000" w:themeColor="text1"/>
        </w:rPr>
        <w:t xml:space="preserve"> sentencing framework</w:t>
      </w:r>
      <w:r w:rsidRPr="008028D6">
        <w:rPr>
          <w:color w:val="000000" w:themeColor="text1"/>
        </w:rPr>
        <w:t>. If the law is going to continue to criminalise the transmission of HIV and other sexually transmitted infections, how to effectively sentence these offences</w:t>
      </w:r>
      <w:r w:rsidR="008C1E1B" w:rsidRPr="008028D6">
        <w:rPr>
          <w:color w:val="000000" w:themeColor="text1"/>
        </w:rPr>
        <w:t>, and the role of ancillary orders within this,</w:t>
      </w:r>
      <w:r w:rsidR="00F8618D" w:rsidRPr="008028D6">
        <w:rPr>
          <w:color w:val="000000" w:themeColor="text1"/>
        </w:rPr>
        <w:t xml:space="preserve"> </w:t>
      </w:r>
      <w:r w:rsidRPr="008028D6">
        <w:rPr>
          <w:color w:val="000000" w:themeColor="text1"/>
        </w:rPr>
        <w:t xml:space="preserve">must be more proactively addressed. </w:t>
      </w:r>
    </w:p>
    <w:p w14:paraId="32E570FE" w14:textId="55215D93" w:rsidR="007C6224" w:rsidRPr="008028D6" w:rsidRDefault="00B040DF" w:rsidP="00221A04">
      <w:pPr>
        <w:jc w:val="both"/>
        <w:rPr>
          <w:color w:val="000000" w:themeColor="text1"/>
        </w:rPr>
      </w:pPr>
      <w:r w:rsidRPr="008028D6">
        <w:rPr>
          <w:color w:val="000000" w:themeColor="text1"/>
        </w:rPr>
        <w:t xml:space="preserve">Based on the present statutory language, and the clear opportunity Parliament had in the Anti-Social Behaviour Crime and Policing Act 2014 to amend the earlier language found in the 2003 Act, the transmission of sexually communicable infections does not appear to be, whatever public perception may </w:t>
      </w:r>
      <w:r w:rsidR="004A6EE5" w:rsidRPr="008028D6">
        <w:rPr>
          <w:color w:val="000000" w:themeColor="text1"/>
        </w:rPr>
        <w:t xml:space="preserve">or may not </w:t>
      </w:r>
      <w:r w:rsidRPr="008028D6">
        <w:rPr>
          <w:color w:val="000000" w:themeColor="text1"/>
        </w:rPr>
        <w:t xml:space="preserve">exist, a “sexual harm” – at least for sentencing purposes. </w:t>
      </w:r>
    </w:p>
    <w:sectPr w:rsidR="007C6224" w:rsidRPr="008028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4A38D" w14:textId="77777777" w:rsidR="00FA7887" w:rsidRDefault="00FA7887" w:rsidP="008143C8">
      <w:pPr>
        <w:spacing w:after="0" w:line="240" w:lineRule="auto"/>
      </w:pPr>
      <w:r>
        <w:separator/>
      </w:r>
    </w:p>
  </w:endnote>
  <w:endnote w:type="continuationSeparator" w:id="0">
    <w:p w14:paraId="1A995E62" w14:textId="77777777" w:rsidR="00FA7887" w:rsidRDefault="00FA7887" w:rsidP="0081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1125F" w14:textId="77777777" w:rsidR="00FA7887" w:rsidRDefault="00FA7887" w:rsidP="008143C8">
      <w:pPr>
        <w:spacing w:after="0" w:line="240" w:lineRule="auto"/>
      </w:pPr>
      <w:r>
        <w:separator/>
      </w:r>
    </w:p>
  </w:footnote>
  <w:footnote w:type="continuationSeparator" w:id="0">
    <w:p w14:paraId="08801D72" w14:textId="77777777" w:rsidR="00FA7887" w:rsidRDefault="00FA7887" w:rsidP="008143C8">
      <w:pPr>
        <w:spacing w:after="0" w:line="240" w:lineRule="auto"/>
      </w:pPr>
      <w:r>
        <w:continuationSeparator/>
      </w:r>
    </w:p>
  </w:footnote>
  <w:footnote w:id="1">
    <w:p w14:paraId="7C369E23" w14:textId="6721999E"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Crim","id":"ITEM-1","issued":{"date-parts":[["2004"]]},"page":"1103","title":"R v Dica","type":"legal_case"},"uris":["http://www.mendeley.com/documents/?uuid=1a60c0cb-a32c-3b43-8041-909abade022c"]},{"id":"ITEM-2","itemData":{"container-title":"EWCA Crim","id":"ITEM-2","issued":{"date-parts":[["2005"]]},"page":"706","title":"R. v Konzani (Feston)","type":"legal_case"},"uris":["http://www.mendeley.com/documents/?uuid=879c2edd-a39a-34a0-8ba9-a3a945504e9a"]}],"mendeley":{"formattedCitation":"&lt;i&gt;R v Dica&lt;/i&gt; [2004] EWCA Crim 1103; &lt;i&gt;R v Konzani (Feston)&lt;/i&gt; [2005] EWCA Crim 706.","plainTextFormattedCitation":"R v Dica [2004] EWCA Crim 1103; R v Konzani (Feston) [2005] EWCA Crim 706.","previouslyFormattedCitation":"&lt;i&gt;R v Dica&lt;/i&gt; [2004] EWCA Crim 1103; &lt;i&gt;R v Konzani (Feston)&lt;/i&gt; [2005] EWCA Crim 706."},"properties":{"noteIndex":1},"schema":"https://github.com/citation-style-language/schema/raw/master/csl-citation.json"}</w:instrText>
      </w:r>
      <w:r>
        <w:fldChar w:fldCharType="separate"/>
      </w:r>
      <w:r w:rsidRPr="008143C8">
        <w:rPr>
          <w:i/>
          <w:noProof/>
        </w:rPr>
        <w:t>R v Dica</w:t>
      </w:r>
      <w:r w:rsidRPr="008143C8">
        <w:rPr>
          <w:noProof/>
        </w:rPr>
        <w:t xml:space="preserve"> [2004] EWCA Crim 1103; </w:t>
      </w:r>
      <w:r w:rsidRPr="008143C8">
        <w:rPr>
          <w:i/>
          <w:noProof/>
        </w:rPr>
        <w:t>R v Konzani (Feston)</w:t>
      </w:r>
      <w:r w:rsidRPr="008143C8">
        <w:rPr>
          <w:noProof/>
        </w:rPr>
        <w:t xml:space="preserve"> [2005] EWCA Crim 706.</w:t>
      </w:r>
      <w:r>
        <w:fldChar w:fldCharType="end"/>
      </w:r>
    </w:p>
  </w:footnote>
  <w:footnote w:id="2">
    <w:p w14:paraId="6EFF391A" w14:textId="76FBCB74" w:rsidR="00133EA5" w:rsidRDefault="00133EA5">
      <w:pPr>
        <w:pStyle w:val="FootnoteText"/>
      </w:pPr>
      <w:r>
        <w:rPr>
          <w:rStyle w:val="FootnoteReference"/>
        </w:rPr>
        <w:footnoteRef/>
      </w:r>
      <w:r>
        <w:t xml:space="preserve"> </w:t>
      </w:r>
      <w:r w:rsidRPr="00FB55AF">
        <w:rPr>
          <w:noProof/>
        </w:rPr>
        <w:t>See, generally, J</w:t>
      </w:r>
      <w:r>
        <w:rPr>
          <w:noProof/>
        </w:rPr>
        <w:t>.</w:t>
      </w:r>
      <w:r w:rsidRPr="00FB55AF">
        <w:rPr>
          <w:noProof/>
        </w:rPr>
        <w:t>R</w:t>
      </w:r>
      <w:r>
        <w:rPr>
          <w:noProof/>
        </w:rPr>
        <w:t>.</w:t>
      </w:r>
      <w:r w:rsidRPr="00FB55AF">
        <w:rPr>
          <w:noProof/>
        </w:rPr>
        <w:t xml:space="preserve"> Spencer, ‘Liability for Reckless Infection Pt 1’ (2004) 154 New Law J 384; M</w:t>
      </w:r>
      <w:r>
        <w:rPr>
          <w:noProof/>
        </w:rPr>
        <w:t>.</w:t>
      </w:r>
      <w:r w:rsidRPr="00FB55AF">
        <w:rPr>
          <w:noProof/>
        </w:rPr>
        <w:t xml:space="preserve"> Weait, </w:t>
      </w:r>
      <w:r w:rsidRPr="00FB55AF">
        <w:rPr>
          <w:i/>
          <w:noProof/>
        </w:rPr>
        <w:t>Intimacy and Responsibility: The Criminalisation of HIV Transmission</w:t>
      </w:r>
      <w:r w:rsidRPr="00FB55AF">
        <w:rPr>
          <w:noProof/>
        </w:rPr>
        <w:t xml:space="preserve"> (Routledge-Cavendish 2007); S</w:t>
      </w:r>
      <w:r>
        <w:rPr>
          <w:noProof/>
        </w:rPr>
        <w:t xml:space="preserve">. </w:t>
      </w:r>
      <w:r w:rsidRPr="00FB55AF">
        <w:rPr>
          <w:noProof/>
        </w:rPr>
        <w:t>Ryan, ‘Risk-Taking, Recklessness and HIV Transmission: Accommodating the Reality of Sexual Transmission of HIV within a Justifiable Approach to Criminal Liability’ (2007) 28 Liverpool Law Review 215; L</w:t>
      </w:r>
      <w:r>
        <w:rPr>
          <w:noProof/>
        </w:rPr>
        <w:t>.</w:t>
      </w:r>
      <w:r w:rsidRPr="00FB55AF">
        <w:rPr>
          <w:noProof/>
        </w:rPr>
        <w:t xml:space="preserve"> Cherkassky, ‘Being Informed: The Complexities of Knowledge, Deception and Consent When Transmitting HIV’ (2010) 74 The Journal of Criminal Law 242; G</w:t>
      </w:r>
      <w:r>
        <w:rPr>
          <w:noProof/>
        </w:rPr>
        <w:t>. R.</w:t>
      </w:r>
      <w:r w:rsidRPr="00FB55AF">
        <w:rPr>
          <w:noProof/>
        </w:rPr>
        <w:t xml:space="preserve"> Mawhinney, ‘To Be Ill or to Kill: The Criminality of Contagion’ (2013) 77 The Journal of Criminal Law 202;</w:t>
      </w:r>
      <w:r w:rsidRPr="003039FE">
        <w:rPr>
          <w:noProof/>
        </w:rPr>
        <w:t xml:space="preserve"> </w:t>
      </w:r>
      <w:r>
        <w:rPr>
          <w:noProof/>
        </w:rPr>
        <w:t>A.</w:t>
      </w:r>
      <w:r w:rsidRPr="00FB55AF">
        <w:rPr>
          <w:noProof/>
        </w:rPr>
        <w:t xml:space="preserve"> Clough, ‘Conditional Consent and Purposeful Deception’ (2018) 82 The Journal of Criminal Law 178; S</w:t>
      </w:r>
      <w:r>
        <w:rPr>
          <w:noProof/>
        </w:rPr>
        <w:t>.</w:t>
      </w:r>
      <w:r w:rsidRPr="00FB55AF">
        <w:rPr>
          <w:noProof/>
        </w:rPr>
        <w:t xml:space="preserve"> Ryan, ‘“Active Deception” v Non-Disclosure: HIV Transmission, Non-Fatal Offences and Criminal Responsibility’ [2019] Criminal Law Review 4</w:t>
      </w:r>
      <w:r>
        <w:rPr>
          <w:noProof/>
        </w:rPr>
        <w:t>.</w:t>
      </w:r>
    </w:p>
  </w:footnote>
  <w:footnote w:id="3">
    <w:p w14:paraId="2D24161B" w14:textId="68044F5D" w:rsidR="00133EA5" w:rsidRPr="007C1052" w:rsidRDefault="00133EA5" w:rsidP="00B7698E">
      <w:pPr>
        <w:pStyle w:val="FootnoteText"/>
        <w:jc w:val="both"/>
        <w:rPr>
          <w:color w:val="000000" w:themeColor="text1"/>
        </w:rPr>
      </w:pPr>
      <w:r>
        <w:rPr>
          <w:rStyle w:val="FootnoteReference"/>
        </w:rPr>
        <w:footnoteRef/>
      </w:r>
      <w:r>
        <w:t xml:space="preserve"> See, generally,</w:t>
      </w:r>
      <w:r w:rsidRPr="007C1052">
        <w:rPr>
          <w:color w:val="000000" w:themeColor="text1"/>
        </w:rPr>
        <w:fldChar w:fldCharType="begin" w:fldLock="1"/>
      </w:r>
      <w:r w:rsidRPr="007C1052">
        <w:rPr>
          <w:color w:val="000000" w:themeColor="text1"/>
        </w:rPr>
        <w:instrText>ADDIN CSL_CITATION {"citationItems":[{"id":"ITEM-1","itemData":{"abstract":"In the first of a two-part series, J R Spencer QC discusses criminal liability for reckless infection· legal and policy issues arising from Clarence and Dica· current arguments against criminal liability for reckless infection The issue is not a new one, discussed as far back as 1670 in Hale's History of the Pleas of the Crown, but public attention has been drawn to it again by the recent case of Mohammed Dica (see \"Biological GBH: overruling Clarence?\", Carol Withey, NLJ, 14 November 2003, p 1698). Dica, it will be recalled, was aware that he was HIV positive, and in succession infected two women with whom he formed relationships, neither of whom knew he was infected, and with both of whom he regularly had unprotected sex. For this he was prosecuted under s 20 of the Offences Against the Person Act 1861 for maliciously inflicting grievous bodily harm--an offence for which the mental element is either intention or recklessness--and on conviction was sentenced to eight years' imprisonment.","author":[{"dropping-particle":"","family":"Spencer","given":"J R","non-dropping-particle":"","parse-names":false,"suffix":""}],"container-title":"New Law J","id":"ITEM-1","issue":"384","issued":{"date-parts":[["2004"]]},"page":"384-385","title":"Liability for reckless infection Pt 1","type":"article-journal","volume":"154"},"prefix":"See, generally, ","uris":["http://www.mendeley.com/documents/?uuid=5661dfaf-b56a-3ecf-b488-4802ede7e7a6"]},{"id":"ITEM-2","itemData":{"author":[{"dropping-particle":"","family":"Weait","given":"Matthew","non-dropping-particle":"","parse-names":false,"suffix":""}],"container-title":"Sexuality and the Law","editor":[{"dropping-particle":"","family":"Stychin","given":"Carl","non-dropping-particle":"","parse-names":false,"suffix":""},{"dropping-particle":"","family":"Mulcahy","given":"Linda","non-dropping-particle":"","parse-names":false,"suffix":""}],"id":"ITEM-2","issued":{"date-parts":[["2007"]]},"publisher":"Routledge-Cavendish","publisher-place":"Abingdon","title":"On being responsible","type":"chapter"},"uris":["http://www.mendeley.com/documents/?uuid=e97ace8e-bf5d-4cc6-9fd1-5dcbbe6611b0"]},{"id":"ITEM-3","itemData":{"ISBN":"0-203-93793-7","abstract":"\"A GlassHouse book.\" The terrain : the state, criminal justice and HIV -- The trial of Feston Konzani -- Harm, causation and HIV infection -- Risk, recklessness and HIV -- Consent, knowledge and disclosure -- Responsibility, HIV transmission and the criminal law.","author":[{"dropping-particle":"","family":"Weait","given":"Matthew.","non-dropping-particle":"","parse-names":false,"suffix":""}],"id":"ITEM-3","issued":{"date-parts":[["2007"]]},"number-of-pages":"250","publisher":"Routledge-Cavendish","title":"Intimacy and Responsibility: The Criminalisation of HIV Transmission","type":"book"},"uris":["http://www.mendeley.com/documents/?uuid=279e4351-6739-3359-b7dc-1c0dd975be22"]},{"id":"ITEM-4","itemData":{"DOI":"10.1007/s10991-007-9020-7","ISSN":"0144932X","author":[{"dropping-particle":"","family":"Ryan","given":"Samantha","non-dropping-particle":"","parse-names":false,"suffix":""}],"container-title":"Liverpool Law Review","id":"ITEM-4","issue":"2","issued":{"date-parts":[["2007","9","8"]]},"page":"215-247","publisher":"Springer Netherlands","title":"Risk-taking, recklessness and HIV transmission: Accommodating the reality of sexual transmission of HIV within a justifiable approach to criminal liability","type":"article-journal","volume":"28"},"uris":["http://www.mendeley.com/documents/?uuid=fe7c8134-4271-3bb7-b3de-0e9fe971a41f"]},{"id":"ITEM-5","itemData":{"DOI":"10.1350/jcla.2010.74.3.636","ISSN":"0022-0183","abstract":"The offence of inflicting grievous bodily harm under s. 20 of the Offences Against the Person Act 1861 has been confirmed as the most appropriate ground for convicting a reckless transmission of the HIV virus through sexual intercourse. 1 An informed consent from the victim, along with a reasonable belief in that consent from the defendant, will now suffice as a defence to such a charge. 2 However, it remains unclear how and when the victim must be informed of the relevant circumstances in order to provide consent to infected intercourse, and it is also undecided whether the defendant himself must divulge his HIV status in order to claim an honest belief in the victim's consent. 3 Additionally, the fine line of consensual activity drawn in R v Brown 4 appears to have been eroded by recent HIV transmission cases. 5 This article outlines the development in relation to s. 20 to include HIV offences; it aims to untangle the recent authorities on knowledge, deception and consent in relation to both victims and perpetrators in reckless HIV transmission cases and suggests a way forward for the law in the shape of a new offence. The issue of informed consent in relation to sexual offences has been discussed at length recently, highlighting the ambiguous nature of s. 74 of the Sexual Offences Act 2003. A defendant's deceptive state of mind during the act of intercourse calls into question whether the victim's consent to sexual intercourse is properly informed. What if, on the occasion that consent to intercourse is present from both parties, one","author":[{"dropping-particle":"","family":"Cherkassky","given":"Lisa","non-dropping-particle":"","parse-names":false,"suffix":""}],"container-title":"The Journal of Criminal Law","id":"ITEM-5","issue":"3","issued":{"date-parts":[["2010"]]},"page":"242-258","title":"Being Informed: The Complexities of Knowledge, Deception and Consent when Transmitting HIV","type":"article-journal","volume":"74"},"uris":["http://www.mendeley.com/documents/?uuid=ca29e3a9-9518-352e-b735-305e5ba072e5"]},{"id":"ITEM-6","itemData":{"DOI":"10.1350/jcla.2013.77.3.840","author":[{"dropping-particle":"","family":"Mawhinney","given":"George R","non-dropping-particle":"","parse-names":false,"suffix":""}],"container-title":"The Journal of Criminal Law","id":"ITEM-6","issue":"3","issued":{"date-parts":[["2013","6"]]},"note":"Dull, generic and not particularly insightful. Whilst the points it makes about culpability may have some validity, they are lost in a sea of hyperbole and stigmatisation of HIV.","page":"202","title":"To Be Ill or to Kill: The Criminality of Contagion","type":"article-journal","volume":"77"},"uris":["http://www.mendeley.com/documents/?uuid=a557abaa-8ab7-4002-8d93-f6d8a1379a67"]},{"id":"ITEM-7","itemData":{"DOI":"10.1017/S1744552313000293","ISSN":"17445531","abstract":"This paper describes the ways in which, over the past three decades, law has come to serve as an obstacle in the fight against HIV, and how it contributes to the stigmatisation of, and discrimination against, people living with the virus. It argues that in order to make unsafe law safer, policy-makers, legislators and those responsible for the interpretation and enforcement of law must base their HIV response not on populist morality but on the strong evidence base provided by three decades of clinical, scientific and social research. Drawing on that research and the author's own involvement in policy development in this area, it suggests that rights-based arguments are, while important, insufficient as the basis for delivering the changes that are necessary, discusses the difficulties involved in achieving those changes, and argues that legal scholarship and research has an important role to play in HIV activism and combating the global epidemic.","author":[{"dropping-particle":"","family":"Weait","given":"Matthew","non-dropping-particle":"","parse-names":false,"suffix":""}],"container-title":"International Journal of Law in Context","id":"ITEM-7","issue":"4","issued":{"date-parts":[["2013"]]},"page":"535-564","title":"Unsafe law: Health, rights and the legal response to HIV","type":"article-journal","volume":"9"},"uris":["http://www.mendeley.com/documents/?uuid=8e4d0c63-f9f6-3da8-a859-ebee8406b273"]},{"id":"ITEM-8","itemData":{"DOI":"10.1177/0025802413519248","ISSN":"00258024","PMID":"24526668","abstract":"This article considers two issues in relation to the criminal transmission of HIV. Currently, the use of condoms, and a defendant's viral load, has not been an issue that has been raised in the courts. The article considers how the defence, prosecution and judge may deal with such evidential issues. It will discuss how an expert opinion may be utilised or discredited by counsel for the defendant and counsel for the prosecution. The article will consider how the defence can demonstrate that the defendant was not reckless and how the prosecution can establish that the defendant was actually reckless. It will also assess how the judge, in trial, may address condom use and the level of the defendant's viral load when directing the jury. Finally, it is argued that it is in the public interest to allow condom use and viral loads to be used to negate recklessness.; © The Author(s) 2014 Reprints and permissions: sagepub.co.uk/journalsPermissions.nav.","author":[{"dropping-particle":"","family":"Hughes","given":"David","non-dropping-particle":"","parse-names":false,"suffix":""}],"container-title":"Medicine, Science and the Law","id":"ITEM-8","issue":"4","issued":{"date-parts":[["2014"]]},"page":"187-192","title":"The criminal transmission of HIV: Issues with condom use and viral load","type":"article-journal","volume":"54"},"uris":["http://www.mendeley.com/documents/?uuid=356f890f-3f19-4993-a229-e88f04269b3c"]},{"id":"ITEM-9","itemData":{"DOI":"10.1177/1363460715569130","ISSN":"1363-4607","abstract":"This article seeks to explore bareback sex in the context of an evolving socio-legal landscape. The emergence of homonormativity and the intrinsic focus upon marriage and an agenda of domesticity have cemented the ‘good gay’ at the heart of contemporary society. For the ‘bad queer’, bareback as identity and bareback as act can be negotiated as points of difference, but the law continues to struggle with such difference. Instead, we increasingly see doctrinal law along with the force of law seeking to erase bareback sex, notably in the context of pornography. This piece argues for the radical power of bareback sex as a liberation-inspired concept, one that serves as point of resistance to law. [ABSTRACT FROM PUBLISHER]","author":[{"dropping-particle":"","family":"Ashford","given":"Chris","non-dropping-particle":"","parse-names":false,"suffix":""}],"container-title":"Sexualities","id":"ITEM-9","issue":"1-2","issued":{"date-parts":[["2015"]]},"page":"195-209","title":"Bareback sex, queer legal theory, and evolving socio-legal contexts","type":"article-journal","volume":"18"},"uris":["http://www.mendeley.com/documents/?uuid=706ae752-3efe-36fd-b2b0-72c6c071e6fe"]},{"id":"ITEM-10","itemData":{"DOI":"10.1080/19419899.2017.1393451","ISBN":"9781461436393","ISSN":"19419902","abstract":"The Criminology of Climate Change.- It’s the End of the World as We Know It: Climate Change from a Criminological Perspective.- Heading Toward a New Criminogenic Climate: Climate Change, Political Economy, and Environmental Security.- The Cultural Silence of Climate Change Contrarianism.- Is Global warming a State-Corporate Crime?- Climate Change in the Courts: A US and Global Perspective.- Environmental Enforcement Networks: Their Role in Climate Change Enforcement.- Oil Production, Climate Change, and Species Decline: The Case of Norway.- Climate Change, Gender, and Natural Disasters: Social Differences and Environment-Related Victimisation.- Natural Disasters and Crime: Criminological Lessons from Hurricane Katrina.- Uncontrollable Nuclear Power Accidents and Fatal Environmental Harm.- A Proposal for a New Vehicle Based Carbon Tax.- Conclusion.","author":[{"dropping-particle":"","family":"Brennan","given":"Joseph","non-dropping-particle":"","parse-names":false,"suffix":""}],"container-title":"Psychology and Sexuality","id":"ITEM-10","issue":"4","issued":{"date-parts":[["2017"]]},"page":"318-333","title":"Stealth breeding: bareback without consent","type":"article-journal","volume":"8"},"uris":["http://www.mendeley.com/documents/?uuid=3d9f2cd7-6d15-4374-942e-d9134717c820"]},{"id":"ITEM-11","itemData":{"DOI":"10.1177/0022018318761687","ISSN":"0022-0183","abstract":"The media has recently given much attention to the 'stealthing' trend, undisclosed condom removal during sex and how this may affect consent to sexual activity. This paper seeks to discuss where situations like this sit within the Sexual Offenses Act 2003, and how it may compare to other instances of consent gained in deceitful circumstances.","author":[{"dropping-particle":"","family":"Clough","given":"Amanda","non-dropping-particle":"","parse-names":false,"suffix":""}],"container-title":"The Journal of Criminal Law","id":"ITEM-11","issue":"2","issued":{"date-parts":[["2018","4","12"]]},"page":"178-190","title":"Conditional Consent and Purposeful Deception","type":"article-journal","volume":"82"},"uris":["http://www.mendeley.com/documents/?uuid=d171d4ab-01c8-3135-b730-0092802e62bd"]},{"id":"ITEM-12","itemData":{"author":[{"dropping-particle":"","family":"Ryan","given":"Samantha","non-dropping-particle":"","parse-names":false,"suffix":""}],"container-title":"Criminal Law Review","id":"ITEM-12","issued":{"date-parts":[["2019"]]},"page":"4-19","title":"\"Active Deception\" v non-disclosure: HIV transmission, non-fatal offences and criminal responsibility","type":"article-journal"},"uris":["http://www.mendeley.com/documents/?uuid=c3f69a9e-3a6d-4af5-91c6-a307d9493cf6"]}],"mendeley":{"formattedCitation":"See, generally, JR Spencer, ‘Liability for Reckless Infection Pt 1’ (2004) 154 New Law J 384; Matthew Weait, ‘On Being Responsible’ in Carl Stychin and Linda Mulcahy (eds), &lt;i&gt;Sexuality and the Law&lt;/i&gt; (Routledge-Cavendish 2007); Matthew Weait, &lt;i&gt;Intimacy and Responsibility: The Criminalisation of HIV Transmission&lt;/i&gt; (Routledge-Cavendish 2007); Samantha Ryan, ‘Risk-Taking, Recklessness and HIV Transmission: Accommodating the Reality of Sexual Transmission of HIV within a Justifiable Approach to Criminal Liability’ (2007) 28 Liverpool Law Review 215; Lisa Cherkassky, ‘Being Informed: The Complexities of Knowledge, Deception and Consent When Transmitting HIV’ (2010) 74 The Journal of Criminal Law 242; George R Mawhinney, ‘To Be Ill or to Kill: The Criminality of Contagion’ (2013) 77 The Journal of Criminal Law 202; Matthew Weait, ‘Unsafe Law: Health, Rights and the Legal Response to HIV’ (2013) 9 International Journal of Law in Context 535; David Hughes, ‘The Criminal Transmission of HIV: Issues with Condom Use and Viral Load’ (2014) 54 Medicine, Science and the Law 187; Chris Ashford, ‘Bareback Sex, Queer Legal Theory, and Evolving Socio-Legal Contexts’ (2015) 18 Sexualities 195; Joseph Brennan, ‘Stealth Breeding: Bareback without Consent’ (2017) 8 Psychology and Sexuality 318; Amanda Clough, ‘Conditional Consent and Purposeful Deception’ (2018) 82 The Journal of Criminal Law 178; Samantha Ryan, ‘“Active Deception” v Non-Disclosure: HIV Transmission, Non-Fatal Offences and Criminal Responsibility’ [2019] Criminal Law Review 4.","plainTextFormattedCitation":"See, generally, JR Spencer, ‘Liability for Reckless Infection Pt 1’ (2004) 154 New Law J 384; Matthew Weait, ‘On Being Responsible’ in Carl Stychin and Linda Mulcahy (eds), Sexuality and the Law (Routledge-Cavendish 2007); Matthew Weait, Intimacy and Responsibility: The Criminalisation of HIV Transmission (Routledge-Cavendish 2007); Samantha Ryan, ‘Risk-Taking, Recklessness and HIV Transmission: Accommodating the Reality of Sexual Transmission of HIV within a Justifiable Approach to Criminal Liability’ (2007) 28 Liverpool Law Review 215; Lisa Cherkassky, ‘Being Informed: The Complexities of Knowledge, Deception and Consent When Transmitting HIV’ (2010) 74 The Journal of Criminal Law 242; George R Mawhinney, ‘To Be Ill or to Kill: The Criminality of Contagion’ (2013) 77 The Journal of Criminal Law 202; Matthew Weait, ‘Unsafe Law: Health, Rights and the Legal Response to HIV’ (2013) 9 International Journal of Law in Context 535; David Hughes, ‘The Criminal Transmission of HIV: Issues with Condom Use and Viral Load’ (2014) 54 Medicine, Science and the Law 187; Chris Ashford, ‘Bareback Sex, Queer Legal Theory, and Evolving Socio-Legal Contexts’ (2015) 18 Sexualities 195; Joseph Brennan, ‘Stealth Breeding: Bareback without Consent’ (2017) 8 Psychology and Sexuality 318; Amanda Clough, ‘Conditional Consent and Purposeful Deception’ (2018) 82 The Journal of Criminal Law 178; Samantha Ryan, ‘“Active Deception” v Non-Disclosure: HIV Transmission, Non-Fatal Offences and Criminal Responsibility’ [2019] Criminal Law Review 4.","previouslyFormattedCitation":"See, generally, JR Spencer, ‘Liability for Reckless Infection Pt 1’ (2004) 154 New Law J 384; Matthew Weait, ‘On Being Responsible’ in Carl Stychin and Linda Mulcahy (eds), &lt;i&gt;Sexuality and the Law&lt;/i&gt; (Routledge-Cavendish 2007); Matthew Weait, &lt;i&gt;Intimacy and Responsibility: The Criminalisation of HIV Transmission&lt;/i&gt; (Routledge-Cavendish 2007); Samantha Ryan, ‘Risk-Taking, Recklessness and HIV Transmission: Accommodating the Reality of Sexual Transmission of HIV within a Justifiable Approach to Criminal Liability’ (2007) 28 Liverpool Law Review 215; Lisa Cherkassky, ‘Being Informed: The Complexities of Knowledge, Deception and Consent When Transmitting HIV’ (2010) 74 The Journal of Criminal Law 242; George R Mawhinney, ‘To Be Ill or to Kill: The Criminality of Contagion’ (2013) 77 The Journal of Criminal Law 202; Matthew Weait, ‘Unsafe Law: Health, Rights and the Legal Response to HIV’ (2013) 9 International Journal of Law in Context 535; David Hughes, ‘The Criminal Transmission of HIV: Issues with Condom Use and Viral Load’ (2014) 54 Medicine, Science and the Law 187; Chris Ashford, ‘Bareback Sex, Queer Legal Theory, and Evolving Socio-Legal Contexts’ (2015) 18 Sexualities 195; Joseph Brennan, ‘Stealth Breeding: Bareback without Consent’ (2017) 8 Psychology and Sexuality 318; Amanda Clough, ‘Conditional Consent and Purposeful Deception’ (2018) 82 The Journal of Criminal Law 178; Samantha Ryan, ‘“Active Deception” v Non-Disclosure: HIV Transmission, Non-Fatal Offences and Criminal Responsibility’ [2019] Criminal Law Review 4."},"properties":{"noteIndex":2},"schema":"https://github.com/citation-style-language/schema/raw/master/csl-citation.json"}</w:instrText>
      </w:r>
      <w:r w:rsidRPr="007C1052">
        <w:rPr>
          <w:color w:val="000000" w:themeColor="text1"/>
        </w:rPr>
        <w:fldChar w:fldCharType="separate"/>
      </w:r>
      <w:r w:rsidRPr="007C1052">
        <w:rPr>
          <w:noProof/>
          <w:color w:val="000000" w:themeColor="text1"/>
        </w:rPr>
        <w:t xml:space="preserve"> D. Hughes, ‘The Criminal Transmission of HIV: Issues with Condom Use and Viral Load’ (2014) 54 Medicine, Science and the Law 187; C. Ashford, ‘Bareback Sex, Queer Legal Theory, and Evolving Socio-Legal Contexts’ (2015) 18 Sexualities 195; J. Brennan, ‘Stealth Breeding: Bareback without Consent’ (2017) 8 Psychology and Sexuality 318; M. Weait, 'Limit Cases: How and Why We Can and Should Decriminalise HIV Transmission, Exposure and Non-Disclosure' (2019) 27 Medical Law Review 576.</w:t>
      </w:r>
      <w:r w:rsidRPr="007C1052">
        <w:rPr>
          <w:color w:val="000000" w:themeColor="text1"/>
        </w:rPr>
        <w:fldChar w:fldCharType="end"/>
      </w:r>
    </w:p>
  </w:footnote>
  <w:footnote w:id="4">
    <w:p w14:paraId="253F7C7D" w14:textId="77777777" w:rsidR="00133EA5" w:rsidRPr="007C1052" w:rsidRDefault="00133EA5" w:rsidP="00B7698E">
      <w:pPr>
        <w:pStyle w:val="FootnoteText"/>
        <w:jc w:val="both"/>
        <w:rPr>
          <w:color w:val="000000" w:themeColor="text1"/>
        </w:rPr>
      </w:pPr>
      <w:r w:rsidRPr="007C1052">
        <w:rPr>
          <w:rStyle w:val="FootnoteReference"/>
          <w:color w:val="000000" w:themeColor="text1"/>
        </w:rPr>
        <w:footnoteRef/>
      </w:r>
      <w:r w:rsidRPr="007C1052">
        <w:rPr>
          <w:color w:val="000000" w:themeColor="text1"/>
        </w:rPr>
        <w:t xml:space="preserve"> </w:t>
      </w:r>
      <w:r w:rsidRPr="007C1052">
        <w:rPr>
          <w:color w:val="000000" w:themeColor="text1"/>
        </w:rPr>
        <w:fldChar w:fldCharType="begin" w:fldLock="1"/>
      </w:r>
      <w:r w:rsidRPr="007C1052">
        <w:rPr>
          <w:color w:val="000000" w:themeColor="text1"/>
        </w:rPr>
        <w:instrText>ADDIN CSL_CITATION {"citationItems":[{"id":"ITEM-1","itemData":{"DOI":"10.1136/sextrans-2012-050978","ISSN":"13684973","abstract":"In England, Wales and Scotland, those who unintentionally transmit HIV through sexual intercourse are at risk of criminal prosecution, and furthermore may be at risk of imprisonment under the Offences Against the Person Act 1861. These sentences have ranged between 1 and 10 years. There has been a long debate on whether this is an acceptable use of the law, and indeed whether those who transmit HIV in this manner should be subjected to legal proceedings. Previous debate has embraced the rhetoric of shared responsibility and public health. In this paper, we wished instead to apply traditional justifications for sentencing (including retribution, deterrence, rehabilitation, incapacitation and reparation) to imprisonment for non-intentional transmission of HIV through consensual sexual intercourse. We argue that when these principles are applied to imprisonment for this 'crime', we are unable to justify imprisonment sufficiently, and therefore, that imprisonment is a misguided response to HIV transmission.","author":[{"dropping-particle":"","family":"Phillips","given":"Matthew","non-dropping-particle":"","parse-names":false,"suffix":""},{"dropping-particle":"","family":"Sukthankar","given":"Ashish","non-dropping-particle":"","parse-names":false,"suffix":""}],"container-title":"Sexually Transmitted Infections","id":"ITEM-1","issue":"4","issued":{"date-parts":[["2013"]]},"page":"276-279","title":"Imprisonment for non-intentional transmission of HIV: Can it be supported using established principles for justifying criminal sentencing?","type":"article-journal","volume":"89"},"uris":["http://www.mendeley.com/documents/?uuid=1e5f37b4-9d53-3c43-9c6d-e3dbbd090d72"]}],"mendeley":{"formattedCitation":"Matthew Phillips and Ashish Sukthankar, ‘Imprisonment for Non-Intentional Transmission of HIV: Can It Be Supported Using Established Principles for Justifying Criminal Sentencing?’ (2013) 89 Sexually Transmitted Infections 276.","plainTextFormattedCitation":"Matthew Phillips and Ashish Sukthankar, ‘Imprisonment for Non-Intentional Transmission of HIV: Can It Be Supported Using Established Principles for Justifying Criminal Sentencing?’ (2013) 89 Sexually Transmitted Infections 276.","previouslyFormattedCitation":"Matthew Phillips and Ashish Sukthankar, ‘Imprisonment for Non-Intentional Transmission of HIV: Can It Be Supported Using Established Principles for Justifying Criminal Sentencing?’ (2013) 89 Sexually Transmitted Infections 276."},"properties":{"noteIndex":3},"schema":"https://github.com/citation-style-language/schema/raw/master/csl-citation.json"}</w:instrText>
      </w:r>
      <w:r w:rsidRPr="007C1052">
        <w:rPr>
          <w:color w:val="000000" w:themeColor="text1"/>
        </w:rPr>
        <w:fldChar w:fldCharType="separate"/>
      </w:r>
      <w:r w:rsidRPr="007C1052">
        <w:rPr>
          <w:noProof/>
          <w:color w:val="000000" w:themeColor="text1"/>
        </w:rPr>
        <w:t>M. Phillips and A. Sukthankar, ‘Imprisonment for Non-Intentional Transmission of HIV: Can It Be Supported Using Established Principles for Justifying Criminal Sentencing?’ (2013) 89 Sexually Transmitted Infections 276.</w:t>
      </w:r>
      <w:r w:rsidRPr="007C1052">
        <w:rPr>
          <w:color w:val="000000" w:themeColor="text1"/>
        </w:rPr>
        <w:fldChar w:fldCharType="end"/>
      </w:r>
      <w:r w:rsidRPr="007C1052">
        <w:rPr>
          <w:color w:val="000000" w:themeColor="text1"/>
        </w:rPr>
        <w:t xml:space="preserve"> </w:t>
      </w:r>
    </w:p>
    <w:p w14:paraId="2EB34BAB" w14:textId="1FAEECFB" w:rsidR="00133EA5" w:rsidRPr="007C1052" w:rsidRDefault="00133EA5" w:rsidP="00B7698E">
      <w:pPr>
        <w:pStyle w:val="FootnoteText"/>
        <w:jc w:val="both"/>
        <w:rPr>
          <w:color w:val="000000" w:themeColor="text1"/>
        </w:rPr>
      </w:pPr>
      <w:r w:rsidRPr="007C1052">
        <w:rPr>
          <w:color w:val="000000" w:themeColor="text1"/>
        </w:rPr>
        <w:t xml:space="preserve">Phillips and </w:t>
      </w:r>
      <w:proofErr w:type="spellStart"/>
      <w:r w:rsidRPr="007C1052">
        <w:rPr>
          <w:color w:val="000000" w:themeColor="text1"/>
        </w:rPr>
        <w:t>Su</w:t>
      </w:r>
      <w:r w:rsidR="002771B8" w:rsidRPr="007C1052">
        <w:rPr>
          <w:color w:val="000000" w:themeColor="text1"/>
        </w:rPr>
        <w:t>k</w:t>
      </w:r>
      <w:r w:rsidRPr="007C1052">
        <w:rPr>
          <w:color w:val="000000" w:themeColor="text1"/>
        </w:rPr>
        <w:t>thankar</w:t>
      </w:r>
      <w:proofErr w:type="spellEnd"/>
      <w:r w:rsidRPr="007C1052">
        <w:rPr>
          <w:color w:val="000000" w:themeColor="text1"/>
        </w:rPr>
        <w:t xml:space="preserve"> focus exclusively on the s.142 theoretical justifications which, as a reviewer of this paper highlighted, does not address the custody threshold test found in s.152 of the CJA 2003</w:t>
      </w:r>
      <w:r w:rsidR="002771B8" w:rsidRPr="007C1052">
        <w:rPr>
          <w:color w:val="000000" w:themeColor="text1"/>
        </w:rPr>
        <w:t xml:space="preserve"> assessing</w:t>
      </w:r>
      <w:r w:rsidRPr="007C1052">
        <w:rPr>
          <w:color w:val="000000" w:themeColor="text1"/>
        </w:rPr>
        <w:t xml:space="preserve"> seriousness. As Ashworth and Player point out, both the custody/community threshold tests and the proportionality principle effectively set the boundaries on the ‘pursuit’ of s.142 aims, without negating the need for these principles to be considered</w:t>
      </w:r>
      <w:r w:rsidR="00D743A5" w:rsidRPr="007C1052">
        <w:rPr>
          <w:color w:val="000000" w:themeColor="text1"/>
        </w:rPr>
        <w:t>. See,</w:t>
      </w:r>
      <w:r w:rsidRPr="007C1052">
        <w:rPr>
          <w:color w:val="000000" w:themeColor="text1"/>
        </w:rPr>
        <w:t xml:space="preserve"> A. Ashworth and E. Player, ‘Criminal Justice Act 2003: The Sentencing Provisions’ (2005) 68 Modern Law Review 822</w:t>
      </w:r>
      <w:r w:rsidR="00D743A5" w:rsidRPr="007C1052">
        <w:rPr>
          <w:color w:val="000000" w:themeColor="text1"/>
        </w:rPr>
        <w:t xml:space="preserve"> at</w:t>
      </w:r>
      <w:r w:rsidRPr="007C1052">
        <w:rPr>
          <w:color w:val="000000" w:themeColor="text1"/>
        </w:rPr>
        <w:t xml:space="preserve"> 826. </w:t>
      </w:r>
    </w:p>
  </w:footnote>
  <w:footnote w:id="5">
    <w:p w14:paraId="2433E015" w14:textId="0A41A2F6" w:rsidR="00133EA5" w:rsidRDefault="00133EA5" w:rsidP="00B7698E">
      <w:pPr>
        <w:pStyle w:val="FootnoteText"/>
        <w:jc w:val="both"/>
      </w:pPr>
      <w:r w:rsidRPr="007C1052">
        <w:rPr>
          <w:rStyle w:val="FootnoteReference"/>
          <w:color w:val="000000" w:themeColor="text1"/>
        </w:rPr>
        <w:footnoteRef/>
      </w:r>
      <w:r w:rsidRPr="007C1052">
        <w:rPr>
          <w:color w:val="000000" w:themeColor="text1"/>
        </w:rPr>
        <w:t xml:space="preserve"> </w:t>
      </w:r>
      <w:r w:rsidRPr="007C1052">
        <w:rPr>
          <w:color w:val="000000" w:themeColor="text1"/>
        </w:rPr>
        <w:fldChar w:fldCharType="begin" w:fldLock="1"/>
      </w:r>
      <w:r w:rsidRPr="007C1052">
        <w:rPr>
          <w:color w:val="000000" w:themeColor="text1"/>
        </w:rPr>
        <w:instrText>ADDIN CSL_CITATION {"citationItems":[{"id":"ITEM-1","itemData":{"container-title":"EWCA Crim","id":"ITEM-1","issued":{"date-parts":[["2018"]]},"page":"2688","title":"R v Rowe","type":"legal_case"},"uris":["http://www.mendeley.com/documents/?uuid=e182c37e-e0e8-4f4b-9904-f1384027db23"]}],"mendeley":{"formattedCitation":"&lt;i&gt;R v Rowe&lt;/i&gt; [2018] EWCA Crim 2688.","plainTextFormattedCitation":"R v Rowe [2018] EWCA Crim 2688.","previouslyFormattedCitation":"&lt;i&gt;R v Rowe&lt;/i&gt; [2018] EWCA Crim 2688."},"properties":{"noteIndex":4},"schema":"https://github.com/citation-style-language/schema/raw/master/csl-citation.json"}</w:instrText>
      </w:r>
      <w:r w:rsidRPr="007C1052">
        <w:rPr>
          <w:color w:val="000000" w:themeColor="text1"/>
        </w:rPr>
        <w:fldChar w:fldCharType="separate"/>
      </w:r>
      <w:r w:rsidRPr="007C1052">
        <w:rPr>
          <w:i/>
          <w:noProof/>
          <w:color w:val="000000" w:themeColor="text1"/>
        </w:rPr>
        <w:t>R v Rowe</w:t>
      </w:r>
      <w:r w:rsidRPr="007C1052">
        <w:rPr>
          <w:noProof/>
          <w:color w:val="000000" w:themeColor="text1"/>
        </w:rPr>
        <w:t xml:space="preserve"> [2018] EWCA Crim 2688.</w:t>
      </w:r>
      <w:r w:rsidRPr="007C1052">
        <w:rPr>
          <w:color w:val="000000" w:themeColor="text1"/>
        </w:rPr>
        <w:fldChar w:fldCharType="end"/>
      </w:r>
    </w:p>
  </w:footnote>
  <w:footnote w:id="6">
    <w:p w14:paraId="4236ABA4" w14:textId="19AFCB52"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uthor":[{"dropping-particle":"","family":"Burris","given":"Scott","non-dropping-particle":"","parse-names":false,"suffix":""},{"dropping-particle":"","family":"Weait","given":"Matthew","non-dropping-particle":"","parse-names":false,"suffix":""}],"container-title":"Third Meeting of the Technical Advisory Group on the Global Commission on HIV and the Law","id":"ITEM-1","issued":{"date-parts":[["2012"]]},"title":"Criminalisation and the Moral Responsibility for Sexual Transmission of HIV","type":"paper-conference"},"uris":["http://www.mendeley.com/documents/?uuid=caf153bb-1677-3288-8bb2-9cb25046b49e"]}],"mendeley":{"formattedCitation":"Scott Burris and Matthew Weait, ‘Criminalisation and the Moral Responsibility for Sexual Transmission of HIV’, &lt;i&gt;Third Meeting of the Technical Advisory Group on the Global Commission on HIV and the Law&lt;/i&gt; (2012).","plainTextFormattedCitation":"Scott Burris and Matthew Weait, ‘Criminalisation and the Moral Responsibility for Sexual Transmission of HIV’, Third Meeting of the Technical Advisory Group on the Global Commission on HIV and the Law (2012).","previouslyFormattedCitation":"Scott Burris and Matthew Weait, ‘Criminalisation and the Moral Responsibility for Sexual Transmission of HIV’, &lt;i&gt;Third Meeting of the Technical Advisory Group on the Global Commission on HIV and the Law&lt;/i&gt; (2012)."},"properties":{"noteIndex":5},"schema":"https://github.com/citation-style-language/schema/raw/master/csl-citation.json"}</w:instrText>
      </w:r>
      <w:r>
        <w:fldChar w:fldCharType="separate"/>
      </w:r>
      <w:r w:rsidRPr="000E19E0">
        <w:rPr>
          <w:noProof/>
        </w:rPr>
        <w:t>S</w:t>
      </w:r>
      <w:r>
        <w:rPr>
          <w:noProof/>
        </w:rPr>
        <w:t>.</w:t>
      </w:r>
      <w:r w:rsidRPr="000E19E0">
        <w:rPr>
          <w:noProof/>
        </w:rPr>
        <w:t xml:space="preserve"> Burris and M</w:t>
      </w:r>
      <w:r>
        <w:rPr>
          <w:noProof/>
        </w:rPr>
        <w:t>.</w:t>
      </w:r>
      <w:r w:rsidRPr="000E19E0">
        <w:rPr>
          <w:noProof/>
        </w:rPr>
        <w:t xml:space="preserve"> Weait, ‘Criminalisation and the Moral Responsibility for Sexual Transmission of HIV’, </w:t>
      </w:r>
      <w:r w:rsidRPr="000E19E0">
        <w:rPr>
          <w:i/>
          <w:noProof/>
        </w:rPr>
        <w:t>Third Meeting of the Technical Advisory Group on the Global Commission on HIV and the Law</w:t>
      </w:r>
      <w:r w:rsidRPr="000E19E0">
        <w:rPr>
          <w:noProof/>
        </w:rPr>
        <w:t xml:space="preserve"> (2012).</w:t>
      </w:r>
      <w:r>
        <w:fldChar w:fldCharType="end"/>
      </w:r>
    </w:p>
  </w:footnote>
  <w:footnote w:id="7">
    <w:p w14:paraId="722EB19E" w14:textId="652B9928"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{"citationItems":[{"id":"ITEM-1","itemData":{"DOI":"10.1016/S0968-8080(09)34475-4","ISBN":"0968-8080","ISSN":"09688080","PMID":"19962647","abstract":"In England and Wales, criminal prosecutions for recklessly causing serious bodily harm by transmitting HIV have occurred since 2003. Understanding how people respond to the application of criminal law, will help to determine the likely impact of prosecution. As part of a wider qualitative study on unprotected anal intercourse amongst homosexually active men with diagnosed HIV in England and Wales, 42 respondents were asked about their awareness of criminal prosecutions for the sexual transmission of HIV, and how (if at all) they had adapted their sexual behaviour as a result. Findings demonstrate considerable confusion regarding the law and suggest that misunderstandings could lead people with HIV to wrongly believe that how they act, and what they do or do not say, is legitimated by law. Although criminalisation prompted some respondents to take steps to reduce sexual transmission of HIV, others moderated their behaviour in ways likely to have adverse effects, or reported no change. The aim of the criminal justice system is to carry out justice, not to improve public health. The question addressed in this paper is whether desirable public health outcomes may be outweighed by undesirable ones when the criminal law is applied to a population-level epidemic. © 2009 Reproductive Health Matters.","author":[{"dropping-particle":"","family":"Dodds","given":"Catherine","non-dropping-particle":"","parse-names":false,"suffix":""},{"dropping-particle":"","family":"Bourne","given":"Adam","non-dropping-particle":"","parse-names":false,"suffix":""},{"dropping-particle":"","family":"Weait","given":"Matthew","non-dropping-particle":"","parse-names":false,"suffix":""}],"container-title":"Reproductive Health Matters","id":"ITEM-1","issue":"34","issued":{"date-parts":[["2009"]]},"page":"135-145","title":"Responses to criminal prosecutions for HIV transmission among gay men with HIV in England and Wales","type":"article-journal","volume":"17"},"prefix":"See,","uris":["http://www.mendeley.com/documents/?uuid=3b827c49-03ac-350a-b8b5-ca581d8557e2"]}],"mendeley":{"formattedCitation":"See, Catherine Dodds, Adam Bourne and Matthew Weait, ‘Responses to Criminal Prosecutions for HIV Transmission among Gay Men with HIV in England and Wales’ (2009) 17 Reproductive Health Matters 135.","plainTextFormattedCitation":"See, Catherine Dodds, Adam Bourne and Matthew Weait, ‘Responses to Criminal Prosecutions for HIV Transmission among Gay Men with HIV in England and Wales’ (2009) 17 Reproductive Health Matters 135.","previouslyFormattedCitation":"See, Catherine Dodds, Adam Bourne and Matthew Weait, ‘Responses to Criminal Prosecutions for HIV Transmission among Gay Men with HIV in England and Wales’ (2009) 17 Reproductive Health Matters 135."},"properties":{"noteIndex":6},"schema":"https://github.com/citation-style-language/schema/raw/master/csl-citation.json"}</w:instrText>
      </w:r>
      <w:r>
        <w:fldChar w:fldCharType="separate"/>
      </w:r>
      <w:r w:rsidRPr="000E19E0">
        <w:rPr>
          <w:noProof/>
        </w:rPr>
        <w:t>See, C</w:t>
      </w:r>
      <w:r>
        <w:rPr>
          <w:noProof/>
        </w:rPr>
        <w:t>.</w:t>
      </w:r>
      <w:r w:rsidRPr="000E19E0">
        <w:rPr>
          <w:noProof/>
        </w:rPr>
        <w:t xml:space="preserve"> Dodds, A</w:t>
      </w:r>
      <w:r>
        <w:rPr>
          <w:noProof/>
        </w:rPr>
        <w:t>.</w:t>
      </w:r>
      <w:r w:rsidRPr="000E19E0">
        <w:rPr>
          <w:noProof/>
        </w:rPr>
        <w:t xml:space="preserve"> Bourne and M</w:t>
      </w:r>
      <w:r>
        <w:rPr>
          <w:noProof/>
        </w:rPr>
        <w:t>.</w:t>
      </w:r>
      <w:r w:rsidRPr="000E19E0">
        <w:rPr>
          <w:noProof/>
        </w:rPr>
        <w:t xml:space="preserve"> Weait, ‘Responses to Criminal Prosecutions for HIV Transmission among Gay Men with HIV in England and Wales’ (2009) 17 Reproductive Health Matters 135.</w:t>
      </w:r>
      <w:r>
        <w:fldChar w:fldCharType="end"/>
      </w:r>
    </w:p>
  </w:footnote>
  <w:footnote w:id="8">
    <w:p w14:paraId="066FBBE3" w14:textId="420EF6D2" w:rsidR="00133EA5" w:rsidRDefault="00133EA5" w:rsidP="00B7698E">
      <w:pPr>
        <w:pStyle w:val="FootnoteText"/>
        <w:jc w:val="both"/>
        <w:rPr>
          <w:noProof/>
        </w:rPr>
      </w:pPr>
      <w:r>
        <w:rPr>
          <w:rStyle w:val="FootnoteReference"/>
        </w:rPr>
        <w:footnoteRef/>
      </w:r>
      <w:r>
        <w:t xml:space="preserve"> </w:t>
      </w:r>
      <w:r>
        <w:fldChar w:fldCharType="begin" w:fldLock="1"/>
      </w:r>
      <w:r>
        <w:instrText>ADDIN CSL_CITATION {"citationItems":[{"id":"ITEM-1","itemData":{"container-title":"Disentangling European HIV/AIDS Policies: Activism, Citizenship and Health (EUROPACH)","editor":[{"dropping-particle":"","family":"Nicholls","given":"Emily Jay","non-dropping-particle":"","parse-names":false,"suffix":""},{"dropping-particle":"","family":"Rosengarten","given":"Marsha","non-dropping-particle":"","parse-names":false,"suffix":""}],"id":"ITEM-1","issued":{"date-parts":[["2019"]]},"title":"Witness Seminar: The Criminalisation of HIV Transmission in the UK","type":"paper-conference"},"prefix":"See the discussion by Weait, Azad, Powers and others in","suffix":" at 41-42","uris":["http://www.mendeley.com/documents/?uuid=ca515a00-4658-3767-a5b8-5f580c50339d"]}],"mendeley":{"formattedCitation":"See the discussion by Weait, Azad, Powers and others in Emily Jay Nicholls and Marsha Rosengarten (eds), ‘Witness Seminar: The Criminalisation of HIV Transmission in the UK’, &lt;i&gt;Disentangling European HIV/AIDS Policies: Activism, Citizenship and Health (EUROPACH)&lt;/i&gt; (2019) 41–42."},"properties":{"noteIndex":0},"schema":"https://github.com/citation-style-language/schema/raw/master/csl-citation.json"}</w:instrText>
      </w:r>
      <w:r>
        <w:fldChar w:fldCharType="separate"/>
      </w:r>
      <w:r w:rsidRPr="00374B09">
        <w:rPr>
          <w:noProof/>
        </w:rPr>
        <w:t>See the discussion by Weait, Azad, Power and other</w:t>
      </w:r>
      <w:r>
        <w:rPr>
          <w:noProof/>
        </w:rPr>
        <w:t>s</w:t>
      </w:r>
      <w:r w:rsidRPr="00374B09">
        <w:rPr>
          <w:noProof/>
        </w:rPr>
        <w:t xml:space="preserve"> in E</w:t>
      </w:r>
      <w:r>
        <w:rPr>
          <w:noProof/>
        </w:rPr>
        <w:t>. J.</w:t>
      </w:r>
      <w:r w:rsidRPr="00374B09">
        <w:rPr>
          <w:noProof/>
        </w:rPr>
        <w:t xml:space="preserve"> Nicholls and M</w:t>
      </w:r>
      <w:r>
        <w:rPr>
          <w:noProof/>
        </w:rPr>
        <w:t>.</w:t>
      </w:r>
      <w:r w:rsidRPr="00374B09">
        <w:rPr>
          <w:noProof/>
        </w:rPr>
        <w:t xml:space="preserve"> Rosengarten (eds</w:t>
      </w:r>
      <w:r>
        <w:rPr>
          <w:noProof/>
        </w:rPr>
        <w:t>.</w:t>
      </w:r>
      <w:r w:rsidRPr="00374B09">
        <w:rPr>
          <w:noProof/>
        </w:rPr>
        <w:t xml:space="preserve">), ‘Witness Seminar: The Criminalisation of HIV Transmission in the UK’, </w:t>
      </w:r>
      <w:r w:rsidRPr="00374B09">
        <w:rPr>
          <w:i/>
          <w:noProof/>
        </w:rPr>
        <w:t>Disentangling European HIV/AIDS Policies: Activism, Citizenship and Health (EUROPACH)</w:t>
      </w:r>
      <w:r w:rsidRPr="00374B09">
        <w:rPr>
          <w:noProof/>
        </w:rPr>
        <w:t xml:space="preserve"> (2019)</w:t>
      </w:r>
      <w:r>
        <w:rPr>
          <w:noProof/>
        </w:rPr>
        <w:t xml:space="preserve"> at </w:t>
      </w:r>
      <w:r w:rsidRPr="00374B09">
        <w:rPr>
          <w:noProof/>
        </w:rPr>
        <w:t>41–42.</w:t>
      </w:r>
      <w:r>
        <w:fldChar w:fldCharType="end"/>
      </w:r>
    </w:p>
  </w:footnote>
  <w:footnote w:id="9">
    <w:p w14:paraId="3A133B72" w14:textId="534D2C08"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Crim","id":"ITEM-1","issued":{"date-parts":[["2009"]]},"page":"60","title":"R v Marangwanda (Peace)","type":"legal_case"},"uris":["http://www.mendeley.com/documents/?uuid=c0ddda35-1e7e-4235-ac60-c140aae8dd07"]}],"mendeley":{"formattedCitation":"&lt;i&gt;R v Marangwanda (Peace)&lt;/i&gt; [2009] EWCA Crim 60.","plainTextFormattedCitation":"R v Marangwanda (Peace) [2009] EWCA Crim 60.","previouslyFormattedCitation":"&lt;i&gt;R v Marangwanda (Peace)&lt;/i&gt; [2009] EWCA Crim 60."},"properties":{"noteIndex":8},"schema":"https://github.com/citation-style-language/schema/raw/master/csl-citation.json"}</w:instrText>
      </w:r>
      <w:r>
        <w:fldChar w:fldCharType="separate"/>
      </w:r>
      <w:r w:rsidRPr="00555D76">
        <w:rPr>
          <w:i/>
          <w:noProof/>
        </w:rPr>
        <w:t>R v Marangwanda (Peace)</w:t>
      </w:r>
      <w:r w:rsidRPr="00555D76">
        <w:rPr>
          <w:noProof/>
        </w:rPr>
        <w:t xml:space="preserve"> [2009] EWCA Crim 60.</w:t>
      </w:r>
      <w:r>
        <w:fldChar w:fldCharType="end"/>
      </w:r>
    </w:p>
  </w:footnote>
  <w:footnote w:id="10">
    <w:p w14:paraId="5A67D1C6" w14:textId="26E6ACA2" w:rsidR="00133EA5" w:rsidRDefault="00133EA5" w:rsidP="00B7698E">
      <w:pPr>
        <w:pStyle w:val="FootnoteText"/>
        <w:jc w:val="both"/>
      </w:pPr>
      <w:r>
        <w:rPr>
          <w:rStyle w:val="FootnoteReference"/>
        </w:rPr>
        <w:footnoteRef/>
      </w:r>
      <w:r>
        <w:t xml:space="preserve"> The </w:t>
      </w:r>
      <w:r>
        <w:fldChar w:fldCharType="begin" w:fldLock="1"/>
      </w:r>
      <w:r>
        <w:instrText>ADDIN CSL_CITATION {"citationItems":[{"id":"ITEM-1","itemData":{"author":[{"dropping-particle":"","family":"Law Commission","given":"","non-dropping-particle":"","parse-names":false,"suffix":""}],"id":"ITEM-1","issued":{"date-parts":[["2015"]]},"publisher":"Law Com No 361","title":"Reform of Offences Against The Person Act","type":"book"},"suffix":" 142, footnote 67","uris":["http://www.mendeley.com/documents/?uuid=f6acc622-3d21-3077-b726-c02839b62558"]}],"mendeley":{"formattedCitation":"Law Commission, &lt;i&gt;Reform of Offences Against The Person Act&lt;/i&gt; (Law Com No 361 2015) 142, footnote 67.","plainTextFormattedCitation":"Law Commission, Reform of Offences Against The Person Act (Law Com No 361 2015) 142, footnote 67.","previouslyFormattedCitation":"Law Commission, &lt;i&gt;Reform of Offences Against The Person Act&lt;/i&gt; (Law Com No 361 2015) 142, footnote 67."},"properties":{"noteIndex":9},"schema":"https://github.com/citation-style-language/schema/raw/master/csl-citation.json"}</w:instrText>
      </w:r>
      <w:r>
        <w:fldChar w:fldCharType="separate"/>
      </w:r>
      <w:r w:rsidRPr="0086284F">
        <w:rPr>
          <w:noProof/>
        </w:rPr>
        <w:t xml:space="preserve">Law Commission, </w:t>
      </w:r>
      <w:r w:rsidRPr="003F0AE5">
        <w:rPr>
          <w:iCs/>
          <w:noProof/>
        </w:rPr>
        <w:t>Reform of Offences Against The Person Act</w:t>
      </w:r>
      <w:r>
        <w:rPr>
          <w:noProof/>
        </w:rPr>
        <w:t xml:space="preserve">, </w:t>
      </w:r>
      <w:r w:rsidRPr="0086284F">
        <w:rPr>
          <w:noProof/>
        </w:rPr>
        <w:t xml:space="preserve">Law Com No 361 </w:t>
      </w:r>
      <w:r>
        <w:rPr>
          <w:noProof/>
        </w:rPr>
        <w:t>(</w:t>
      </w:r>
      <w:r w:rsidRPr="0086284F">
        <w:rPr>
          <w:noProof/>
        </w:rPr>
        <w:t>2015)</w:t>
      </w:r>
      <w:r>
        <w:rPr>
          <w:noProof/>
        </w:rPr>
        <w:t xml:space="preserve"> at </w:t>
      </w:r>
      <w:r w:rsidRPr="0086284F">
        <w:rPr>
          <w:noProof/>
        </w:rPr>
        <w:t>142, footnote 67.</w:t>
      </w:r>
      <w:r>
        <w:fldChar w:fldCharType="end"/>
      </w:r>
    </w:p>
  </w:footnote>
  <w:footnote w:id="11">
    <w:p w14:paraId="4A46EFD9" w14:textId="65A7BA22"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{"citationItems":[{"id":"ITEM-1","itemData":{"DOI":"Case No: CO/7774/2010; CO/7850/2011","abstract":"This matter concerns a young child, Jayda Faith Al-Alas Wray, born on 17.10.10, who is now 17 months old. She has been in the care of the Applicant Local Authority ('LA') since birth. A tht etime she was born her parents, Channa Al Alas and Rohan Wray, had been charged with the murder of her older brother, Jayden. Jayden was born on 7.3.09 and died 25.7.09. The parents stood trial at the Central Criminal Cour ('CCC') in November last year. THe trial last 6 weeks. At the end of the defence case the trial judge, HHJ Kramer Q.C., acceded to the defence application that the case should not be put to the jury. The prosecution did not appeal that ruling; the jury were directed to acquit the parents on 9.12.11","container-title":"EWCA Crim","id":"ITEM-1","issued":{"date-parts":[["2017"]]},"page":"2163","title":"R v Parsons; Morgan","type":"legal_case"},"suffix":"[5]","uris":["http://www.mendeley.com/documents/?uuid=578b0771-0753-4d58-8621-54166a4f0da7"]}],"mendeley":{"formattedCitation":"&lt;i&gt;R v Parsons; Morgan&lt;/i&gt; [2017] EWCA Crim 2163 [5].","plainTextFormattedCitation":"R v Parsons; Morgan [2017] EWCA Crim 2163 [5].","previouslyFormattedCitation":"&lt;i&gt;R v Parsons; Morgan&lt;/i&gt; [2017] EWCA Crim 2163 [5]."},"properties":{"noteIndex":10},"schema":"https://github.com/citation-style-language/schema/raw/master/csl-citation.json"}</w:instrText>
      </w:r>
      <w:r>
        <w:fldChar w:fldCharType="separate"/>
      </w:r>
      <w:r w:rsidRPr="000E07E1">
        <w:rPr>
          <w:i/>
          <w:noProof/>
        </w:rPr>
        <w:t>R v Parsons; Morgan</w:t>
      </w:r>
      <w:r w:rsidRPr="000E07E1">
        <w:rPr>
          <w:noProof/>
        </w:rPr>
        <w:t xml:space="preserve"> [2017] EWCA Crim 2163 [5].</w:t>
      </w:r>
      <w:r>
        <w:fldChar w:fldCharType="end"/>
      </w:r>
    </w:p>
  </w:footnote>
  <w:footnote w:id="12">
    <w:p w14:paraId="150BDCB3" w14:textId="7105369A" w:rsidR="00133EA5" w:rsidRDefault="00133EA5">
      <w:pPr>
        <w:pStyle w:val="FootnoteText"/>
      </w:pPr>
      <w:r>
        <w:rPr>
          <w:rStyle w:val="FootnoteReference"/>
        </w:rPr>
        <w:footnoteRef/>
      </w:r>
      <w:r>
        <w:t xml:space="preserve"> A. </w:t>
      </w:r>
      <w:proofErr w:type="spellStart"/>
      <w:r>
        <w:t>McAlinden</w:t>
      </w:r>
      <w:proofErr w:type="spellEnd"/>
      <w:r>
        <w:t>, ‘The governance of sexual offending across Europe: Penal policies, political economies and the institutionalization of risk’ (2012) 14 Punishment &amp; Society 166 at 173.</w:t>
      </w:r>
    </w:p>
  </w:footnote>
  <w:footnote w:id="13">
    <w:p w14:paraId="7B7EB573" w14:textId="3C9EA500"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{"citationItems":[{"id":"ITEM-1","itemData":{"ISSN":"0011135X","abstract":"This article examines Pt 2 of the Sexual Offences Act 2003, which introduces three new civil preventative orders. Sexual offences prevention orders are the successors of sex offender orders (introduced by s.2 of the Crime and Disorder Act 1998) and restraining orders (introduced by s.66 of the Criminal Justice and Court Services Act 2000). Foreign travel orders will allow the courts to impose travel restrictions on sex offenders who might wish to visit countries where they would be at risk of abusing children. Risk of sexual harm orders, which are also designed to protect children from sexual harm, can be imposed on persons who have no convictions of any kind.","author":[{"dropping-particle":"","family":"Shute","given":"Stephen","non-dropping-particle":"","parse-names":false,"suffix":""}],"container-title":"Criminal Law Review","id":"ITEM-1","issue":"Jun","issued":{"date-parts":[["2004"]]},"page":"417-440","title":"The Sexual Offences Act 2003: (4) New civil preventative orders: Sexual offences prevention orders; foreign travel orders; risk of sexual harm orders","type":"article-journal"},"locator":"421","uris":["http://www.mendeley.com/documents/?uuid=25378ba5-021b-414a-92e8-559c7ec11595"]},{"id":"ITEM-2","itemData":{"DOI":"10.1177/0264550517748359","ISSN":"17413079","abstract":"We now have two years' experience of the Sexual Risk Order and the Sexual Harm Prevention Order, being the two civil orders brought in to replace and consolidate the old Sexual Offences Prevention Orders (SOPO), the Risk of Sexual Harm Orders (RSHO) and the Foreign Travel Order (FTO). This article looks at the background to these orders that have given the police new powers and the process by which the law was changed to bring in the new orders.","author":[{"dropping-particle":"","family":"Kingston","given":"Sarah","non-dropping-particle":"","parse-names":false,"suffix":""},{"dropping-particle":"","family":"Thomas","given":"Terry","non-dropping-particle":"","parse-names":false,"suffix":""}],"container-title":"Probation Journal","id":"ITEM-2","issue":"1","issued":{"date-parts":[["2018"]]},"page":"77-88","title":"The Sexual Risk Order and the Sexual Harm Prevention Order: The first two years","type":"article-journal","volume":"65"},"locator":"78","uris":["http://www.mendeley.com/documents/?uuid=6a5766f4-aca3-3fd5-89db-5e56c3ee24c5"]}],"mendeley":{"formattedCitation":"Stephen Shute, ‘The Sexual Offences Act 2003: (4) New Civil Preventative Orders: Sexual Offences Prevention Orders; Foreign Travel Orders; Risk of Sexual Harm Orders’ [2004] Criminal Law Review 417, 421; Sarah Kingston and Terry Thomas, ‘The Sexual Risk Order and the Sexual Harm Prevention Order: The First Two Years’ (2018) 65 Probation Journal 77, 78.","plainTextFormattedCitation":"Stephen Shute, ‘The Sexual Offences Act 2003: (4) New Civil Preventative Orders: Sexual Offences Prevention Orders; Foreign Travel Orders; Risk of Sexual Harm Orders’ [2004] Criminal Law Review 417, 421; Sarah Kingston and Terry Thomas, ‘The Sexual Risk Order and the Sexual Harm Prevention Order: The First Two Years’ (2018) 65 Probation Journal 77, 78.","previouslyFormattedCitation":"Stephen Shute, ‘The Sexual Offences Act 2003: (4) New Civil Preventative Orders: Sexual Offences Prevention Orders; Foreign Travel Orders; Risk of Sexual Harm Orders’ [2004] Criminal Law Review 417, 421; Sarah Kingston and Terry Thomas, ‘The Sexual Risk Order and the Sexual Harm Prevention Order: The First Two Years’ (2018) 65 Probation Journal 77, 78."},"properties":{"noteIndex":11},"schema":"https://github.com/citation-style-language/schema/raw/master/csl-citation.json"}</w:instrText>
      </w:r>
      <w:r>
        <w:fldChar w:fldCharType="separate"/>
      </w:r>
      <w:r w:rsidRPr="00012ACF">
        <w:rPr>
          <w:noProof/>
        </w:rPr>
        <w:t>S</w:t>
      </w:r>
      <w:r>
        <w:rPr>
          <w:noProof/>
        </w:rPr>
        <w:t>.</w:t>
      </w:r>
      <w:r w:rsidRPr="00012ACF">
        <w:rPr>
          <w:noProof/>
        </w:rPr>
        <w:t xml:space="preserve"> Shute, ‘The Sexual Offences Act 2003: (4) New Civil Preventative Orders: Sexual Offences Prevention Orders; Foreign Travel Orders; Risk of Sexual Harm Orders’ [2004] Criminal Law Review 417</w:t>
      </w:r>
      <w:r>
        <w:rPr>
          <w:noProof/>
        </w:rPr>
        <w:t xml:space="preserve"> at</w:t>
      </w:r>
      <w:r w:rsidRPr="00012ACF">
        <w:rPr>
          <w:noProof/>
        </w:rPr>
        <w:t xml:space="preserve"> 421; </w:t>
      </w:r>
      <w:r>
        <w:rPr>
          <w:noProof/>
        </w:rPr>
        <w:t xml:space="preserve">see, also, </w:t>
      </w:r>
      <w:r w:rsidRPr="00012ACF">
        <w:rPr>
          <w:noProof/>
        </w:rPr>
        <w:t>S</w:t>
      </w:r>
      <w:r>
        <w:rPr>
          <w:noProof/>
        </w:rPr>
        <w:t xml:space="preserve">. </w:t>
      </w:r>
      <w:r w:rsidRPr="00012ACF">
        <w:rPr>
          <w:noProof/>
        </w:rPr>
        <w:t>Kingston and T</w:t>
      </w:r>
      <w:r>
        <w:rPr>
          <w:noProof/>
        </w:rPr>
        <w:t>.</w:t>
      </w:r>
      <w:r w:rsidRPr="00012ACF">
        <w:rPr>
          <w:noProof/>
        </w:rPr>
        <w:t xml:space="preserve"> Thomas, ‘The Sexual Risk Order and the Sexual Harm Prevention Order: The First Two Years’ (2018) 65 Probation Journal 77</w:t>
      </w:r>
      <w:r>
        <w:rPr>
          <w:noProof/>
        </w:rPr>
        <w:t xml:space="preserve"> at</w:t>
      </w:r>
      <w:r w:rsidRPr="00012ACF">
        <w:rPr>
          <w:noProof/>
        </w:rPr>
        <w:t xml:space="preserve"> 78.</w:t>
      </w:r>
      <w:r>
        <w:fldChar w:fldCharType="end"/>
      </w:r>
    </w:p>
  </w:footnote>
  <w:footnote w:id="14">
    <w:p w14:paraId="1D456CA1" w14:textId="7B281A10"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{"citationItems":[{"id":"ITEM-1","itemData":{"DOI":"10.1017/cbo9781139051965","ISBN":"1107652014","abstract":"Andrew Ashworth draws together legislation, research and principles of sentencing to provide unrivalled coverage of English sentencing policy and practice.","author":[{"dropping-particle":"","family":"Ashworth","given":"Andrew","non-dropping-particle":"","parse-names":false,"suffix":""}],"id":"ITEM-1","issued":{"date-parts":[["2015"]]},"number-of-pages":"533","publisher":"Cambridge University Press","title":"Sentencing and Criminal Justice","type":"book"},"locator":"392","uris":["http://www.mendeley.com/documents/?uuid=9baea358-ac07-35b7-aed3-290af2ca8c65"]}],"mendeley":{"formattedCitation":"Andrew Ashworth, &lt;i&gt;Sentencing and Criminal Justice&lt;/i&gt; (Cambridge University Press 2015) 392.","plainTextFormattedCitation":"Andrew Ashworth, Sentencing and Criminal Justice (Cambridge University Press 2015) 392.","previouslyFormattedCitation":"Andrew Ashworth, &lt;i&gt;Sentencing and Criminal Justice&lt;/i&gt; (Cambridge University Press 2015) 392."},"properties":{"noteIndex":12},"schema":"https://github.com/citation-style-language/schema/raw/master/csl-citation.json"}</w:instrText>
      </w:r>
      <w:r>
        <w:fldChar w:fldCharType="separate"/>
      </w:r>
      <w:r w:rsidRPr="001C402F">
        <w:rPr>
          <w:noProof/>
        </w:rPr>
        <w:t>A</w:t>
      </w:r>
      <w:r>
        <w:rPr>
          <w:noProof/>
        </w:rPr>
        <w:t>.</w:t>
      </w:r>
      <w:r w:rsidRPr="001C402F">
        <w:rPr>
          <w:noProof/>
        </w:rPr>
        <w:t xml:space="preserve"> Ashworth, </w:t>
      </w:r>
      <w:r w:rsidRPr="001C402F">
        <w:rPr>
          <w:i/>
          <w:noProof/>
        </w:rPr>
        <w:t>Sentencing and Criminal Justice</w:t>
      </w:r>
      <w:r w:rsidRPr="001C402F">
        <w:rPr>
          <w:noProof/>
        </w:rPr>
        <w:t xml:space="preserve"> (Cambridge University Press 2015)</w:t>
      </w:r>
      <w:r>
        <w:rPr>
          <w:noProof/>
        </w:rPr>
        <w:t xml:space="preserve"> </w:t>
      </w:r>
      <w:r w:rsidRPr="001C402F">
        <w:rPr>
          <w:noProof/>
        </w:rPr>
        <w:t>392.</w:t>
      </w:r>
      <w:r>
        <w:fldChar w:fldCharType="end"/>
      </w:r>
    </w:p>
  </w:footnote>
  <w:footnote w:id="15">
    <w:p w14:paraId="76232E55" w14:textId="26A9AA67" w:rsidR="00133EA5" w:rsidRDefault="00133EA5" w:rsidP="00B7698E">
      <w:pPr>
        <w:pStyle w:val="FootnoteText"/>
        <w:jc w:val="both"/>
      </w:pPr>
      <w:r>
        <w:rPr>
          <w:rStyle w:val="FootnoteReference"/>
        </w:rPr>
        <w:footnoteRef/>
      </w:r>
      <w:r>
        <w:t xml:space="preserve"> See </w:t>
      </w:r>
      <w:r>
        <w:fldChar w:fldCharType="begin" w:fldLock="1"/>
      </w:r>
      <w:r>
        <w:instrText>ADDIN CSL_CITATION {"citationItems":[{"id":"ITEM-1","itemData":{"ISSN":"0011135X","abstract":"This article examines Pt 2 of the Sexual Offences Act 2003, which introduces three new civil preventative orders. Sexual offences prevention orders are the successors of sex offender orders (introduced by s.2 of the Crime and Disorder Act 1998) and restraining orders (introduced by s.66 of the Criminal Justice and Court Services Act 2000). Foreign travel orders will allow the courts to impose travel restrictions on sex offenders who might wish to visit countries where they would be at risk of abusing children. Risk of sexual harm orders, which are also designed to protect children from sexual harm, can be imposed on persons who have no convictions of any kind.","author":[{"dropping-particle":"","family":"Shute","given":"Stephen","non-dropping-particle":"","parse-names":false,"suffix":""}],"container-title":"Criminal Law Review","id":"ITEM-1","issue":"Jun","issued":{"date-parts":[["2004"]]},"page":"417-440","title":"The Sexual Offences Act 2003: (4) New civil preventative orders: Sexual offences prevention orders; foreign travel orders; risk of sexual harm orders","type":"article-journal"},"locator":"422","uris":["http://www.mendeley.com/documents/?uuid=25378ba5-021b-414a-92e8-559c7ec11595"]}],"mendeley":{"formattedCitation":"Shute (n 11) 422.","plainTextFormattedCitation":"Shute (n 11) 422.","previouslyFormattedCitation":"Shute (n 11) 422."},"properties":{"noteIndex":13},"schema":"https://github.com/citation-style-language/schema/raw/master/csl-citation.json"}</w:instrText>
      </w:r>
      <w:r>
        <w:fldChar w:fldCharType="separate"/>
      </w:r>
      <w:r w:rsidRPr="000E07E1">
        <w:rPr>
          <w:noProof/>
        </w:rPr>
        <w:t>Shute</w:t>
      </w:r>
      <w:r>
        <w:rPr>
          <w:noProof/>
        </w:rPr>
        <w:t xml:space="preserve">, above n. </w:t>
      </w:r>
      <w:r w:rsidRPr="000E07E1">
        <w:rPr>
          <w:noProof/>
        </w:rPr>
        <w:t>1</w:t>
      </w:r>
      <w:r>
        <w:rPr>
          <w:noProof/>
        </w:rPr>
        <w:t>3 at</w:t>
      </w:r>
      <w:r w:rsidRPr="000E07E1">
        <w:rPr>
          <w:noProof/>
        </w:rPr>
        <w:t xml:space="preserve"> 422.</w:t>
      </w:r>
      <w:r>
        <w:fldChar w:fldCharType="end"/>
      </w:r>
    </w:p>
  </w:footnote>
  <w:footnote w:id="16">
    <w:p w14:paraId="51D71DF7" w14:textId="7575514D"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{"citationItems":[{"id":"ITEM-1","itemData":{"id":"ITEM-1","issued":{"date-parts":[["0"]]},"title":"Explanatory Notes to The Sexual Offences Act 2003","type":"legislation"},"label":"paragraph","locator":"211","uris":["http://www.mendeley.com/documents/?uuid=facbfd20-5e8c-45fe-a045-02850f79038e"]}],"mendeley":{"formattedCitation":"Explanatory Notes to The Sexual Offences Act 2003 para 211.","plainTextFormattedCitation":"Explanatory Notes to The Sexual Offences Act 2003 para 211.","previouslyFormattedCitation":"Explanatory Notes to The Sexual Offences Act 2003 para 211."},"properties":{"noteIndex":14},"schema":"https://github.com/citation-style-language/schema/raw/master/csl-citation.json"}</w:instrText>
      </w:r>
      <w:r>
        <w:fldChar w:fldCharType="separate"/>
      </w:r>
      <w:r w:rsidRPr="00E47DFA">
        <w:rPr>
          <w:noProof/>
        </w:rPr>
        <w:t>Explanatory Notes to The Sexual Offences Act 2003</w:t>
      </w:r>
      <w:r>
        <w:rPr>
          <w:noProof/>
        </w:rPr>
        <w:t xml:space="preserve"> at</w:t>
      </w:r>
      <w:r w:rsidRPr="00E47DFA">
        <w:rPr>
          <w:noProof/>
        </w:rPr>
        <w:t xml:space="preserve"> para 211.</w:t>
      </w:r>
      <w:r>
        <w:fldChar w:fldCharType="end"/>
      </w:r>
    </w:p>
  </w:footnote>
  <w:footnote w:id="17">
    <w:p w14:paraId="44A577E1" w14:textId="2AA82E8F"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{"citationItems":[{"id":"ITEM-1","itemData":{"DOI":"10.1016/S0033-3506(98)80068-1","ISSN":"00333506","container-title":"1 WLR","id":"ITEM-1","issued":{"date-parts":[["2001"]]},"page":"340","title":"B v Chief Constable of Avon &amp; Somerset Constabulary","type":"legal_case"},"label":"paragraph","locator":"25","uris":["http://www.mendeley.com/documents/?uuid=8cbe43d6-ddc9-4e6c-bcce-f5183eb3b3de"]}],"mendeley":{"formattedCitation":"&lt;i&gt;B v Chief Constable of Avon &amp; Somerset Constabulary&lt;/i&gt; [2001] 1 WLR 340 [25].","plainTextFormattedCitation":"B v Chief Constable of Avon &amp; Somerset Constabulary [2001] 1 WLR 340 [25].","previouslyFormattedCitation":"&lt;i&gt;B v Chief Constable of Avon &amp; Somerset Constabulary&lt;/i&gt; [2001] 1 WLR 340 [25]."},"properties":{"noteIndex":15},"schema":"https://github.com/citation-style-language/schema/raw/master/csl-citation.json"}</w:instrText>
      </w:r>
      <w:r>
        <w:fldChar w:fldCharType="separate"/>
      </w:r>
      <w:r w:rsidRPr="00C73041">
        <w:rPr>
          <w:i/>
          <w:noProof/>
        </w:rPr>
        <w:t>B v Chief Constable of Avon &amp; Somerset Constabulary</w:t>
      </w:r>
      <w:r w:rsidRPr="00C73041">
        <w:rPr>
          <w:noProof/>
        </w:rPr>
        <w:t xml:space="preserve"> [2001] 1 WLR 340 [25].</w:t>
      </w:r>
      <w:r>
        <w:fldChar w:fldCharType="end"/>
      </w:r>
    </w:p>
  </w:footnote>
  <w:footnote w:id="18">
    <w:p w14:paraId="1AF4D13A" w14:textId="6CDF9859"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{"citationItems":[{"id":"ITEM-1","itemData":{"DOI":"10.1016/S0033-3506(98)80068-1","ISSN":"00333506","container-title":"1 WLR","id":"ITEM-1","issued":{"date-parts":[["2001"]]},"page":"340","title":"B v Chief Constable of Avon &amp; Somerset Constabulary","type":"legal_case"},"label":"paragraph","suffix":"[32] (my emphasis)","uris":["http://www.mendeley.com/documents/?uuid=8cbe43d6-ddc9-4e6c-bcce-f5183eb3b3de"]}],"mendeley":{"formattedCitation":"&lt;i&gt;B v Chief Constable of Avon &amp; Somerset Constabulary&lt;/i&gt; (n 15) [32] (my emphasis).","plainTextFormattedCitation":"B v Chief Constable of Avon &amp; Somerset Constabulary (n 15) [32] (my emphasis).","previouslyFormattedCitation":"&lt;i&gt;B v Chief Constable of Avon &amp; Somerset Constabulary&lt;/i&gt; (n 15) [32] (my emphasis)."},"properties":{"noteIndex":16},"schema":"https://github.com/citation-style-language/schema/raw/master/csl-citation.json"}</w:instrText>
      </w:r>
      <w:r>
        <w:fldChar w:fldCharType="separate"/>
      </w:r>
      <w:r>
        <w:rPr>
          <w:iCs/>
          <w:noProof/>
        </w:rPr>
        <w:t>Ibid.</w:t>
      </w:r>
      <w:r w:rsidRPr="000E07E1">
        <w:rPr>
          <w:noProof/>
        </w:rPr>
        <w:t xml:space="preserve"> [32] (my emphasis).</w:t>
      </w:r>
      <w:r>
        <w:fldChar w:fldCharType="end"/>
      </w:r>
    </w:p>
  </w:footnote>
  <w:footnote w:id="19">
    <w:p w14:paraId="3D0B536B" w14:textId="5BC71296"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{"citationItems":[{"id":"ITEM-1","itemData":{"DOI":"10.1177/0264550517748359","ISSN":"17413079","abstract":"We now have two years' experience of the Sexual Risk Order and the Sexual Harm Prevention Order, being the two civil orders brought in to replace and consolidate the old Sexual Offences Prevention Orders (SOPO), the Risk of Sexual Harm Orders (RSHO) and the Foreign Travel Order (FTO). This article looks at the background to these orders that have given the police new powers and the process by which the law was changed to bring in the new orders.","author":[{"dropping-particle":"","family":"Kingston","given":"Sarah","non-dropping-particle":"","parse-names":false,"suffix":""},{"dropping-particle":"","family":"Thomas","given":"Terry","non-dropping-particle":"","parse-names":false,"suffix":""}],"container-title":"Probation Journal","id":"ITEM-1","issue":"1","issued":{"date-parts":[["2018"]]},"page":"77-88","title":"The Sexual Risk Order and the Sexual Harm Prevention Order: The first two years","type":"article-journal","volume":"65"},"locator":"79","prefix":"See,","uris":["http://www.mendeley.com/documents/?uuid=6a5766f4-aca3-3fd5-89db-5e56c3ee24c5"]}],"mendeley":{"formattedCitation":"See, Kingston and Thomas (n 11) 79.","plainTextFormattedCitation":"See, Kingston and Thomas (n 11) 79.","previouslyFormattedCitation":"See, Kingston and Thomas (n 11) 79."},"properties":{"noteIndex":17},"schema":"https://github.com/citation-style-language/schema/raw/master/csl-citation.json"}</w:instrText>
      </w:r>
      <w:r>
        <w:fldChar w:fldCharType="separate"/>
      </w:r>
      <w:r w:rsidRPr="000E07E1">
        <w:rPr>
          <w:noProof/>
        </w:rPr>
        <w:t>See, Kingston and Thomas</w:t>
      </w:r>
      <w:r>
        <w:rPr>
          <w:noProof/>
        </w:rPr>
        <w:t>, above n.</w:t>
      </w:r>
      <w:r w:rsidRPr="000E07E1">
        <w:rPr>
          <w:noProof/>
        </w:rPr>
        <w:t>1</w:t>
      </w:r>
      <w:r>
        <w:rPr>
          <w:noProof/>
        </w:rPr>
        <w:t>3 at</w:t>
      </w:r>
      <w:r w:rsidRPr="000E07E1">
        <w:rPr>
          <w:noProof/>
        </w:rPr>
        <w:t xml:space="preserve"> 79.</w:t>
      </w:r>
      <w:r>
        <w:fldChar w:fldCharType="end"/>
      </w:r>
    </w:p>
  </w:footnote>
  <w:footnote w:id="20">
    <w:p w14:paraId="768C164C" w14:textId="2E2BAFF4"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{"citationItems":[{"id":"ITEM-1","itemData":{"DOI":"10.1111/j.1468-2311.2007.00454.x","ISSN":"0265-5527","abstract":"This article aims to outline current responses to sexual grooming; specific attention will be given to new legislation introduced in England and Wales under the Sexual Offences Act 2003. Following an outline of this new legislation, consideration will be given to its effectiveness, including practical difficulties that are likely to restrict its scope. Issues to be discussed include: poor definition and understanding of sexual grooming, scope of legislation in relation to non-Internet grooming, difficulties in identifying sexual grooming, and a failure of the new legislation to be truly preventative. The article concludes by supporting Richard Laws's suggestion that the most effective prevention of child sexual abuse would result from adopting a public health approach.","author":[{"dropping-particle":"","family":"Craven","given":"Samantha","non-dropping-particle":"","parse-names":false,"suffix":""},{"dropping-particle":"","family":"Brown","given":"Sarah","non-dropping-particle":"","parse-names":false,"suffix":""},{"dropping-particle":"","family":"Gilchrist","given":"Elizabeth","non-dropping-particle":"","parse-names":false,"suffix":""}],"container-title":"The Howard Journal of Criminal Justice","id":"ITEM-1","issue":"1","issued":{"date-parts":[["2007","2"]]},"page":"60-71","title":"Current Responses to Sexual Grooming: Implication for Prevention","type":"article-journal","volume":"46"},"locator":"67","uris":["http://www.mendeley.com/documents/?uuid=a5d27747-19e3-3a14-ada4-229afec826cb"]},{"id":"ITEM-2","itemData":{"DOI":"10.1177/0264550517748359","ISSN":"17413079","abstract":"We now have two years' experience of the Sexual Risk Order and the Sexual Harm Prevention Order, being the two civil orders brought in to replace and consolidate the old Sexual Offences Prevention Orders (SOPO), the Risk of Sexual Harm Orders (RSHO) and the Foreign Travel Order (FTO). This article looks at the background to these orders that have given the police new powers and the process by which the law was changed to bring in the new orders.","author":[{"dropping-particle":"","family":"Kingston","given":"Sarah","non-dropping-particle":"","parse-names":false,"suffix":""},{"dropping-particle":"","family":"Thomas","given":"Terry","non-dropping-particle":"","parse-names":false,"suffix":""}],"container-title":"Probation Journal","id":"ITEM-2","issue":"1","issued":{"date-parts":[["2018"]]},"page":"77-88","title":"The Sexual Risk Order and the Sexual Harm Prevention Order: The first two years","type":"article-journal","volume":"65"},"locator":"80","uris":["http://www.mendeley.com/documents/?uuid=6a5766f4-aca3-3fd5-89db-5e56c3ee24c5"]}],"mendeley":{"formattedCitation":"Samantha Craven, Sarah Brown and Elizabeth Gilchrist, ‘Current Responses to Sexual Grooming: Implication for Prevention’ (2007) 46 The Howard Journal of Criminal Justice 60, 67; Kingston and Thomas (n 11) 80.","plainTextFormattedCitation":"Samantha Craven, Sarah Brown and Elizabeth Gilchrist, ‘Current Responses to Sexual Grooming: Implication for Prevention’ (2007) 46 The Howard Journal of Criminal Justice 60, 67; Kingston and Thomas (n 11) 80.","previouslyFormattedCitation":"Samantha Craven, Sarah Brown and Elizabeth Gilchrist, ‘Current Responses to Sexual Grooming: Implication for Prevention’ (2007) 46 The Howard Journal of Criminal Justice 60, 67; Kingston and Thomas (n 11) 80."},"properties":{"noteIndex":18},"schema":"https://github.com/citation-style-language/schema/raw/master/csl-citation.json"}</w:instrText>
      </w:r>
      <w:r>
        <w:fldChar w:fldCharType="separate"/>
      </w:r>
      <w:r w:rsidRPr="000E07E1">
        <w:rPr>
          <w:noProof/>
        </w:rPr>
        <w:t>S</w:t>
      </w:r>
      <w:r>
        <w:rPr>
          <w:noProof/>
        </w:rPr>
        <w:t>.</w:t>
      </w:r>
      <w:r w:rsidRPr="000E07E1">
        <w:rPr>
          <w:noProof/>
        </w:rPr>
        <w:t xml:space="preserve"> Craven, S</w:t>
      </w:r>
      <w:r>
        <w:rPr>
          <w:noProof/>
        </w:rPr>
        <w:t>.</w:t>
      </w:r>
      <w:r w:rsidRPr="000E07E1">
        <w:rPr>
          <w:noProof/>
        </w:rPr>
        <w:t xml:space="preserve"> Brown and E</w:t>
      </w:r>
      <w:r>
        <w:rPr>
          <w:noProof/>
        </w:rPr>
        <w:t>.</w:t>
      </w:r>
      <w:r w:rsidRPr="000E07E1">
        <w:rPr>
          <w:noProof/>
        </w:rPr>
        <w:t xml:space="preserve"> Gilchrist, ‘Current Responses to Sexual Grooming: Implication for Prevention’ (2007) 46 The Howard Journal of Criminal Justice 60, 67; Kingston and Thomas</w:t>
      </w:r>
      <w:r>
        <w:rPr>
          <w:noProof/>
        </w:rPr>
        <w:t>, above n.13 at</w:t>
      </w:r>
      <w:r w:rsidRPr="000E07E1">
        <w:rPr>
          <w:noProof/>
        </w:rPr>
        <w:t xml:space="preserve"> 80.</w:t>
      </w:r>
      <w:r>
        <w:fldChar w:fldCharType="end"/>
      </w:r>
    </w:p>
  </w:footnote>
  <w:footnote w:id="21">
    <w:p w14:paraId="7740470F" w14:textId="60F28483" w:rsidR="00133EA5" w:rsidRDefault="00133EA5" w:rsidP="00B7698E">
      <w:pPr>
        <w:pStyle w:val="FootnoteText"/>
        <w:jc w:val="both"/>
      </w:pPr>
      <w:r>
        <w:rPr>
          <w:rStyle w:val="FootnoteReference"/>
        </w:rPr>
        <w:footnoteRef/>
      </w:r>
      <w:r>
        <w:t xml:space="preserve"> See, </w:t>
      </w:r>
      <w:r>
        <w:fldChar w:fldCharType="begin" w:fldLock="1"/>
      </w:r>
      <w:r>
        <w:instrText>ADDIN CSL_CITATION {"citationItems":[{"id":"ITEM-1","itemData":{"DOI":"10.1017/cbo9781139051965","ISBN":"1107652014","abstract":"Andrew Ashworth draws together legislation, research and principles of sentencing to provide unrivalled coverage of English sentencing policy and practice.","author":[{"dropping-particle":"","family":"Ashworth","given":"Andrew","non-dropping-particle":"","parse-names":false,"suffix":""}],"id":"ITEM-1","issued":{"date-parts":[["2015"]]},"number-of-pages":"533","publisher":"Cambridge University Press","title":"Sentencing and Criminal Justice","type":"book"},"locator":"393","uris":["http://www.mendeley.com/documents/?uuid=9baea358-ac07-35b7-aed3-290af2ca8c65"]}],"mendeley":{"formattedCitation":"Ashworth (n 12) 393.","plainTextFormattedCitation":"Ashworth (n 12) 393.","previouslyFormattedCitation":"Ashworth (n 12) 393."},"properties":{"noteIndex":19},"schema":"https://github.com/citation-style-language/schema/raw/master/csl-citation.json"}</w:instrText>
      </w:r>
      <w:r>
        <w:fldChar w:fldCharType="separate"/>
      </w:r>
      <w:r w:rsidRPr="000E07E1">
        <w:rPr>
          <w:noProof/>
        </w:rPr>
        <w:t>Ashworth</w:t>
      </w:r>
      <w:r>
        <w:rPr>
          <w:noProof/>
        </w:rPr>
        <w:t>, above n.14 at</w:t>
      </w:r>
      <w:r w:rsidRPr="000E07E1">
        <w:rPr>
          <w:noProof/>
        </w:rPr>
        <w:t xml:space="preserve"> 393.</w:t>
      </w:r>
      <w:r>
        <w:fldChar w:fldCharType="end"/>
      </w:r>
    </w:p>
  </w:footnote>
  <w:footnote w:id="22">
    <w:p w14:paraId="77F3088D" w14:textId="79206509"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{"citationItems":[{"id":"ITEM-1","itemData":{"id":"ITEM-1","issued":{"date-parts":[["2003"]]},"title":"Sexual Offences Act","type":"legislation"},"suffix":"s122A","uris":["http://www.mendeley.com/documents/?uuid=d45463fa-fc05-4130-9768-fa5231cd7d35"]},{"id":"ITEM-2","itemData":{"ISBN":"019874482X","abstract":"4th edition. Présentation de l'éditeur : \"This textbook presents an overview of the theory, law and practice of sentencing and punishment from penological, policy and legal perspectives. It provides an accessible account of changing attitudes as to what constitutes 'just' punishment and the methods of punishment in custody and in the community. By providing a comprehensive review of sentencing law, penal policy and penal justification this book provides students with a solid foundation of knowledge and clear understanding of sentencing and punishment in the UK ; reviews the practice of punishment in general and refers to human rights issues where appropriate, ensuring that students are fully aware of the significance of key UK and European legislation ; covers the key themes and topics studied on sentencing and punishment courses at undergraduate and postgraduate level, using case studies and discussion questions to encourage students to reinforce their knowledge by relating theory to practice ; accompanied by an online resource centre which provides students with updates, links to key sites and documents and guidance in answering the problem questions, enabling them to easily keep pace with developments and conduct self-assessment.\"","author":[{"dropping-particle":"","family":"Easton","given":"Susan M","non-dropping-particle":"","parse-names":false,"suffix":""},{"dropping-particle":"","family":"Piper","given":"Christine","non-dropping-particle":"","parse-names":false,"suffix":""}],"edition":"4th","id":"ITEM-2","issued":{"date-parts":[["2016"]]},"number-of-pages":"493","publisher":"Oxford University Press","publisher-place":"Oxford","title":"Sentencing and punishment : the quest for justice","type":"book"},"locator":"34","uris":["http://www.mendeley.com/documents/?uuid=fc6e989a-e2cb-3e1f-b767-c5834260d3d6"]}],"mendeley":{"formattedCitation":"Sexual Offences Act 2003 s122A; Susan M Easton and Christine Piper, &lt;i&gt;Sentencing and Punishment : The Quest for Justice&lt;/i&gt; (4th edn, Oxford University Press 2016) 34.","plainTextFormattedCitation":"Sexual Offences Act 2003 s122A; Susan M Easton and Christine Piper, Sentencing and Punishment : The Quest for Justice (4th edn, Oxford University Press 2016) 34.","previouslyFormattedCitation":"Sexual Offences Act 2003 s122A; Susan M Easton and Christine Piper, &lt;i&gt;Sentencing and Punishment : The Quest for Justice&lt;/i&gt; (4th edn, Oxford University Press 2016) 34."},"properties":{"noteIndex":20},"schema":"https://github.com/citation-style-language/schema/raw/master/csl-citation.json"}</w:instrText>
      </w:r>
      <w:r>
        <w:fldChar w:fldCharType="separate"/>
      </w:r>
      <w:r w:rsidRPr="00DC0C76">
        <w:rPr>
          <w:noProof/>
        </w:rPr>
        <w:t>Sexual Offences Act 2003 s</w:t>
      </w:r>
      <w:r>
        <w:rPr>
          <w:noProof/>
        </w:rPr>
        <w:t xml:space="preserve"> </w:t>
      </w:r>
      <w:r w:rsidRPr="00DC0C76">
        <w:rPr>
          <w:noProof/>
        </w:rPr>
        <w:t>122A; S</w:t>
      </w:r>
      <w:r>
        <w:rPr>
          <w:noProof/>
        </w:rPr>
        <w:t>.</w:t>
      </w:r>
      <w:r w:rsidRPr="00DC0C76">
        <w:rPr>
          <w:noProof/>
        </w:rPr>
        <w:t xml:space="preserve"> M</w:t>
      </w:r>
      <w:r>
        <w:rPr>
          <w:noProof/>
        </w:rPr>
        <w:t>.</w:t>
      </w:r>
      <w:r w:rsidRPr="00DC0C76">
        <w:rPr>
          <w:noProof/>
        </w:rPr>
        <w:t xml:space="preserve"> Easton and C</w:t>
      </w:r>
      <w:r>
        <w:rPr>
          <w:noProof/>
        </w:rPr>
        <w:t>.</w:t>
      </w:r>
      <w:r w:rsidRPr="00DC0C76">
        <w:rPr>
          <w:noProof/>
        </w:rPr>
        <w:t xml:space="preserve"> Piper, </w:t>
      </w:r>
      <w:r w:rsidRPr="00DC0C76">
        <w:rPr>
          <w:i/>
          <w:noProof/>
        </w:rPr>
        <w:t>Sentencing and Punishment : The Quest for Justice</w:t>
      </w:r>
      <w:r w:rsidRPr="00DC0C76">
        <w:rPr>
          <w:noProof/>
        </w:rPr>
        <w:t xml:space="preserve"> (4th edn, Oxford University Press 2016) 34.</w:t>
      </w:r>
      <w:r>
        <w:fldChar w:fldCharType="end"/>
      </w:r>
    </w:p>
  </w:footnote>
  <w:footnote w:id="23">
    <w:p w14:paraId="419BFE09" w14:textId="26E0EA90"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{"citationItems":[{"id":"ITEM-1","itemData":{"id":"ITEM-1","issued":{"date-parts":[["2003"]]},"title":"Sexual Offences Act","type":"legislation"},"suffix":"s122A","uris":["http://www.mendeley.com/documents/?uuid=d45463fa-fc05-4130-9768-fa5231cd7d35"]}],"mendeley":{"formattedCitation":"Sexual Offences Act (n 20) s122A.","plainTextFormattedCitation":"Sexual Offences Act (n 20) s122A.","previouslyFormattedCitation":"Sexual Offences Act (n 20) s122A."},"properties":{"noteIndex":21},"schema":"https://github.com/citation-style-language/schema/raw/master/csl-citation.json"}</w:instrText>
      </w:r>
      <w:r>
        <w:fldChar w:fldCharType="separate"/>
      </w:r>
      <w:r w:rsidRPr="000E07E1">
        <w:rPr>
          <w:noProof/>
        </w:rPr>
        <w:t>Sexual Offences Act</w:t>
      </w:r>
      <w:r>
        <w:rPr>
          <w:noProof/>
        </w:rPr>
        <w:t>, above n.</w:t>
      </w:r>
      <w:r w:rsidRPr="000E07E1">
        <w:rPr>
          <w:noProof/>
        </w:rPr>
        <w:t>2</w:t>
      </w:r>
      <w:r>
        <w:rPr>
          <w:noProof/>
        </w:rPr>
        <w:t xml:space="preserve">2, </w:t>
      </w:r>
      <w:r w:rsidRPr="000E07E1">
        <w:rPr>
          <w:noProof/>
        </w:rPr>
        <w:t>s</w:t>
      </w:r>
      <w:r>
        <w:rPr>
          <w:noProof/>
        </w:rPr>
        <w:t xml:space="preserve">. </w:t>
      </w:r>
      <w:r w:rsidRPr="000E07E1">
        <w:rPr>
          <w:noProof/>
        </w:rPr>
        <w:t>122A.</w:t>
      </w:r>
      <w:r>
        <w:fldChar w:fldCharType="end"/>
      </w:r>
    </w:p>
  </w:footnote>
  <w:footnote w:id="24">
    <w:p w14:paraId="186D8001" w14:textId="68D1471E" w:rsidR="00133EA5" w:rsidRDefault="00133EA5" w:rsidP="00B7698E">
      <w:pPr>
        <w:pStyle w:val="FootnoteText"/>
        <w:jc w:val="both"/>
      </w:pPr>
      <w:r>
        <w:rPr>
          <w:rStyle w:val="FootnoteReference"/>
        </w:rPr>
        <w:footnoteRef/>
      </w:r>
      <w:r>
        <w:t xml:space="preserve"> See, </w:t>
      </w:r>
      <w:r>
        <w:fldChar w:fldCharType="begin" w:fldLock="1"/>
      </w:r>
      <w:r>
        <w:instrText>ADDIN CSL_CITATION {"citationItems":[{"id":"ITEM-1","itemData":{"DOI":"10.1177/0264550517748359","ISSN":"17413079","abstract":"We now have two years' experience of the Sexual Risk Order and the Sexual Harm Prevention Order, being the two civil orders brought in to replace and consolidate the old Sexual Offences Prevention Orders (SOPO), the Risk of Sexual Harm Orders (RSHO) and the Foreign Travel Order (FTO). This article looks at the background to these orders that have given the police new powers and the process by which the law was changed to bring in the new orders.","author":[{"dropping-particle":"","family":"Kingston","given":"Sarah","non-dropping-particle":"","parse-names":false,"suffix":""},{"dropping-particle":"","family":"Thomas","given":"Terry","non-dropping-particle":"","parse-names":false,"suffix":""}],"container-title":"Probation Journal","id":"ITEM-1","issue":"1","issued":{"date-parts":[["2018"]]},"page":"77-88","title":"The Sexual Risk Order and the Sexual Harm Prevention Order: The first two years","type":"article-journal","volume":"65"},"uris":["http://www.mendeley.com/documents/?uuid=6a5766f4-aca3-3fd5-89db-5e56c3ee24c5"]},{"id":"ITEM-2","itemData":{"URL":"https://news.sky.com/story/more-than-50-sexual-risk-orders-imposed-on-men-by-police-forces-10588142","container-title":"Sky News","id":"ITEM-2","issued":{"date-parts":[["2016","9","22"]]},"title":"More than 50 Sexual Risk Orders imposed on men by police forces","type":"webpage"},"prefix":"see, also,","uris":["http://www.mendeley.com/documents/?uuid=206f847f-833b-461d-bbb6-19d1ff33dc6a"]}],"mendeley":{"formattedCitation":"Kingston and Thomas (n 11); see, also, ‘More than 50 Sexual Risk Orders Imposed on Men by Police Forces’ (&lt;i&gt;Sky News&lt;/i&gt;, 22 September 2016) &lt;https://news.sky.com/story/more-than-50-sexual-risk-orders-imposed-on-men-by-police-forces-10588142&gt;.","plainTextFormattedCitation":"Kingston and Thomas (n 11); see, also, ‘More than 50 Sexual Risk Orders Imposed on Men by Police Forces’ (Sky News, 22 September 2016) .","previouslyFormattedCitation":"Kingston and Thomas (n 11); see, also, ‘More than 50 Sexual Risk Orders Imposed on Men by Police Forces’ (&lt;i&gt;Sky News&lt;/i&gt;, 22 September 2016) &lt;https://news.sky.com/story/more-than-50-sexual-risk-orders-imposed-on-men-by-police-forces-10588142&gt;."},"properties":{"noteIndex":22},"schema":"https://github.com/citation-style-language/schema/raw/master/csl-citation.json"}</w:instrText>
      </w:r>
      <w:r>
        <w:fldChar w:fldCharType="separate"/>
      </w:r>
      <w:r w:rsidRPr="002F27BC">
        <w:rPr>
          <w:noProof/>
        </w:rPr>
        <w:t>Kingston and Thomas</w:t>
      </w:r>
      <w:r>
        <w:rPr>
          <w:noProof/>
        </w:rPr>
        <w:t xml:space="preserve">, above n. </w:t>
      </w:r>
      <w:r w:rsidRPr="002F27BC">
        <w:rPr>
          <w:noProof/>
        </w:rPr>
        <w:t>1</w:t>
      </w:r>
      <w:r>
        <w:rPr>
          <w:noProof/>
        </w:rPr>
        <w:t>3, in particular at 85-87</w:t>
      </w:r>
      <w:r w:rsidRPr="002F27BC">
        <w:rPr>
          <w:noProof/>
        </w:rPr>
        <w:t>; see, also, ‘More than 50 Sexual Risk Orders Imposed on Men by Police Forces’ (</w:t>
      </w:r>
      <w:r w:rsidRPr="002F27BC">
        <w:rPr>
          <w:i/>
          <w:noProof/>
        </w:rPr>
        <w:t>Sky News</w:t>
      </w:r>
      <w:r w:rsidRPr="002F27BC">
        <w:rPr>
          <w:noProof/>
        </w:rPr>
        <w:t>, 22 September 2016) &lt;https://news.sky.com/story/more-than-50-sexual-risk-orders-imposed-on-men-by-police-forces-10588142&gt;</w:t>
      </w:r>
      <w:r>
        <w:rPr>
          <w:noProof/>
        </w:rPr>
        <w:t xml:space="preserve"> accessed 25 June 2020</w:t>
      </w:r>
      <w:r w:rsidRPr="002F27BC">
        <w:rPr>
          <w:noProof/>
        </w:rPr>
        <w:t>.</w:t>
      </w:r>
      <w:r>
        <w:fldChar w:fldCharType="end"/>
      </w:r>
    </w:p>
  </w:footnote>
  <w:footnote w:id="25">
    <w:p w14:paraId="3BD46CF2" w14:textId="7B1162AA"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{"citationItems":[{"id":"ITEM-1","itemData":{"author":[{"dropping-particle":"","family":"Home Office","given":"","non-dropping-particle":"","parse-names":false,"suffix":""}],"id":"ITEM-1","issued":{"date-parts":[["2018"]]},"title":"Guidance on Part 2 of the Sexual Offences Act 2003","type":"report"},"locator":"46","suffix":" (my emphasis)","uris":["http://www.mendeley.com/documents/?uuid=102cb90f-d223-336c-a700-2fbbec1dbe18"]}],"mendeley":{"formattedCitation":"Home Office, ‘Guidance on Part 2 of the Sexual Offences Act 2003’ (2018) 46 (my emphasis).","plainTextFormattedCitation":"Home Office, ‘Guidance on Part 2 of the Sexual Offences Act 2003’ (2018) 46 (my emphasis).","previouslyFormattedCitation":"Home Office, ‘Guidance on Part 2 of the Sexual Offences Act 2003’ (2018) 46 (my emphasis)."},"properties":{"noteIndex":23},"schema":"https://github.com/citation-style-language/schema/raw/master/csl-citation.json"}</w:instrText>
      </w:r>
      <w:r>
        <w:fldChar w:fldCharType="separate"/>
      </w:r>
      <w:r w:rsidRPr="000F070F">
        <w:rPr>
          <w:noProof/>
        </w:rPr>
        <w:t xml:space="preserve">Home Office, ‘Guidance on Part 2 of the Sexual Offences Act 2003’ (2018) </w:t>
      </w:r>
      <w:r>
        <w:rPr>
          <w:noProof/>
        </w:rPr>
        <w:t xml:space="preserve">at </w:t>
      </w:r>
      <w:r w:rsidRPr="000F070F">
        <w:rPr>
          <w:noProof/>
        </w:rPr>
        <w:t>46 (my emphasis).</w:t>
      </w:r>
      <w:r>
        <w:fldChar w:fldCharType="end"/>
      </w:r>
    </w:p>
  </w:footnote>
  <w:footnote w:id="26">
    <w:p w14:paraId="2B8F7348" w14:textId="2647230C" w:rsidR="00133EA5" w:rsidRDefault="00133EA5" w:rsidP="00B7698E">
      <w:pPr>
        <w:pStyle w:val="FootnoteText"/>
        <w:jc w:val="both"/>
        <w:rPr>
          <w:noProof/>
        </w:rPr>
      </w:pPr>
      <w:r>
        <w:rPr>
          <w:rStyle w:val="FootnoteReference"/>
        </w:rPr>
        <w:footnoteRef/>
      </w:r>
      <w:r>
        <w:t xml:space="preserve"> </w:t>
      </w:r>
      <w:r>
        <w:fldChar w:fldCharType="begin" w:fldLock="1"/>
      </w:r>
      <w:r>
        <w:instrText>ADDIN CSL_CITATION {"citationItems":[{"id":"ITEM-1","itemData":{"container-title":"Disentangling European HIV/AIDS Policies: Activism, Citizenship and Health (EUROPACH)","editor":[{"dropping-particle":"","family":"Nicholls","given":"Emily Jay","non-dropping-particle":"","parse-names":false,"suffix":""},{"dropping-particle":"","family":"Rosengarten","given":"Marsha","non-dropping-particle":"","parse-names":false,"suffix":""}],"id":"ITEM-1","issued":{"date-parts":[["2019"]]},"title":"Witness Seminar: The Criminalisation of HIV Transmission in the UK","type":"paper-conference"},"prefix":"See the discussion by Azad and Powers in ","uris":["http://www.mendeley.com/documents/?uuid=ca515a00-4658-3767-a5b8-5f580c50339d"]}],"mendeley":{"formattedCitation":"See the discussion by Azad and Powers in Nicholls and Rosengarten (n 7).","plainTextFormattedCitation":"See the discussion by Azad and Powers in Nicholls and Rosengarten (n 7).","previouslyFormattedCitation":"See the discussion by Azad and Powers in Nicholls and Rosengarten (n 7)."},"properties":{"noteIndex":24},"schema":"https://github.com/citation-style-language/schema/raw/master/csl-citation.json"}</w:instrText>
      </w:r>
      <w:r>
        <w:fldChar w:fldCharType="separate"/>
      </w:r>
      <w:r w:rsidRPr="00AD30F3">
        <w:rPr>
          <w:noProof/>
        </w:rPr>
        <w:t>See the discussion by Azad and Power in Nicholls and Rosengarten</w:t>
      </w:r>
      <w:r>
        <w:rPr>
          <w:noProof/>
        </w:rPr>
        <w:t>, abo</w:t>
      </w:r>
      <w:r w:rsidRPr="007C1052">
        <w:rPr>
          <w:noProof/>
          <w:color w:val="000000" w:themeColor="text1"/>
        </w:rPr>
        <w:t>ve n. 8</w:t>
      </w:r>
      <w:r w:rsidR="00A04656" w:rsidRPr="007C1052">
        <w:rPr>
          <w:noProof/>
          <w:color w:val="000000" w:themeColor="text1"/>
        </w:rPr>
        <w:t xml:space="preserve"> at 30-31</w:t>
      </w:r>
      <w:r w:rsidRPr="007C1052">
        <w:rPr>
          <w:noProof/>
          <w:color w:val="000000" w:themeColor="text1"/>
        </w:rPr>
        <w:t>.</w:t>
      </w:r>
      <w:r>
        <w:fldChar w:fldCharType="end"/>
      </w:r>
    </w:p>
  </w:footnote>
  <w:footnote w:id="27">
    <w:p w14:paraId="2B707F68" w14:textId="77777777" w:rsidR="00E26A12" w:rsidRPr="00DB27E7" w:rsidRDefault="00E26A12" w:rsidP="00E26A12">
      <w:pPr>
        <w:pStyle w:val="FootnoteText"/>
        <w:jc w:val="both"/>
        <w:rPr>
          <w:color w:val="000000" w:themeColor="text1"/>
        </w:rPr>
      </w:pPr>
      <w:r>
        <w:rPr>
          <w:rStyle w:val="FootnoteReference"/>
        </w:rPr>
        <w:footnoteRef/>
      </w:r>
      <w:r>
        <w:t xml:space="preserve"> </w:t>
      </w:r>
      <w:r w:rsidRPr="00DB27E7">
        <w:rPr>
          <w:color w:val="000000" w:themeColor="text1"/>
        </w:rPr>
        <w:fldChar w:fldCharType="begin" w:fldLock="1"/>
      </w:r>
      <w:r w:rsidRPr="00DB27E7">
        <w:rPr>
          <w:color w:val="000000" w:themeColor="text1"/>
        </w:rPr>
        <w:instrText>ADDIN CSL_CITATION {"citationItems":[{"id":"ITEM-1","itemData":{"DOI":"10.1177/0264550517748359","ISSN":"17413079","abstract":"We now have two years' experience of the Sexual Risk Order and the Sexual Harm Prevention Order, being the two civil orders brought in to replace and consolidate the old Sexual Offences Prevention Orders (SOPO), the Risk of Sexual Harm Orders (RSHO) and the Foreign Travel Order (FTO). This article looks at the background to these orders that have given the police new powers and the process by which the law was changed to bring in the new orders.","author":[{"dropping-particle":"","family":"Kingston","given":"Sarah","non-dropping-particle":"","parse-names":false,"suffix":""},{"dropping-particle":"","family":"Thomas","given":"Terry","non-dropping-particle":"","parse-names":false,"suffix":""}],"container-title":"Probation Journal","id":"ITEM-1","issue":"1","issued":{"date-parts":[["2018"]]},"page":"77-88","title":"The Sexual Risk Order and the Sexual Harm Prevention Order: The first two years","type":"article-journal","volume":"65"},"prefix":"For a detailed discussion of the Davies Review and its critics, see,","uris":["http://www.mendeley.com/documents/?uuid=6a5766f4-aca3-3fd5-89db-5e56c3ee24c5"]}],"mendeley":{"formattedCitation":"For a detailed discussion of the Davies Review and its critics, see, Kingston and Thomas (n 11).","plainTextFormattedCitation":"For a detailed discussion of the Davies Review and its critics, see, Kingston and Thomas (n 11).","previouslyFormattedCitation":"For a detailed discussion of the Davies Review and its critics, see, Kingston and Thomas (n 11)."},"properties":{"noteIndex":25},"schema":"https://github.com/citation-style-language/schema/raw/master/csl-citation.json"}</w:instrText>
      </w:r>
      <w:r w:rsidRPr="00DB27E7">
        <w:rPr>
          <w:color w:val="000000" w:themeColor="text1"/>
        </w:rPr>
        <w:fldChar w:fldCharType="separate"/>
      </w:r>
      <w:r w:rsidRPr="00DB27E7">
        <w:rPr>
          <w:noProof/>
          <w:color w:val="000000" w:themeColor="text1"/>
        </w:rPr>
        <w:t>For a detailed discussion of the Davies Review, its impact on the ABCPA 2014 and its critics, see, Kingston and Thomas, above n.13.</w:t>
      </w:r>
      <w:r w:rsidRPr="00DB27E7">
        <w:rPr>
          <w:color w:val="000000" w:themeColor="text1"/>
        </w:rPr>
        <w:fldChar w:fldCharType="end"/>
      </w:r>
    </w:p>
  </w:footnote>
  <w:footnote w:id="28">
    <w:p w14:paraId="22B9EAB2" w14:textId="48CC92D6" w:rsidR="00E26A12" w:rsidRDefault="00E26A12">
      <w:pPr>
        <w:pStyle w:val="FootnoteText"/>
      </w:pPr>
      <w:r>
        <w:rPr>
          <w:rStyle w:val="FootnoteReference"/>
        </w:rPr>
        <w:footnoteRef/>
      </w:r>
      <w:r>
        <w:t xml:space="preserve"> </w:t>
      </w:r>
      <w:r w:rsidRPr="007C1052">
        <w:rPr>
          <w:color w:val="000000" w:themeColor="text1"/>
        </w:rPr>
        <w:t>Kingston and Thomas, above n.13 at 83</w:t>
      </w:r>
    </w:p>
  </w:footnote>
  <w:footnote w:id="29">
    <w:p w14:paraId="3EAD8961" w14:textId="2BD707FA" w:rsidR="00133EA5" w:rsidRPr="004E6254" w:rsidRDefault="00133EA5" w:rsidP="00B7698E">
      <w:pPr>
        <w:pStyle w:val="FootnoteText"/>
        <w:jc w:val="both"/>
        <w:rPr>
          <w:color w:val="92D050"/>
        </w:rPr>
      </w:pPr>
      <w:r w:rsidRPr="00DB27E7">
        <w:rPr>
          <w:rStyle w:val="FootnoteReference"/>
          <w:color w:val="000000" w:themeColor="text1"/>
        </w:rPr>
        <w:footnoteRef/>
      </w:r>
      <w:r w:rsidRPr="00DB27E7">
        <w:rPr>
          <w:color w:val="000000" w:themeColor="text1"/>
        </w:rPr>
        <w:t xml:space="preserve"> </w:t>
      </w:r>
      <w:r w:rsidRPr="0065242E">
        <w:fldChar w:fldCharType="begin" w:fldLock="1"/>
      </w:r>
      <w:r w:rsidRPr="0065242E">
        <w:instrText>ADDIN CSL_CITATION {"citationItems":[{"id":"ITEM-1","itemData":{"id":"ITEM-1","issued":{"date-parts":[["2003"]]},"title":"Sexual Offences Act","type":"legislation"},"label":"section","locator":"103A","uris":["http://www.mendeley.com/documents/?uuid=d45463fa-fc05-4130-9768-fa5231cd7d35"]}],"mendeley":{"formattedCitation":"Sexual Offences Act (n 20).","plainTextFormattedCitation":"Sexual Offences Act (n 20).","previouslyFormattedCitation":"Sexual Offences Act (n 20)."},"properties":{"noteIndex":26},"schema":"https://github.com/citation-style-language/schema/raw/master/csl-citation.json"}</w:instrText>
      </w:r>
      <w:r w:rsidRPr="0065242E">
        <w:fldChar w:fldCharType="separate"/>
      </w:r>
      <w:r w:rsidRPr="0065242E">
        <w:rPr>
          <w:noProof/>
        </w:rPr>
        <w:t>Sexual Offences Act, above n. 22.</w:t>
      </w:r>
      <w:r w:rsidRPr="0065242E">
        <w:fldChar w:fldCharType="end"/>
      </w:r>
      <w:r w:rsidR="0065242E" w:rsidRPr="0065242E">
        <w:t xml:space="preserve">   </w:t>
      </w:r>
      <w:r w:rsidR="007C1052" w:rsidRPr="0065242E">
        <w:t xml:space="preserve"> </w:t>
      </w:r>
      <w:r w:rsidR="004E6254" w:rsidRPr="0065242E">
        <w:t xml:space="preserve"> </w:t>
      </w:r>
    </w:p>
  </w:footnote>
  <w:footnote w:id="30">
    <w:p w14:paraId="227C1353" w14:textId="101ACF18"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{"citationItems":[{"id":"ITEM-1","itemData":{"id":"ITEM-1","issued":{"date-parts":[["0"]]},"title":"HC Deb 14 October 2013, Vol 568, Col 474","type":"bill"},"uris":["http://www.mendeley.com/documents/?uuid=965c6bd7-e2fd-4dd5-8ec8-27ae2295ffd6"]}],"mendeley":{"formattedCitation":"HC Deb 14 October 2013, Vol 568, Col 474.","plainTextFormattedCitation":"HC Deb 14 October 2013, Vol 568, Col 474.","previouslyFormattedCitation":"HC Deb 14 October 2013, Vol 568, Col 474."},"properties":{"noteIndex":27},"schema":"https://github.com/citation-style-language/schema/raw/master/csl-citation.json"}</w:instrText>
      </w:r>
      <w:r>
        <w:fldChar w:fldCharType="separate"/>
      </w:r>
      <w:r w:rsidRPr="00274CDE">
        <w:rPr>
          <w:noProof/>
        </w:rPr>
        <w:t>HC Deb 14 October 2013, Vol 568, Col 474.</w:t>
      </w:r>
      <w:r>
        <w:fldChar w:fldCharType="end"/>
      </w:r>
    </w:p>
  </w:footnote>
  <w:footnote w:id="31">
    <w:p w14:paraId="0CFE1CC4" w14:textId="5D6990E1" w:rsidR="00133EA5" w:rsidRDefault="00133EA5" w:rsidP="00B7698E">
      <w:pPr>
        <w:pStyle w:val="FootnoteText"/>
        <w:jc w:val="both"/>
      </w:pPr>
      <w:r>
        <w:rPr>
          <w:rStyle w:val="FootnoteReference"/>
        </w:rPr>
        <w:footnoteRef/>
      </w:r>
      <w:r>
        <w:t xml:space="preserve"> See, </w:t>
      </w:r>
      <w:r>
        <w:fldChar w:fldCharType="begin" w:fldLock="1"/>
      </w:r>
      <w:r>
        <w:instrText>ADDIN CSL_CITATION {"citationItems":[{"id":"ITEM-1","itemData":{"id":"ITEM-1","issued":{"date-parts":[["0"]]},"title":"Explanatory Notes to The Anti-Social Behaviour, Crime and Policing Act 2014","type":"legislation"},"label":"paragraph","locator":"266","uris":["http://www.mendeley.com/documents/?uuid=33d2cc7a-02da-4241-9fb6-5f34bbd42117"]}],"mendeley":{"formattedCitation":"Explanatory Notes to The Anti-Social Behaviour, Crime and Policing Act 2014 para 266.","plainTextFormattedCitation":"Explanatory Notes to The Anti-Social Behaviour, Crime and Policing Act 2014 para 266.","previouslyFormattedCitation":"Explanatory Notes to The Anti-Social Behaviour, Crime and Policing Act 2014 para 266."},"properties":{"noteIndex":28},"schema":"https://github.com/citation-style-language/schema/raw/master/csl-citation.json"}</w:instrText>
      </w:r>
      <w:r>
        <w:fldChar w:fldCharType="separate"/>
      </w:r>
      <w:r w:rsidRPr="00A15D9B">
        <w:rPr>
          <w:noProof/>
        </w:rPr>
        <w:t>Explanatory Notes to The Anti-Social Behaviour, Crime and Policing Act 2014</w:t>
      </w:r>
      <w:r>
        <w:rPr>
          <w:noProof/>
        </w:rPr>
        <w:t xml:space="preserve"> at</w:t>
      </w:r>
      <w:r w:rsidRPr="00A15D9B">
        <w:rPr>
          <w:noProof/>
        </w:rPr>
        <w:t xml:space="preserve"> para 266.</w:t>
      </w:r>
      <w:r>
        <w:fldChar w:fldCharType="end"/>
      </w:r>
    </w:p>
  </w:footnote>
  <w:footnote w:id="32">
    <w:p w14:paraId="0BA234DE" w14:textId="1EC15287"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{"citationItems":[{"id":"ITEM-1","itemData":{"DOI":"Case No: CO/7774/2010; CO/7850/2011","abstract":"This matter concerns a young child, Jayda Faith Al-Alas Wray, born on 17.10.10, who is now 17 months old. She has been in the care of the Applicant Local Authority ('LA') since birth. A tht etime she was born her parents, Channa Al Alas and Rohan Wray, had been charged with the murder of her older brother, Jayden. Jayden was born on 7.3.09 and died 25.7.09. The parents stood trial at the Central Criminal Cour ('CCC') in November last year. THe trial last 6 weeks. At the end of the defence case the trial judge, HHJ Kramer Q.C., acceded to the defence application that the case should not be put to the jury. The prosecution did not appeal that ruling; the jury were directed to acquit the parents on 9.12.11","container-title":"EWCA Crim","id":"ITEM-1","issued":{"date-parts":[["2017"]]},"page":"2163","title":"R v Parsons; Morgan","type":"legal_case"},"label":"paragraph","locator":"3","uris":["http://www.mendeley.com/documents/?uuid=578b0771-0753-4d58-8621-54166a4f0da7"]},{"id":"ITEM-2","itemData":{"DOI":"10.1017/cbo9781139051965","ISBN":"1107652014","abstract":"Andrew Ashworth draws together legislation, research and principles of sentencing to provide unrivalled coverage of English sentencing policy and practice.","author":[{"dropping-particle":"","family":"Ashworth","given":"Andrew","non-dropping-particle":"","parse-names":false,"suffix":""}],"id":"ITEM-2","issued":{"date-parts":[["2015"]]},"number-of-pages":"533","publisher":"Cambridge University Press","title":"Sentencing and Criminal Justice","type":"book"},"locator":"389","prefix":"see, also,","uris":["http://www.mendeley.com/documents/?uuid=9baea358-ac07-35b7-aed3-290af2ca8c65"]}],"mendeley":{"formattedCitation":"&lt;i&gt;R v Parsons; Morgan&lt;/i&gt; (n 10) [3]; see, also, Ashworth (n 12) 389.","plainTextFormattedCitation":"R v Parsons; Morgan (n 10) [3]; see, also, Ashworth (n 12) 389.","previouslyFormattedCitation":"&lt;i&gt;R v Parsons; Morgan&lt;/i&gt; (n 10) [3]; see, also, Ashworth (n 12) 389."},"properties":{"noteIndex":29},"schema":"https://github.com/citation-style-language/schema/raw/master/csl-citation.json"}</w:instrText>
      </w:r>
      <w:r>
        <w:fldChar w:fldCharType="separate"/>
      </w:r>
      <w:r w:rsidRPr="000E07E1">
        <w:rPr>
          <w:i/>
          <w:noProof/>
        </w:rPr>
        <w:t>R v Parsons; Morgan</w:t>
      </w:r>
      <w:r>
        <w:rPr>
          <w:noProof/>
        </w:rPr>
        <w:t>, above n.11,</w:t>
      </w:r>
      <w:r w:rsidRPr="000E07E1">
        <w:rPr>
          <w:noProof/>
        </w:rPr>
        <w:t xml:space="preserve"> [3]; see, also, Ashworth</w:t>
      </w:r>
      <w:r>
        <w:rPr>
          <w:noProof/>
        </w:rPr>
        <w:t>, above n. 14 at</w:t>
      </w:r>
      <w:r w:rsidRPr="000E07E1">
        <w:rPr>
          <w:noProof/>
        </w:rPr>
        <w:t xml:space="preserve"> 389.</w:t>
      </w:r>
      <w:r>
        <w:fldChar w:fldCharType="end"/>
      </w:r>
    </w:p>
  </w:footnote>
  <w:footnote w:id="33">
    <w:p w14:paraId="68D2DBD3" w14:textId="6B75242C"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{"citationItems":[{"id":"ITEM-1","itemData":{"id":"ITEM-1","issued":{"date-parts":[["2003"]]},"title":"Sexual Offences Act","type":"legislation"},"label":"section","locator":"106","suffix":"(as enacted, my emphasis)","uris":["http://www.mendeley.com/documents/?uuid=d45463fa-fc05-4130-9768-fa5231cd7d35"]}],"mendeley":{"formattedCitation":"Sexual Offences Act (n 20) (as enacted, my emphasis).","plainTextFormattedCitation":"Sexual Offences Act (n 20) (as enacted, my emphasis).","previouslyFormattedCitation":"Sexual Offences Act (n 20) (as enacted, my emphasis)."},"properties":{"noteIndex":30},"schema":"https://github.com/citation-style-language/schema/raw/master/csl-citation.json"}</w:instrText>
      </w:r>
      <w:r>
        <w:fldChar w:fldCharType="separate"/>
      </w:r>
      <w:r w:rsidRPr="000E07E1">
        <w:rPr>
          <w:noProof/>
        </w:rPr>
        <w:t>Sexual Offences Act</w:t>
      </w:r>
      <w:r>
        <w:rPr>
          <w:noProof/>
        </w:rPr>
        <w:t>, above n. 22, s.106</w:t>
      </w:r>
      <w:r w:rsidRPr="000E07E1">
        <w:rPr>
          <w:noProof/>
        </w:rPr>
        <w:t xml:space="preserve"> (as enacted, my emphasis).</w:t>
      </w:r>
      <w:r>
        <w:fldChar w:fldCharType="end"/>
      </w:r>
    </w:p>
  </w:footnote>
  <w:footnote w:id="34">
    <w:p w14:paraId="7C4809D0" w14:textId="5891DC79" w:rsidR="00133EA5" w:rsidRPr="00233432" w:rsidRDefault="00133EA5" w:rsidP="00B7698E">
      <w:pPr>
        <w:pStyle w:val="FootnoteText"/>
        <w:jc w:val="both"/>
        <w:rPr>
          <w:color w:val="ED7D31" w:themeColor="accent2"/>
        </w:rPr>
      </w:pPr>
      <w:r>
        <w:rPr>
          <w:rStyle w:val="FootnoteReference"/>
        </w:rPr>
        <w:footnoteRef/>
      </w:r>
      <w:r>
        <w:t xml:space="preserve"> </w:t>
      </w:r>
      <w:r>
        <w:fldChar w:fldCharType="begin" w:fldLock="1"/>
      </w:r>
      <w:r>
        <w:instrText>ADDIN CSL_CITATION {"citationItems":[{"id":"ITEM-1","itemData":{"id":"ITEM-1","issued":{"date-parts":[["2003"]]},"title":"Sexual Offences Act","type":"legislation"},"label":"section","locator":"103B","uris":["http://www.mendeley.com/documents/?uuid=d45463fa-fc05-4130-9768-fa5231cd7d35"]}],"mendeley":{"formattedCitation":"Sexual Offences Act (n 20).","plainTextFormattedCitation":"Sexual Offences Act (n 20).","previouslyFormattedCitation":"Sexual Offences Act (n 20)."},"properties":{"noteIndex":31},"schema":"https://github.com/citation-style-language/schema/raw/master/csl-citation.json"}</w:instrText>
      </w:r>
      <w:r>
        <w:fldChar w:fldCharType="separate"/>
      </w:r>
      <w:r>
        <w:rPr>
          <w:noProof/>
        </w:rPr>
        <w:t xml:space="preserve">Ibid, s.103B (as </w:t>
      </w:r>
      <w:r w:rsidRPr="00F8097E">
        <w:rPr>
          <w:noProof/>
        </w:rPr>
        <w:t>amended</w:t>
      </w:r>
      <w:r>
        <w:rPr>
          <w:noProof/>
        </w:rPr>
        <w:t>)</w:t>
      </w:r>
      <w:r w:rsidRPr="000E07E1">
        <w:rPr>
          <w:noProof/>
        </w:rPr>
        <w:t>.</w:t>
      </w:r>
      <w:r>
        <w:fldChar w:fldCharType="end"/>
      </w:r>
    </w:p>
  </w:footnote>
  <w:footnote w:id="35">
    <w:p w14:paraId="72AD5A6F" w14:textId="2B0D0B28"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{"citationItems":[{"id":"ITEM-1","itemData":{"id":"ITEM-1","issued":{"date-parts":[["0"]]},"title":"Explanatory Notes to The Anti-Social Behaviour, Crime and Policing Act 2014","type":"legislation"},"label":"paragraph","locator":"263","uris":["http://www.mendeley.com/documents/?uuid=33d2cc7a-02da-4241-9fb6-5f34bbd42117"]}],"mendeley":{"formattedCitation":"Explanatory Notes to The Anti-Social Behaviour, Crime and Policing Act 2014 (n 28).","plainTextFormattedCitation":"Explanatory Notes to The Anti-Social Behaviour, Crime and Policing Act 2014 (n 28).","previouslyFormattedCitation":"Explanatory Notes to The Anti-Social Behaviour, Crime and Policing Act 2014 (n 28)."},"properties":{"noteIndex":32},"schema":"https://github.com/citation-style-language/schema/raw/master/csl-citation.json"}</w:instrText>
      </w:r>
      <w:r>
        <w:fldChar w:fldCharType="separate"/>
      </w:r>
      <w:r w:rsidRPr="000E07E1">
        <w:rPr>
          <w:noProof/>
        </w:rPr>
        <w:t>Explanatory Notes to The Anti-Social Behaviour, Crime and Policing Act 2014</w:t>
      </w:r>
      <w:r>
        <w:rPr>
          <w:noProof/>
        </w:rPr>
        <w:t>, above n.3</w:t>
      </w:r>
      <w:r w:rsidR="008C40FB">
        <w:rPr>
          <w:noProof/>
        </w:rPr>
        <w:t>1</w:t>
      </w:r>
      <w:r>
        <w:rPr>
          <w:noProof/>
        </w:rPr>
        <w:t>, at para 263</w:t>
      </w:r>
      <w:r w:rsidRPr="000E07E1">
        <w:rPr>
          <w:noProof/>
        </w:rPr>
        <w:t>.</w:t>
      </w:r>
      <w:r>
        <w:fldChar w:fldCharType="end"/>
      </w:r>
    </w:p>
  </w:footnote>
  <w:footnote w:id="36">
    <w:p w14:paraId="12C1262C" w14:textId="16AFB66F"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{"citationItems":[{"id":"ITEM-1","itemData":{"DOI":"Case No: CO/7774/2010; CO/7850/2011","abstract":"This matter concerns a young child, Jayda Faith Al-Alas Wray, born on 17.10.10, who is now 17 months old. She has been in the care of the Applicant Local Authority ('LA') since birth. A tht etime she was born her parents, Channa Al Alas and Rohan Wray, had been charged with the murder of her older brother, Jayden. Jayden was born on 7.3.09 and died 25.7.09. The parents stood trial at the Central Criminal Cour ('CCC') in November last year. THe trial last 6 weeks. At the end of the defence case the trial judge, HHJ Kramer Q.C., acceded to the defence application that the case should not be put to the jury. The prosecution did not appeal that ruling; the jury were directed to acquit the parents on 9.12.11","container-title":"EWCA Crim","id":"ITEM-1","issued":{"date-parts":[["2017"]]},"page":"2163","title":"R v Parsons; Morgan","type":"legal_case"},"label":"paragraph","suffix":"[3]","uris":["http://www.mendeley.com/documents/?uuid=578b0771-0753-4d58-8621-54166a4f0da7"]},{"id":"ITEM-2","itemData":{"abstract":"Indefinate SHPO should not be made without careful consideration.","container-title":"EWCA Crim","id":"ITEM-2","issued":{"date-parts":[["2017"]]},"page":"1464","title":"R v McLellan (James); R v Bingley (Carl)","type":"legal_case"},"label":"paragraph","suffix":"[40]","uris":["http://www.mendeley.com/documents/?uuid=d1dc0e31-e8e3-4549-bf05-b473990ebcdf"]}],"mendeley":{"formattedCitation":"&lt;i&gt;R v Parsons; Morgan&lt;/i&gt; (n 10) [3]; &lt;i&gt;R v McLellan (James); R v Bingley (Carl)&lt;/i&gt; [2017] EWCA Crim 1464 [40].","plainTextFormattedCitation":"R v Parsons; Morgan (n 10) [3]; R v McLellan (James); R v Bingley (Carl) [2017] EWCA Crim 1464 [40].","previouslyFormattedCitation":"&lt;i&gt;R v Parsons; Morgan&lt;/i&gt; (n 10) [3]; &lt;i&gt;R v McLellan (James); R v Bingley (Carl)&lt;/i&gt; [2017] EWCA Crim 1464 [40]."},"properties":{"noteIndex":33},"schema":"https://github.com/citation-style-language/schema/raw/master/csl-citation.json"}</w:instrText>
      </w:r>
      <w:r>
        <w:fldChar w:fldCharType="separate"/>
      </w:r>
      <w:r w:rsidRPr="000E07E1">
        <w:rPr>
          <w:i/>
          <w:noProof/>
        </w:rPr>
        <w:t>R v Parsons; Morgan</w:t>
      </w:r>
      <w:r>
        <w:rPr>
          <w:noProof/>
        </w:rPr>
        <w:t>, above n.11</w:t>
      </w:r>
      <w:r w:rsidRPr="000E07E1">
        <w:rPr>
          <w:noProof/>
        </w:rPr>
        <w:t xml:space="preserve"> [3]; </w:t>
      </w:r>
      <w:r w:rsidRPr="000E07E1">
        <w:rPr>
          <w:i/>
          <w:noProof/>
        </w:rPr>
        <w:t>R v McLellan (James); R v Bingley (Carl)</w:t>
      </w:r>
      <w:r w:rsidRPr="000E07E1">
        <w:rPr>
          <w:noProof/>
        </w:rPr>
        <w:t xml:space="preserve"> [2017] EWCA Crim 1464 [40].</w:t>
      </w:r>
      <w:r>
        <w:fldChar w:fldCharType="end"/>
      </w:r>
    </w:p>
  </w:footnote>
  <w:footnote w:id="37">
    <w:p w14:paraId="0BF64685" w14:textId="7DFA541B"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{"citationItems":[{"id":"ITEM-1","itemData":{"abstract":"Applicant S vs. The Secretary of State for the Home Department. High Court. Findings: detaining amounted to inhuman and degarding treatment in breach of Article 3 ECHR.","container-title":"EWCA Crim","id":"ITEM-1","issued":{"date-parts":[["2011"]]},"page":"1772","title":"R v Smith and Others","type":"legal_case"},"uris":["http://www.mendeley.com/documents/?uuid=fec223a6-8225-450b-a6b1-558cf0cd95a5"]}],"mendeley":{"formattedCitation":"&lt;i&gt;R v Smith and Others&lt;/i&gt; [2011] EWCA Crim 1772.","plainTextFormattedCitation":"R v Smith and Others [2011] EWCA Crim 1772.","previouslyFormattedCitation":"&lt;i&gt;R v Smith and Others&lt;/i&gt; [2011] EWCA Crim 1772."},"properties":{"noteIndex":34},"schema":"https://github.com/citation-style-language/schema/raw/master/csl-citation.json"}</w:instrText>
      </w:r>
      <w:r>
        <w:fldChar w:fldCharType="separate"/>
      </w:r>
      <w:r w:rsidRPr="00AD30F3">
        <w:rPr>
          <w:i/>
          <w:noProof/>
        </w:rPr>
        <w:t>R v Smith and Others</w:t>
      </w:r>
      <w:r w:rsidRPr="00AD30F3">
        <w:rPr>
          <w:noProof/>
        </w:rPr>
        <w:t xml:space="preserve"> [2011] EWCA Crim 1772.</w:t>
      </w:r>
      <w:r>
        <w:fldChar w:fldCharType="end"/>
      </w:r>
    </w:p>
  </w:footnote>
  <w:footnote w:id="38">
    <w:p w14:paraId="16E215F1" w14:textId="44A857EC"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{"citationItems":[{"id":"ITEM-1","itemData":{"author":[{"dropping-particle":"","family":"Gillespie","given":"Alisdair A","non-dropping-particle":"","parse-names":false,"suffix":""}],"container-title":"Journal of Criminal Law","id":"ITEM-1","issue":"6","issued":{"date-parts":[["2011"]]},"page":"462","title":"Terms of a Sexual Offences Prevention Order: R v Smith [2011] EWCA Crim 1772","type":"article-journal","volume":"75"},"prefix":"For commentary, see, ","uris":["http://www.mendeley.com/documents/?uuid=b9ec8b7c-94eb-4ee8-8a1c-0ba532cece7d"]}],"mendeley":{"formattedCitation":"For commentary, see, Alisdair A Gillespie, ‘Terms of a Sexual Offences Prevention Order: R v Smith [2011] EWCA Crim 1772’ (2011) 75 Journal of Criminal Law 462.","plainTextFormattedCitation":"For commentary, see, Alisdair A Gillespie, ‘Terms of a Sexual Offences Prevention Order: R v Smith [2011] EWCA Crim 1772’ (2011) 75 Journal of Criminal Law 462.","previouslyFormattedCitation":"For commentary, see, Alisdair A Gillespie, ‘Terms of a Sexual Offences Prevention Order: R v Smith [2011] EWCA Crim 1772’ (2011) 75 Journal of Criminal Law 462."},"properties":{"noteIndex":35},"schema":"https://github.com/citation-style-language/schema/raw/master/csl-citation.json"}</w:instrText>
      </w:r>
      <w:r>
        <w:fldChar w:fldCharType="separate"/>
      </w:r>
      <w:r w:rsidRPr="003A4345">
        <w:rPr>
          <w:noProof/>
        </w:rPr>
        <w:t>For commentary, see, A</w:t>
      </w:r>
      <w:r>
        <w:rPr>
          <w:noProof/>
        </w:rPr>
        <w:t>. A.</w:t>
      </w:r>
      <w:r w:rsidRPr="003A4345">
        <w:rPr>
          <w:noProof/>
        </w:rPr>
        <w:t xml:space="preserve"> Gillespie, ‘Terms of a Sexual Offences Prevention Order: R v Smith [2011] EWCA Crim 1772’ (2011) 75 Journal of Criminal Law 462.</w:t>
      </w:r>
      <w:r>
        <w:fldChar w:fldCharType="end"/>
      </w:r>
    </w:p>
  </w:footnote>
  <w:footnote w:id="39">
    <w:p w14:paraId="7A707B9D" w14:textId="2F3E81E7"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Crim","id":"ITEM-1","issued":{"date-parts":[["2010"]]},"page":"1303","title":"R v Mortimer","type":"legal_case"},"uris":["http://www.mendeley.com/documents/?uuid=ecb09910-def9-4271-9308-75deaf8a2727"]}],"mendeley":{"formattedCitation":"&lt;i&gt;R v Mortimer&lt;/i&gt; [2010] EWCA Crim 1303.","plainTextFormattedCitation":"R v Mortimer [2010] EWCA Crim 1303.","previouslyFormattedCitation":"&lt;i&gt;R v Mortimer&lt;/i&gt; [2010] EWCA Crim 1303."},"properties":{"noteIndex":36},"schema":"https://github.com/citation-style-language/schema/raw/master/csl-citation.json"}</w:instrText>
      </w:r>
      <w:r>
        <w:fldChar w:fldCharType="separate"/>
      </w:r>
      <w:r w:rsidRPr="00A824AD">
        <w:rPr>
          <w:i/>
          <w:noProof/>
        </w:rPr>
        <w:t>R v Mortimer</w:t>
      </w:r>
      <w:r w:rsidRPr="00A824AD">
        <w:rPr>
          <w:noProof/>
        </w:rPr>
        <w:t xml:space="preserve"> [2010] EWCA Crim 1303.</w:t>
      </w:r>
      <w:r>
        <w:fldChar w:fldCharType="end"/>
      </w:r>
    </w:p>
  </w:footnote>
  <w:footnote w:id="40">
    <w:p w14:paraId="484337A9" w14:textId="28870529"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Crim","id":"ITEM-1","issued":{"date-parts":[["2004"]]},"page":"1664","title":"R v Collard","type":"legal_case"},"uris":["http://www.mendeley.com/documents/?uuid=b3708e1e-3c79-43fe-905e-df09654e8a96"]}],"mendeley":{"formattedCitation":"&lt;i&gt;R v Collard&lt;/i&gt; [2004] EWCA Crim 1664.","plainTextFormattedCitation":"R v Collard [2004] EWCA Crim 1664.","previouslyFormattedCitation":"&lt;i&gt;R v Collard&lt;/i&gt; [2004] EWCA Crim 1664."},"properties":{"noteIndex":37},"schema":"https://github.com/citation-style-language/schema/raw/master/csl-citation.json"}</w:instrText>
      </w:r>
      <w:r>
        <w:fldChar w:fldCharType="separate"/>
      </w:r>
      <w:r w:rsidRPr="00535D42">
        <w:rPr>
          <w:i/>
          <w:noProof/>
        </w:rPr>
        <w:t>R v Collard</w:t>
      </w:r>
      <w:r w:rsidRPr="00535D42">
        <w:rPr>
          <w:noProof/>
        </w:rPr>
        <w:t xml:space="preserve"> [2004] EWCA Crim 1664.</w:t>
      </w:r>
      <w:r>
        <w:fldChar w:fldCharType="end"/>
      </w:r>
    </w:p>
  </w:footnote>
  <w:footnote w:id="41">
    <w:p w14:paraId="55BB3186" w14:textId="604C0A16"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{"citationItems":[{"id":"ITEM-1","itemData":{"abstract":"Applicant S vs. The Secretary of State for the Home Department. High Court. Findings: detaining amounted to inhuman and degarding treatment in breach of Article 3 ECHR.","container-title":"EWCA Crim","id":"ITEM-1","issued":{"date-parts":[["2011"]]},"page":"1772","title":"R v Smith and Others","type":"legal_case"},"label":"paragraph","suffix":"[8]","uris":["http://www.mendeley.com/documents/?uuid=fec223a6-8225-450b-a6b1-558cf0cd95a5"]}],"mendeley":{"formattedCitation":"&lt;i&gt;R v Smith and Others&lt;/i&gt; (n 34) [8].","plainTextFormattedCitation":"R v Smith and Others (n 34) [8].","previouslyFormattedCitation":"&lt;i&gt;R v Smith and Others&lt;/i&gt; (n 34) [8]."},"properties":{"noteIndex":38},"schema":"https://github.com/citation-style-language/schema/raw/master/csl-citation.json"}</w:instrText>
      </w:r>
      <w:r>
        <w:fldChar w:fldCharType="separate"/>
      </w:r>
      <w:r w:rsidRPr="000E07E1">
        <w:rPr>
          <w:i/>
          <w:noProof/>
        </w:rPr>
        <w:t>R v Smith and Others</w:t>
      </w:r>
      <w:r>
        <w:rPr>
          <w:i/>
          <w:noProof/>
        </w:rPr>
        <w:t xml:space="preserve">, </w:t>
      </w:r>
      <w:r>
        <w:rPr>
          <w:iCs/>
          <w:noProof/>
        </w:rPr>
        <w:t>above n. 3</w:t>
      </w:r>
      <w:r w:rsidR="008C40FB">
        <w:rPr>
          <w:iCs/>
          <w:noProof/>
        </w:rPr>
        <w:t>7</w:t>
      </w:r>
      <w:r w:rsidRPr="000E07E1">
        <w:rPr>
          <w:noProof/>
        </w:rPr>
        <w:t xml:space="preserve"> [8].</w:t>
      </w:r>
      <w:r>
        <w:fldChar w:fldCharType="end"/>
      </w:r>
    </w:p>
  </w:footnote>
  <w:footnote w:id="42">
    <w:p w14:paraId="0967C770" w14:textId="34D65841"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{"citationItems":[{"id":"ITEM-1","itemData":{"abstract":"Applicant S vs. The Secretary of State for the Home Department. High Court. Findings: detaining amounted to inhuman and degarding treatment in breach of Article 3 ECHR.","container-title":"EWCA Crim","id":"ITEM-1","issued":{"date-parts":[["2011"]]},"page":"1772","title":"R v Smith and Others","type":"legal_case"},"label":"paragraph","suffix":"[3]","uris":["http://www.mendeley.com/documents/?uuid=fec223a6-8225-450b-a6b1-558cf0cd95a5"]}],"mendeley":{"formattedCitation":"&lt;i&gt;R v Smith and Others&lt;/i&gt; (n 34) [3].","plainTextFormattedCitation":"R v Smith and Others (n 34) [3].","previouslyFormattedCitation":"&lt;i&gt;R v Smith and Others&lt;/i&gt; (n 34) [3]."},"properties":{"noteIndex":39},"schema":"https://github.com/citation-style-language/schema/raw/master/csl-citation.json"}</w:instrText>
      </w:r>
      <w:r>
        <w:fldChar w:fldCharType="separate"/>
      </w:r>
      <w:r>
        <w:rPr>
          <w:iCs/>
          <w:noProof/>
        </w:rPr>
        <w:t xml:space="preserve">Ibid </w:t>
      </w:r>
      <w:r w:rsidRPr="000E07E1">
        <w:rPr>
          <w:noProof/>
        </w:rPr>
        <w:t>[3].</w:t>
      </w:r>
      <w:r>
        <w:fldChar w:fldCharType="end"/>
      </w:r>
    </w:p>
  </w:footnote>
  <w:footnote w:id="43">
    <w:p w14:paraId="6D5ABA6C" w14:textId="66ACDE0E"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{"citationItems":[{"id":"ITEM-1","itemData":{"DOI":"10.1017/cbo9781139051965","ISBN":"1107652014","abstract":"Andrew Ashworth draws together legislation, research and principles of sentencing to provide unrivalled coverage of English sentencing policy and practice.","author":[{"dropping-particle":"","family":"Ashworth","given":"Andrew","non-dropping-particle":"","parse-names":false,"suffix":""}],"id":"ITEM-1","issued":{"date-parts":[["2015"]]},"number-of-pages":"533","publisher":"Cambridge University Press","title":"Sentencing and Criminal Justice","type":"book"},"locator":"392","uris":["http://www.mendeley.com/documents/?uuid=9baea358-ac07-35b7-aed3-290af2ca8c65"]}],"mendeley":{"formattedCitation":"Ashworth (n 12) 392.","plainTextFormattedCitation":"Ashworth (n 12) 392.","previouslyFormattedCitation":"Ashworth (n 12) 392."},"properties":{"noteIndex":40},"schema":"https://github.com/citation-style-language/schema/raw/master/csl-citation.json"}</w:instrText>
      </w:r>
      <w:r>
        <w:fldChar w:fldCharType="separate"/>
      </w:r>
      <w:r w:rsidRPr="000E07E1">
        <w:rPr>
          <w:noProof/>
        </w:rPr>
        <w:t>Ashworth</w:t>
      </w:r>
      <w:r>
        <w:rPr>
          <w:noProof/>
        </w:rPr>
        <w:t>, above n. 14 at</w:t>
      </w:r>
      <w:r w:rsidRPr="000E07E1">
        <w:rPr>
          <w:noProof/>
        </w:rPr>
        <w:t xml:space="preserve"> 392.</w:t>
      </w:r>
      <w:r>
        <w:fldChar w:fldCharType="end"/>
      </w:r>
    </w:p>
  </w:footnote>
  <w:footnote w:id="44">
    <w:p w14:paraId="4CAEBDEA" w14:textId="0EDF770A"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{"citationItems":[{"id":"ITEM-1","itemData":{"abstract":"Applicant S vs. The Secretary of State for the Home Department. High Court. Findings: detaining amounted to inhuman and degarding treatment in breach of Article 3 ECHR.","container-title":"EWCA Crim","id":"ITEM-1","issued":{"date-parts":[["2011"]]},"page":"1772","title":"R v Smith and Others","type":"legal_case"},"suffix":"[7]","uris":["http://www.mendeley.com/documents/?uuid=fec223a6-8225-450b-a6b1-558cf0cd95a5"]}],"mendeley":{"formattedCitation":"&lt;i&gt;R v Smith and Others&lt;/i&gt; (n 34) [7].","plainTextFormattedCitation":"R v Smith and Others (n 34) [7].","previouslyFormattedCitation":"&lt;i&gt;R v Smith and Others&lt;/i&gt; (n 34) [7]."},"properties":{"noteIndex":41},"schema":"https://github.com/citation-style-language/schema/raw/master/csl-citation.json"}</w:instrText>
      </w:r>
      <w:r>
        <w:fldChar w:fldCharType="separate"/>
      </w:r>
      <w:r w:rsidRPr="000E07E1">
        <w:rPr>
          <w:i/>
          <w:noProof/>
        </w:rPr>
        <w:t>R v Smith and Others</w:t>
      </w:r>
      <w:r>
        <w:rPr>
          <w:i/>
          <w:noProof/>
        </w:rPr>
        <w:t xml:space="preserve">, </w:t>
      </w:r>
      <w:r>
        <w:rPr>
          <w:iCs/>
          <w:noProof/>
        </w:rPr>
        <w:t>above n. 3</w:t>
      </w:r>
      <w:r w:rsidR="008C40FB">
        <w:rPr>
          <w:iCs/>
          <w:noProof/>
        </w:rPr>
        <w:t>7</w:t>
      </w:r>
      <w:r w:rsidRPr="000E07E1">
        <w:rPr>
          <w:noProof/>
        </w:rPr>
        <w:t xml:space="preserve"> [7].</w:t>
      </w:r>
      <w:r>
        <w:fldChar w:fldCharType="end"/>
      </w:r>
    </w:p>
  </w:footnote>
  <w:footnote w:id="45">
    <w:p w14:paraId="66B89D70" w14:textId="3EC4D13A"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{"citationItems":[{"id":"ITEM-1","itemData":{"DOI":"Case No: CO/7774/2010; CO/7850/2011","abstract":"This matter concerns a young child, Jayda Faith Al-Alas Wray, born on 17.10.10, who is now 17 months old. She has been in the care of the Applicant Local Authority ('LA') since birth. A tht etime she was born her parents, Channa Al Alas and Rohan Wray, had been charged with the murder of her older brother, Jayden. Jayden was born on 7.3.09 and died 25.7.09. The parents stood trial at the Central Criminal Cour ('CCC') in November last year. THe trial last 6 weeks. At the end of the defence case the trial judge, HHJ Kramer Q.C., acceded to the defence application that the case should not be put to the jury. The prosecution did not appeal that ruling; the jury were directed to acquit the parents on 9.12.11","container-title":"EWCA Crim","id":"ITEM-1","issued":{"date-parts":[["2019"]]},"page":"2174","title":"R v Jose Sepulvida-Gomez","type":"article-journal"},"uris":["http://www.mendeley.com/documents/?uuid=8c19b014-c9f3-4ee4-b74c-8643f5e7f4ec"]}],"mendeley":{"formattedCitation":"‘R v Jose Sepulvida-Gomez’ [2019] EWCA Crim 2174.","plainTextFormattedCitation":"‘R v Jose Sepulvida-Gomez’ [2019] EWCA Crim 2174.","previouslyFormattedCitation":"‘R v Jose Sepulvida-Gomez’ [2019] EWCA Crim 2174."},"properties":{"noteIndex":42},"schema":"https://github.com/citation-style-language/schema/raw/master/csl-citation.json"}</w:instrText>
      </w:r>
      <w:r>
        <w:fldChar w:fldCharType="separate"/>
      </w:r>
      <w:r w:rsidRPr="00A36EF4">
        <w:rPr>
          <w:i/>
          <w:iCs/>
          <w:noProof/>
        </w:rPr>
        <w:t xml:space="preserve">R v Jose Sepulvida-Gomez </w:t>
      </w:r>
      <w:r w:rsidRPr="00875A00">
        <w:rPr>
          <w:noProof/>
        </w:rPr>
        <w:t>[2019] EWCA Crim 2174.</w:t>
      </w:r>
      <w:r>
        <w:fldChar w:fldCharType="end"/>
      </w:r>
    </w:p>
  </w:footnote>
  <w:footnote w:id="46">
    <w:p w14:paraId="21037B03" w14:textId="7A5CF1DE" w:rsidR="009009B5" w:rsidRDefault="009009B5">
      <w:pPr>
        <w:pStyle w:val="FootnoteText"/>
      </w:pPr>
      <w:r>
        <w:rPr>
          <w:rStyle w:val="FootnoteReference"/>
        </w:rPr>
        <w:footnoteRef/>
      </w:r>
      <w:r>
        <w:t xml:space="preserve"> </w:t>
      </w:r>
      <w:r w:rsidRPr="000E07E1">
        <w:rPr>
          <w:i/>
          <w:noProof/>
        </w:rPr>
        <w:t>R v Smith and Others</w:t>
      </w:r>
      <w:r>
        <w:rPr>
          <w:i/>
          <w:noProof/>
        </w:rPr>
        <w:t xml:space="preserve">, </w:t>
      </w:r>
      <w:r>
        <w:rPr>
          <w:iCs/>
          <w:noProof/>
        </w:rPr>
        <w:t>above n. 3</w:t>
      </w:r>
      <w:r w:rsidR="008C40FB">
        <w:rPr>
          <w:iCs/>
          <w:noProof/>
        </w:rPr>
        <w:t>7</w:t>
      </w:r>
      <w:r>
        <w:rPr>
          <w:iCs/>
          <w:noProof/>
        </w:rPr>
        <w:t xml:space="preserve">; </w:t>
      </w:r>
      <w:r w:rsidR="00061169">
        <w:fldChar w:fldCharType="begin" w:fldLock="1"/>
      </w:r>
      <w:r w:rsidR="00061169">
        <w:instrText>ADDIN CSL_CITATION {"citationItems":[{"id":"ITEM-1","itemData":{"DOI":"Case No: CO/7774/2010; CO/7850/2011","abstract":"This matter concerns a young child, Jayda Faith Al-Alas Wray, born on 17.10.10, who is now 17 months old. She has been in the care of the Applicant Local Authority ('LA') since birth. A tht etime she was born her parents, Channa Al Alas and Rohan Wray, had been charged with the murder of her older brother, Jayden. Jayden was born on 7.3.09 and died 25.7.09. The parents stood trial at the Central Criminal Cour ('CCC') in November last year. THe trial last 6 weeks. At the end of the defence case the trial judge, HHJ Kramer Q.C., acceded to the defence application that the case should not be put to the jury. The prosecution did not appeal that ruling; the jury were directed to acquit the parents on 9.12.11","container-title":"EWCA Crim","id":"ITEM-1","issued":{"date-parts":[["2017"]]},"page":"2163","title":"R v Parsons; Morgan","type":"legal_case"},"label":"paragraph","suffix":"[3]","uris":["http://www.mendeley.com/documents/?uuid=578b0771-0753-4d58-8621-54166a4f0da7"]},{"id":"ITEM-2","itemData":{"abstract":"Indefinate SHPO should not be made without careful consideration.","container-title":"EWCA Crim","id":"ITEM-2","issued":{"date-parts":[["2017"]]},"page":"1464","title":"R v McLellan (James); R v Bingley (Carl)","type":"legal_case"},"label":"paragraph","suffix":"[40]","uris":["http://www.mendeley.com/documents/?uuid=d1dc0e31-e8e3-4549-bf05-b473990ebcdf"]}],"mendeley":{"formattedCitation":"&lt;i&gt;R v Parsons; Morgan&lt;/i&gt; (n 10) [3]; &lt;i&gt;R v McLellan (James); R v Bingley (Carl)&lt;/i&gt; [2017] EWCA Crim 1464 [40].","plainTextFormattedCitation":"R v Parsons; Morgan (n 10) [3]; R v McLellan (James); R v Bingley (Carl) [2017] EWCA Crim 1464 [40].","previouslyFormattedCitation":"&lt;i&gt;R v Parsons; Morgan&lt;/i&gt; (n 10) [3]; &lt;i&gt;R v McLellan (James); R v Bingley (Carl)&lt;/i&gt; [2017] EWCA Crim 1464 [40]."},"properties":{"noteIndex":33},"schema":"https://github.com/citation-style-language/schema/raw/master/csl-citation.json"}</w:instrText>
      </w:r>
      <w:r w:rsidR="00061169">
        <w:fldChar w:fldCharType="separate"/>
      </w:r>
      <w:r w:rsidR="00061169" w:rsidRPr="000E07E1">
        <w:rPr>
          <w:i/>
          <w:noProof/>
        </w:rPr>
        <w:t>R v Parsons; Morgan</w:t>
      </w:r>
      <w:r w:rsidR="00061169">
        <w:rPr>
          <w:noProof/>
        </w:rPr>
        <w:t>, above n. 11</w:t>
      </w:r>
      <w:r w:rsidR="00061169" w:rsidRPr="000E07E1">
        <w:rPr>
          <w:noProof/>
        </w:rPr>
        <w:t>.</w:t>
      </w:r>
      <w:r w:rsidR="00061169">
        <w:fldChar w:fldCharType="end"/>
      </w:r>
    </w:p>
  </w:footnote>
  <w:footnote w:id="47">
    <w:p w14:paraId="537CACF3" w14:textId="23CF6EE4"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{"citationItems":[{"id":"ITEM-1","itemData":{"abstract":"Indefinate SHPO should not be made without careful consideration.","container-title":"EWCA Crim","id":"ITEM-1","issued":{"date-parts":[["2017"]]},"page":"1464","title":"R v McLellan (James); R v Bingley (Carl)","type":"legal_case"},"suffix":"[2 (ii)-(iii)]","uris":["http://www.mendeley.com/documents/?uuid=d1dc0e31-e8e3-4549-bf05-b473990ebcdf"]}],"mendeley":{"formattedCitation":"&lt;i&gt;R v McLellan (James); R v Bingley (Carl)&lt;/i&gt; (n 33) [2 (ii)-(iii)].","plainTextFormattedCitation":"R v McLellan (James); R v Bingley (Carl) (n 33) [2 (ii)-(iii)].","previouslyFormattedCitation":"&lt;i&gt;R v McLellan (James); R v Bingley (Carl)&lt;/i&gt; (n 33) [2 (ii)-(iii)]."},"properties":{"noteIndex":43},"schema":"https://github.com/citation-style-language/schema/raw/master/csl-citation.json"}</w:instrText>
      </w:r>
      <w:r>
        <w:fldChar w:fldCharType="separate"/>
      </w:r>
      <w:r w:rsidRPr="000E07E1">
        <w:rPr>
          <w:i/>
          <w:noProof/>
        </w:rPr>
        <w:t>R v McLellan (James); R v Bingley (Carl)</w:t>
      </w:r>
      <w:r>
        <w:rPr>
          <w:noProof/>
        </w:rPr>
        <w:t>, above n.</w:t>
      </w:r>
      <w:r w:rsidRPr="000E07E1">
        <w:rPr>
          <w:noProof/>
        </w:rPr>
        <w:t xml:space="preserve"> 3</w:t>
      </w:r>
      <w:r w:rsidR="008C40FB">
        <w:rPr>
          <w:noProof/>
        </w:rPr>
        <w:t>6</w:t>
      </w:r>
      <w:r w:rsidRPr="000E07E1">
        <w:rPr>
          <w:noProof/>
        </w:rPr>
        <w:t xml:space="preserve"> [2 (ii)-(iii)].</w:t>
      </w:r>
      <w:r>
        <w:fldChar w:fldCharType="end"/>
      </w:r>
    </w:p>
  </w:footnote>
  <w:footnote w:id="48">
    <w:p w14:paraId="7103C941" w14:textId="61059BD4"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{"citationItems":[{"id":"ITEM-1","itemData":{"abstract":"Duration of SHPOs and need for the court to consider the staturory guidance.","container-title":"EWCA Crim","id":"ITEM-1","issued":{"date-parts":[["2018"]]},"page":"313","title":"R v John Aubrey Stannard","type":"legal_case"},"uris":["http://www.mendeley.com/documents/?uuid=affa1bf2-d91c-48b6-a963-590054882016"]}],"mendeley":{"formattedCitation":"&lt;i&gt;R v John Aubrey Stannard&lt;/i&gt; [2018] EWCA Crim 313.","plainTextFormattedCitation":"R v John Aubrey Stannard [2018] EWCA Crim 313.","previouslyFormattedCitation":"&lt;i&gt;R v John Aubrey Stannard&lt;/i&gt; [2018] EWCA Crim 313."},"properties":{"noteIndex":44},"schema":"https://github.com/citation-style-language/schema/raw/master/csl-citation.json"}</w:instrText>
      </w:r>
      <w:r>
        <w:fldChar w:fldCharType="separate"/>
      </w:r>
      <w:r w:rsidRPr="00A52DD1">
        <w:rPr>
          <w:i/>
          <w:noProof/>
        </w:rPr>
        <w:t>R v John Aubrey Stannard</w:t>
      </w:r>
      <w:r w:rsidRPr="00A52DD1">
        <w:rPr>
          <w:noProof/>
        </w:rPr>
        <w:t xml:space="preserve"> [2018] EWCA Crim 313.</w:t>
      </w:r>
      <w:r>
        <w:fldChar w:fldCharType="end"/>
      </w:r>
    </w:p>
  </w:footnote>
  <w:footnote w:id="49">
    <w:p w14:paraId="394CC0CB" w14:textId="6880A303"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Crim","id":"ITEM-1","issued":{"date-parts":[["2019"]]},"page":"958","title":"R v Thursby (Neil David)","type":"legal_case"},"uris":["http://www.mendeley.com/documents/?uuid=5e35c96b-eb5d-40e6-b9bf-d5423ca75543"]}],"mendeley":{"formattedCitation":"&lt;i&gt;R v Thursby (Neil David)&lt;/i&gt; [2019] EWCA Crim 958.","plainTextFormattedCitation":"R v Thursby (Neil David) [2019] EWCA Crim 958.","previouslyFormattedCitation":"&lt;i&gt;R v Thursby (Neil David)&lt;/i&gt; [2019] EWCA Crim 958."},"properties":{"noteIndex":45},"schema":"https://github.com/citation-style-language/schema/raw/master/csl-citation.json"}</w:instrText>
      </w:r>
      <w:r>
        <w:fldChar w:fldCharType="separate"/>
      </w:r>
      <w:r w:rsidRPr="00A52DD1">
        <w:rPr>
          <w:i/>
          <w:noProof/>
        </w:rPr>
        <w:t>R v Thursby (Neil David)</w:t>
      </w:r>
      <w:r w:rsidRPr="00A52DD1">
        <w:rPr>
          <w:noProof/>
        </w:rPr>
        <w:t xml:space="preserve"> [2019] EWCA Crim 958.</w:t>
      </w:r>
      <w:r>
        <w:fldChar w:fldCharType="end"/>
      </w:r>
    </w:p>
  </w:footnote>
  <w:footnote w:id="50">
    <w:p w14:paraId="0B38B920" w14:textId="0ABD1892"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{"citationItems":[{"id":"ITEM-1","itemData":{"author":[{"dropping-particle":"","family":"Home Office","given":"","non-dropping-particle":"","parse-names":false,"suffix":""}],"id":"ITEM-1","issued":{"date-parts":[["2018"]]},"title":"Guidance on Part 2 of the Sexual Offences Act 2003","type":"report"},"locator":"38","uris":["http://www.mendeley.com/documents/?uuid=102cb90f-d223-336c-a700-2fbbec1dbe18"]}],"mendeley":{"formattedCitation":"Home Office (n 23) 38.","plainTextFormattedCitation":"Home Office (n 23) 38.","previouslyFormattedCitation":"Home Office (n 23) 38."},"properties":{"noteIndex":46},"schema":"https://github.com/citation-style-language/schema/raw/master/csl-citation.json"}</w:instrText>
      </w:r>
      <w:r>
        <w:fldChar w:fldCharType="separate"/>
      </w:r>
      <w:r w:rsidRPr="000E07E1">
        <w:rPr>
          <w:noProof/>
        </w:rPr>
        <w:t>Home Office</w:t>
      </w:r>
      <w:r>
        <w:rPr>
          <w:noProof/>
        </w:rPr>
        <w:t>, above n. 25 at</w:t>
      </w:r>
      <w:r w:rsidRPr="000E07E1">
        <w:rPr>
          <w:noProof/>
        </w:rPr>
        <w:t xml:space="preserve"> 38.</w:t>
      </w:r>
      <w:r>
        <w:fldChar w:fldCharType="end"/>
      </w:r>
    </w:p>
  </w:footnote>
  <w:footnote w:id="51">
    <w:p w14:paraId="1A22ACE9" w14:textId="1F198A37"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{"citationItems":[{"id":"ITEM-1","itemData":{"author":[{"dropping-particle":"","family":"Home Office","given":"","non-dropping-particle":"","parse-names":false,"suffix":""}],"id":"ITEM-1","issued":{"date-parts":[["2018"]]},"title":"Guidance on Part 2 of the Sexual Offences Act 2003","type":"report"},"locator":"38","uris":["http://www.mendeley.com/documents/?uuid=102cb90f-d223-336c-a700-2fbbec1dbe18"]}],"mendeley":{"formattedCitation":"Home Office (n 23) 38.","plainTextFormattedCitation":"Home Office (n 23) 38.","previouslyFormattedCitation":"Home Office (n 23) 38."},"properties":{"noteIndex":47},"schema":"https://github.com/citation-style-language/schema/raw/master/csl-citation.json"}</w:instrText>
      </w:r>
      <w:r>
        <w:fldChar w:fldCharType="separate"/>
      </w:r>
      <w:r>
        <w:rPr>
          <w:noProof/>
        </w:rPr>
        <w:t>Ibid</w:t>
      </w:r>
      <w:r w:rsidRPr="000E07E1">
        <w:rPr>
          <w:noProof/>
        </w:rPr>
        <w:t>.</w:t>
      </w:r>
      <w:r>
        <w:fldChar w:fldCharType="end"/>
      </w:r>
    </w:p>
  </w:footnote>
  <w:footnote w:id="52">
    <w:p w14:paraId="3F502788" w14:textId="6E395B70"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{"citationItems":[{"id":"ITEM-1","itemData":{"ISSN":"00220183","abstract":"The article discusses the court case R. v. Golding wherein the Crown Court at Northampton in England sentenced the appellant to fourteen months' imprisonment for recklessly infecting the complainant with genital herpes simplex type-2 (HSV-2). Topics discussed include the grounds of the subsequent appeal against conviction, Crown Prosecution Service (CPS) guidance in force at the time of the appellant's guilty plea, and expert medical evidence on the impact of herpes on the complainant.","author":[{"dropping-particle":"","family":"Roebuck","given":"James","non-dropping-particle":"","parse-names":false,"suffix":""}],"container-title":"Journal of Criminal Law","id":"ITEM-1","issue":"4","issued":{"date-parts":[["2014"]]},"page":"294-299","title":"Criminal Liability for Transmission of Herpes Simplex Virus.","type":"article-journal","volume":"78"},"prefix":"For discussion of other non-HIV related prosecutions, see,","uris":["http://www.mendeley.com/documents/?uuid=14dd3b24-9055-33ee-8348-630c867268e1"]},{"id":"ITEM-2","itemData":{"DOI":"10.1136/medethics-2012-100894","ISBN":"2012101119","ISSN":"14734257","PMID":"24429670","abstract":"For many people, living with genital herpes generates not just episodic physical discomfort but recurrent emotional distress, centred on concerns about how to live and love safely without passing infection to others. This article considers the evidence on herpes transmission, levels of sexual risk, when the law has intervened and to what extent health professionals should advise with respect to these issues. It proposes a mechanism by which moral philosophy might provide a rational basis on which to counsel concerning sexual behaviour. Copyright Published by the BMJ Publishing Group Limited. For permission to use (where not already granted under a licence) please go to http://group.bmj.com/group/rights-licensing/permissions.","author":[{"dropping-particle":"","family":"Dunphy","given":"Kilian","non-dropping-particle":"","parse-names":false,"suffix":""}],"container-title":"Journal of Medical Ethics","id":"ITEM-2","issue":"12","issued":{"date-parts":[["2014"]]},"page":"793-797","title":"Herpes genitalis and the philosopher's stance","type":"article-journal","volume":"40"},"prefix":"and, also, ","uris":["http://www.mendeley.com/documents/?uuid=db9cb817-fd79-3d5b-af0c-e9bc1c5f032e"]}],"mendeley":{"formattedCitation":"For discussion of other non-HIV related prosecutions, see, James Roebuck, ‘Criminal Liability for Transmission of Herpes Simplex Virus.’ (2014) 78 Journal of Criminal Law 294; and, also, Kilian Dunphy, ‘Herpes Genitalis and the Philosopher’s Stance’ (2014) 40 Journal of Medical Ethics 793.","plainTextFormattedCitation":"For discussion of other non-HIV related prosecutions, see, James Roebuck, ‘Criminal Liability for Transmission of Herpes Simplex Virus.’ (2014) 78 Journal of Criminal Law 294; and, also, Kilian Dunphy, ‘Herpes Genitalis and the Philosopher’s Stance’ (2014) 40 Journal of Medical Ethics 793.","previouslyFormattedCitation":"For discussion of other non-HIV related prosecutions, see, James Roebuck, ‘Criminal Liability for Transmission of Herpes Simplex Virus.’ (2014) 78 Journal of Criminal Law 294; and, also, Kilian Dunphy, ‘Herpes Genitalis and the Philosopher’s Stance’ (2014) 40 Journal of Medical Ethics 793."},"properties":{"noteIndex":48},"schema":"https://github.com/citation-style-language/schema/raw/master/csl-citation.json"}</w:instrText>
      </w:r>
      <w:r>
        <w:fldChar w:fldCharType="separate"/>
      </w:r>
      <w:r w:rsidRPr="002572FB">
        <w:rPr>
          <w:noProof/>
        </w:rPr>
        <w:t>For discussion of other non-HIV related prosecutions, see, J</w:t>
      </w:r>
      <w:r>
        <w:rPr>
          <w:noProof/>
        </w:rPr>
        <w:t>.</w:t>
      </w:r>
      <w:r w:rsidRPr="002572FB">
        <w:rPr>
          <w:noProof/>
        </w:rPr>
        <w:t xml:space="preserve"> Roebuck, ‘Criminal Liability for Transmission of Herpes Simplex Virus.’ (2014) 78 Journal of Criminal Law 294; and, also, K</w:t>
      </w:r>
      <w:r>
        <w:rPr>
          <w:noProof/>
        </w:rPr>
        <w:t>.</w:t>
      </w:r>
      <w:r w:rsidRPr="002572FB">
        <w:rPr>
          <w:noProof/>
        </w:rPr>
        <w:t xml:space="preserve"> Dunphy, ‘Herpes Genitalis and the Philosopher’s Stance’ (2014) 40 Journal of Medical Ethics 793.</w:t>
      </w:r>
      <w:r>
        <w:fldChar w:fldCharType="end"/>
      </w:r>
    </w:p>
  </w:footnote>
  <w:footnote w:id="53">
    <w:p w14:paraId="632E1493" w14:textId="77777777" w:rsidR="00133EA5" w:rsidRDefault="00133EA5" w:rsidP="001102A1">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Crim","id":"ITEM-1","issued":{"date-parts":[["2014"]]},"page":"889","title":"R. v Golding (David)","type":"legal_case"},"uris":["http://www.mendeley.com/documents/?uuid=78108028-15a2-314d-a690-384473f4e0d7"]}],"mendeley":{"formattedCitation":"&lt;i&gt;R v Golding (David)&lt;/i&gt; [2014] EWCA Crim 889.","plainTextFormattedCitation":"R v Golding (David) [2014] EWCA Crim 889.","previouslyFormattedCitation":"&lt;i&gt;R v Golding (David)&lt;/i&gt; [2014] EWCA Crim 889."},"properties":{"noteIndex":49},"schema":"https://github.com/citation-style-language/schema/raw/master/csl-citation.json"}</w:instrText>
      </w:r>
      <w:r>
        <w:fldChar w:fldCharType="separate"/>
      </w:r>
      <w:r w:rsidRPr="005679E1">
        <w:rPr>
          <w:i/>
          <w:noProof/>
        </w:rPr>
        <w:t>R v Golding (David)</w:t>
      </w:r>
      <w:r w:rsidRPr="005679E1">
        <w:rPr>
          <w:noProof/>
        </w:rPr>
        <w:t xml:space="preserve"> [2014] EWCA Crim 889.</w:t>
      </w:r>
      <w:r>
        <w:fldChar w:fldCharType="end"/>
      </w:r>
    </w:p>
  </w:footnote>
  <w:footnote w:id="54">
    <w:p w14:paraId="625EFCA4" w14:textId="08FADF96"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{"citationItems":[{"id":"ITEM-1","itemData":{"id":"ITEM-1","issued":{"date-parts":[["2003"]]},"title":"Sexual Offences Act","type":"legislation"},"suffix":"s9(1)-(2)","uris":["http://www.mendeley.com/documents/?uuid=d45463fa-fc05-4130-9768-fa5231cd7d35"]}],"mendeley":{"formattedCitation":"Sexual Offences Act (n 20) s9(1)-(2).","plainTextFormattedCitation":"Sexual Offences Act (n 20) s9(1)-(2).","previouslyFormattedCitation":"Sexual Offences Act (n 20) s9(1)-(2)."},"properties":{"noteIndex":50},"schema":"https://github.com/citation-style-language/schema/raw/master/csl-citation.json"}</w:instrText>
      </w:r>
      <w:r>
        <w:fldChar w:fldCharType="separate"/>
      </w:r>
      <w:r w:rsidRPr="000E07E1">
        <w:rPr>
          <w:noProof/>
        </w:rPr>
        <w:t>Sexual Offences Ac</w:t>
      </w:r>
      <w:r>
        <w:rPr>
          <w:noProof/>
        </w:rPr>
        <w:t xml:space="preserve">t, above n. 22 </w:t>
      </w:r>
      <w:r w:rsidRPr="000E07E1">
        <w:rPr>
          <w:noProof/>
        </w:rPr>
        <w:t xml:space="preserve"> s9(1)-(2).</w:t>
      </w:r>
      <w:r>
        <w:fldChar w:fldCharType="end"/>
      </w:r>
    </w:p>
  </w:footnote>
  <w:footnote w:id="55">
    <w:p w14:paraId="710F0A80" w14:textId="5BC60826"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Crim","id":"ITEM-1","issued":{"date-parts":[["2009"]]},"page":"60","title":"R v Marangwanda (Peace)","type":"legal_case"},"label":"paragraph","suffix":"[5]","uris":["http://www.mendeley.com/documents/?uuid=c0ddda35-1e7e-4235-ac60-c140aae8dd07"]}],"mendeley":{"formattedCitation":"&lt;i&gt;R v Marangwanda (Peace)&lt;/i&gt; (n 8) [5].","plainTextFormattedCitation":"R v Marangwanda (Peace) (n 8) [5].","previouslyFormattedCitation":"&lt;i&gt;R v Marangwanda (Peace)&lt;/i&gt; (n 8) [5]."},"properties":{"noteIndex":51},"schema":"https://github.com/citation-style-language/schema/raw/master/csl-citation.json"}</w:instrText>
      </w:r>
      <w:r>
        <w:fldChar w:fldCharType="separate"/>
      </w:r>
      <w:r w:rsidRPr="000E07E1">
        <w:rPr>
          <w:i/>
          <w:noProof/>
        </w:rPr>
        <w:t>R v Marangwanda (Peace</w:t>
      </w:r>
      <w:r w:rsidRPr="000E07E1">
        <w:rPr>
          <w:noProof/>
        </w:rPr>
        <w:t>)</w:t>
      </w:r>
      <w:r>
        <w:rPr>
          <w:noProof/>
        </w:rPr>
        <w:t>, above n. 9</w:t>
      </w:r>
      <w:r w:rsidRPr="000E07E1">
        <w:rPr>
          <w:noProof/>
        </w:rPr>
        <w:t xml:space="preserve"> [5].</w:t>
      </w:r>
      <w:r>
        <w:fldChar w:fldCharType="end"/>
      </w:r>
    </w:p>
  </w:footnote>
  <w:footnote w:id="56">
    <w:p w14:paraId="6912BD85" w14:textId="44C2BFDB"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Crim","id":"ITEM-1","issued":{"date-parts":[["2009"]]},"page":"60","title":"R v Marangwanda (Peace)","type":"legal_case"},"label":"paragraph","suffix":"[9]-[10]","uris":["http://www.mendeley.com/documents/?uuid=c0ddda35-1e7e-4235-ac60-c140aae8dd07"]}],"mendeley":{"formattedCitation":"&lt;i&gt;R v Marangwanda (Peace)&lt;/i&gt; (n 8) [9]-[10].","plainTextFormattedCitation":"R v Marangwanda (Peace) (n 8) [9]-[10].","previouslyFormattedCitation":"&lt;i&gt;R v Marangwanda (Peace)&lt;/i&gt; (n 8) [9]-[10]."},"properties":{"noteIndex":52},"schema":"https://github.com/citation-style-language/schema/raw/master/csl-citation.json"}</w:instrText>
      </w:r>
      <w:r>
        <w:fldChar w:fldCharType="separate"/>
      </w:r>
      <w:r>
        <w:rPr>
          <w:iCs/>
          <w:noProof/>
        </w:rPr>
        <w:t xml:space="preserve">Ibid </w:t>
      </w:r>
      <w:r w:rsidRPr="000E07E1">
        <w:rPr>
          <w:noProof/>
        </w:rPr>
        <w:t>[9]-[10].</w:t>
      </w:r>
      <w:r>
        <w:fldChar w:fldCharType="end"/>
      </w:r>
    </w:p>
  </w:footnote>
  <w:footnote w:id="57">
    <w:p w14:paraId="0EFD7C40" w14:textId="64612125"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{"citationItems":[{"id":"ITEM-1","itemData":{"DOI":"10.1016/j.jflm.2007.04.001","ISSN":"1752928X","abstract":"International consensus guidelines state that Neisseria gonorrhoeae infection in pre-pubertal children is always, or nearly always, sexually transmitted. A systematic literature review does not concur with this. N gonorrhoea was believed to solely sexually transmitted when first identified in the 1880s. However it became recognised that when the infection was introduced into children's institutions, it rapidly spread among pre-pubertal girls. The medical literature records over 40 epidemics involving about 2000 children in Europe and the United States. Communal baths, towels or fabric, rectal thermometers and caregivers hands were identified as means of transmission. Although sensitive to heat and drying, gonorrhoea may remain viable in pus on cloth for several days. Several unusual accidental transmissions are reported, often due to contamination from laboratory samples. Indirect transmission occurs in epidemics of conjunctivitis in third world rural populations. Spread of infection can occur via contaminated hands of infected caregivers. While all paediatric cases of gonorrhoea must be taken seriously, including contact tracking and testing, forensic medical examiners should keep an open mind about possible means of transmission. Doctors and lawyers need to be cognisant of the large body of literature demonstrating both sexual and non-sexual means of transmission of gonorrhoea in children. © 2007 Elsevier Ltd and FFLM.","author":[{"dropping-particle":"","family":"Goodyear-Smith","given":"Felicity","non-dropping-particle":"","parse-names":false,"suffix":""}],"container-title":"Journal of Forensic and Legal Medicine","id":"ITEM-1","issue":"8","issued":{"date-parts":[["2007","11"]]},"page":"489-502","title":"What is the evidence for non-sexual transmission of gonorrhoea in children after the neonatal period? A systematic review","type":"article","volume":"14"},"uris":["http://www.mendeley.com/documents/?uuid=c04ac21b-9654-3f76-b6b5-267f99a03651"]}],"mendeley":{"formattedCitation":"Felicity Goodyear-Smith, ‘What Is the Evidence for Non-Sexual Transmission of Gonorrhoea in Children after the Neonatal Period? A Systematic Review’ 489.","plainTextFormattedCitation":"Felicity Goodyear-Smith, ‘What Is the Evidence for Non-Sexual Transmission of Gonorrhoea in Children after the Neonatal Period? A Systematic Review’ 489.","previouslyFormattedCitation":"Felicity Goodyear-Smith, ‘What Is the Evidence for Non-Sexual Transmission of Gonorrhoea in Children after the Neonatal Period? A Systematic Review’ 489."},"properties":{"noteIndex":53},"schema":"https://github.com/citation-style-language/schema/raw/master/csl-citation.json"}</w:instrText>
      </w:r>
      <w:r>
        <w:fldChar w:fldCharType="separate"/>
      </w:r>
      <w:r w:rsidRPr="009955E8">
        <w:rPr>
          <w:noProof/>
        </w:rPr>
        <w:t>F</w:t>
      </w:r>
      <w:r>
        <w:rPr>
          <w:noProof/>
        </w:rPr>
        <w:t>.</w:t>
      </w:r>
      <w:r w:rsidRPr="009955E8">
        <w:rPr>
          <w:noProof/>
        </w:rPr>
        <w:t xml:space="preserve"> Goodyear-Smith, ‘What Is the Evidence for Non-Sexual Transmission of Gonorrhoea in Children after the Neonatal Period? A Systematic Review’ </w:t>
      </w:r>
      <w:r>
        <w:rPr>
          <w:noProof/>
        </w:rPr>
        <w:t xml:space="preserve">(2007) 14 Journal of Forensic and Legal Medicine </w:t>
      </w:r>
      <w:r w:rsidRPr="009955E8">
        <w:rPr>
          <w:noProof/>
        </w:rPr>
        <w:t>489.</w:t>
      </w:r>
      <w:r>
        <w:fldChar w:fldCharType="end"/>
      </w:r>
    </w:p>
  </w:footnote>
  <w:footnote w:id="58">
    <w:p w14:paraId="2D944A10" w14:textId="4B15B635"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{"citationItems":[{"id":"ITEM-1","itemData":{"DOI":"10.1136/adc.2009.162909","ISSN":"00039888","abstract":"Objective: There has been some debate about the modes of transmission of genital gonorrhoea in prepubertal children. Our objective was to determine, in a consecutive case series from one hospital, what modes of transmission could be determined. Methods: Retrospective review of cases of genital gonorrhoea in pre-pubertal children managed according to an inter-agency assessment protocol from 2002 to 2008. This assessment protocol included extensive screening for potential sources of infection and early forensic interviewing of children old enough to be interviewed. Results: 153 potential contacts of 10 prepubertal children with genital gonorrhoea diagnosed on the basis of positive cultures were investigated. Thirteen persons screened (8.5%) were positive for gonorrhoea, so 9/10 cases had at least one positive potential \"contact\". In four children, the mode of transmission was definitely sexual. In four other children, although the source of infection was unclear, there was no evidence of non-sexual transmission. One child probably acquired infection from another child. In one case, the parents argued strongly for non-sexual transmission, but the court regarded this as unproven. Conclusion: Thorough review and contact tracing of pre-pubertal children with genital gonorrhoea found that sexual abuse could be determined as the mode of transmission for at least 40% of children. Although our sample size was limited, we found no case where nonsexual transmission could be determined.","author":[{"dropping-particle":"","family":"Whaitiri","given":"S","non-dropping-particle":"","parse-names":false,"suffix":""},{"dropping-particle":"","family":"Kelly","given":"Patrick","non-dropping-particle":"","parse-names":false,"suffix":""}],"container-title":"Archives of Disease in Childhood","id":"ITEM-1","issue":"3","issued":{"date-parts":[["2011"]]},"page":"247-251","title":"Genital gonorrhoea in children: Determining the source and mode of infection","type":"article-journal","volume":"96"},"uris":["http://www.mendeley.com/documents/?uuid=ebfebf07-7cfb-3214-b4f0-cb0b5e03fe81"]}],"mendeley":{"formattedCitation":"S Whaitiri and Patrick Kelly, ‘Genital Gonorrhoea in Children: Determining the Source and Mode of Infection’ (2011) 96 Archives of Disease in Childhood 247.","plainTextFormattedCitation":"S Whaitiri and Patrick Kelly, ‘Genital Gonorrhoea in Children: Determining the Source and Mode of Infection’ (2011) 96 Archives of Disease in Childhood 247.","previouslyFormattedCitation":"S Whaitiri and Patrick Kelly, ‘Genital Gonorrhoea in Children: Determining the Source and Mode of Infection’ (2011) 96 Archives of Disease in Childhood 247."},"properties":{"noteIndex":54},"schema":"https://github.com/citation-style-language/schema/raw/master/csl-citation.json"}</w:instrText>
      </w:r>
      <w:r>
        <w:fldChar w:fldCharType="separate"/>
      </w:r>
      <w:r w:rsidRPr="0006457C">
        <w:rPr>
          <w:noProof/>
        </w:rPr>
        <w:t>S</w:t>
      </w:r>
      <w:r>
        <w:rPr>
          <w:noProof/>
        </w:rPr>
        <w:t>.</w:t>
      </w:r>
      <w:r w:rsidRPr="0006457C">
        <w:rPr>
          <w:noProof/>
        </w:rPr>
        <w:t xml:space="preserve"> Whaitiri and P</w:t>
      </w:r>
      <w:r>
        <w:rPr>
          <w:noProof/>
        </w:rPr>
        <w:t>.</w:t>
      </w:r>
      <w:r w:rsidRPr="0006457C">
        <w:rPr>
          <w:noProof/>
        </w:rPr>
        <w:t xml:space="preserve"> Kelly, ‘Genital Gonorrhoea in Children: Determining the Source and Mode of Infection’ (2011) 96 Archives of Disease in Childhood 247.</w:t>
      </w:r>
      <w:r>
        <w:fldChar w:fldCharType="end"/>
      </w:r>
    </w:p>
  </w:footnote>
  <w:footnote w:id="59">
    <w:p w14:paraId="2CEA251A" w14:textId="6EB9D226"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Crim","id":"ITEM-1","issued":{"date-parts":[["2009"]]},"page":"60","title":"R v Marangwanda (Peace)","type":"legal_case"},"label":"paragraph","suffix":"[10]","uris":["http://www.mendeley.com/documents/?uuid=c0ddda35-1e7e-4235-ac60-c140aae8dd07"]}],"mendeley":{"formattedCitation":"&lt;i&gt;R v Marangwanda (Peace)&lt;/i&gt; (n 8) [10].","plainTextFormattedCitation":"R v Marangwanda (Peace) (n 8) [10].","previouslyFormattedCitation":"&lt;i&gt;R v Marangwanda (Peace)&lt;/i&gt; (n 8) [10]."},"properties":{"noteIndex":55},"schema":"https://github.com/citation-style-language/schema/raw/master/csl-citation.json"}</w:instrText>
      </w:r>
      <w:r>
        <w:fldChar w:fldCharType="separate"/>
      </w:r>
      <w:r w:rsidRPr="000E07E1">
        <w:rPr>
          <w:i/>
          <w:noProof/>
        </w:rPr>
        <w:t>R v Marangwanda (Peace)</w:t>
      </w:r>
      <w:r>
        <w:rPr>
          <w:noProof/>
        </w:rPr>
        <w:t xml:space="preserve">, above n. 9 </w:t>
      </w:r>
      <w:r w:rsidRPr="000E07E1">
        <w:rPr>
          <w:noProof/>
        </w:rPr>
        <w:t>[10].</w:t>
      </w:r>
      <w:r>
        <w:fldChar w:fldCharType="end"/>
      </w:r>
    </w:p>
  </w:footnote>
  <w:footnote w:id="60">
    <w:p w14:paraId="2D9E0F64" w14:textId="07747E2A"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{"citationItems":[{"id":"ITEM-1","itemData":{"container-title":"EWCA Crim","id":"ITEM-1","issued":{"date-parts":[["2009"]]},"page":"60","title":"R v Marangwanda (Peace)","type":"legal_case"},"label":"paragraph","suffix":"[16] (emphasis added)","uris":["http://www.mendeley.com/documents/?uuid=c0ddda35-1e7e-4235-ac60-c140aae8dd07"]}],"mendeley":{"formattedCitation":"&lt;i&gt;R v Marangwanda (Peace)&lt;/i&gt; (n 8) [16] (emphasis added).","plainTextFormattedCitation":"R v Marangwanda (Peace) (n 8) [16] (emphasis added).","previouslyFormattedCitation":"&lt;i&gt;R v Marangwanda (Peace)&lt;/i&gt; (n 8) [16] (emphasis added)."},"properties":{"noteIndex":56},"schema":"https://github.com/citation-style-language/schema/raw/master/csl-citation.json"}</w:instrText>
      </w:r>
      <w:r>
        <w:fldChar w:fldCharType="separate"/>
      </w:r>
      <w:r>
        <w:rPr>
          <w:noProof/>
        </w:rPr>
        <w:t>Ibid</w:t>
      </w:r>
      <w:r w:rsidRPr="000E07E1">
        <w:rPr>
          <w:noProof/>
        </w:rPr>
        <w:t xml:space="preserve"> [16] (emphasis added).</w:t>
      </w:r>
      <w:r>
        <w:fldChar w:fldCharType="end"/>
      </w:r>
    </w:p>
  </w:footnote>
  <w:footnote w:id="61">
    <w:p w14:paraId="23C14AF8" w14:textId="32605BE0"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{"citationItems":[{"id":"ITEM-1","itemData":{"author":[{"dropping-particle":"","family":"Law Commission","given":"","non-dropping-particle":"","parse-names":false,"suffix":""}],"id":"ITEM-1","issued":{"date-parts":[["2015"]]},"publisher":"Law Com No 361","title":"Reform of Offences Against The Person Act","type":"book"},"locator":"142","prefix":"The point made in","uris":["http://www.mendeley.com/documents/?uuid=f6acc622-3d21-3077-b726-c02839b62558"]}],"mendeley":{"formattedCitation":"The point made in Law Commission (n 9) 142.","plainTextFormattedCitation":"The point made in Law Commission (n 9) 142.","previouslyFormattedCitation":"The point made in Law Commission (n 9) 142."},"properties":{"noteIndex":57},"schema":"https://github.com/citation-style-language/schema/raw/master/csl-citation.json"}</w:instrText>
      </w:r>
      <w:r>
        <w:fldChar w:fldCharType="separate"/>
      </w:r>
      <w:r w:rsidRPr="000E07E1">
        <w:rPr>
          <w:noProof/>
        </w:rPr>
        <w:t xml:space="preserve">The point made </w:t>
      </w:r>
      <w:r>
        <w:rPr>
          <w:noProof/>
        </w:rPr>
        <w:t>by The</w:t>
      </w:r>
      <w:r w:rsidRPr="000E07E1">
        <w:rPr>
          <w:noProof/>
        </w:rPr>
        <w:t xml:space="preserve"> Law Commission</w:t>
      </w:r>
      <w:r>
        <w:rPr>
          <w:noProof/>
        </w:rPr>
        <w:t>, above n. 10 at</w:t>
      </w:r>
      <w:r w:rsidRPr="000E07E1">
        <w:rPr>
          <w:noProof/>
        </w:rPr>
        <w:t xml:space="preserve"> 142.</w:t>
      </w:r>
      <w:r>
        <w:fldChar w:fldCharType="end"/>
      </w:r>
    </w:p>
  </w:footnote>
  <w:footnote w:id="62">
    <w:p w14:paraId="34AE41EA" w14:textId="3BE0CA21"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{"citationItems":[{"id":"ITEM-1","itemData":{"DOI":"Case No: CO/7774/2010; CO/7850/2011","abstract":"This matter concerns a young child, Jayda Faith Al-Alas Wray, born on 17.10.10, who is now 17 months old. She has been in the care of the Applicant Local Authority ('LA') since birth. A tht etime she was born her parents, Channa Al Alas and Rohan Wray, had been charged with the murder of her older brother, Jayden. Jayden was born on 7.3.09 and died 25.7.09. The parents stood trial at the Central Criminal Cour ('CCC') in November last year. THe trial last 6 weeks. At the end of the defence case the trial judge, HHJ Kramer Q.C., acceded to the defence application that the case should not be put to the jury. The prosecution did not appeal that ruling; the jury were directed to acquit the parents on 9.12.11","container-title":"EWCA Crim","id":"ITEM-1","issued":{"date-parts":[["2017"]]},"page":"2163","title":"R v Parsons; Morgan","type":"legal_case"},"suffix":"[71]","uris":["http://www.mendeley.com/documents/?uuid=578b0771-0753-4d58-8621-54166a4f0da7"]}],"mendeley":{"formattedCitation":"&lt;i&gt;R v Parsons; Morgan&lt;/i&gt; (n 10) [71].","plainTextFormattedCitation":"R v Parsons; Morgan (n 10) [71].","previouslyFormattedCitation":"&lt;i&gt;R v Parsons; Morgan&lt;/i&gt; (n 10) [71]."},"properties":{"noteIndex":58},"schema":"https://github.com/citation-style-language/schema/raw/master/csl-citation.json"}</w:instrText>
      </w:r>
      <w:r>
        <w:fldChar w:fldCharType="separate"/>
      </w:r>
      <w:r w:rsidRPr="000E07E1">
        <w:rPr>
          <w:i/>
          <w:noProof/>
        </w:rPr>
        <w:t>R v Parsons; Morgan</w:t>
      </w:r>
      <w:r>
        <w:rPr>
          <w:noProof/>
        </w:rPr>
        <w:t xml:space="preserve">, above n. 11 </w:t>
      </w:r>
      <w:r w:rsidRPr="000E07E1">
        <w:rPr>
          <w:noProof/>
        </w:rPr>
        <w:t>[71].</w:t>
      </w:r>
      <w:r>
        <w:fldChar w:fldCharType="end"/>
      </w:r>
      <w:r w:rsidRPr="006B3F42">
        <w:rPr>
          <w:noProof/>
        </w:rPr>
        <w:t xml:space="preserve"> </w:t>
      </w:r>
    </w:p>
  </w:footnote>
  <w:footnote w:id="63">
    <w:p w14:paraId="559B72B9" w14:textId="2BEF7E0F"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{"citationItems":[{"id":"ITEM-1","itemData":{"DOI":"Case No: CO/7774/2010; CO/7850/2011","abstract":"This matter concerns a young child, Jayda Faith Al-Alas Wray, born on 17.10.10, who is now 17 months old. She has been in the care of the Applicant Local Authority ('LA') since birth. A tht etime she was born her parents, Channa Al Alas and Rohan Wray, had been charged with the murder of her older brother, Jayden. Jayden was born on 7.3.09 and died 25.7.09. The parents stood trial at the Central Criminal Cour ('CCC') in November last year. THe trial last 6 weeks. At the end of the defence case the trial judge, HHJ Kramer Q.C., acceded to the defence application that the case should not be put to the jury. The prosecution did not appeal that ruling; the jury were directed to acquit the parents on 9.12.11","container-title":"EWCA Crim","id":"ITEM-1","issued":{"date-parts":[["2017"]]},"page":"2163","title":"R v Parsons; Morgan","type":"legal_case"},"suffix":"[5]","uris":["http://www.mendeley.com/documents/?uuid=578b0771-0753-4d58-8621-54166a4f0da7"]}],"mendeley":{"formattedCitation":"&lt;i&gt;R v Parsons; Morgan&lt;/i&gt; [2017] EWCA Crim 2163 [5].","plainTextFormattedCitation":"R v Parsons; Morgan [2017] EWCA Crim 2163 [5].","previouslyFormattedCitation":"&lt;i&gt;R v Parsons; Morgan&lt;/i&gt; [2017] EWCA Crim 2163 [5]."},"properties":{"noteIndex":10},"schema":"https://github.com/citation-style-language/schema/raw/master/csl-citation.json"}</w:instrText>
      </w:r>
      <w:r>
        <w:fldChar w:fldCharType="separate"/>
      </w:r>
      <w:r>
        <w:rPr>
          <w:iCs/>
          <w:noProof/>
        </w:rPr>
        <w:t>Ibid</w:t>
      </w:r>
      <w:r w:rsidRPr="000E07E1">
        <w:rPr>
          <w:noProof/>
        </w:rPr>
        <w:t xml:space="preserve"> [5].</w:t>
      </w:r>
      <w:r>
        <w:fldChar w:fldCharType="end"/>
      </w:r>
    </w:p>
  </w:footnote>
  <w:footnote w:id="64">
    <w:p w14:paraId="5625FC0D" w14:textId="77777777" w:rsidR="00133EA5" w:rsidRPr="002140A2" w:rsidRDefault="00133EA5" w:rsidP="00AF1DBD">
      <w:pPr>
        <w:pStyle w:val="FootnoteText"/>
        <w:rPr>
          <w:color w:val="000000" w:themeColor="text1"/>
        </w:rPr>
      </w:pPr>
      <w:r w:rsidRPr="002140A2">
        <w:rPr>
          <w:rStyle w:val="FootnoteReference"/>
          <w:color w:val="000000" w:themeColor="text1"/>
        </w:rPr>
        <w:footnoteRef/>
      </w:r>
      <w:r w:rsidRPr="002140A2">
        <w:rPr>
          <w:color w:val="000000" w:themeColor="text1"/>
        </w:rPr>
        <w:t xml:space="preserve"> L. Harris, ‘Sentencing: R. v Jones (Christopher Wyn) Court of Appeal (Criminal Division): </w:t>
      </w:r>
      <w:proofErr w:type="spellStart"/>
      <w:r w:rsidRPr="002140A2">
        <w:rPr>
          <w:color w:val="000000" w:themeColor="text1"/>
        </w:rPr>
        <w:t>Hamblen</w:t>
      </w:r>
      <w:proofErr w:type="spellEnd"/>
      <w:r w:rsidRPr="002140A2">
        <w:rPr>
          <w:color w:val="000000" w:themeColor="text1"/>
        </w:rPr>
        <w:t xml:space="preserve"> LJ, Sir John Royce and the Recorder of Redbridge (HH Judge </w:t>
      </w:r>
      <w:proofErr w:type="spellStart"/>
      <w:r w:rsidRPr="002140A2">
        <w:rPr>
          <w:color w:val="000000" w:themeColor="text1"/>
        </w:rPr>
        <w:t>Zeidman</w:t>
      </w:r>
      <w:proofErr w:type="spellEnd"/>
      <w:r w:rsidRPr="002140A2">
        <w:rPr>
          <w:color w:val="000000" w:themeColor="text1"/>
        </w:rPr>
        <w:t xml:space="preserve"> QC): 5 July 2018; [2018] EWCA Crim 1733’ (2019) 1 Criminal Law Review 58 at 60.</w:t>
      </w:r>
    </w:p>
  </w:footnote>
  <w:footnote w:id="65">
    <w:p w14:paraId="39B60A9E" w14:textId="7E8E63E5" w:rsidR="00133EA5" w:rsidRPr="002140A2" w:rsidRDefault="00133EA5" w:rsidP="0007527B">
      <w:pPr>
        <w:pStyle w:val="FootnoteText"/>
        <w:rPr>
          <w:color w:val="000000" w:themeColor="text1"/>
        </w:rPr>
      </w:pPr>
      <w:r w:rsidRPr="002140A2">
        <w:rPr>
          <w:rStyle w:val="FootnoteReference"/>
          <w:color w:val="000000" w:themeColor="text1"/>
        </w:rPr>
        <w:footnoteRef/>
      </w:r>
      <w:r w:rsidRPr="002140A2">
        <w:rPr>
          <w:color w:val="000000" w:themeColor="text1"/>
        </w:rPr>
        <w:t xml:space="preserve"> Ibid at 60.</w:t>
      </w:r>
    </w:p>
  </w:footnote>
  <w:footnote w:id="66">
    <w:p w14:paraId="1C236ED3" w14:textId="4BFBA99F" w:rsidR="00133EA5" w:rsidRDefault="00133EA5" w:rsidP="00B7698E">
      <w:pPr>
        <w:pStyle w:val="FootnoteText"/>
        <w:jc w:val="both"/>
      </w:pPr>
      <w:r w:rsidRPr="002140A2">
        <w:rPr>
          <w:rStyle w:val="FootnoteReference"/>
          <w:color w:val="000000" w:themeColor="text1"/>
        </w:rPr>
        <w:footnoteRef/>
      </w:r>
      <w:r w:rsidRPr="002140A2">
        <w:rPr>
          <w:color w:val="000000" w:themeColor="text1"/>
        </w:rPr>
        <w:t xml:space="preserve"> </w:t>
      </w:r>
      <w:r w:rsidRPr="002140A2">
        <w:rPr>
          <w:color w:val="000000" w:themeColor="text1"/>
        </w:rPr>
        <w:fldChar w:fldCharType="begin" w:fldLock="1"/>
      </w:r>
      <w:r w:rsidRPr="002140A2">
        <w:rPr>
          <w:color w:val="000000" w:themeColor="text1"/>
        </w:rPr>
        <w:instrText>ADDIN CSL_CITATION {"citationItems":[{"id":"ITEM-1","itemData":{"ISSN":"0011135X","abstract":"McNally received a custodial sentence of three years after pleading guilty at Wood Green Crown Court, London, to six counts of sexual assault by penetration. 1 She was also placed on the Sex Offenders' Register for life. The background story to her convictions can be described as follows: McNally met a cisgender 2 girl through an online video game and communicated with her through a chat room and skype. At the time, she was 13 and the girl 12 years old. After more than three years of online communication the two met in person on several occasions. On two of those occasions McNally digitally and orally penetrated the girl. At the time of these sexual acts she was 17 and the girl 16. While McNally was born with female genitalia, she identified and presented as male prior to and at the time of the incidents. Case 2: Christopher Wilson On March 6, 2013, Christopher Wilson, after entering a plea of guilty, was convicted by the Edinburgh High Court on two counts of obtaining sexual intimacy by fraud. 3 While a custodial sentence was anticipated, he received three years probation and 240 hours of community service. He was also placed on the Sex Offenders' Register for life. The background story to his convictions can be described as follows: Wilson met two cisgender girls on separate occasions. In relation to the first girl, who was either 15 or 16 at the time (there is uncertainty on this point), sexual contact was limited to kissing. Wilson was aged 20 at the *Crim. L.R. 208 time of kissing girl 1. Two years later he commenced a relationship with the second girl. She was aged 15 at the time, but told Wilson that she was 16. This relationship culminated in penetrative sexual intercourse by means of a prosthetic device. 4 While Wilson was born with female genitalia, he identified and presented as male prior to, at the time of, and subsequent to the incidents.","author":[{"dropping-particle":"","family":"Sharpe","given":"Alex","non-dropping-particle":"","parse-names":false,"suffix":""}],"container-title":"Criminal Law Review","id":"ITEM-1","issued":{"date-parts":[["2014"]]},"page":"207-223","publisher":"Justine McNally On","title":"Criminalising sexual intimacy: Transgender defendants and the legal construction of non-consent","type":"article-journal"},"uris":["http://www.mendeley.com/documents/?uuid=3c704da3-bc98-3b26-8af9-5f0b52b34241"]},{"id":"ITEM-2","itemData":{"DOI":"10.1177/0022018316639104","ISSN":"0022-0183","abstract":"Abstract\\r\\nThe concept of consent is a fundamental element within various crimes of different natures. It\\r\\nplays a particularly important role in the crime of rape under the Sexual Offences Act 2003 and\\r\\nnon-fatal offences under the Offences Against the Person Act 1861. It is within this former Act\\r\\nthat consent was given its first statutory definition under ss. 74, 75 and 76, respectively. This\\r\\narticle explores the history of consent within sexual offences, the issues surrounding its definition\\r\\nand application, and the lack of consistency in criminal law as a whole. It will be submitted\\r\\nthat each of these factors have subsequently led to the consensus that significant clarity\\r\\nhas neither been embraced nor achieved by the integration of a statutory definition.","author":[{"dropping-particle":"","family":"Simpson","given":"Bethany","non-dropping-particle":"","parse-names":false,"suffix":""}],"container-title":"The Journal of Criminal Law","id":"ITEM-2","issue":"2","issued":{"date-parts":[["2016"]]},"page":"97-123","title":"Why has the Concept of Consent Proven So Difficult to Clarify?","type":"article-journal","volume":"80"},"uris":["http://www.mendeley.com/documents/?uuid=3b1e3947-fdee-311c-b319-78ec8fcadf06"]},{"id":"ITEM-3","itemData":{"author":[{"dropping-particle":"","family":"Ryan","given":"Samantha","non-dropping-particle":"","parse-names":false,"suffix":""}],"container-title":"Criminal Law Review","id":"ITEM-3","issued":{"date-parts":[["2019"]]},"page":"4-19","title":"\"Active Deception\" v non-disclosure: HIV transmission, non-fatal offences and criminal responsibility","type":"article-journal"},"uris":["http://www.mendeley.com/documents/?uuid=c3f69a9e-3a6d-4af5-91c6-a307d9493cf6"]}],"mendeley":{"formattedCitation":"Alex Sharpe, ‘Criminalising Sexual Intimacy: Transgender Defendants and the Legal Construction of Non-Consent’ [2014] Criminal Law Review 207; Bethany Simpson, ‘Why Has the Concept of Consent Proven So Difficult to Clarify?’ (2016) 80 The Journal of Criminal Law 97; Ryan, ‘“Active Deception” v Non-Disclosure: HIV Transmission, Non-Fatal Offences and Criminal Responsibility’ (n 2).","plainTextFormattedCitation":"Alex Sharpe, ‘Criminalising Sexual Intimacy: Transgender Defendants and the Legal Construction of Non-Consent’ [2014] Criminal Law Review 207; Bethany Simpson, ‘Why Has the Concept of Consent Proven So Difficult to Clarify?’ (2016) 80 The Journal of Criminal Law 97; Ryan, ‘“Active Deception” v Non-Disclosure: HIV Transmission, Non-Fatal Offences and Criminal Responsibility’ (n 2).","previouslyFormattedCitation":"Alex Sharpe, ‘Criminalising Sexual Intimacy: Transgender Defendants and the Legal Construction of Non-Consent’ [2014] Criminal Law Review 207; Bethany Simpson, ‘Why Has the Concept of Consent Proven So Difficult to Clarify?’ (2016) 80 The Journal of Criminal Law 97; Ryan, ‘“Active Deception” v Non-Disclosure: HIV Transmission, Non-Fatal Offences and Criminal Responsibility’ (n 2)."},"properties":{"noteIndex":59},"schema":"https://github.com/citation-style-language/schema/raw/master/csl-citation.json"}</w:instrText>
      </w:r>
      <w:r w:rsidRPr="002140A2">
        <w:rPr>
          <w:color w:val="000000" w:themeColor="text1"/>
        </w:rPr>
        <w:fldChar w:fldCharType="separate"/>
      </w:r>
      <w:r w:rsidRPr="002140A2">
        <w:rPr>
          <w:noProof/>
          <w:color w:val="000000" w:themeColor="text1"/>
        </w:rPr>
        <w:t>A. Sharpe, ‘Criminalising Sexual Intimacy: Transgender Defendants and the Legal Construction of Non-Consent’ [2014] Criminal Law Review 207; B. Simpson, ‘Why Has the Concept of Consent Proven So Difficult to Clarify?’ (2016) 80 The Journal of Criminal Law 97; Ryan, ‘“Active Deception” v Non-Disclosure: HIV Transmission, Non-Fatal Offences and Criminal Responsibility’, above n. 2.</w:t>
      </w:r>
      <w:r w:rsidRPr="002140A2">
        <w:rPr>
          <w:color w:val="000000" w:themeColor="text1"/>
        </w:rPr>
        <w:fldChar w:fldCharType="end"/>
      </w:r>
    </w:p>
  </w:footnote>
  <w:footnote w:id="67">
    <w:p w14:paraId="165F4CB4" w14:textId="107E30B8"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{"citationItems":[{"id":"ITEM-1","itemData":{"DOI":"10.1350/jda.2013.77.2.832","author":[{"dropping-particle":"","family":"Hughes","given":"David","non-dropping-particle":"","parse-names":false,"suffix":""}],"container-title":"The Journal of Criminal Law","id":"ITEM-1","issued":{"date-parts":[["2013"]]},"page":"136","title":"Condom Use , Viral Load and the Type of Sexual Activity as Defences to the Sexual Transmission of HIV","type":"article-journal","volume":"77"},"uris":["http://www.mendeley.com/documents/?uuid=47efdb83-891e-45f7-b405-c90ae5a5bb62"]}],"mendeley":{"formattedCitation":"David Hughes, ‘Condom Use , Viral Load and the Type of Sexual Activity as Defences to the Sexual Transmission of HIV’ (2013) 77 The Journal of Criminal Law 136.","plainTextFormattedCitation":"David Hughes, ‘Condom Use , Viral Load and the Type of Sexual Activity as Defences to the Sexual Transmission of HIV’ (2013) 77 The Journal of Criminal Law 136.","previouslyFormattedCitation":"David Hughes, ‘Condom Use , Viral Load and the Type of Sexual Activity as Defences to the Sexual Transmission of HIV’ (2013) 77 The Journal of Criminal Law 136."},"properties":{"noteIndex":60},"schema":"https://github.com/citation-style-language/schema/raw/master/csl-citation.json"}</w:instrText>
      </w:r>
      <w:r>
        <w:fldChar w:fldCharType="separate"/>
      </w:r>
      <w:r w:rsidRPr="003C16A4">
        <w:rPr>
          <w:noProof/>
        </w:rPr>
        <w:t>D</w:t>
      </w:r>
      <w:r>
        <w:rPr>
          <w:noProof/>
        </w:rPr>
        <w:t>.</w:t>
      </w:r>
      <w:r w:rsidRPr="003C16A4">
        <w:rPr>
          <w:noProof/>
        </w:rPr>
        <w:t xml:space="preserve"> Hughes, ‘Condom Use , Viral Load and the Type of Sexual Activity as Defences to the Sexual Transmission of HIV’ (2013) 77 The Journal of Criminal Law 136.</w:t>
      </w:r>
      <w:r>
        <w:fldChar w:fldCharType="end"/>
      </w:r>
    </w:p>
  </w:footnote>
  <w:footnote w:id="68">
    <w:p w14:paraId="63B62FF5" w14:textId="77777777" w:rsidR="00133EA5" w:rsidRDefault="00133EA5" w:rsidP="00133EA5">
      <w:pPr>
        <w:pStyle w:val="FootnoteText"/>
        <w:jc w:val="both"/>
      </w:pPr>
      <w:r>
        <w:rPr>
          <w:rStyle w:val="FootnoteReference"/>
        </w:rPr>
        <w:footnoteRef/>
      </w:r>
      <w:r>
        <w:t xml:space="preserve"> </w:t>
      </w:r>
      <w:r>
        <w:fldChar w:fldCharType="begin" w:fldLock="1"/>
      </w:r>
      <w:r>
        <w:instrText>ADDIN CSL_CITATION {"citationItems":[{"id":"ITEM-1","itemData":{"DOI":"10.1017/cbo9781139051965","ISBN":"1107652014","abstract":"Andrew Ashworth draws together legislation, research and principles of sentencing to provide unrivalled coverage of English sentencing policy and practice.","author":[{"dropping-particle":"","family":"Ashworth","given":"Andrew","non-dropping-particle":"","parse-names":false,"suffix":""}],"id":"ITEM-1","issued":{"date-parts":[["2015"]]},"number-of-pages":"533","publisher":"Cambridge University Press","title":"Sentencing and Criminal Justice","type":"book"},"locator":"393","uris":["http://www.mendeley.com/documents/?uuid=9baea358-ac07-35b7-aed3-290af2ca8c65"]}],"mendeley":{"formattedCitation":"Ashworth (n 12) 393.","plainTextFormattedCitation":"Ashworth (n 12) 393.","previouslyFormattedCitation":"Ashworth (n 12) 393."},"properties":{"noteIndex":61},"schema":"https://github.com/citation-style-language/schema/raw/master/csl-citation.json"}</w:instrText>
      </w:r>
      <w:r>
        <w:fldChar w:fldCharType="separate"/>
      </w:r>
      <w:r w:rsidRPr="000E07E1">
        <w:rPr>
          <w:noProof/>
        </w:rPr>
        <w:t>Ashworth</w:t>
      </w:r>
      <w:r>
        <w:rPr>
          <w:noProof/>
        </w:rPr>
        <w:t>, above n. 14 at</w:t>
      </w:r>
      <w:r w:rsidRPr="000E07E1">
        <w:rPr>
          <w:noProof/>
        </w:rPr>
        <w:t xml:space="preserve"> 393.</w:t>
      </w:r>
      <w:r>
        <w:fldChar w:fldCharType="end"/>
      </w:r>
    </w:p>
  </w:footnote>
  <w:footnote w:id="69">
    <w:p w14:paraId="7B4AC71C" w14:textId="2FFC3E72"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{"citationItems":[{"id":"ITEM-1","itemData":{"DOI":"Case No: CO/7774/2010; CO/7850/2011","abstract":"This matter concerns a young child, Jayda Faith Al-Alas Wray, born on 17.10.10, who is now 17 months old. She has been in the care of the Applicant Local Authority ('LA') since birth. A tht etime she was born her parents, Channa Al Alas and Rohan Wray, had been charged with the murder of her older brother, Jayden. Jayden was born on 7.3.09 and died 25.7.09. The parents stood trial at the Central Criminal Cour ('CCC') in November last year. THe trial last 6 weeks. At the end of the defence case the trial judge, HHJ Kramer Q.C., acceded to the defence application that the case should not be put to the jury. The prosecution did not appeal that ruling; the jury were directed to acquit the parents on 9.12.11","container-title":"EWCA Crim","id":"ITEM-1","issued":{"date-parts":[["2017"]]},"page":"2163","title":"R v Parsons; Morgan","type":"legal_case"},"suffix":"[5]","uris":["http://www.mendeley.com/documents/?uuid=578b0771-0753-4d58-8621-54166a4f0da7"]}],"mendeley":{"formattedCitation":"&lt;i&gt;R v Parsons; Morgan&lt;/i&gt; (n 10) [5].","plainTextFormattedCitation":"R v Parsons; Morgan (n 10) [5].","previouslyFormattedCitation":"&lt;i&gt;R v Parsons; Morgan&lt;/i&gt; (n 10) [5]."},"properties":{"noteIndex":62},"schema":"https://github.com/citation-style-language/schema/raw/master/csl-citation.json"}</w:instrText>
      </w:r>
      <w:r>
        <w:fldChar w:fldCharType="separate"/>
      </w:r>
      <w:r w:rsidRPr="000E07E1">
        <w:rPr>
          <w:i/>
          <w:noProof/>
        </w:rPr>
        <w:t>R v Parsons; Morgan</w:t>
      </w:r>
      <w:r>
        <w:rPr>
          <w:i/>
          <w:noProof/>
        </w:rPr>
        <w:t xml:space="preserve">, </w:t>
      </w:r>
      <w:r>
        <w:rPr>
          <w:iCs/>
          <w:noProof/>
        </w:rPr>
        <w:t>above n. 11</w:t>
      </w:r>
      <w:r w:rsidRPr="000E07E1">
        <w:rPr>
          <w:noProof/>
        </w:rPr>
        <w:t xml:space="preserve"> [5].</w:t>
      </w:r>
      <w:r>
        <w:fldChar w:fldCharType="end"/>
      </w:r>
    </w:p>
  </w:footnote>
  <w:footnote w:id="70">
    <w:p w14:paraId="7EC5889C" w14:textId="104A8E3F"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{"citationItems":[{"id":"ITEM-1","itemData":{"abstract":"Assange v Sweden [2011] EWHC 2849 (Admin); (2011) 108(44) L.S.G. 17 (DC) R. (on the application of F) v DPP [2013] EWHC 945 (Admin); [2014] Q.B. 581 (DC) R. v McNally (Justine) [2013] EWCA Crim 1051; [2014] Q.B. 593 (CA (Crim Div)) *Crim. L.R. 492 If the complainant (C) tells the defendant (D) that she will only consent to sexual intercourse with him if he is of a certain religion, is D guilty of rape when he lies to C about his religious affiliation in order to obtain her consent? What of D, who is a transgender male but whom C believes is chromosomally male? Can D be guilty of assault by penetration if he digitally penetrates C? If D tells C that he will give her the lead role in his new play if she permits him to touch her sexually and C's consent is contingent upon her getting the part, is D guilty of sexual assault when it transpires that there is in fact no play? Whether an offence has been committed in each of these scenarios depends upon whether the deception perpetrated by D on C vitiated C's consent. To put it another way, in each of these scenarios, has D committed a sexual offence or is he merely a rogue? In the White Paper Protecting the Public, 1 the Home Office stated that one of its aims in reforming sexual offences was to ensure that the law clearly set out what constituted unacceptable behaviour.","author":[{"dropping-particle":"","family":"Laird","given":"Karl","non-dropping-particle":"","parse-names":false,"suffix":""}],"container-title":"Criminal Law Review","id":"ITEM-1","issued":{"date-parts":[["2014"]]},"page":"492","title":"Criminal Law Review Rapist or rogue? Deception, consent and the Sexual Offences Act 2003","type":"article-journal"},"uris":["http://www.mendeley.com/documents/?uuid=44ab8841-95b4-3560-9742-2204fef0003d"]}],"mendeley":{"formattedCitation":"Karl Laird, ‘Criminal Law Review Rapist or Rogue? Deception, Consent and the Sexual Offences Act 2003’ [2014] Criminal Law Review 492.","plainTextFormattedCitation":"Karl Laird, ‘Criminal Law Review Rapist or Rogue? Deception, Consent and the Sexual Offences Act 2003’ [2014] Criminal Law Review 492.","previouslyFormattedCitation":"Karl Laird, ‘Criminal Law Review Rapist or Rogue? Deception, Consent and the Sexual Offences Act 2003’ [2014] Criminal Law Review 492."},"properties":{"noteIndex":63},"schema":"https://github.com/citation-style-language/schema/raw/master/csl-citation.json"}</w:instrText>
      </w:r>
      <w:r>
        <w:fldChar w:fldCharType="separate"/>
      </w:r>
      <w:r w:rsidRPr="00066137">
        <w:rPr>
          <w:noProof/>
        </w:rPr>
        <w:t>K</w:t>
      </w:r>
      <w:r>
        <w:rPr>
          <w:noProof/>
        </w:rPr>
        <w:t>.</w:t>
      </w:r>
      <w:r w:rsidRPr="00066137">
        <w:rPr>
          <w:noProof/>
        </w:rPr>
        <w:t xml:space="preserve"> Laird, ‘Criminal Law Review Rapist or Rogue? Deception, Consent and the Sexual Offences Act 2003’ [2014] Criminal Law Review 492.</w:t>
      </w:r>
      <w:r>
        <w:fldChar w:fldCharType="end"/>
      </w:r>
    </w:p>
  </w:footnote>
  <w:footnote w:id="71">
    <w:p w14:paraId="7B16CA38" w14:textId="385D9B6A"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{"citationItems":[{"id":"ITEM-1","itemData":{"ISBN":"019874482X","abstract":"4th edition. Présentation de l'éditeur : \"This textbook presents an overview of the theory, law and practice of sentencing and punishment from penological, policy and legal perspectives. It provides an accessible account of changing attitudes as to what constitutes 'just' punishment and the methods of punishment in custody and in the community. By providing a comprehensive review of sentencing law, penal policy and penal justification this book provides students with a solid foundation of knowledge and clear understanding of sentencing and punishment in the UK ; reviews the practice of punishment in general and refers to human rights issues where appropriate, ensuring that students are fully aware of the significance of key UK and European legislation ; covers the key themes and topics studied on sentencing and punishment courses at undergraduate and postgraduate level, using case studies and discussion questions to encourage students to reinforce their knowledge by relating theory to practice ; accompanied by an online resource centre which provides students with updates, links to key sites and documents and guidance in answering the problem questions, enabling them to easily keep pace with developments and conduct self-assessment.\"","author":[{"dropping-particle":"","family":"Easton","given":"Susan M","non-dropping-particle":"","parse-names":false,"suffix":""},{"dropping-particle":"","family":"Piper","given":"Christine","non-dropping-particle":"","parse-names":false,"suffix":""}],"edition":"4th","id":"ITEM-1","issued":{"date-parts":[["2016"]]},"number-of-pages":"493","publisher":"Oxford University Press","publisher-place":"Oxford","title":"Sentencing and punishment : the quest for justice","type":"book"},"locator":"34","uris":["http://www.mendeley.com/documents/?uuid=fc6e989a-e2cb-3e1f-b767-c5834260d3d6"]}],"mendeley":{"formattedCitation":"Easton and Piper (n 20) 34.","plainTextFormattedCitation":"Easton and Piper (n 20) 34.","previouslyFormattedCitation":"Easton and Piper (n 20) 34."},"properties":{"noteIndex":64},"schema":"https://github.com/citation-style-language/schema/raw/master/csl-citation.json"}</w:instrText>
      </w:r>
      <w:r>
        <w:fldChar w:fldCharType="separate"/>
      </w:r>
      <w:r w:rsidRPr="000E07E1">
        <w:rPr>
          <w:noProof/>
        </w:rPr>
        <w:t>Easton and Piper</w:t>
      </w:r>
      <w:r>
        <w:rPr>
          <w:noProof/>
        </w:rPr>
        <w:t>, above n. 22 at</w:t>
      </w:r>
      <w:r w:rsidRPr="000E07E1">
        <w:rPr>
          <w:noProof/>
        </w:rPr>
        <w:t xml:space="preserve"> 34.</w:t>
      </w:r>
      <w:r>
        <w:fldChar w:fldCharType="end"/>
      </w:r>
    </w:p>
  </w:footnote>
  <w:footnote w:id="72">
    <w:p w14:paraId="3458C8CC" w14:textId="33749E3A"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{"citationItems":[{"id":"ITEM-1","itemData":{"DOI":"10.1136/sextrans-2012-050978","ISSN":"13684973","abstract":"In England, Wales and Scotland, those who unintentionally transmit HIV through sexual intercourse are at risk of criminal prosecution, and furthermore may be at risk of imprisonment under the Offences Against the Person Act 1861. These sentences have ranged between 1 and 10 years. There has been a long debate on whether this is an acceptable use of the law, and indeed whether those who transmit HIV in this manner should be subjected to legal proceedings. Previous debate has embraced the rhetoric of shared responsibility and public health. In this paper, we wished instead to apply traditional justifications for sentencing (including retribution, deterrence, rehabilitation, incapacitation and reparation) to imprisonment for non-intentional transmission of HIV through consensual sexual intercourse. We argue that when these principles are applied to imprisonment for this 'crime', we are unable to justify imprisonment sufficiently, and therefore, that imprisonment is a misguided response to HIV transmission.","author":[{"dropping-particle":"","family":"Phillips","given":"Matthew","non-dropping-particle":"","parse-names":false,"suffix":""},{"dropping-particle":"","family":"Sukthankar","given":"Ashish","non-dropping-particle":"","parse-names":false,"suffix":""}],"container-title":"Sexually Transmitted Infections","id":"ITEM-1","issue":"4","issued":{"date-parts":[["2013"]]},"page":"276-279","title":"Imprisonment for non-intentional transmission of HIV: Can it be supported using established principles for justifying criminal sentencing?","type":"article-journal","volume":"89"},"locator":"277","uris":["http://www.mendeley.com/documents/?uuid=1e5f37b4-9d53-3c43-9c6d-e3dbbd090d72"]}],"mendeley":{"formattedCitation":"Phillips and Sukthankar (n 3) 277.","plainTextFormattedCitation":"Phillips and Sukthankar (n 3) 277.","previouslyFormattedCitation":"Phillips and Sukthankar (n 3) 277."},"properties":{"noteIndex":65},"schema":"https://github.com/citation-style-language/schema/raw/master/csl-citation.json"}</w:instrText>
      </w:r>
      <w:r>
        <w:fldChar w:fldCharType="separate"/>
      </w:r>
      <w:r w:rsidRPr="000E07E1">
        <w:rPr>
          <w:noProof/>
        </w:rPr>
        <w:t>Phillips and Sukthankar</w:t>
      </w:r>
      <w:r>
        <w:rPr>
          <w:noProof/>
        </w:rPr>
        <w:t>, above n. 4 at</w:t>
      </w:r>
      <w:r w:rsidRPr="000E07E1">
        <w:rPr>
          <w:noProof/>
        </w:rPr>
        <w:t xml:space="preserve"> 277.</w:t>
      </w:r>
      <w:r>
        <w:fldChar w:fldCharType="end"/>
      </w:r>
    </w:p>
  </w:footnote>
  <w:footnote w:id="73">
    <w:p w14:paraId="44D51563" w14:textId="10AD8975" w:rsidR="00133EA5" w:rsidRPr="002140A2" w:rsidRDefault="00133EA5" w:rsidP="00B7698E">
      <w:pPr>
        <w:pStyle w:val="FootnoteText"/>
        <w:jc w:val="both"/>
        <w:rPr>
          <w:color w:val="000000" w:themeColor="text1"/>
        </w:rPr>
      </w:pPr>
      <w:r w:rsidRPr="002140A2">
        <w:rPr>
          <w:rStyle w:val="FootnoteReference"/>
          <w:color w:val="000000" w:themeColor="text1"/>
        </w:rPr>
        <w:footnoteRef/>
      </w:r>
      <w:r w:rsidRPr="002140A2">
        <w:rPr>
          <w:color w:val="000000" w:themeColor="text1"/>
        </w:rPr>
        <w:t xml:space="preserve"> </w:t>
      </w:r>
      <w:r w:rsidRPr="002140A2">
        <w:rPr>
          <w:color w:val="000000" w:themeColor="text1"/>
        </w:rPr>
        <w:fldChar w:fldCharType="begin" w:fldLock="1"/>
      </w:r>
      <w:r w:rsidRPr="002140A2">
        <w:rPr>
          <w:color w:val="000000" w:themeColor="text1"/>
        </w:rPr>
        <w:instrText xml:space="preserve">ADDIN CSL_CITATION {"citationItems":[{"id":"ITEM-1","itemData":{"DOI":"10.1504/ijlse.2011.044087","ISSN":"1741-6426","abstract":"This article examines HIV transmission jurisprudence in the Australian state of Victoria. It details the development of criminal legislation to respond to the issue of HIV and the application of these offences to prosecute charges of HIV transmission in Victoria. It also outlines the case law in Victoria. The article questions the juridical handling of consensual sexuality and HIV risk, within broader frameworks of moral panics about the Other. Same-sex desiring and African men have been the central characters within successful HIV transmission prosecutions, which attribute liability for infectivity within antiquated epidemiological narratives. In those narratives, gay communities and the African nation were positioned as original and perpetuating sources of infections. Medico-scientific discourses have since identified some behaviours as more risky for infection. Infectivity has also been measured as haphazard and random However, crimino-legal narratives of HIV still rely on hydraulic and definitive conceptualisations of transmission, combined with panics about other racial and sexual bodies. Reference to this paper should be made as follows: Houlihan, A. (2011) </w:instrText>
      </w:r>
      <w:r w:rsidRPr="002140A2">
        <w:rPr>
          <w:rFonts w:ascii="Calibri" w:hAnsi="Calibri" w:cs="Calibri"/>
          <w:color w:val="000000" w:themeColor="text1"/>
        </w:rPr>
        <w:instrText>‘</w:instrText>
      </w:r>
      <w:r w:rsidRPr="002140A2">
        <w:rPr>
          <w:color w:val="000000" w:themeColor="text1"/>
        </w:rPr>
        <w:instrText>'Risky (legal) business: HIV and criminal culpability in Victoria</w:instrText>
      </w:r>
      <w:r w:rsidRPr="002140A2">
        <w:rPr>
          <w:rFonts w:ascii="Calibri" w:hAnsi="Calibri" w:cs="Calibri"/>
          <w:color w:val="000000" w:themeColor="text1"/>
        </w:rPr>
        <w:instrText>’</w:instrText>
      </w:r>
      <w:r w:rsidRPr="002140A2">
        <w:rPr>
          <w:color w:val="000000" w:themeColor="text1"/>
        </w:rPr>
        <w:instrText>', Int.","author":[{"dropping-particle":"","family":"Houlihan","given":"Annette","non-dropping-particle":"","parse-names":false,"suffix":""}],"container-title":"International Journal of Liability and Scientific Enquiry","id":"ITEM-1","issue":"4","issued":{"date-parts":[["2011"]]},"page":"305","title":"Risky (legal) business: HIV and criminal culpability in Victoria","type":"article-journal","volume":"4"},"locator":"308","uris":["http://www.mendeley.com/documents/?uuid=64a41728-da98-3df2-a723-aef3e9e8a70d"]}],"mendeley":{"formattedCitation":"Annette Houlihan, ‘Risky (Legal) Business: HIV and Criminal Culpability in Victoria’ (2011) 4 International Journal of Liability and Scientific Enquiry 305, 308.","plainTextFormattedCitation":"Annette Houlihan, ‘Risky (Legal) Business: HIV and Criminal Culpability in Victoria’ (2011) 4 International Journal of Liability and Scientific Enquiry 305, 308.","previouslyFormattedCitation":"Annette Houlihan, ‘Risky (Legal) Business: HIV and Criminal Culpability in Victoria’ (2011) 4 International Journal of Liability and Scientific Enquiry 305, 308."},"properties":{"noteIndex":67},"schema":"https://github.com/citation-style-language/schema/raw/master/csl-citation.json"}</w:instrText>
      </w:r>
      <w:r w:rsidRPr="002140A2">
        <w:rPr>
          <w:color w:val="000000" w:themeColor="text1"/>
        </w:rPr>
        <w:fldChar w:fldCharType="separate"/>
      </w:r>
      <w:r w:rsidRPr="002140A2">
        <w:rPr>
          <w:noProof/>
          <w:color w:val="000000" w:themeColor="text1"/>
        </w:rPr>
        <w:t>A. Houlihan, ‘Risky (Legal) Business: HIV and Criminal Culpability in Victoria’ (2011) 4 International Journal of Liability and Scientific Enquiry 305 at 308.</w:t>
      </w:r>
      <w:r w:rsidRPr="002140A2">
        <w:rPr>
          <w:color w:val="000000" w:themeColor="text1"/>
        </w:rPr>
        <w:fldChar w:fldCharType="end"/>
      </w:r>
    </w:p>
  </w:footnote>
  <w:footnote w:id="74">
    <w:p w14:paraId="1A370A4B" w14:textId="5F725F07" w:rsidR="00133EA5" w:rsidRPr="002140A2" w:rsidRDefault="00133EA5" w:rsidP="00D74978">
      <w:pPr>
        <w:pStyle w:val="FootnoteText"/>
        <w:rPr>
          <w:color w:val="000000" w:themeColor="text1"/>
        </w:rPr>
      </w:pPr>
      <w:r w:rsidRPr="002140A2">
        <w:rPr>
          <w:rStyle w:val="FootnoteReference"/>
          <w:color w:val="000000" w:themeColor="text1"/>
        </w:rPr>
        <w:footnoteRef/>
      </w:r>
      <w:r w:rsidRPr="002140A2">
        <w:rPr>
          <w:color w:val="000000" w:themeColor="text1"/>
        </w:rPr>
        <w:t xml:space="preserve"> I am grateful to comments by an anonymous reviewer which pushed me to develop this point and from whom I adopt the use of the phrase “clinical judgment” for this purpose.  </w:t>
      </w:r>
    </w:p>
  </w:footnote>
  <w:footnote w:id="75">
    <w:p w14:paraId="2C660610" w14:textId="77777777" w:rsidR="00133EA5" w:rsidRPr="002140A2" w:rsidRDefault="00133EA5" w:rsidP="00D4575F">
      <w:pPr>
        <w:pStyle w:val="FootnoteText"/>
        <w:rPr>
          <w:color w:val="000000" w:themeColor="text1"/>
        </w:rPr>
      </w:pPr>
      <w:r w:rsidRPr="002140A2">
        <w:rPr>
          <w:rStyle w:val="FootnoteReference"/>
          <w:color w:val="000000" w:themeColor="text1"/>
        </w:rPr>
        <w:footnoteRef/>
      </w:r>
      <w:r w:rsidRPr="002140A2">
        <w:rPr>
          <w:color w:val="000000" w:themeColor="text1"/>
        </w:rPr>
        <w:t xml:space="preserve"> R. Kelly and HHJ </w:t>
      </w:r>
      <w:proofErr w:type="spellStart"/>
      <w:r w:rsidRPr="002140A2">
        <w:rPr>
          <w:color w:val="000000" w:themeColor="text1"/>
        </w:rPr>
        <w:t>Picton</w:t>
      </w:r>
      <w:proofErr w:type="spellEnd"/>
      <w:r w:rsidRPr="002140A2">
        <w:rPr>
          <w:color w:val="000000" w:themeColor="text1"/>
        </w:rPr>
        <w:t>, ‘Sexual Harm Prevention Orders and Necessity’ (2020) 5 Criminal Law Review 411 at 419-428</w:t>
      </w:r>
    </w:p>
  </w:footnote>
  <w:footnote w:id="76">
    <w:p w14:paraId="1D3175B7" w14:textId="77777777" w:rsidR="0074786A" w:rsidRPr="002140A2" w:rsidRDefault="0074786A" w:rsidP="0074786A">
      <w:pPr>
        <w:pStyle w:val="FootnoteText"/>
        <w:jc w:val="both"/>
        <w:rPr>
          <w:color w:val="000000" w:themeColor="text1"/>
        </w:rPr>
      </w:pPr>
      <w:r>
        <w:rPr>
          <w:rStyle w:val="FootnoteReference"/>
        </w:rPr>
        <w:footnoteRef/>
      </w:r>
      <w:r>
        <w:t xml:space="preserve"> </w:t>
      </w:r>
      <w:r w:rsidRPr="002140A2">
        <w:rPr>
          <w:color w:val="000000" w:themeColor="text1"/>
        </w:rPr>
        <w:fldChar w:fldCharType="begin" w:fldLock="1"/>
      </w:r>
      <w:r w:rsidRPr="002140A2">
        <w:rPr>
          <w:color w:val="000000" w:themeColor="text1"/>
        </w:rPr>
        <w:instrText>ADDIN CSL_CITATION {"citationItems":[{"id":"ITEM-1","itemData":{"ISBN":"0-203-93793-7","abstract":"\"A GlassHouse book.\" The terrain : the state, criminal justice and HIV -- The trial of Feston Konzani -- Harm, causation and HIV infection -- Risk, recklessness and HIV -- Consent, knowledge and disclosure -- Responsibility, HIV transmission and the criminal law.","author":[{"dropping-particle":"","family":"Weait","given":"Matthew.","non-dropping-particle":"","parse-names":false,"suffix":""}],"id":"ITEM-1","issued":{"date-parts":[["2007"]]},"number-of-pages":"250","publisher":"Routledge-Cavendish","title":"Intimacy and Responsibility: The Criminalisation of HIV Transmission","type":"book"},"uris":["http://www.mendeley.com/documents/?uuid=279e4351-6739-3359-b7dc-1c0dd975be22"]},{"id":"ITEM-2","itemData":{"DOI":"10.1017/S1744552313000293","ISSN":"17445531","abstract":"This paper describes the ways in which, over the past three decades, law has come to serve as an obstacle in the fight against HIV, and how it contributes to the stigmatisation of, and discrimination against, people living with the virus. It argues that in order to make unsafe law safer, policy-makers, legislators and those responsible for the interpretation and enforcement of law must base their HIV response not on populist morality but on the strong evidence base provided by three decades of clinical, scientific and social research. Drawing on that research and the author's own involvement in policy development in this area, it suggests that rights-based arguments are, while important, insufficient as the basis for delivering the changes that are necessary, discusses the difficulties involved in achieving those changes, and argues that legal scholarship and research has an important role to play in HIV activism and combating the global epidemic.","author":[{"dropping-particle":"","family":"Weait","given":"Matthew","non-dropping-particle":"","parse-names":false,"suffix":""}],"container-title":"International Journal of Law in Context","id":"ITEM-2","issue":"4","issued":{"date-parts":[["2013"]]},"page":"535-564","title":"Unsafe law: Health, rights and the legal response to HIV","type":"article-journal","volume":"9"},"uris":["http://www.mendeley.com/documents/?uuid=8e4d0c63-f9f6-3da8-a859-ebee8406b273"]}],"mendeley":{"formattedCitation":"Weait, &lt;i&gt;Intimacy and Responsibility: The Criminalisation of HIV Transmission&lt;/i&gt; (n 2); Weait, ‘Unsafe Law: Health, Rights and the Legal Response to HIV’ (n 2).","plainTextFormattedCitation":"Weait, Intimacy and Responsibility: The Criminalisation of HIV Transmission (n 2); Weait, ‘Unsafe Law: Health, Rights and the Legal Response to HIV’ (n 2).","previouslyFormattedCitation":"Weait, &lt;i&gt;Intimacy and Responsibility: The Criminalisation of HIV Transmission&lt;/i&gt; (n 2); Weait, ‘Unsafe Law: Health, Rights and the Legal Response to HIV’ (n 2)."},"properties":{"noteIndex":66},"schema":"https://github.com/citation-style-language/schema/raw/master/csl-citation.json"}</w:instrText>
      </w:r>
      <w:r w:rsidRPr="002140A2">
        <w:rPr>
          <w:color w:val="000000" w:themeColor="text1"/>
        </w:rPr>
        <w:fldChar w:fldCharType="separate"/>
      </w:r>
      <w:r w:rsidRPr="002140A2">
        <w:rPr>
          <w:noProof/>
          <w:color w:val="000000" w:themeColor="text1"/>
        </w:rPr>
        <w:t xml:space="preserve">Weait, </w:t>
      </w:r>
      <w:r w:rsidRPr="002140A2">
        <w:rPr>
          <w:i/>
          <w:noProof/>
          <w:color w:val="000000" w:themeColor="text1"/>
        </w:rPr>
        <w:t xml:space="preserve">Intimacy and Responsibility: The Criminalisation of HIV Transmission, </w:t>
      </w:r>
      <w:r w:rsidRPr="002140A2">
        <w:rPr>
          <w:iCs/>
          <w:noProof/>
          <w:color w:val="000000" w:themeColor="text1"/>
        </w:rPr>
        <w:t>above n. 2</w:t>
      </w:r>
      <w:r w:rsidRPr="002140A2">
        <w:rPr>
          <w:noProof/>
          <w:color w:val="000000" w:themeColor="text1"/>
        </w:rPr>
        <w:t>;  M. Weait, ‘Unsafe Law: Health, Rights and the Legal Response to HIV’ (2013) 9 International Journal of Law in Context 535.</w:t>
      </w:r>
      <w:r w:rsidRPr="002140A2">
        <w:rPr>
          <w:color w:val="000000" w:themeColor="text1"/>
        </w:rPr>
        <w:fldChar w:fldCharType="end"/>
      </w:r>
    </w:p>
  </w:footnote>
  <w:footnote w:id="77">
    <w:p w14:paraId="3DA24C4F" w14:textId="10F2BD80"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{"citationItems":[{"id":"ITEM-1","itemData":{"author":[{"dropping-particle":"","family":"Law Commission","given":"","non-dropping-particle":"","parse-names":false,"suffix":""}],"id":"ITEM-1","issued":{"date-parts":[["2015"]]},"publisher":"Law Com No 361","title":"Reform of Offences Against The Person Act","type":"book"},"label":"paragraph","locator":"6.66","uris":["http://www.mendeley.com/documents/?uuid=f6acc622-3d21-3077-b726-c02839b62558"]}],"mendeley":{"formattedCitation":"Law Commission (n 9) 6.66.","plainTextFormattedCitation":"Law Commission (n 9) 6.66.","previouslyFormattedCitation":"Law Commission (n 9) 6.66."},"properties":{"noteIndex":68},"schema":"https://github.com/citation-style-language/schema/raw/master/csl-citation.json"}</w:instrText>
      </w:r>
      <w:r>
        <w:fldChar w:fldCharType="separate"/>
      </w:r>
      <w:r w:rsidRPr="000E07E1">
        <w:rPr>
          <w:noProof/>
        </w:rPr>
        <w:t>Law Commission</w:t>
      </w:r>
      <w:r>
        <w:rPr>
          <w:noProof/>
        </w:rPr>
        <w:t>, above n. 10 at para</w:t>
      </w:r>
      <w:r w:rsidRPr="000E07E1">
        <w:rPr>
          <w:noProof/>
        </w:rPr>
        <w:t xml:space="preserve"> 6.66.</w:t>
      </w:r>
      <w:r>
        <w:fldChar w:fldCharType="end"/>
      </w:r>
    </w:p>
  </w:footnote>
  <w:footnote w:id="78">
    <w:p w14:paraId="16564845" w14:textId="228F4F80"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{"citationItems":[{"id":"ITEM-1","itemData":{"author":[{"dropping-particle":"","family":"Law Commission","given":"","non-dropping-particle":"","parse-names":false,"suffix":""}],"id":"ITEM-1","issued":{"date-parts":[["2015"]]},"publisher":"Law Com No 361","title":"Reform of Offences Against The Person Act","type":"book"},"label":"paragraph","locator":"6.67","uris":["http://www.mendeley.com/documents/?uuid=f6acc622-3d21-3077-b726-c02839b62558"]}],"mendeley":{"formattedCitation":"Law Commission (n 9) 6.67.","plainTextFormattedCitation":"Law Commission (n 9) 6.67.","previouslyFormattedCitation":"Law Commission (n 9) 6.67."},"properties":{"noteIndex":69},"schema":"https://github.com/citation-style-language/schema/raw/master/csl-citation.json"}</w:instrText>
      </w:r>
      <w:r>
        <w:fldChar w:fldCharType="separate"/>
      </w:r>
      <w:r>
        <w:rPr>
          <w:noProof/>
        </w:rPr>
        <w:t>Ibid at para</w:t>
      </w:r>
      <w:r w:rsidRPr="000E07E1">
        <w:rPr>
          <w:noProof/>
        </w:rPr>
        <w:t xml:space="preserve"> 6.67.</w:t>
      </w:r>
      <w:r>
        <w:fldChar w:fldCharType="end"/>
      </w:r>
    </w:p>
  </w:footnote>
  <w:footnote w:id="79">
    <w:p w14:paraId="071F432E" w14:textId="7C7ECC1A"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{"citationItems":[{"id":"ITEM-1","itemData":{"DOI":"10.1136/medethics-2014-102122","ISBN":"1473-4257","ISSN":"0306-6800","PMID":"26420071","abstract":"Evidence that treating people with HIV early in infection prevents transmission to sexual partners has reframed HIV prevention paradigms. The resulting emphasis on HIV testing as part of prevention strategies has rekindled the debate as to whether laws that criminalise HIV transmission are counterproductive to the human rights-based public health response. It also raises normative questions about what constitutes 'safe(r) sex' if a person with HIV has undetectable viral load, which has significant implications for sexual practice and health promotion. This paper discusses a recent high-profile Australian case where HIV transmission or exposure has been prosecuted, and considers how the interpretation of law in these instances impacts on HIV prevention paradigms. In addition, we consider the implications of an evolving medical understanding of HIV transmission, and particularly the ability to determine infectiousness through viral load tests, for laws that relate to HIV exposure (as distinct from transmission) offences. We conclude that defensible laws must relate to appreciable risk. Given the evidence that the transmissibility of HIV is reduced to negligible level where viral load is suppressed, this needs to be recognised in the framing, implementation and enforcement of the law. In addition, normative concepts of 'safe(r) sex' need to be expanded to include sex that is 'protected' by means of the positive person being virally suppressed. In jurisdictions where use of a condom has previously mitigated the duty of the person with HIV to disclose to a partner, this might logically also apply to sex that is 'protected' by undetectable viral load.","author":[{"dropping-particle":"","family":"Haire","given":"Bridget","non-dropping-particle":"","parse-names":false,"suffix":""},{"dropping-particle":"","family":"Kaldor","given":"John","non-dropping-particle":"","parse-names":false,"suffix":""}],"container-title":"Journal of Medical Ethics","id":"ITEM-1","issue":"12","issued":{"date-parts":[["2015"]]},"page":"982-986","title":"HIV transmission law in the age of treatment-as-prevention","type":"article-journal","volume":"41"},"uris":["http://www.mendeley.com/documents/?uuid=33ffda9e-04c4-3581-8829-987cb6d468bd"]}],"mendeley":{"formattedCitation":"Bridget Haire and John Kaldor, ‘HIV Transmission Law in the Age of Treatment-as-Prevention’ (2015) 41 Journal of Medical Ethics 982.","plainTextFormattedCitation":"Bridget Haire and John Kaldor, ‘HIV Transmission Law in the Age of Treatment-as-Prevention’ (2015) 41 Journal of Medical Ethics 982.","previouslyFormattedCitation":"Bridget Haire and John Kaldor, ‘HIV Transmission Law in the Age of Treatment-as-Prevention’ (2015) 41 Journal of Medical Ethics 982."},"properties":{"noteIndex":70},"schema":"https://github.com/citation-style-language/schema/raw/master/csl-citation.json"}</w:instrText>
      </w:r>
      <w:r>
        <w:fldChar w:fldCharType="separate"/>
      </w:r>
      <w:r w:rsidRPr="00456DDC">
        <w:rPr>
          <w:noProof/>
        </w:rPr>
        <w:t>B</w:t>
      </w:r>
      <w:r>
        <w:rPr>
          <w:noProof/>
        </w:rPr>
        <w:t>.</w:t>
      </w:r>
      <w:r w:rsidRPr="00456DDC">
        <w:rPr>
          <w:noProof/>
        </w:rPr>
        <w:t xml:space="preserve"> Haire and J</w:t>
      </w:r>
      <w:r>
        <w:rPr>
          <w:noProof/>
        </w:rPr>
        <w:t>.</w:t>
      </w:r>
      <w:r w:rsidRPr="00456DDC">
        <w:rPr>
          <w:noProof/>
        </w:rPr>
        <w:t xml:space="preserve"> Kaldor, ‘HIV Transmission Law in the Age of Treatment-as-Prevention’ (2015) 41 Journal of Medical Ethics 982.</w:t>
      </w:r>
      <w:r>
        <w:fldChar w:fldCharType="end"/>
      </w:r>
    </w:p>
  </w:footnote>
  <w:footnote w:id="80">
    <w:p w14:paraId="5560F375" w14:textId="3B8B251E"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{"citationItems":[{"id":"ITEM-1","itemData":{"container-title":"Disentangling European HIV/AIDS Policies: Activism, Citizenship and Health (EUROPACH)","editor":[{"dropping-particle":"","family":"Nicholls","given":"Emily Jay","non-dropping-particle":"","parse-names":false,"suffix":""},{"dropping-particle":"","family":"Rosengarten","given":"Marsha","non-dropping-particle":"","parse-names":false,"suffix":""}],"id":"ITEM-1","issued":{"date-parts":[["2019"]]},"title":"Witness Seminar: The Criminalisation of HIV Transmission in the UK","type":"paper-conference"},"locator":"42","uris":["http://www.mendeley.com/documents/?uuid=ca515a00-4658-3767-a5b8-5f580c50339d"]}],"mendeley":{"formattedCitation":"Nicholls and Rosengarten (n 7) 42.","plainTextFormattedCitation":"Nicholls and Rosengarten (n 7) 42.","previouslyFormattedCitation":"Nicholls and Rosengarten (n 7) 42."},"properties":{"noteIndex":71},"schema":"https://github.com/citation-style-language/schema/raw/master/csl-citation.json"}</w:instrText>
      </w:r>
      <w:r>
        <w:fldChar w:fldCharType="separate"/>
      </w:r>
      <w:r w:rsidRPr="000E07E1">
        <w:rPr>
          <w:noProof/>
        </w:rPr>
        <w:t>Nicholls and Rosengarten</w:t>
      </w:r>
      <w:r>
        <w:rPr>
          <w:noProof/>
        </w:rPr>
        <w:t>, above n. 8 at</w:t>
      </w:r>
      <w:r w:rsidRPr="000E07E1">
        <w:rPr>
          <w:noProof/>
        </w:rPr>
        <w:t xml:space="preserve"> 42.</w:t>
      </w:r>
      <w:r>
        <w:fldChar w:fldCharType="end"/>
      </w:r>
    </w:p>
  </w:footnote>
  <w:footnote w:id="81">
    <w:p w14:paraId="0368AEBE" w14:textId="77777777" w:rsidR="00133EA5" w:rsidRDefault="00133EA5" w:rsidP="00B7698E">
      <w:pPr>
        <w:pStyle w:val="FootnoteText"/>
        <w:jc w:val="both"/>
      </w:pPr>
      <w:r>
        <w:rPr>
          <w:rStyle w:val="FootnoteReference"/>
        </w:rPr>
        <w:footnoteRef/>
      </w:r>
      <w:r>
        <w:t xml:space="preserve"> However, they have also recognised that ASBO provisions may also be unworkable where, for instance, the defendant and their sexual partner continue to cohabitate.</w:t>
      </w:r>
    </w:p>
  </w:footnote>
  <w:footnote w:id="82">
    <w:p w14:paraId="224B0688" w14:textId="77777777" w:rsidR="007146A8" w:rsidRDefault="007146A8" w:rsidP="007146A8">
      <w:pPr>
        <w:pStyle w:val="FootnoteText"/>
      </w:pPr>
      <w:r>
        <w:rPr>
          <w:rStyle w:val="FootnoteReference"/>
        </w:rPr>
        <w:footnoteRef/>
      </w:r>
      <w:r>
        <w:t xml:space="preserve"> See, </w:t>
      </w:r>
      <w:r>
        <w:fldChar w:fldCharType="begin" w:fldLock="1"/>
      </w:r>
      <w:r>
        <w:instrText>ADDIN CSL_CITATION {"citationItems":[{"id":"ITEM-1","itemData":{"container-title":"Disentangling European HIV/AIDS Policies: Activism, Citizenship and Health (EUROPACH)","editor":[{"dropping-particle":"","family":"Nicholls","given":"Emily Jay","non-dropping-particle":"","parse-names":false,"suffix":""},{"dropping-particle":"","family":"Rosengarten","given":"Marsha","non-dropping-particle":"","parse-names":false,"suffix":""}],"id":"ITEM-1","issued":{"date-parts":[["2019"]]},"title":"Witness Seminar: The Criminalisation of HIV Transmission in the UK","type":"paper-conference"},"locator":"42","uris":["http://www.mendeley.com/documents/?uuid=ca515a00-4658-3767-a5b8-5f580c50339d"]}],"mendeley":{"formattedCitation":"Nicholls and Rosengarten (n 7) 42.","plainTextFormattedCitation":"Nicholls and Rosengarten (n 7) 42.","previouslyFormattedCitation":"Nicholls and Rosengarten (n 7) 42."},"properties":{"noteIndex":71},"schema":"https://github.com/citation-style-language/schema/raw/master/csl-citation.json"}</w:instrText>
      </w:r>
      <w:r>
        <w:fldChar w:fldCharType="separate"/>
      </w:r>
      <w:r w:rsidRPr="000E07E1">
        <w:rPr>
          <w:noProof/>
        </w:rPr>
        <w:t>Nicholls and Rosengarten</w:t>
      </w:r>
      <w:r>
        <w:rPr>
          <w:noProof/>
        </w:rPr>
        <w:t>, above n. 8 at</w:t>
      </w:r>
      <w:r w:rsidRPr="000E07E1">
        <w:rPr>
          <w:noProof/>
        </w:rPr>
        <w:t xml:space="preserve"> 42.</w:t>
      </w:r>
      <w:r>
        <w:fldChar w:fldCharType="end"/>
      </w:r>
    </w:p>
  </w:footnote>
  <w:footnote w:id="83">
    <w:p w14:paraId="6F45B617" w14:textId="18C3CD16"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{"citationItems":[{"id":"ITEM-1","itemData":{"DOI":"Case No: CO/7774/2010; CO/7850/2011","abstract":"This matter concerns a young child, Jayda Faith Al-Alas Wray, born on 17.10.10, who is now 17 months old. She has been in the care of the Applicant Local Authority ('LA') since birth. A tht etime she was born her parents, Channa Al Alas and Rohan Wray, had been charged with the murder of her older brother, Jayden. Jayden was born on 7.3.09 and died 25.7.09. The parents stood trial at the Central Criminal Cour ('CCC') in November last year. THe trial last 6 weeks. At the end of the defence case the trial judge, HHJ Kramer Q.C., acceded to the defence application that the case should not be put to the jury. The prosecution did not appeal that ruling; the jury were directed to acquit the parents on 9.12.11","container-title":"EWCA Crim","id":"ITEM-1","issued":{"date-parts":[["2017"]]},"page":"2163","title":"R v Parsons; Morgan","type":"legal_case"},"suffix":"[5]","uris":["http://www.mendeley.com/documents/?uuid=578b0771-0753-4d58-8621-54166a4f0da7"]}],"mendeley":{"formattedCitation":"&lt;i&gt;R v Parsons; Morgan&lt;/i&gt; [2017] EWCA Crim 2163 [5].","plainTextFormattedCitation":"R v Parsons; Morgan [2017] EWCA Crim 2163 [5].","previouslyFormattedCitation":"&lt;i&gt;R v Parsons; Morgan&lt;/i&gt; [2017] EWCA Crim 2163 [5]."},"properties":{"noteIndex":10},"schema":"https://github.com/citation-style-language/schema/raw/master/csl-citation.json"}</w:instrText>
      </w:r>
      <w:r>
        <w:fldChar w:fldCharType="separate"/>
      </w:r>
      <w:r w:rsidRPr="000E07E1">
        <w:rPr>
          <w:i/>
          <w:noProof/>
        </w:rPr>
        <w:t>R v Parsons; Morgan</w:t>
      </w:r>
      <w:r>
        <w:rPr>
          <w:noProof/>
        </w:rPr>
        <w:t>, above n. 11</w:t>
      </w:r>
      <w:r w:rsidRPr="000E07E1">
        <w:rPr>
          <w:noProof/>
        </w:rPr>
        <w:t xml:space="preserve"> [5].</w:t>
      </w:r>
      <w:r>
        <w:fldChar w:fldCharType="end"/>
      </w:r>
    </w:p>
  </w:footnote>
  <w:footnote w:id="84">
    <w:p w14:paraId="62045D54" w14:textId="34709053" w:rsidR="00133EA5" w:rsidRDefault="00133EA5" w:rsidP="00B7698E">
      <w:pPr>
        <w:pStyle w:val="FootnoteText"/>
        <w:jc w:val="both"/>
      </w:pPr>
      <w:r>
        <w:rPr>
          <w:rStyle w:val="FootnoteReference"/>
        </w:rPr>
        <w:footnoteRef/>
      </w:r>
      <w:r>
        <w:t xml:space="preserve"> </w:t>
      </w:r>
      <w:r>
        <w:fldChar w:fldCharType="begin" w:fldLock="1"/>
      </w:r>
      <w:r>
        <w:instrText>ADDIN CSL_CITATION {"citationItems":[{"id":"ITEM-1","itemData":{"URL":"https://theconversation.com/daryll-rowes-sentence-could-change-the-laws-approach-to-hiv-transmission-95307","accessed":{"date-parts":[["2018","8","15"]]},"author":[{"dropping-particle":"","family":"Giles","given":"Cameron","non-dropping-particle":"","parse-names":false,"suffix":""}],"container-title":"The Conversation","id":"ITEM-1","issued":{"date-parts":[["2018","4","19"]]},"title":"Daryll Rowe’s sentence could change the law’s approach to HIV transmission","type":"webpage"},"uris":["http://www.mendeley.com/documents/?uuid=f75f6a7c-2819-4dc0-8431-bd69d177c727"]}],"mendeley":{"formattedCitation":"Cameron Giles, ‘Daryll Rowe’s Sentence Could Change the Law’s Approach to HIV Transmission’ (&lt;i&gt;The Conversation&lt;/i&gt;, 19 April 2018) &lt;https://theconversation.com/daryll-rowes-sentence-could-change-the-laws-approach-to-hiv-transmission-95307&gt; accessed 15 August 2018.","plainTextFormattedCitation":"Cameron Giles, ‘Daryll Rowe’s Sentence Could Change the Law’s Approach to HIV Transmission’ (The Conversation, 19 April 2018)  accessed 15 August 2018.","previouslyFormattedCitation":"Cameron Giles, ‘Daryll Rowe’s Sentence Could Change the Law’s Approach to HIV Transmission’ (&lt;i&gt;The Conversation&lt;/i&gt;, 19 April 2018) &lt;https://theconversation.com/daryll-rowes-sentence-could-change-the-laws-approach-to-hiv-transmission-95307&gt; accessed 15 August 2018."},"properties":{"noteIndex":73},"schema":"https://github.com/citation-style-language/schema/raw/master/csl-citation.json"}</w:instrText>
      </w:r>
      <w:r>
        <w:fldChar w:fldCharType="separate"/>
      </w:r>
      <w:r w:rsidRPr="002F27BC">
        <w:rPr>
          <w:noProof/>
        </w:rPr>
        <w:t>C</w:t>
      </w:r>
      <w:r>
        <w:rPr>
          <w:noProof/>
        </w:rPr>
        <w:t>.</w:t>
      </w:r>
      <w:r w:rsidRPr="002F27BC">
        <w:rPr>
          <w:noProof/>
        </w:rPr>
        <w:t xml:space="preserve"> Giles, ‘Daryll Rowe’s Sentence Could Change the Law’s Approach to HIV Transmission’ (</w:t>
      </w:r>
      <w:r w:rsidRPr="002F27BC">
        <w:rPr>
          <w:i/>
          <w:noProof/>
        </w:rPr>
        <w:t>The Conversation</w:t>
      </w:r>
      <w:r w:rsidRPr="002F27BC">
        <w:rPr>
          <w:noProof/>
        </w:rPr>
        <w:t xml:space="preserve">, 19 April 2018) &lt;https://theconversation.com/daryll-rowes-sentence-could-change-the-laws-approach-to-hiv-transmission-95307&gt; accessed </w:t>
      </w:r>
      <w:r>
        <w:rPr>
          <w:noProof/>
        </w:rPr>
        <w:t>25 June 2020</w:t>
      </w:r>
      <w:r w:rsidRPr="002F27BC">
        <w:rPr>
          <w:noProof/>
        </w:rPr>
        <w: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53F"/>
    <w:multiLevelType w:val="hybridMultilevel"/>
    <w:tmpl w:val="1B5035A0"/>
    <w:lvl w:ilvl="0" w:tplc="765AED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117C8C"/>
    <w:multiLevelType w:val="hybridMultilevel"/>
    <w:tmpl w:val="223E178E"/>
    <w:lvl w:ilvl="0" w:tplc="69BE3D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DAxMrG0MLA0MTdW0lEKTi0uzszPAykwNqgFANLK1PwtAAAA"/>
  </w:docVars>
  <w:rsids>
    <w:rsidRoot w:val="00C02D6C"/>
    <w:rsid w:val="00000FD7"/>
    <w:rsid w:val="0000147F"/>
    <w:rsid w:val="00001B3E"/>
    <w:rsid w:val="000039EF"/>
    <w:rsid w:val="00007930"/>
    <w:rsid w:val="00010FD0"/>
    <w:rsid w:val="00012ACF"/>
    <w:rsid w:val="000177E0"/>
    <w:rsid w:val="0002042B"/>
    <w:rsid w:val="00022440"/>
    <w:rsid w:val="0002420B"/>
    <w:rsid w:val="00032921"/>
    <w:rsid w:val="00050E02"/>
    <w:rsid w:val="00054B5F"/>
    <w:rsid w:val="0005524B"/>
    <w:rsid w:val="00061169"/>
    <w:rsid w:val="0006585A"/>
    <w:rsid w:val="00066BC4"/>
    <w:rsid w:val="00067CC8"/>
    <w:rsid w:val="00070B1F"/>
    <w:rsid w:val="00071300"/>
    <w:rsid w:val="000724A7"/>
    <w:rsid w:val="0007527B"/>
    <w:rsid w:val="000768B4"/>
    <w:rsid w:val="00085CEF"/>
    <w:rsid w:val="00090B30"/>
    <w:rsid w:val="00095CC0"/>
    <w:rsid w:val="000A0687"/>
    <w:rsid w:val="000A0832"/>
    <w:rsid w:val="000A09E2"/>
    <w:rsid w:val="000A3AB9"/>
    <w:rsid w:val="000A73C4"/>
    <w:rsid w:val="000B5BCA"/>
    <w:rsid w:val="000B732C"/>
    <w:rsid w:val="000C08CE"/>
    <w:rsid w:val="000C1A44"/>
    <w:rsid w:val="000C1E27"/>
    <w:rsid w:val="000C602C"/>
    <w:rsid w:val="000C63C5"/>
    <w:rsid w:val="000C7D63"/>
    <w:rsid w:val="000D3042"/>
    <w:rsid w:val="000D6531"/>
    <w:rsid w:val="000E07E1"/>
    <w:rsid w:val="000E19E0"/>
    <w:rsid w:val="000E5DAF"/>
    <w:rsid w:val="000F32D8"/>
    <w:rsid w:val="000F3D52"/>
    <w:rsid w:val="00102B81"/>
    <w:rsid w:val="0010465D"/>
    <w:rsid w:val="001102A1"/>
    <w:rsid w:val="00115D5F"/>
    <w:rsid w:val="00120EB3"/>
    <w:rsid w:val="00122FC9"/>
    <w:rsid w:val="00126AFC"/>
    <w:rsid w:val="00131D32"/>
    <w:rsid w:val="00133EA5"/>
    <w:rsid w:val="001347F7"/>
    <w:rsid w:val="0015566A"/>
    <w:rsid w:val="00155CC5"/>
    <w:rsid w:val="00156AC0"/>
    <w:rsid w:val="001612CC"/>
    <w:rsid w:val="00166523"/>
    <w:rsid w:val="00172299"/>
    <w:rsid w:val="00172C5F"/>
    <w:rsid w:val="00175350"/>
    <w:rsid w:val="001840EC"/>
    <w:rsid w:val="00190EAC"/>
    <w:rsid w:val="00196441"/>
    <w:rsid w:val="001A3934"/>
    <w:rsid w:val="001B25BA"/>
    <w:rsid w:val="001B289D"/>
    <w:rsid w:val="001B371D"/>
    <w:rsid w:val="001B3ADC"/>
    <w:rsid w:val="001B4A86"/>
    <w:rsid w:val="001B4FE9"/>
    <w:rsid w:val="001B785A"/>
    <w:rsid w:val="001C402F"/>
    <w:rsid w:val="001C4D0C"/>
    <w:rsid w:val="001C629B"/>
    <w:rsid w:val="001C64EA"/>
    <w:rsid w:val="001C7042"/>
    <w:rsid w:val="001D34D2"/>
    <w:rsid w:val="001F3A03"/>
    <w:rsid w:val="001F3B45"/>
    <w:rsid w:val="001F581C"/>
    <w:rsid w:val="001F7998"/>
    <w:rsid w:val="0020180E"/>
    <w:rsid w:val="0020350A"/>
    <w:rsid w:val="00203C7A"/>
    <w:rsid w:val="0020544A"/>
    <w:rsid w:val="002059EF"/>
    <w:rsid w:val="002140A2"/>
    <w:rsid w:val="002150B4"/>
    <w:rsid w:val="0021554A"/>
    <w:rsid w:val="0022066A"/>
    <w:rsid w:val="002212FE"/>
    <w:rsid w:val="00221750"/>
    <w:rsid w:val="00221A04"/>
    <w:rsid w:val="00223CEC"/>
    <w:rsid w:val="00226784"/>
    <w:rsid w:val="002305C6"/>
    <w:rsid w:val="00231847"/>
    <w:rsid w:val="00232C59"/>
    <w:rsid w:val="00233432"/>
    <w:rsid w:val="00233965"/>
    <w:rsid w:val="00237A69"/>
    <w:rsid w:val="00240386"/>
    <w:rsid w:val="00240EB5"/>
    <w:rsid w:val="00240F94"/>
    <w:rsid w:val="00246D46"/>
    <w:rsid w:val="0025210E"/>
    <w:rsid w:val="00252514"/>
    <w:rsid w:val="00252924"/>
    <w:rsid w:val="00253164"/>
    <w:rsid w:val="002551A5"/>
    <w:rsid w:val="002558AC"/>
    <w:rsid w:val="00262AD8"/>
    <w:rsid w:val="00265C3D"/>
    <w:rsid w:val="00271819"/>
    <w:rsid w:val="00275D1B"/>
    <w:rsid w:val="002766C3"/>
    <w:rsid w:val="002771B8"/>
    <w:rsid w:val="00280E5F"/>
    <w:rsid w:val="00281233"/>
    <w:rsid w:val="00284E59"/>
    <w:rsid w:val="00286257"/>
    <w:rsid w:val="00287A32"/>
    <w:rsid w:val="00295C3B"/>
    <w:rsid w:val="00295C78"/>
    <w:rsid w:val="002B0E5A"/>
    <w:rsid w:val="002B387C"/>
    <w:rsid w:val="002B51EE"/>
    <w:rsid w:val="002C0EA9"/>
    <w:rsid w:val="002D5A23"/>
    <w:rsid w:val="002D7DA9"/>
    <w:rsid w:val="002E080A"/>
    <w:rsid w:val="002E5669"/>
    <w:rsid w:val="002F0E41"/>
    <w:rsid w:val="002F1389"/>
    <w:rsid w:val="002F27BC"/>
    <w:rsid w:val="002F35EB"/>
    <w:rsid w:val="002F4997"/>
    <w:rsid w:val="00301A87"/>
    <w:rsid w:val="003039FE"/>
    <w:rsid w:val="00303DCE"/>
    <w:rsid w:val="00306B56"/>
    <w:rsid w:val="003109E9"/>
    <w:rsid w:val="00313A22"/>
    <w:rsid w:val="00320611"/>
    <w:rsid w:val="003227A5"/>
    <w:rsid w:val="003251E2"/>
    <w:rsid w:val="00326D93"/>
    <w:rsid w:val="0033001F"/>
    <w:rsid w:val="003325C6"/>
    <w:rsid w:val="003353D0"/>
    <w:rsid w:val="00342750"/>
    <w:rsid w:val="0034540E"/>
    <w:rsid w:val="00345DC8"/>
    <w:rsid w:val="0035015C"/>
    <w:rsid w:val="00350F6E"/>
    <w:rsid w:val="003514FF"/>
    <w:rsid w:val="00353800"/>
    <w:rsid w:val="00355573"/>
    <w:rsid w:val="00355BE7"/>
    <w:rsid w:val="003562AD"/>
    <w:rsid w:val="0035797B"/>
    <w:rsid w:val="00361423"/>
    <w:rsid w:val="003649E9"/>
    <w:rsid w:val="00364F02"/>
    <w:rsid w:val="00371D18"/>
    <w:rsid w:val="00374B09"/>
    <w:rsid w:val="003760FD"/>
    <w:rsid w:val="0038568A"/>
    <w:rsid w:val="00393109"/>
    <w:rsid w:val="003949B3"/>
    <w:rsid w:val="00395482"/>
    <w:rsid w:val="00395F4C"/>
    <w:rsid w:val="003A1198"/>
    <w:rsid w:val="003A2052"/>
    <w:rsid w:val="003A4E34"/>
    <w:rsid w:val="003B281E"/>
    <w:rsid w:val="003B7D8D"/>
    <w:rsid w:val="003C158F"/>
    <w:rsid w:val="003C35FF"/>
    <w:rsid w:val="003C68B8"/>
    <w:rsid w:val="003C7445"/>
    <w:rsid w:val="003D10E8"/>
    <w:rsid w:val="003D1CE3"/>
    <w:rsid w:val="003D2F65"/>
    <w:rsid w:val="003D4F06"/>
    <w:rsid w:val="003E1C6F"/>
    <w:rsid w:val="003E3963"/>
    <w:rsid w:val="003F0AE5"/>
    <w:rsid w:val="003F1963"/>
    <w:rsid w:val="003F212F"/>
    <w:rsid w:val="003F6E5F"/>
    <w:rsid w:val="00406482"/>
    <w:rsid w:val="0042311A"/>
    <w:rsid w:val="00426120"/>
    <w:rsid w:val="00434CE7"/>
    <w:rsid w:val="00440855"/>
    <w:rsid w:val="0044205E"/>
    <w:rsid w:val="0044255D"/>
    <w:rsid w:val="004515A7"/>
    <w:rsid w:val="00451C51"/>
    <w:rsid w:val="00452A64"/>
    <w:rsid w:val="004540F5"/>
    <w:rsid w:val="004554E9"/>
    <w:rsid w:val="0046159F"/>
    <w:rsid w:val="0046645D"/>
    <w:rsid w:val="00471AA5"/>
    <w:rsid w:val="00471EB9"/>
    <w:rsid w:val="00472683"/>
    <w:rsid w:val="004731B4"/>
    <w:rsid w:val="00486299"/>
    <w:rsid w:val="00492C28"/>
    <w:rsid w:val="00493406"/>
    <w:rsid w:val="00495C79"/>
    <w:rsid w:val="004A08CB"/>
    <w:rsid w:val="004A4863"/>
    <w:rsid w:val="004A6EE5"/>
    <w:rsid w:val="004B4015"/>
    <w:rsid w:val="004B456E"/>
    <w:rsid w:val="004B5208"/>
    <w:rsid w:val="004C3002"/>
    <w:rsid w:val="004D13A0"/>
    <w:rsid w:val="004D1E09"/>
    <w:rsid w:val="004E6254"/>
    <w:rsid w:val="004E6A6D"/>
    <w:rsid w:val="004E6D5A"/>
    <w:rsid w:val="004F39F0"/>
    <w:rsid w:val="004F3B9A"/>
    <w:rsid w:val="00500284"/>
    <w:rsid w:val="0050361B"/>
    <w:rsid w:val="00506CCB"/>
    <w:rsid w:val="00506D15"/>
    <w:rsid w:val="00512B1B"/>
    <w:rsid w:val="00513D3A"/>
    <w:rsid w:val="00513F55"/>
    <w:rsid w:val="00516B11"/>
    <w:rsid w:val="00517253"/>
    <w:rsid w:val="00523E6A"/>
    <w:rsid w:val="00523F84"/>
    <w:rsid w:val="00525C35"/>
    <w:rsid w:val="0053293A"/>
    <w:rsid w:val="00537DEB"/>
    <w:rsid w:val="00541010"/>
    <w:rsid w:val="00541559"/>
    <w:rsid w:val="005421B9"/>
    <w:rsid w:val="005471C1"/>
    <w:rsid w:val="00547A53"/>
    <w:rsid w:val="00547DCB"/>
    <w:rsid w:val="00553B0B"/>
    <w:rsid w:val="00555D76"/>
    <w:rsid w:val="0055638D"/>
    <w:rsid w:val="00560814"/>
    <w:rsid w:val="00562D1C"/>
    <w:rsid w:val="00570B86"/>
    <w:rsid w:val="005804DF"/>
    <w:rsid w:val="00590D77"/>
    <w:rsid w:val="00593F4B"/>
    <w:rsid w:val="00595DD2"/>
    <w:rsid w:val="005A039C"/>
    <w:rsid w:val="005A0815"/>
    <w:rsid w:val="005A19F3"/>
    <w:rsid w:val="005A4130"/>
    <w:rsid w:val="005A637D"/>
    <w:rsid w:val="005B01E5"/>
    <w:rsid w:val="005B50B8"/>
    <w:rsid w:val="005C205F"/>
    <w:rsid w:val="005D6DCF"/>
    <w:rsid w:val="005E5C2A"/>
    <w:rsid w:val="005F1B38"/>
    <w:rsid w:val="005F5544"/>
    <w:rsid w:val="005F6195"/>
    <w:rsid w:val="005F6BA7"/>
    <w:rsid w:val="00605AFC"/>
    <w:rsid w:val="006114DF"/>
    <w:rsid w:val="00611627"/>
    <w:rsid w:val="0062579A"/>
    <w:rsid w:val="00626859"/>
    <w:rsid w:val="006270A5"/>
    <w:rsid w:val="00627572"/>
    <w:rsid w:val="00630D36"/>
    <w:rsid w:val="006417A4"/>
    <w:rsid w:val="00641EDC"/>
    <w:rsid w:val="00643BE7"/>
    <w:rsid w:val="0065242E"/>
    <w:rsid w:val="00657FE8"/>
    <w:rsid w:val="006600B3"/>
    <w:rsid w:val="006618FE"/>
    <w:rsid w:val="006624B8"/>
    <w:rsid w:val="00665151"/>
    <w:rsid w:val="00667EA0"/>
    <w:rsid w:val="006755BA"/>
    <w:rsid w:val="0067593C"/>
    <w:rsid w:val="00676627"/>
    <w:rsid w:val="00677D40"/>
    <w:rsid w:val="0069254C"/>
    <w:rsid w:val="0069326B"/>
    <w:rsid w:val="00693BB4"/>
    <w:rsid w:val="006A1C12"/>
    <w:rsid w:val="006A2FD0"/>
    <w:rsid w:val="006A52C9"/>
    <w:rsid w:val="006A74D2"/>
    <w:rsid w:val="006B2C67"/>
    <w:rsid w:val="006B3006"/>
    <w:rsid w:val="006B3F42"/>
    <w:rsid w:val="006B4B71"/>
    <w:rsid w:val="006B6EEE"/>
    <w:rsid w:val="006D30BA"/>
    <w:rsid w:val="006D4292"/>
    <w:rsid w:val="006D5961"/>
    <w:rsid w:val="006D6DE8"/>
    <w:rsid w:val="006D78CC"/>
    <w:rsid w:val="006E0669"/>
    <w:rsid w:val="006F7E9D"/>
    <w:rsid w:val="0070106F"/>
    <w:rsid w:val="0070359F"/>
    <w:rsid w:val="00704115"/>
    <w:rsid w:val="00705AEB"/>
    <w:rsid w:val="007075D6"/>
    <w:rsid w:val="007146A8"/>
    <w:rsid w:val="00720BB1"/>
    <w:rsid w:val="007243A1"/>
    <w:rsid w:val="00725CEA"/>
    <w:rsid w:val="007271A3"/>
    <w:rsid w:val="00732280"/>
    <w:rsid w:val="00732861"/>
    <w:rsid w:val="00733272"/>
    <w:rsid w:val="00734C92"/>
    <w:rsid w:val="00737636"/>
    <w:rsid w:val="0074094D"/>
    <w:rsid w:val="00744FAD"/>
    <w:rsid w:val="0074786A"/>
    <w:rsid w:val="0074794F"/>
    <w:rsid w:val="00756956"/>
    <w:rsid w:val="00772608"/>
    <w:rsid w:val="0077484A"/>
    <w:rsid w:val="00780B40"/>
    <w:rsid w:val="007811FD"/>
    <w:rsid w:val="00786B6A"/>
    <w:rsid w:val="007876E4"/>
    <w:rsid w:val="007A13CF"/>
    <w:rsid w:val="007A3A02"/>
    <w:rsid w:val="007C1052"/>
    <w:rsid w:val="007C151E"/>
    <w:rsid w:val="007C6224"/>
    <w:rsid w:val="007C7466"/>
    <w:rsid w:val="007D087C"/>
    <w:rsid w:val="007D249F"/>
    <w:rsid w:val="007D27A4"/>
    <w:rsid w:val="007D4069"/>
    <w:rsid w:val="007D4D3A"/>
    <w:rsid w:val="007D6E6F"/>
    <w:rsid w:val="007E4BDD"/>
    <w:rsid w:val="007F1A16"/>
    <w:rsid w:val="007F60D7"/>
    <w:rsid w:val="008012CC"/>
    <w:rsid w:val="0080169A"/>
    <w:rsid w:val="008028D6"/>
    <w:rsid w:val="008038CD"/>
    <w:rsid w:val="0080589F"/>
    <w:rsid w:val="008076D4"/>
    <w:rsid w:val="00810E49"/>
    <w:rsid w:val="008119FB"/>
    <w:rsid w:val="008120CB"/>
    <w:rsid w:val="008128C0"/>
    <w:rsid w:val="008143C8"/>
    <w:rsid w:val="008145DD"/>
    <w:rsid w:val="00825708"/>
    <w:rsid w:val="00825FC7"/>
    <w:rsid w:val="0083345D"/>
    <w:rsid w:val="00836AED"/>
    <w:rsid w:val="00837EFF"/>
    <w:rsid w:val="008412E6"/>
    <w:rsid w:val="0084135F"/>
    <w:rsid w:val="00844FC2"/>
    <w:rsid w:val="00860D34"/>
    <w:rsid w:val="0086284F"/>
    <w:rsid w:val="00866777"/>
    <w:rsid w:val="00874952"/>
    <w:rsid w:val="00875F38"/>
    <w:rsid w:val="00877D84"/>
    <w:rsid w:val="00880341"/>
    <w:rsid w:val="008838E5"/>
    <w:rsid w:val="00886475"/>
    <w:rsid w:val="008A291E"/>
    <w:rsid w:val="008A4869"/>
    <w:rsid w:val="008A48F5"/>
    <w:rsid w:val="008B0C35"/>
    <w:rsid w:val="008B4098"/>
    <w:rsid w:val="008B6242"/>
    <w:rsid w:val="008B74B5"/>
    <w:rsid w:val="008C077B"/>
    <w:rsid w:val="008C1E1B"/>
    <w:rsid w:val="008C3DE0"/>
    <w:rsid w:val="008C40FB"/>
    <w:rsid w:val="008C6092"/>
    <w:rsid w:val="008C626E"/>
    <w:rsid w:val="008E2438"/>
    <w:rsid w:val="008E2D6D"/>
    <w:rsid w:val="008F07A1"/>
    <w:rsid w:val="008F11C8"/>
    <w:rsid w:val="008F2B0E"/>
    <w:rsid w:val="008F5CCD"/>
    <w:rsid w:val="008F6177"/>
    <w:rsid w:val="009009B5"/>
    <w:rsid w:val="0092278B"/>
    <w:rsid w:val="009246F1"/>
    <w:rsid w:val="009259A9"/>
    <w:rsid w:val="00926826"/>
    <w:rsid w:val="0094120A"/>
    <w:rsid w:val="00941B0D"/>
    <w:rsid w:val="00942FA4"/>
    <w:rsid w:val="00950934"/>
    <w:rsid w:val="00954048"/>
    <w:rsid w:val="00956E2D"/>
    <w:rsid w:val="00957CB3"/>
    <w:rsid w:val="00961EAA"/>
    <w:rsid w:val="00962E9D"/>
    <w:rsid w:val="009758DC"/>
    <w:rsid w:val="00975AB0"/>
    <w:rsid w:val="00977EDD"/>
    <w:rsid w:val="00977F56"/>
    <w:rsid w:val="00980156"/>
    <w:rsid w:val="00987377"/>
    <w:rsid w:val="00996844"/>
    <w:rsid w:val="009A217D"/>
    <w:rsid w:val="009A3F81"/>
    <w:rsid w:val="009A7687"/>
    <w:rsid w:val="009B04FC"/>
    <w:rsid w:val="009B1E44"/>
    <w:rsid w:val="009B21AA"/>
    <w:rsid w:val="009B34C2"/>
    <w:rsid w:val="009B40EA"/>
    <w:rsid w:val="009B45D9"/>
    <w:rsid w:val="009B5B42"/>
    <w:rsid w:val="009C34F6"/>
    <w:rsid w:val="009D14ED"/>
    <w:rsid w:val="009D2ABB"/>
    <w:rsid w:val="009E18F7"/>
    <w:rsid w:val="009E5452"/>
    <w:rsid w:val="009F05D0"/>
    <w:rsid w:val="009F2489"/>
    <w:rsid w:val="009F389B"/>
    <w:rsid w:val="009F50D2"/>
    <w:rsid w:val="009F6081"/>
    <w:rsid w:val="00A02F21"/>
    <w:rsid w:val="00A04656"/>
    <w:rsid w:val="00A07487"/>
    <w:rsid w:val="00A074A4"/>
    <w:rsid w:val="00A14CE2"/>
    <w:rsid w:val="00A20AD1"/>
    <w:rsid w:val="00A21DCD"/>
    <w:rsid w:val="00A23691"/>
    <w:rsid w:val="00A36EF4"/>
    <w:rsid w:val="00A4075A"/>
    <w:rsid w:val="00A43E83"/>
    <w:rsid w:val="00A4459C"/>
    <w:rsid w:val="00A46D65"/>
    <w:rsid w:val="00A46F3B"/>
    <w:rsid w:val="00A57171"/>
    <w:rsid w:val="00A60AD0"/>
    <w:rsid w:val="00A65B25"/>
    <w:rsid w:val="00A74A1F"/>
    <w:rsid w:val="00A8225E"/>
    <w:rsid w:val="00A8643E"/>
    <w:rsid w:val="00A92198"/>
    <w:rsid w:val="00A95844"/>
    <w:rsid w:val="00A96BAE"/>
    <w:rsid w:val="00AA0A6B"/>
    <w:rsid w:val="00AA1989"/>
    <w:rsid w:val="00AA3490"/>
    <w:rsid w:val="00AA431B"/>
    <w:rsid w:val="00AB244B"/>
    <w:rsid w:val="00AB63C8"/>
    <w:rsid w:val="00AB772E"/>
    <w:rsid w:val="00AD30F3"/>
    <w:rsid w:val="00AD32B7"/>
    <w:rsid w:val="00AD7553"/>
    <w:rsid w:val="00AE2020"/>
    <w:rsid w:val="00AE3F72"/>
    <w:rsid w:val="00AE6004"/>
    <w:rsid w:val="00AE6961"/>
    <w:rsid w:val="00AF1DBD"/>
    <w:rsid w:val="00AF3D54"/>
    <w:rsid w:val="00AF4744"/>
    <w:rsid w:val="00AF665F"/>
    <w:rsid w:val="00B02B39"/>
    <w:rsid w:val="00B031F9"/>
    <w:rsid w:val="00B03BFB"/>
    <w:rsid w:val="00B040DF"/>
    <w:rsid w:val="00B04588"/>
    <w:rsid w:val="00B12B18"/>
    <w:rsid w:val="00B135E2"/>
    <w:rsid w:val="00B20F6D"/>
    <w:rsid w:val="00B26326"/>
    <w:rsid w:val="00B34121"/>
    <w:rsid w:val="00B46FF2"/>
    <w:rsid w:val="00B52C4C"/>
    <w:rsid w:val="00B53D95"/>
    <w:rsid w:val="00B67936"/>
    <w:rsid w:val="00B70624"/>
    <w:rsid w:val="00B734E3"/>
    <w:rsid w:val="00B7698E"/>
    <w:rsid w:val="00B77E22"/>
    <w:rsid w:val="00B8353A"/>
    <w:rsid w:val="00B93A16"/>
    <w:rsid w:val="00B957F5"/>
    <w:rsid w:val="00B96842"/>
    <w:rsid w:val="00BA0374"/>
    <w:rsid w:val="00BA1DF6"/>
    <w:rsid w:val="00BA59CA"/>
    <w:rsid w:val="00BA7A3D"/>
    <w:rsid w:val="00BC758B"/>
    <w:rsid w:val="00BD019D"/>
    <w:rsid w:val="00BD0CC9"/>
    <w:rsid w:val="00BD2A7C"/>
    <w:rsid w:val="00BD5327"/>
    <w:rsid w:val="00BD53F1"/>
    <w:rsid w:val="00BE5463"/>
    <w:rsid w:val="00BE6301"/>
    <w:rsid w:val="00BF12DE"/>
    <w:rsid w:val="00BF5160"/>
    <w:rsid w:val="00BF5B74"/>
    <w:rsid w:val="00BF60A2"/>
    <w:rsid w:val="00BF64BD"/>
    <w:rsid w:val="00C00FE4"/>
    <w:rsid w:val="00C02D6C"/>
    <w:rsid w:val="00C04716"/>
    <w:rsid w:val="00C07680"/>
    <w:rsid w:val="00C078BB"/>
    <w:rsid w:val="00C12CCB"/>
    <w:rsid w:val="00C4181D"/>
    <w:rsid w:val="00C428D0"/>
    <w:rsid w:val="00C46CA0"/>
    <w:rsid w:val="00C576D6"/>
    <w:rsid w:val="00C605C1"/>
    <w:rsid w:val="00C640E8"/>
    <w:rsid w:val="00C6584D"/>
    <w:rsid w:val="00C702D4"/>
    <w:rsid w:val="00C73B27"/>
    <w:rsid w:val="00C80365"/>
    <w:rsid w:val="00C84481"/>
    <w:rsid w:val="00C84ECC"/>
    <w:rsid w:val="00C91110"/>
    <w:rsid w:val="00C91B8D"/>
    <w:rsid w:val="00C96DD3"/>
    <w:rsid w:val="00CA3DBF"/>
    <w:rsid w:val="00CA6B17"/>
    <w:rsid w:val="00CB7DF3"/>
    <w:rsid w:val="00CC139D"/>
    <w:rsid w:val="00CC58CE"/>
    <w:rsid w:val="00CD2DA1"/>
    <w:rsid w:val="00CD3895"/>
    <w:rsid w:val="00CD48C7"/>
    <w:rsid w:val="00CE09C3"/>
    <w:rsid w:val="00CE25E3"/>
    <w:rsid w:val="00CF1858"/>
    <w:rsid w:val="00D00468"/>
    <w:rsid w:val="00D02812"/>
    <w:rsid w:val="00D034A9"/>
    <w:rsid w:val="00D1126B"/>
    <w:rsid w:val="00D12A12"/>
    <w:rsid w:val="00D131FA"/>
    <w:rsid w:val="00D134CA"/>
    <w:rsid w:val="00D17C27"/>
    <w:rsid w:val="00D30B76"/>
    <w:rsid w:val="00D3203C"/>
    <w:rsid w:val="00D37AC6"/>
    <w:rsid w:val="00D41960"/>
    <w:rsid w:val="00D446BE"/>
    <w:rsid w:val="00D4575F"/>
    <w:rsid w:val="00D45C18"/>
    <w:rsid w:val="00D50B19"/>
    <w:rsid w:val="00D5390A"/>
    <w:rsid w:val="00D539DB"/>
    <w:rsid w:val="00D55537"/>
    <w:rsid w:val="00D564DE"/>
    <w:rsid w:val="00D61E22"/>
    <w:rsid w:val="00D62463"/>
    <w:rsid w:val="00D71E60"/>
    <w:rsid w:val="00D73193"/>
    <w:rsid w:val="00D743A5"/>
    <w:rsid w:val="00D74978"/>
    <w:rsid w:val="00D777E8"/>
    <w:rsid w:val="00D819F9"/>
    <w:rsid w:val="00D84B85"/>
    <w:rsid w:val="00D8532B"/>
    <w:rsid w:val="00D874AB"/>
    <w:rsid w:val="00D91407"/>
    <w:rsid w:val="00D971A5"/>
    <w:rsid w:val="00DA07C1"/>
    <w:rsid w:val="00DA144A"/>
    <w:rsid w:val="00DA2E7B"/>
    <w:rsid w:val="00DA3737"/>
    <w:rsid w:val="00DA5AF4"/>
    <w:rsid w:val="00DA6CE0"/>
    <w:rsid w:val="00DB27E7"/>
    <w:rsid w:val="00DB4BA2"/>
    <w:rsid w:val="00DB5361"/>
    <w:rsid w:val="00DB5A00"/>
    <w:rsid w:val="00DC4553"/>
    <w:rsid w:val="00DC7FCA"/>
    <w:rsid w:val="00DD0845"/>
    <w:rsid w:val="00DE067C"/>
    <w:rsid w:val="00DE1C78"/>
    <w:rsid w:val="00DE20FD"/>
    <w:rsid w:val="00DE2806"/>
    <w:rsid w:val="00DF26E1"/>
    <w:rsid w:val="00E01C49"/>
    <w:rsid w:val="00E021F3"/>
    <w:rsid w:val="00E04989"/>
    <w:rsid w:val="00E051EB"/>
    <w:rsid w:val="00E06F32"/>
    <w:rsid w:val="00E107E8"/>
    <w:rsid w:val="00E10EA7"/>
    <w:rsid w:val="00E14768"/>
    <w:rsid w:val="00E14A68"/>
    <w:rsid w:val="00E16A01"/>
    <w:rsid w:val="00E22879"/>
    <w:rsid w:val="00E23DFC"/>
    <w:rsid w:val="00E26A12"/>
    <w:rsid w:val="00E3063D"/>
    <w:rsid w:val="00E378D6"/>
    <w:rsid w:val="00E4112A"/>
    <w:rsid w:val="00E41390"/>
    <w:rsid w:val="00E42271"/>
    <w:rsid w:val="00E42B52"/>
    <w:rsid w:val="00E42BB4"/>
    <w:rsid w:val="00E45236"/>
    <w:rsid w:val="00E45B2A"/>
    <w:rsid w:val="00E476CA"/>
    <w:rsid w:val="00E47D31"/>
    <w:rsid w:val="00E51669"/>
    <w:rsid w:val="00E61D7A"/>
    <w:rsid w:val="00E62831"/>
    <w:rsid w:val="00E62B75"/>
    <w:rsid w:val="00E6783F"/>
    <w:rsid w:val="00E72FBB"/>
    <w:rsid w:val="00E7308B"/>
    <w:rsid w:val="00E746A7"/>
    <w:rsid w:val="00E76168"/>
    <w:rsid w:val="00E80566"/>
    <w:rsid w:val="00E80DFB"/>
    <w:rsid w:val="00E86955"/>
    <w:rsid w:val="00E938A1"/>
    <w:rsid w:val="00E94040"/>
    <w:rsid w:val="00E95D67"/>
    <w:rsid w:val="00EA00D8"/>
    <w:rsid w:val="00EA26EC"/>
    <w:rsid w:val="00EA41F7"/>
    <w:rsid w:val="00EB669E"/>
    <w:rsid w:val="00EB7545"/>
    <w:rsid w:val="00EC3580"/>
    <w:rsid w:val="00ED0F9B"/>
    <w:rsid w:val="00ED5EE8"/>
    <w:rsid w:val="00EE1EA0"/>
    <w:rsid w:val="00EE2591"/>
    <w:rsid w:val="00EF09D7"/>
    <w:rsid w:val="00EF450A"/>
    <w:rsid w:val="00EF5847"/>
    <w:rsid w:val="00EF59C5"/>
    <w:rsid w:val="00EF7C0A"/>
    <w:rsid w:val="00F005A7"/>
    <w:rsid w:val="00F00833"/>
    <w:rsid w:val="00F057F4"/>
    <w:rsid w:val="00F1394E"/>
    <w:rsid w:val="00F209CF"/>
    <w:rsid w:val="00F32DD0"/>
    <w:rsid w:val="00F37891"/>
    <w:rsid w:val="00F40374"/>
    <w:rsid w:val="00F4321C"/>
    <w:rsid w:val="00F439ED"/>
    <w:rsid w:val="00F44993"/>
    <w:rsid w:val="00F523DF"/>
    <w:rsid w:val="00F57306"/>
    <w:rsid w:val="00F710DC"/>
    <w:rsid w:val="00F71409"/>
    <w:rsid w:val="00F75A33"/>
    <w:rsid w:val="00F8097E"/>
    <w:rsid w:val="00F82B4C"/>
    <w:rsid w:val="00F85F03"/>
    <w:rsid w:val="00F8618D"/>
    <w:rsid w:val="00F90661"/>
    <w:rsid w:val="00F96D95"/>
    <w:rsid w:val="00FA3743"/>
    <w:rsid w:val="00FA4FE4"/>
    <w:rsid w:val="00FA6AA5"/>
    <w:rsid w:val="00FA7887"/>
    <w:rsid w:val="00FA7C94"/>
    <w:rsid w:val="00FB1F06"/>
    <w:rsid w:val="00FB415D"/>
    <w:rsid w:val="00FB55AF"/>
    <w:rsid w:val="00FB7127"/>
    <w:rsid w:val="00FB77DF"/>
    <w:rsid w:val="00FB7F56"/>
    <w:rsid w:val="00FC3B25"/>
    <w:rsid w:val="00FD470B"/>
    <w:rsid w:val="00FD474E"/>
    <w:rsid w:val="00FD6C72"/>
    <w:rsid w:val="00FE332D"/>
    <w:rsid w:val="00FE36F2"/>
    <w:rsid w:val="00FE6BD0"/>
    <w:rsid w:val="00FE7B4A"/>
    <w:rsid w:val="00FF16EA"/>
    <w:rsid w:val="00FF41EB"/>
    <w:rsid w:val="00FF49DF"/>
    <w:rsid w:val="00FF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3A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6C"/>
  </w:style>
  <w:style w:type="paragraph" w:styleId="Heading1">
    <w:name w:val="heading 1"/>
    <w:basedOn w:val="Normal"/>
    <w:next w:val="Normal"/>
    <w:link w:val="Heading1Char"/>
    <w:uiPriority w:val="9"/>
    <w:qFormat/>
    <w:rsid w:val="00C02D6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C02D6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C02D6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02D6C"/>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02D6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02D6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02D6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02D6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02D6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D6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C02D6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C02D6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02D6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02D6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02D6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02D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2D6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02D6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02D6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02D6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02D6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02D6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02D6C"/>
    <w:rPr>
      <w:color w:val="5A5A5A" w:themeColor="text1" w:themeTint="A5"/>
      <w:spacing w:val="15"/>
    </w:rPr>
  </w:style>
  <w:style w:type="character" w:styleId="Strong">
    <w:name w:val="Strong"/>
    <w:basedOn w:val="DefaultParagraphFont"/>
    <w:uiPriority w:val="22"/>
    <w:qFormat/>
    <w:rsid w:val="00C02D6C"/>
    <w:rPr>
      <w:b/>
      <w:bCs/>
      <w:color w:val="auto"/>
    </w:rPr>
  </w:style>
  <w:style w:type="character" w:styleId="Emphasis">
    <w:name w:val="Emphasis"/>
    <w:basedOn w:val="DefaultParagraphFont"/>
    <w:uiPriority w:val="20"/>
    <w:qFormat/>
    <w:rsid w:val="00C02D6C"/>
    <w:rPr>
      <w:i/>
      <w:iCs/>
      <w:color w:val="auto"/>
    </w:rPr>
  </w:style>
  <w:style w:type="paragraph" w:styleId="NoSpacing">
    <w:name w:val="No Spacing"/>
    <w:uiPriority w:val="1"/>
    <w:qFormat/>
    <w:rsid w:val="00C02D6C"/>
    <w:pPr>
      <w:spacing w:after="0" w:line="240" w:lineRule="auto"/>
    </w:pPr>
  </w:style>
  <w:style w:type="paragraph" w:styleId="Quote">
    <w:name w:val="Quote"/>
    <w:basedOn w:val="Normal"/>
    <w:next w:val="Normal"/>
    <w:link w:val="QuoteChar"/>
    <w:uiPriority w:val="29"/>
    <w:qFormat/>
    <w:rsid w:val="00C02D6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02D6C"/>
    <w:rPr>
      <w:i/>
      <w:iCs/>
      <w:color w:val="404040" w:themeColor="text1" w:themeTint="BF"/>
    </w:rPr>
  </w:style>
  <w:style w:type="paragraph" w:styleId="IntenseQuote">
    <w:name w:val="Intense Quote"/>
    <w:basedOn w:val="Normal"/>
    <w:next w:val="Normal"/>
    <w:link w:val="IntenseQuoteChar"/>
    <w:uiPriority w:val="30"/>
    <w:qFormat/>
    <w:rsid w:val="00C02D6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02D6C"/>
    <w:rPr>
      <w:i/>
      <w:iCs/>
      <w:color w:val="404040" w:themeColor="text1" w:themeTint="BF"/>
    </w:rPr>
  </w:style>
  <w:style w:type="character" w:styleId="SubtleEmphasis">
    <w:name w:val="Subtle Emphasis"/>
    <w:basedOn w:val="DefaultParagraphFont"/>
    <w:uiPriority w:val="19"/>
    <w:qFormat/>
    <w:rsid w:val="00C02D6C"/>
    <w:rPr>
      <w:i/>
      <w:iCs/>
      <w:color w:val="404040" w:themeColor="text1" w:themeTint="BF"/>
    </w:rPr>
  </w:style>
  <w:style w:type="character" w:styleId="IntenseEmphasis">
    <w:name w:val="Intense Emphasis"/>
    <w:basedOn w:val="DefaultParagraphFont"/>
    <w:uiPriority w:val="21"/>
    <w:qFormat/>
    <w:rsid w:val="00C02D6C"/>
    <w:rPr>
      <w:b/>
      <w:bCs/>
      <w:i/>
      <w:iCs/>
      <w:color w:val="auto"/>
    </w:rPr>
  </w:style>
  <w:style w:type="character" w:styleId="SubtleReference">
    <w:name w:val="Subtle Reference"/>
    <w:basedOn w:val="DefaultParagraphFont"/>
    <w:uiPriority w:val="31"/>
    <w:qFormat/>
    <w:rsid w:val="00C02D6C"/>
    <w:rPr>
      <w:smallCaps/>
      <w:color w:val="404040" w:themeColor="text1" w:themeTint="BF"/>
    </w:rPr>
  </w:style>
  <w:style w:type="character" w:styleId="IntenseReference">
    <w:name w:val="Intense Reference"/>
    <w:basedOn w:val="DefaultParagraphFont"/>
    <w:uiPriority w:val="32"/>
    <w:qFormat/>
    <w:rsid w:val="00C02D6C"/>
    <w:rPr>
      <w:b/>
      <w:bCs/>
      <w:smallCaps/>
      <w:color w:val="404040" w:themeColor="text1" w:themeTint="BF"/>
      <w:spacing w:val="5"/>
    </w:rPr>
  </w:style>
  <w:style w:type="character" w:styleId="BookTitle">
    <w:name w:val="Book Title"/>
    <w:basedOn w:val="DefaultParagraphFont"/>
    <w:uiPriority w:val="33"/>
    <w:qFormat/>
    <w:rsid w:val="00C02D6C"/>
    <w:rPr>
      <w:b/>
      <w:bCs/>
      <w:i/>
      <w:iCs/>
      <w:spacing w:val="5"/>
    </w:rPr>
  </w:style>
  <w:style w:type="paragraph" w:styleId="TOCHeading">
    <w:name w:val="TOC Heading"/>
    <w:basedOn w:val="Heading1"/>
    <w:next w:val="Normal"/>
    <w:uiPriority w:val="39"/>
    <w:semiHidden/>
    <w:unhideWhenUsed/>
    <w:qFormat/>
    <w:rsid w:val="00C02D6C"/>
    <w:pPr>
      <w:outlineLvl w:val="9"/>
    </w:pPr>
  </w:style>
  <w:style w:type="paragraph" w:styleId="FootnoteText">
    <w:name w:val="footnote text"/>
    <w:basedOn w:val="Normal"/>
    <w:link w:val="FootnoteTextChar"/>
    <w:uiPriority w:val="99"/>
    <w:unhideWhenUsed/>
    <w:rsid w:val="008143C8"/>
    <w:pPr>
      <w:spacing w:after="0" w:line="240" w:lineRule="auto"/>
    </w:pPr>
    <w:rPr>
      <w:sz w:val="20"/>
      <w:szCs w:val="20"/>
    </w:rPr>
  </w:style>
  <w:style w:type="character" w:customStyle="1" w:styleId="FootnoteTextChar">
    <w:name w:val="Footnote Text Char"/>
    <w:basedOn w:val="DefaultParagraphFont"/>
    <w:link w:val="FootnoteText"/>
    <w:uiPriority w:val="99"/>
    <w:rsid w:val="008143C8"/>
    <w:rPr>
      <w:sz w:val="20"/>
      <w:szCs w:val="20"/>
    </w:rPr>
  </w:style>
  <w:style w:type="character" w:styleId="FootnoteReference">
    <w:name w:val="footnote reference"/>
    <w:basedOn w:val="DefaultParagraphFont"/>
    <w:uiPriority w:val="99"/>
    <w:semiHidden/>
    <w:unhideWhenUsed/>
    <w:rsid w:val="008143C8"/>
    <w:rPr>
      <w:vertAlign w:val="superscript"/>
    </w:rPr>
  </w:style>
  <w:style w:type="paragraph" w:styleId="BalloonText">
    <w:name w:val="Balloon Text"/>
    <w:basedOn w:val="Normal"/>
    <w:link w:val="BalloonTextChar"/>
    <w:uiPriority w:val="99"/>
    <w:semiHidden/>
    <w:unhideWhenUsed/>
    <w:rsid w:val="00BD5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F1"/>
    <w:rPr>
      <w:rFonts w:ascii="Segoe UI" w:hAnsi="Segoe UI" w:cs="Segoe UI"/>
      <w:sz w:val="18"/>
      <w:szCs w:val="18"/>
    </w:rPr>
  </w:style>
  <w:style w:type="paragraph" w:styleId="ListParagraph">
    <w:name w:val="List Paragraph"/>
    <w:basedOn w:val="Normal"/>
    <w:uiPriority w:val="34"/>
    <w:qFormat/>
    <w:rsid w:val="00C12CCB"/>
    <w:pPr>
      <w:spacing w:line="252" w:lineRule="auto"/>
      <w:ind w:left="720"/>
      <w:contextualSpacing/>
      <w:jc w:val="both"/>
    </w:pPr>
  </w:style>
  <w:style w:type="character" w:styleId="CommentReference">
    <w:name w:val="annotation reference"/>
    <w:basedOn w:val="DefaultParagraphFont"/>
    <w:uiPriority w:val="99"/>
    <w:semiHidden/>
    <w:unhideWhenUsed/>
    <w:rsid w:val="008038CD"/>
    <w:rPr>
      <w:sz w:val="16"/>
      <w:szCs w:val="16"/>
    </w:rPr>
  </w:style>
  <w:style w:type="paragraph" w:styleId="CommentText">
    <w:name w:val="annotation text"/>
    <w:basedOn w:val="Normal"/>
    <w:link w:val="CommentTextChar"/>
    <w:uiPriority w:val="99"/>
    <w:semiHidden/>
    <w:unhideWhenUsed/>
    <w:rsid w:val="008038CD"/>
    <w:pPr>
      <w:spacing w:line="240" w:lineRule="auto"/>
    </w:pPr>
    <w:rPr>
      <w:sz w:val="20"/>
      <w:szCs w:val="20"/>
    </w:rPr>
  </w:style>
  <w:style w:type="character" w:customStyle="1" w:styleId="CommentTextChar">
    <w:name w:val="Comment Text Char"/>
    <w:basedOn w:val="DefaultParagraphFont"/>
    <w:link w:val="CommentText"/>
    <w:uiPriority w:val="99"/>
    <w:semiHidden/>
    <w:rsid w:val="008038CD"/>
    <w:rPr>
      <w:sz w:val="20"/>
      <w:szCs w:val="20"/>
    </w:rPr>
  </w:style>
  <w:style w:type="paragraph" w:styleId="CommentSubject">
    <w:name w:val="annotation subject"/>
    <w:basedOn w:val="CommentText"/>
    <w:next w:val="CommentText"/>
    <w:link w:val="CommentSubjectChar"/>
    <w:uiPriority w:val="99"/>
    <w:semiHidden/>
    <w:unhideWhenUsed/>
    <w:rsid w:val="008038CD"/>
    <w:rPr>
      <w:b/>
      <w:bCs/>
    </w:rPr>
  </w:style>
  <w:style w:type="character" w:customStyle="1" w:styleId="CommentSubjectChar">
    <w:name w:val="Comment Subject Char"/>
    <w:basedOn w:val="CommentTextChar"/>
    <w:link w:val="CommentSubject"/>
    <w:uiPriority w:val="99"/>
    <w:semiHidden/>
    <w:rsid w:val="008038CD"/>
    <w:rPr>
      <w:b/>
      <w:bCs/>
      <w:sz w:val="20"/>
      <w:szCs w:val="20"/>
    </w:rPr>
  </w:style>
  <w:style w:type="paragraph" w:styleId="Header">
    <w:name w:val="header"/>
    <w:basedOn w:val="Normal"/>
    <w:link w:val="HeaderChar"/>
    <w:uiPriority w:val="99"/>
    <w:unhideWhenUsed/>
    <w:rsid w:val="0028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E5F"/>
  </w:style>
  <w:style w:type="paragraph" w:styleId="Footer">
    <w:name w:val="footer"/>
    <w:basedOn w:val="Normal"/>
    <w:link w:val="FooterChar"/>
    <w:uiPriority w:val="99"/>
    <w:unhideWhenUsed/>
    <w:rsid w:val="0028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F5F422-C0CB-C14A-AE1B-FBBE3C905D13}">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483410B-0BE5-4786-B802-CF5BFAF9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2021-01-13T11:00:00Z</dcterms:created>
  <dcterms:modified xsi:type="dcterms:W3CDTF">2021-01-13T11:04:00Z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http://www.zotero.org/styles/oscola-no-ibid</vt:lpwstr>
  </property>
  <property fmtid="{D5CDD505-2E9C-101B-9397-08002B2CF9AE}" pid="21" name="Mendeley Recent Style Name 9_1">
    <vt:lpwstr>OSCOLA (Oxford University Standard for Citation of Legal Authorities) (no Ibid.)</vt:lpwstr>
  </property>
  <property fmtid="{D5CDD505-2E9C-101B-9397-08002B2CF9AE}" pid="22" name="Mendeley Document_1">
    <vt:lpwstr>True</vt:lpwstr>
  </property>
  <property fmtid="{D5CDD505-2E9C-101B-9397-08002B2CF9AE}" pid="23" name="Mendeley Unique User Id_1">
    <vt:lpwstr>f4aa8254-643f-3658-a31e-9f3423b1d07c</vt:lpwstr>
  </property>
  <property fmtid="{D5CDD505-2E9C-101B-9397-08002B2CF9AE}" pid="24" name="grammarly_documentId">
    <vt:lpwstr>documentId_2374</vt:lpwstr>
  </property>
  <property fmtid="{D5CDD505-2E9C-101B-9397-08002B2CF9AE}" pid="25" name="grammarly_documentContext">
    <vt:lpwstr>{"goals":[],"domain":"general","emotions":[],"dialect":"british"}</vt:lpwstr>
  </property>
  <property fmtid="{D5CDD505-2E9C-101B-9397-08002B2CF9AE}" pid="26" name="Mendeley Citation Style_1">
    <vt:lpwstr>http://www.zotero.org/styles/oscola-no-ibid</vt:lpwstr>
  </property>
</Properties>
</file>