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98137" w14:textId="3D3C3DDC" w:rsidR="002D268F" w:rsidRPr="008C5E15" w:rsidRDefault="002D268F" w:rsidP="005E3AA4">
      <w:pPr>
        <w:pStyle w:val="IIR01DOINumber"/>
      </w:pPr>
      <w:r w:rsidRPr="008C5E15">
        <w:t>DOI: 10.18462/</w:t>
      </w:r>
      <w:proofErr w:type="gramStart"/>
      <w:r w:rsidRPr="008C5E15">
        <w:t>iir.</w:t>
      </w:r>
      <w:r w:rsidR="00685439">
        <w:t>iccc</w:t>
      </w:r>
      <w:proofErr w:type="gramEnd"/>
      <w:r w:rsidR="00685439">
        <w:t>202</w:t>
      </w:r>
      <w:r w:rsidR="00122705">
        <w:t>4</w:t>
      </w:r>
      <w:r w:rsidRPr="008C5E15">
        <w:t>.</w:t>
      </w:r>
      <w:r w:rsidR="004525B4">
        <w:t>1003</w:t>
      </w:r>
    </w:p>
    <w:p w14:paraId="0EBE43FF" w14:textId="4367EFDC" w:rsidR="00B569B3" w:rsidRDefault="00B569B3" w:rsidP="00351CB6">
      <w:pPr>
        <w:pStyle w:val="IIR03AuthorName"/>
        <w:rPr>
          <w:rFonts w:asciiTheme="minorHAnsi" w:hAnsiTheme="minorHAnsi" w:cstheme="minorHAnsi"/>
          <w:sz w:val="32"/>
          <w:szCs w:val="48"/>
        </w:rPr>
      </w:pPr>
      <w:r w:rsidRPr="00B569B3">
        <w:rPr>
          <w:rFonts w:asciiTheme="minorHAnsi" w:hAnsiTheme="minorHAnsi" w:cstheme="minorHAnsi"/>
          <w:sz w:val="32"/>
          <w:szCs w:val="48"/>
        </w:rPr>
        <w:t xml:space="preserve">Commercial, </w:t>
      </w:r>
      <w:proofErr w:type="gramStart"/>
      <w:r w:rsidRPr="00B569B3">
        <w:rPr>
          <w:rFonts w:asciiTheme="minorHAnsi" w:hAnsiTheme="minorHAnsi" w:cstheme="minorHAnsi"/>
          <w:sz w:val="32"/>
          <w:szCs w:val="48"/>
        </w:rPr>
        <w:t>professional</w:t>
      </w:r>
      <w:proofErr w:type="gramEnd"/>
      <w:r w:rsidRPr="00B569B3">
        <w:rPr>
          <w:rFonts w:asciiTheme="minorHAnsi" w:hAnsiTheme="minorHAnsi" w:cstheme="minorHAnsi"/>
          <w:sz w:val="32"/>
          <w:szCs w:val="48"/>
        </w:rPr>
        <w:t xml:space="preserve"> and domestic refrigeration equipment efficiency in the UK: </w:t>
      </w:r>
      <w:r w:rsidR="00391F8A">
        <w:rPr>
          <w:rFonts w:asciiTheme="minorHAnsi" w:hAnsiTheme="minorHAnsi" w:cstheme="minorHAnsi"/>
          <w:sz w:val="32"/>
          <w:szCs w:val="48"/>
        </w:rPr>
        <w:t>c</w:t>
      </w:r>
      <w:r w:rsidR="00391F8A" w:rsidRPr="00B569B3">
        <w:rPr>
          <w:rFonts w:asciiTheme="minorHAnsi" w:hAnsiTheme="minorHAnsi" w:cstheme="minorHAnsi"/>
          <w:sz w:val="32"/>
          <w:szCs w:val="48"/>
        </w:rPr>
        <w:t xml:space="preserve">urrent </w:t>
      </w:r>
      <w:r w:rsidRPr="00B569B3">
        <w:rPr>
          <w:rFonts w:asciiTheme="minorHAnsi" w:hAnsiTheme="minorHAnsi" w:cstheme="minorHAnsi"/>
          <w:sz w:val="32"/>
          <w:szCs w:val="48"/>
        </w:rPr>
        <w:t xml:space="preserve">and future trends </w:t>
      </w:r>
    </w:p>
    <w:p w14:paraId="0E592B14" w14:textId="665CAC72" w:rsidR="00B569B3" w:rsidRDefault="00B569B3" w:rsidP="00AD70D8">
      <w:pPr>
        <w:pStyle w:val="IIR05InstitutionAffiliations"/>
        <w:rPr>
          <w:rStyle w:val="IIR04SuperscriptletterofInstitutionAffiliations"/>
          <w:rFonts w:asciiTheme="minorHAnsi" w:hAnsiTheme="minorHAnsi" w:cstheme="minorHAnsi"/>
          <w:b/>
          <w:sz w:val="28"/>
          <w:szCs w:val="22"/>
          <w:vertAlign w:val="baseline"/>
        </w:rPr>
      </w:pPr>
      <w:r w:rsidRPr="00B569B3">
        <w:t>Alan FOSTER</w:t>
      </w:r>
      <w:r>
        <w:t xml:space="preserve">*, </w:t>
      </w:r>
      <w:r w:rsidRPr="00B569B3">
        <w:t>Judith EVANS</w:t>
      </w:r>
    </w:p>
    <w:p w14:paraId="407347BB" w14:textId="6EB5756C" w:rsidR="00870DAA" w:rsidRDefault="00B569B3" w:rsidP="00AD70D8">
      <w:pPr>
        <w:pStyle w:val="IIR05InstitutionAffiliations"/>
      </w:pPr>
      <w:r>
        <w:t>London South Bank University,</w:t>
      </w:r>
      <w:r w:rsidR="00B605CB" w:rsidRPr="008C5E15">
        <w:br/>
      </w:r>
      <w:r w:rsidR="00F6682D">
        <w:t xml:space="preserve">Churchill Building, </w:t>
      </w:r>
      <w:r>
        <w:t>Langford</w:t>
      </w:r>
      <w:r w:rsidR="00B605CB" w:rsidRPr="008C5E15">
        <w:t xml:space="preserve">, </w:t>
      </w:r>
      <w:r>
        <w:t>BS40 5DU</w:t>
      </w:r>
      <w:r w:rsidR="00B605CB" w:rsidRPr="008C5E15">
        <w:t xml:space="preserve">, </w:t>
      </w:r>
      <w:r>
        <w:t>UK, alan.foster@lsbu.ac.uk</w:t>
      </w:r>
    </w:p>
    <w:p w14:paraId="65181BD9" w14:textId="07A403A5" w:rsidR="00B605CB" w:rsidRPr="00BE12FE" w:rsidRDefault="00B605CB" w:rsidP="00BE12FE">
      <w:pPr>
        <w:pStyle w:val="IIR06AbstractTitle"/>
      </w:pPr>
      <w:r w:rsidRPr="00BE12FE">
        <w:t xml:space="preserve">ABSTRACT </w:t>
      </w:r>
    </w:p>
    <w:p w14:paraId="04106A28" w14:textId="6F0F9B78" w:rsidR="00B569B3" w:rsidRDefault="00B569B3" w:rsidP="00593C09">
      <w:pPr>
        <w:pStyle w:val="IIR12MainText"/>
      </w:pPr>
      <w:r w:rsidRPr="00B569B3">
        <w:t xml:space="preserve">In the UK food cold-chain refrigeration accounted for 28.6 TWh/a of electrical energy consumption in 2019, of which 24.4 TWh was from commercial, </w:t>
      </w:r>
      <w:proofErr w:type="gramStart"/>
      <w:r w:rsidRPr="00B569B3">
        <w:t>professional</w:t>
      </w:r>
      <w:proofErr w:type="gramEnd"/>
      <w:r w:rsidRPr="00B569B3">
        <w:t xml:space="preserve"> and household refrigeration.  Using the most recent UK projections of energy consumption for domestic, </w:t>
      </w:r>
      <w:proofErr w:type="gramStart"/>
      <w:r w:rsidRPr="00B569B3">
        <w:t>professional</w:t>
      </w:r>
      <w:proofErr w:type="gramEnd"/>
      <w:r w:rsidRPr="00B569B3">
        <w:t xml:space="preserve"> and commercial refrigeration, this work found that UK Government projections for domestic refrigeration are not realistic and should be adjusted to reflect that current UK sales of domestic refrigerators have higher energy consumptions than currently assumed.  To drive energy improvements in professional refrigeration will require removing the 3 worst performing classes from energy labelling.  Banning open fronted supermarket cabinets and/or removing </w:t>
      </w:r>
      <w:r w:rsidR="00AD70D8">
        <w:t xml:space="preserve">the </w:t>
      </w:r>
      <w:r w:rsidRPr="00B569B3">
        <w:t xml:space="preserve">last 3 tiers of the energy label, would bring supermarket commercial refrigeration in line with current projections, but only if it happened immediately. For other commercial refrigeration equipment (beverage coolers and ice cream freezers) a more gradual approach of removing labels is </w:t>
      </w:r>
      <w:r w:rsidR="00DE5FE3">
        <w:t xml:space="preserve">suggested to be </w:t>
      </w:r>
      <w:r w:rsidRPr="00B569B3">
        <w:t>appropriate.</w:t>
      </w:r>
    </w:p>
    <w:p w14:paraId="0A1292E6" w14:textId="0119A421" w:rsidR="000D3AF2" w:rsidRPr="00F13954" w:rsidRDefault="00B605CB" w:rsidP="00F351C2">
      <w:pPr>
        <w:pStyle w:val="MainText"/>
      </w:pPr>
      <w:r w:rsidRPr="00F13954">
        <w:t xml:space="preserve">Keywords: </w:t>
      </w:r>
      <w:r w:rsidR="00B569B3">
        <w:t>greenhouse gas emissions, equipment efficiency, commercial, domestic, professional.</w:t>
      </w:r>
    </w:p>
    <w:p w14:paraId="1BEE02AB" w14:textId="6A0611A9" w:rsidR="00923DF4" w:rsidRPr="00923DF4" w:rsidRDefault="00B605CB" w:rsidP="00593C09">
      <w:pPr>
        <w:pStyle w:val="IIR08AbstractKeywords"/>
      </w:pPr>
      <w:r w:rsidRPr="00DA2361">
        <w:t>INTRODUCTION</w:t>
      </w:r>
      <w:r w:rsidR="000D3AF2" w:rsidRPr="00DA2361">
        <w:t xml:space="preserve"> </w:t>
      </w:r>
    </w:p>
    <w:p w14:paraId="27AB7FCA" w14:textId="47219E72" w:rsidR="00B569B3" w:rsidRDefault="00B569B3" w:rsidP="00593C09">
      <w:pPr>
        <w:pStyle w:val="IIR12MainText"/>
      </w:pPr>
      <w:r>
        <w:t xml:space="preserve">Cold chains are energy intensive.  According to Foster et al (2022) refrigeration in the UK food cold chain accounted for approximately 28.6 TWh/a of electrical energy consumption and 24.4 TWh was from retail (commercial), food service (professional) and domestic (household) refrigeration.  </w:t>
      </w:r>
    </w:p>
    <w:p w14:paraId="795236C1" w14:textId="24B50CD9" w:rsidR="00B569B3" w:rsidRDefault="00AD70D8" w:rsidP="00593C09">
      <w:pPr>
        <w:pStyle w:val="IIR12MainText"/>
      </w:pPr>
      <w:r>
        <w:t>Refrigerated</w:t>
      </w:r>
      <w:r w:rsidR="00B569B3">
        <w:t xml:space="preserve"> food </w:t>
      </w:r>
      <w:r>
        <w:t xml:space="preserve">must </w:t>
      </w:r>
      <w:r w:rsidR="00B569B3">
        <w:t xml:space="preserve">be kept at a defined temperature and the equipment used must conform to energy </w:t>
      </w:r>
      <w:r w:rsidR="007F67AD">
        <w:t xml:space="preserve">performance </w:t>
      </w:r>
      <w:r w:rsidR="00B569B3">
        <w:t xml:space="preserve">standards. The EU and UK apply regulations that prescribe minimum energy performance standards (MEPS) and energy labelling for domestic, </w:t>
      </w:r>
      <w:proofErr w:type="gramStart"/>
      <w:r w:rsidR="00B569B3">
        <w:t>professional</w:t>
      </w:r>
      <w:proofErr w:type="gramEnd"/>
      <w:r w:rsidR="00B569B3">
        <w:t xml:space="preserve"> and commercial refrigeration products. Since leaving the EU the regulations in the UK have mirrored those in Europe.  Domestic refrigerators and freezers have been subject to energy labelling since 1994 (and recently updated in 2021). Professional refrigerated storage cabinets have been labelled since 2016 and refrigerating appliances with a direct sales function (commercial refrigerators) since 2021. </w:t>
      </w:r>
    </w:p>
    <w:p w14:paraId="6FC0576E" w14:textId="0E091F75" w:rsidR="00B569B3" w:rsidRDefault="00B569B3" w:rsidP="00593C09">
      <w:pPr>
        <w:pStyle w:val="IIR12MainText"/>
      </w:pPr>
      <w:r>
        <w:t>The UK has a Net Zero Strategy (HM Government, 2021).  This strategy sets out policies and proposals for decarbonising all sectors of the UK economy to meet the net zero target by 2050.  The UK Net Zero Growth Plan (HM Government,</w:t>
      </w:r>
      <w:r w:rsidR="002C39D6">
        <w:t xml:space="preserve"> </w:t>
      </w:r>
      <w:r>
        <w:t xml:space="preserve">2023) highlights that although the UK is expected to achieve all the savings required to meet Carbon Budget 4 and 5 (CB4 and 5), it will only achieve 97% of the emissions reductions required to meet Carbon Budget Six (CB6) (2033-37). CB6 represents a very significant increase in the pace of the power sector decarbonisation, coupled with increased demand due to the roll-out of heat pumps and electric vehicles.  Electricity demand is expected to be around 50% higher by 2035 and 100% higher by 2050 (UK Parliament, 2023).  Significant reduction in energy demand and changes to how energy is </w:t>
      </w:r>
      <w:r w:rsidR="00C06C21">
        <w:t xml:space="preserve">managed and </w:t>
      </w:r>
      <w:r>
        <w:t xml:space="preserve">consumed </w:t>
      </w:r>
      <w:r w:rsidR="007F67AD">
        <w:t xml:space="preserve">are </w:t>
      </w:r>
      <w:r>
        <w:t xml:space="preserve">therefore required to meet these </w:t>
      </w:r>
      <w:r w:rsidR="00C06C21">
        <w:t>targets</w:t>
      </w:r>
      <w:r>
        <w:t>.</w:t>
      </w:r>
    </w:p>
    <w:p w14:paraId="40E6FF90" w14:textId="06684B4C" w:rsidR="00CF22A4" w:rsidRDefault="00B569B3" w:rsidP="00593C09">
      <w:pPr>
        <w:pStyle w:val="IIR12MainText"/>
      </w:pPr>
      <w:r>
        <w:t xml:space="preserve">The aim of this work was to examine the validity of the most recent projections of energy consumption for domestic, </w:t>
      </w:r>
      <w:proofErr w:type="gramStart"/>
      <w:r>
        <w:t>professional</w:t>
      </w:r>
      <w:proofErr w:type="gramEnd"/>
      <w:r>
        <w:t xml:space="preserve"> and commercial refrigerated equipment in the UK.  In cases where projections were no longer valid, options to bring them back in line </w:t>
      </w:r>
      <w:r w:rsidR="00974C63">
        <w:t xml:space="preserve">are </w:t>
      </w:r>
      <w:r>
        <w:t xml:space="preserve">suggested. Measures to promote more rapid energy reduction </w:t>
      </w:r>
      <w:r w:rsidR="00974C63">
        <w:t xml:space="preserve">are </w:t>
      </w:r>
      <w:r>
        <w:t>also evaluated.</w:t>
      </w:r>
    </w:p>
    <w:p w14:paraId="6D6D43A3" w14:textId="77777777" w:rsidR="00CF22A4" w:rsidRDefault="00CF22A4" w:rsidP="00593C09">
      <w:pPr>
        <w:pStyle w:val="IIR12MainText"/>
      </w:pPr>
      <w:r>
        <w:br w:type="page"/>
      </w:r>
    </w:p>
    <w:p w14:paraId="111FA878" w14:textId="4C6D4AEF" w:rsidR="00B605CB" w:rsidRPr="009F453A" w:rsidRDefault="00261E1D" w:rsidP="00593C09">
      <w:pPr>
        <w:pStyle w:val="IIR08AbstractKeywords"/>
      </w:pPr>
      <w:r w:rsidRPr="009F453A">
        <w:lastRenderedPageBreak/>
        <w:t>METHOD</w:t>
      </w:r>
      <w:r w:rsidR="000D3AF2" w:rsidRPr="009F453A">
        <w:t xml:space="preserve"> </w:t>
      </w:r>
    </w:p>
    <w:p w14:paraId="4AE7F5DD" w14:textId="09C61A89" w:rsidR="00261E1D" w:rsidRDefault="00261E1D" w:rsidP="00593C09">
      <w:pPr>
        <w:pStyle w:val="IIR12MainText"/>
      </w:pPr>
      <w:r>
        <w:t>Three refrigerated equipment product</w:t>
      </w:r>
      <w:r w:rsidR="00EB1545">
        <w:t xml:space="preserve"> </w:t>
      </w:r>
      <w:r w:rsidR="007F67AD">
        <w:t>categories</w:t>
      </w:r>
      <w:r>
        <w:t xml:space="preserve"> were included in this study.  These 3 types were categorised by the sector </w:t>
      </w:r>
      <w:r w:rsidR="00CF22A4">
        <w:t xml:space="preserve">in </w:t>
      </w:r>
      <w:r>
        <w:t>which they operate and are regulated in the UK and EU by different energy labelling (</w:t>
      </w:r>
      <w:proofErr w:type="spellStart"/>
      <w:r>
        <w:t>Ecodesign</w:t>
      </w:r>
      <w:proofErr w:type="spellEnd"/>
      <w:r>
        <w:t xml:space="preserve">) regulations.  </w:t>
      </w:r>
    </w:p>
    <w:p w14:paraId="3FCFF381" w14:textId="1B28C387" w:rsidR="00261E1D" w:rsidRDefault="00261E1D" w:rsidP="00593C09">
      <w:pPr>
        <w:pStyle w:val="IIR12MainText"/>
        <w:numPr>
          <w:ilvl w:val="0"/>
          <w:numId w:val="37"/>
        </w:numPr>
      </w:pPr>
      <w:r>
        <w:t xml:space="preserve">Domestic refrigerators are defined by Regulations (EC) 643/2009 and (EU) 1060/2010, as electric mains-operated household refrigeration appliances with a storage volume up to 1500 litres. </w:t>
      </w:r>
    </w:p>
    <w:p w14:paraId="27BD7C00" w14:textId="6966787A" w:rsidR="00261E1D" w:rsidRDefault="00261E1D" w:rsidP="00593C09">
      <w:pPr>
        <w:pStyle w:val="IIR12MainText"/>
        <w:numPr>
          <w:ilvl w:val="0"/>
          <w:numId w:val="37"/>
        </w:numPr>
      </w:pPr>
      <w:r>
        <w:t xml:space="preserve">Professional refrigerated storage cabinets are regulated under the EU regulations 2015/1094 and 2015/1095 and are used in professional kitchens and catering (food service sector). </w:t>
      </w:r>
    </w:p>
    <w:p w14:paraId="2B4AC133" w14:textId="4437B066" w:rsidR="00261E1D" w:rsidRDefault="00261E1D" w:rsidP="00593C09">
      <w:pPr>
        <w:pStyle w:val="IIR12MainText"/>
        <w:numPr>
          <w:ilvl w:val="0"/>
          <w:numId w:val="37"/>
        </w:numPr>
      </w:pPr>
      <w:r>
        <w:t xml:space="preserve">Commercial refrigerators are refrigerating appliances with a direct sales function and are regulated under the EU regulations 2019/2018 and 2019/2024.  </w:t>
      </w:r>
    </w:p>
    <w:p w14:paraId="6DE29A04" w14:textId="77777777" w:rsidR="00261E1D" w:rsidRDefault="00261E1D" w:rsidP="00593C09">
      <w:pPr>
        <w:pStyle w:val="IIR12MainText"/>
      </w:pPr>
      <w:r>
        <w:t xml:space="preserve">The latest projections carried out in a UK Government study (for domestic refrigeration only) and the EU </w:t>
      </w:r>
      <w:proofErr w:type="spellStart"/>
      <w:r>
        <w:t>Ecodesign</w:t>
      </w:r>
      <w:proofErr w:type="spellEnd"/>
      <w:r>
        <w:t xml:space="preserve"> studies for all 3 sectors were examined.  As these studies were completed some time ago, an evaluation of energy performance of current equipment was compared with that used in the study predictions, to determine whether the projections were still realistic.  </w:t>
      </w:r>
    </w:p>
    <w:p w14:paraId="293B7926" w14:textId="698E4974" w:rsidR="00261E1D" w:rsidRDefault="00261E1D" w:rsidP="00593C09">
      <w:pPr>
        <w:pStyle w:val="IIR12MainText"/>
      </w:pPr>
      <w:r>
        <w:t>The European Product Registry for Energy Labelling (EPREL) was used to establish the energy consumption of new equipment purchased.  Where EPREL was not able to provide adequate information, UK online refrigeration retailer sales information was used.</w:t>
      </w:r>
      <w:r w:rsidR="00CD7456">
        <w:t xml:space="preserve">  </w:t>
      </w:r>
      <w:r w:rsidR="007F67AD">
        <w:t xml:space="preserve">It should be noted that </w:t>
      </w:r>
      <w:r w:rsidR="00CD7456">
        <w:t xml:space="preserve">EPREL and retailer web sites, do not provide sales data (number of sales of each product), therefore these databases cannot be used to show the proportion of cabinets sold with a specific energy class, only the number of models available. </w:t>
      </w:r>
      <w:proofErr w:type="gramStart"/>
      <w:r w:rsidR="005E3AA4">
        <w:t>For the purpose of</w:t>
      </w:r>
      <w:proofErr w:type="gramEnd"/>
      <w:r w:rsidR="005E3AA4">
        <w:t xml:space="preserve"> this work, an assumption was made that number of models and sales correlate.</w:t>
      </w:r>
    </w:p>
    <w:p w14:paraId="068EB55A" w14:textId="7648D3CC" w:rsidR="00B605CB" w:rsidRDefault="00261E1D" w:rsidP="00593C09">
      <w:pPr>
        <w:pStyle w:val="IIR12MainText"/>
      </w:pPr>
      <w:r>
        <w:t>Where current energy efficiency was lower than the predictions in the studies, analysis was carried out to determine what actions could be applied to realign the projections and what policy and technical changes might be required to achieve this.</w:t>
      </w:r>
    </w:p>
    <w:p w14:paraId="7C3590AE" w14:textId="7A518C73" w:rsidR="00164CEB" w:rsidRPr="00164CEB" w:rsidRDefault="00261E1D" w:rsidP="00593C09">
      <w:pPr>
        <w:pStyle w:val="IIR08AbstractKeywords"/>
      </w:pPr>
      <w:r w:rsidRPr="00261E1D">
        <w:t>RESULTS</w:t>
      </w:r>
    </w:p>
    <w:p w14:paraId="2BCFE230" w14:textId="6844501D" w:rsidR="00503751" w:rsidRPr="008D56AC" w:rsidRDefault="00503751" w:rsidP="00164CEB">
      <w:pPr>
        <w:pStyle w:val="IIR10Level2Headingforsub-sections"/>
      </w:pPr>
      <w:r w:rsidRPr="00E8022A">
        <w:t>Domestic</w:t>
      </w:r>
    </w:p>
    <w:p w14:paraId="261FE183" w14:textId="0352928C" w:rsidR="00503751" w:rsidRDefault="00503751" w:rsidP="00593C09">
      <w:pPr>
        <w:pStyle w:val="IIR12MainText"/>
      </w:pPr>
      <w:r>
        <w:t>Fig</w:t>
      </w:r>
      <w:r w:rsidR="004D50A4">
        <w:t>.</w:t>
      </w:r>
      <w:r>
        <w:t xml:space="preserve"> 1 shows </w:t>
      </w:r>
      <w:r w:rsidR="00CF22A4">
        <w:t>m</w:t>
      </w:r>
      <w:r w:rsidR="00CF22A4" w:rsidRPr="002947DA">
        <w:t xml:space="preserve">ean </w:t>
      </w:r>
      <w:r w:rsidR="00CF22A4">
        <w:t xml:space="preserve">annual </w:t>
      </w:r>
      <w:r w:rsidR="00CF22A4" w:rsidRPr="002947DA">
        <w:t xml:space="preserve">energy consumption </w:t>
      </w:r>
      <w:r w:rsidR="00CF22A4">
        <w:t xml:space="preserve">(AE) </w:t>
      </w:r>
      <w:r w:rsidR="00CF22A4" w:rsidRPr="002947DA">
        <w:t>of domestic refrigerators in the UK projected up to 2050</w:t>
      </w:r>
      <w:r w:rsidR="00CF22A4">
        <w:t xml:space="preserve"> from UK </w:t>
      </w:r>
      <w:r w:rsidR="0041098F">
        <w:t>Government projections</w:t>
      </w:r>
      <w:r>
        <w:t xml:space="preserve">.  </w:t>
      </w:r>
    </w:p>
    <w:p w14:paraId="107FF12A" w14:textId="60250688" w:rsidR="00164CEB" w:rsidRDefault="00164CEB" w:rsidP="00593C09">
      <w:pPr>
        <w:pStyle w:val="IIR12MainText"/>
      </w:pPr>
      <w:proofErr w:type="spellStart"/>
      <w:r>
        <w:t>Biglia</w:t>
      </w:r>
      <w:proofErr w:type="spellEnd"/>
      <w:r>
        <w:t xml:space="preserve"> et al (2018) carried out a large-scale survey in which 998 cold appliances were monitored in 766 properties in England.  This study was carried out in 2015 and showed (AE) and numbers of each type of appliance.  The AE and proportion of each unit in use in 2015 were compared between the UK Government projections and the </w:t>
      </w:r>
      <w:proofErr w:type="spellStart"/>
      <w:r>
        <w:t>Biglia</w:t>
      </w:r>
      <w:proofErr w:type="spellEnd"/>
      <w:r>
        <w:t xml:space="preserve"> et al data (Table 1).  The average AE is a mean of the 4 appliances, weighted by their proportion in use.  </w:t>
      </w:r>
      <w:proofErr w:type="spellStart"/>
      <w:r>
        <w:t>Biglia</w:t>
      </w:r>
      <w:proofErr w:type="spellEnd"/>
      <w:r>
        <w:t xml:space="preserve"> et al showed an average AE 9.4% higher than the UK value, with higher energy consumption for all 4 types of appliances.  This could be due to </w:t>
      </w:r>
      <w:proofErr w:type="gramStart"/>
      <w:r>
        <w:t>a number of</w:t>
      </w:r>
      <w:proofErr w:type="gramEnd"/>
      <w:r>
        <w:t xml:space="preserve"> factors, e.g. differences between energy consumption from testing and real life, deterioration of the performance of equipment over time, and the appliances in </w:t>
      </w:r>
      <w:proofErr w:type="spellStart"/>
      <w:r>
        <w:t>Biglia</w:t>
      </w:r>
      <w:proofErr w:type="spellEnd"/>
      <w:r>
        <w:t xml:space="preserve"> et al study not perfectly reflecting the stock of appliances assumed in the UK projection.</w:t>
      </w:r>
    </w:p>
    <w:p w14:paraId="677F1D33" w14:textId="3EDB7742" w:rsidR="00164CEB" w:rsidRDefault="00164CEB" w:rsidP="00593C09">
      <w:pPr>
        <w:pStyle w:val="IIR12MainText"/>
      </w:pPr>
      <w:r>
        <w:t xml:space="preserve">A French study in 2015 (Dupret and Zimmerman, 2019) showed energy consumption of refrigerators and fridge-freezers to be in between those of the UK and </w:t>
      </w:r>
      <w:proofErr w:type="spellStart"/>
      <w:r>
        <w:t>Biglia</w:t>
      </w:r>
      <w:proofErr w:type="spellEnd"/>
      <w:r>
        <w:t xml:space="preserve"> et al study.</w:t>
      </w:r>
    </w:p>
    <w:p w14:paraId="301B16B6" w14:textId="7A33E3DB" w:rsidR="00503751" w:rsidRDefault="00503751" w:rsidP="00664889">
      <w:pPr>
        <w:pStyle w:val="IIR12MainText"/>
      </w:pPr>
      <w:r w:rsidRPr="007A4C2E">
        <w:rPr>
          <w:noProof/>
        </w:rPr>
        <w:lastRenderedPageBreak/>
        <w:drawing>
          <wp:inline distT="0" distB="0" distL="0" distR="0" wp14:anchorId="195B48D9" wp14:editId="5E065B70">
            <wp:extent cx="5026547" cy="2796540"/>
            <wp:effectExtent l="0" t="0" r="3175" b="3810"/>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852" cy="2808950"/>
                    </a:xfrm>
                    <a:prstGeom prst="rect">
                      <a:avLst/>
                    </a:prstGeom>
                    <a:noFill/>
                  </pic:spPr>
                </pic:pic>
              </a:graphicData>
            </a:graphic>
          </wp:inline>
        </w:drawing>
      </w:r>
    </w:p>
    <w:p w14:paraId="1A431FD5" w14:textId="77777777" w:rsidR="00503751" w:rsidRDefault="00503751" w:rsidP="00164CEB">
      <w:pPr>
        <w:pStyle w:val="IIR14FigureCaption"/>
        <w:jc w:val="center"/>
      </w:pPr>
      <w:r w:rsidRPr="002947DA">
        <w:t>Figure 1. Mean electrical energy consumption of domestic refrigerators in the UK projected up to 2050.</w:t>
      </w:r>
    </w:p>
    <w:p w14:paraId="486C7168" w14:textId="77777777" w:rsidR="00164CEB" w:rsidRDefault="00164CEB" w:rsidP="00347121">
      <w:pPr>
        <w:pStyle w:val="IIR13TableCaption"/>
      </w:pPr>
    </w:p>
    <w:p w14:paraId="48470E74" w14:textId="24B82B93" w:rsidR="00503751" w:rsidRPr="00503751" w:rsidRDefault="00503751" w:rsidP="00347121">
      <w:pPr>
        <w:pStyle w:val="IIR13TableCaption"/>
      </w:pPr>
      <w:r w:rsidRPr="00503751">
        <w:t>Table 1. Stock energy consumption and proportion of different types of domestic refrigerator.</w:t>
      </w:r>
    </w:p>
    <w:tbl>
      <w:tblPr>
        <w:tblW w:w="9322" w:type="dxa"/>
        <w:jc w:val="center"/>
        <w:tblLayout w:type="fixed"/>
        <w:tblLook w:val="04A0" w:firstRow="1" w:lastRow="0" w:firstColumn="1" w:lastColumn="0" w:noHBand="0" w:noVBand="1"/>
      </w:tblPr>
      <w:tblGrid>
        <w:gridCol w:w="3261"/>
        <w:gridCol w:w="1275"/>
        <w:gridCol w:w="1276"/>
        <w:gridCol w:w="1384"/>
        <w:gridCol w:w="1033"/>
        <w:gridCol w:w="1093"/>
      </w:tblGrid>
      <w:tr w:rsidR="00503751" w:rsidRPr="00503751" w14:paraId="4C461AB5" w14:textId="77777777" w:rsidTr="005E3AA4">
        <w:trPr>
          <w:trHeight w:val="705"/>
          <w:jc w:val="center"/>
        </w:trPr>
        <w:tc>
          <w:tcPr>
            <w:tcW w:w="3261" w:type="dxa"/>
            <w:tcBorders>
              <w:top w:val="nil"/>
              <w:left w:val="nil"/>
              <w:bottom w:val="single" w:sz="4" w:space="0" w:color="auto"/>
              <w:right w:val="nil"/>
            </w:tcBorders>
            <w:shd w:val="clear" w:color="auto" w:fill="auto"/>
            <w:noWrap/>
            <w:vAlign w:val="center"/>
            <w:hideMark/>
          </w:tcPr>
          <w:p w14:paraId="1C8AB971" w14:textId="77777777" w:rsidR="00503751" w:rsidRPr="00503751" w:rsidRDefault="00503751" w:rsidP="0061598F">
            <w:pPr>
              <w:jc w:val="left"/>
              <w:rPr>
                <w:rFonts w:asciiTheme="minorHAnsi" w:hAnsiTheme="minorHAnsi" w:cstheme="minorHAnsi"/>
                <w:lang w:eastAsia="en-GB"/>
              </w:rPr>
            </w:pPr>
          </w:p>
        </w:tc>
        <w:tc>
          <w:tcPr>
            <w:tcW w:w="1275" w:type="dxa"/>
            <w:tcBorders>
              <w:top w:val="nil"/>
              <w:left w:val="nil"/>
              <w:bottom w:val="single" w:sz="4" w:space="0" w:color="auto"/>
              <w:right w:val="nil"/>
            </w:tcBorders>
            <w:shd w:val="clear" w:color="auto" w:fill="auto"/>
            <w:vAlign w:val="center"/>
            <w:hideMark/>
          </w:tcPr>
          <w:p w14:paraId="10F8E491" w14:textId="77777777" w:rsidR="00503751" w:rsidRPr="00503751" w:rsidRDefault="00503751" w:rsidP="005E3AA4">
            <w:pPr>
              <w:jc w:val="center"/>
              <w:rPr>
                <w:rFonts w:asciiTheme="minorHAnsi" w:hAnsiTheme="minorHAnsi" w:cstheme="minorHAnsi"/>
                <w:color w:val="000000"/>
                <w:lang w:eastAsia="en-GB"/>
              </w:rPr>
            </w:pPr>
            <w:r w:rsidRPr="00503751">
              <w:rPr>
                <w:rFonts w:asciiTheme="minorHAnsi" w:hAnsiTheme="minorHAnsi" w:cstheme="minorHAnsi"/>
                <w:color w:val="000000"/>
                <w:lang w:eastAsia="en-GB"/>
              </w:rPr>
              <w:t>Chest freezer</w:t>
            </w:r>
          </w:p>
        </w:tc>
        <w:tc>
          <w:tcPr>
            <w:tcW w:w="1276" w:type="dxa"/>
            <w:tcBorders>
              <w:top w:val="nil"/>
              <w:left w:val="nil"/>
              <w:bottom w:val="single" w:sz="4" w:space="0" w:color="auto"/>
              <w:right w:val="nil"/>
            </w:tcBorders>
            <w:shd w:val="clear" w:color="auto" w:fill="auto"/>
            <w:vAlign w:val="center"/>
            <w:hideMark/>
          </w:tcPr>
          <w:p w14:paraId="37655137" w14:textId="77777777" w:rsidR="00503751" w:rsidRPr="00503751" w:rsidRDefault="00503751" w:rsidP="005E3AA4">
            <w:pPr>
              <w:jc w:val="center"/>
              <w:rPr>
                <w:rFonts w:asciiTheme="minorHAnsi" w:hAnsiTheme="minorHAnsi" w:cstheme="minorHAnsi"/>
                <w:color w:val="000000"/>
                <w:lang w:eastAsia="en-GB"/>
              </w:rPr>
            </w:pPr>
            <w:r w:rsidRPr="00503751">
              <w:rPr>
                <w:rFonts w:asciiTheme="minorHAnsi" w:hAnsiTheme="minorHAnsi" w:cstheme="minorHAnsi"/>
                <w:color w:val="000000"/>
                <w:lang w:eastAsia="en-GB"/>
              </w:rPr>
              <w:t>Fridge-freezer</w:t>
            </w:r>
          </w:p>
        </w:tc>
        <w:tc>
          <w:tcPr>
            <w:tcW w:w="1384" w:type="dxa"/>
            <w:tcBorders>
              <w:top w:val="nil"/>
              <w:left w:val="nil"/>
              <w:bottom w:val="single" w:sz="4" w:space="0" w:color="auto"/>
              <w:right w:val="nil"/>
            </w:tcBorders>
            <w:shd w:val="clear" w:color="auto" w:fill="auto"/>
            <w:vAlign w:val="center"/>
            <w:hideMark/>
          </w:tcPr>
          <w:p w14:paraId="44E969D8" w14:textId="77777777" w:rsidR="00503751" w:rsidRPr="00503751" w:rsidRDefault="00503751" w:rsidP="005E3AA4">
            <w:pPr>
              <w:jc w:val="center"/>
              <w:rPr>
                <w:rFonts w:asciiTheme="minorHAnsi" w:hAnsiTheme="minorHAnsi" w:cstheme="minorHAnsi"/>
                <w:color w:val="000000"/>
                <w:lang w:eastAsia="en-GB"/>
              </w:rPr>
            </w:pPr>
            <w:r w:rsidRPr="00503751">
              <w:rPr>
                <w:rFonts w:asciiTheme="minorHAnsi" w:hAnsiTheme="minorHAnsi" w:cstheme="minorHAnsi"/>
                <w:color w:val="000000"/>
                <w:lang w:eastAsia="en-GB"/>
              </w:rPr>
              <w:t>Refrigerator</w:t>
            </w:r>
          </w:p>
        </w:tc>
        <w:tc>
          <w:tcPr>
            <w:tcW w:w="1033" w:type="dxa"/>
            <w:tcBorders>
              <w:top w:val="nil"/>
              <w:left w:val="nil"/>
              <w:bottom w:val="single" w:sz="4" w:space="0" w:color="auto"/>
              <w:right w:val="nil"/>
            </w:tcBorders>
            <w:shd w:val="clear" w:color="auto" w:fill="auto"/>
            <w:vAlign w:val="center"/>
            <w:hideMark/>
          </w:tcPr>
          <w:p w14:paraId="498E6C85" w14:textId="77777777" w:rsidR="00503751" w:rsidRPr="00503751" w:rsidRDefault="00503751" w:rsidP="005E3AA4">
            <w:pPr>
              <w:jc w:val="center"/>
              <w:rPr>
                <w:rFonts w:asciiTheme="minorHAnsi" w:hAnsiTheme="minorHAnsi" w:cstheme="minorHAnsi"/>
                <w:color w:val="000000"/>
                <w:lang w:eastAsia="en-GB"/>
              </w:rPr>
            </w:pPr>
            <w:r w:rsidRPr="00503751">
              <w:rPr>
                <w:rFonts w:asciiTheme="minorHAnsi" w:hAnsiTheme="minorHAnsi" w:cstheme="minorHAnsi"/>
                <w:color w:val="000000"/>
                <w:lang w:eastAsia="en-GB"/>
              </w:rPr>
              <w:t>Upright Freezer</w:t>
            </w:r>
          </w:p>
        </w:tc>
        <w:tc>
          <w:tcPr>
            <w:tcW w:w="1093" w:type="dxa"/>
            <w:tcBorders>
              <w:top w:val="nil"/>
              <w:left w:val="nil"/>
              <w:bottom w:val="single" w:sz="4" w:space="0" w:color="auto"/>
              <w:right w:val="nil"/>
            </w:tcBorders>
            <w:shd w:val="clear" w:color="auto" w:fill="auto"/>
            <w:noWrap/>
            <w:vAlign w:val="center"/>
            <w:hideMark/>
          </w:tcPr>
          <w:p w14:paraId="77E5F71D" w14:textId="77777777" w:rsidR="00503751" w:rsidRPr="00503751" w:rsidRDefault="00503751" w:rsidP="005E3AA4">
            <w:pPr>
              <w:jc w:val="center"/>
              <w:rPr>
                <w:rFonts w:asciiTheme="minorHAnsi" w:hAnsiTheme="minorHAnsi" w:cstheme="minorHAnsi"/>
                <w:color w:val="000000"/>
                <w:lang w:eastAsia="en-GB"/>
              </w:rPr>
            </w:pPr>
            <w:r w:rsidRPr="00503751">
              <w:rPr>
                <w:rFonts w:asciiTheme="minorHAnsi" w:hAnsiTheme="minorHAnsi" w:cstheme="minorHAnsi"/>
                <w:color w:val="000000"/>
                <w:lang w:eastAsia="en-GB"/>
              </w:rPr>
              <w:t>Average</w:t>
            </w:r>
          </w:p>
        </w:tc>
      </w:tr>
      <w:tr w:rsidR="00503751" w:rsidRPr="00503751" w14:paraId="274540F7" w14:textId="77777777" w:rsidTr="005E3AA4">
        <w:trPr>
          <w:trHeight w:val="300"/>
          <w:jc w:val="center"/>
        </w:trPr>
        <w:tc>
          <w:tcPr>
            <w:tcW w:w="3261" w:type="dxa"/>
            <w:tcBorders>
              <w:top w:val="single" w:sz="4" w:space="0" w:color="auto"/>
              <w:left w:val="nil"/>
              <w:bottom w:val="nil"/>
              <w:right w:val="nil"/>
            </w:tcBorders>
            <w:shd w:val="clear" w:color="auto" w:fill="auto"/>
            <w:noWrap/>
            <w:vAlign w:val="center"/>
            <w:hideMark/>
          </w:tcPr>
          <w:p w14:paraId="387B5F4E" w14:textId="0650B814" w:rsidR="00503751" w:rsidRPr="00503751" w:rsidRDefault="00E76CED" w:rsidP="0061598F">
            <w:pPr>
              <w:jc w:val="left"/>
              <w:rPr>
                <w:rFonts w:asciiTheme="minorHAnsi" w:hAnsiTheme="minorHAnsi" w:cstheme="minorHAnsi"/>
                <w:b/>
                <w:bCs/>
                <w:color w:val="000000"/>
                <w:lang w:eastAsia="en-GB"/>
              </w:rPr>
            </w:pPr>
            <w:r>
              <w:rPr>
                <w:rFonts w:asciiTheme="minorHAnsi" w:hAnsiTheme="minorHAnsi" w:cstheme="minorHAnsi"/>
                <w:b/>
                <w:bCs/>
                <w:color w:val="000000"/>
                <w:lang w:eastAsia="en-GB"/>
              </w:rPr>
              <w:t>UK</w:t>
            </w:r>
          </w:p>
        </w:tc>
        <w:tc>
          <w:tcPr>
            <w:tcW w:w="1275" w:type="dxa"/>
            <w:tcBorders>
              <w:top w:val="single" w:sz="4" w:space="0" w:color="auto"/>
              <w:left w:val="nil"/>
              <w:bottom w:val="nil"/>
              <w:right w:val="nil"/>
            </w:tcBorders>
            <w:shd w:val="clear" w:color="auto" w:fill="auto"/>
            <w:noWrap/>
            <w:vAlign w:val="center"/>
            <w:hideMark/>
          </w:tcPr>
          <w:p w14:paraId="70040D19" w14:textId="77777777" w:rsidR="00503751" w:rsidRPr="00503751" w:rsidRDefault="00503751" w:rsidP="0061598F">
            <w:pPr>
              <w:rPr>
                <w:rFonts w:asciiTheme="minorHAnsi" w:hAnsiTheme="minorHAnsi" w:cstheme="minorHAnsi"/>
                <w:color w:val="000000"/>
                <w:lang w:eastAsia="en-GB"/>
              </w:rPr>
            </w:pPr>
          </w:p>
        </w:tc>
        <w:tc>
          <w:tcPr>
            <w:tcW w:w="1276" w:type="dxa"/>
            <w:tcBorders>
              <w:top w:val="single" w:sz="4" w:space="0" w:color="auto"/>
              <w:left w:val="nil"/>
              <w:bottom w:val="nil"/>
              <w:right w:val="nil"/>
            </w:tcBorders>
            <w:shd w:val="clear" w:color="auto" w:fill="auto"/>
            <w:noWrap/>
            <w:vAlign w:val="center"/>
            <w:hideMark/>
          </w:tcPr>
          <w:p w14:paraId="66776926" w14:textId="77777777" w:rsidR="00503751" w:rsidRPr="00503751" w:rsidRDefault="00503751" w:rsidP="0061598F">
            <w:pPr>
              <w:rPr>
                <w:rFonts w:asciiTheme="minorHAnsi" w:hAnsiTheme="minorHAnsi" w:cstheme="minorHAnsi"/>
                <w:lang w:eastAsia="en-GB"/>
              </w:rPr>
            </w:pPr>
          </w:p>
        </w:tc>
        <w:tc>
          <w:tcPr>
            <w:tcW w:w="1384" w:type="dxa"/>
            <w:tcBorders>
              <w:top w:val="single" w:sz="4" w:space="0" w:color="auto"/>
              <w:left w:val="nil"/>
              <w:bottom w:val="nil"/>
              <w:right w:val="nil"/>
            </w:tcBorders>
            <w:shd w:val="clear" w:color="auto" w:fill="auto"/>
            <w:noWrap/>
            <w:vAlign w:val="center"/>
            <w:hideMark/>
          </w:tcPr>
          <w:p w14:paraId="0E09B465" w14:textId="77777777" w:rsidR="00503751" w:rsidRPr="00503751" w:rsidRDefault="00503751" w:rsidP="0061598F">
            <w:pPr>
              <w:rPr>
                <w:rFonts w:asciiTheme="minorHAnsi" w:hAnsiTheme="minorHAnsi" w:cstheme="minorHAnsi"/>
                <w:lang w:eastAsia="en-GB"/>
              </w:rPr>
            </w:pPr>
          </w:p>
        </w:tc>
        <w:tc>
          <w:tcPr>
            <w:tcW w:w="1033" w:type="dxa"/>
            <w:tcBorders>
              <w:top w:val="single" w:sz="4" w:space="0" w:color="auto"/>
              <w:left w:val="nil"/>
              <w:bottom w:val="nil"/>
              <w:right w:val="nil"/>
            </w:tcBorders>
            <w:shd w:val="clear" w:color="auto" w:fill="auto"/>
            <w:noWrap/>
            <w:vAlign w:val="center"/>
            <w:hideMark/>
          </w:tcPr>
          <w:p w14:paraId="255A3526" w14:textId="77777777" w:rsidR="00503751" w:rsidRPr="00503751" w:rsidRDefault="00503751" w:rsidP="0061598F">
            <w:pPr>
              <w:rPr>
                <w:rFonts w:asciiTheme="minorHAnsi" w:hAnsiTheme="minorHAnsi" w:cstheme="minorHAnsi"/>
                <w:lang w:eastAsia="en-GB"/>
              </w:rPr>
            </w:pPr>
          </w:p>
        </w:tc>
        <w:tc>
          <w:tcPr>
            <w:tcW w:w="1093" w:type="dxa"/>
            <w:tcBorders>
              <w:top w:val="single" w:sz="4" w:space="0" w:color="auto"/>
              <w:left w:val="nil"/>
              <w:bottom w:val="nil"/>
              <w:right w:val="nil"/>
            </w:tcBorders>
            <w:shd w:val="clear" w:color="auto" w:fill="auto"/>
            <w:noWrap/>
            <w:vAlign w:val="center"/>
            <w:hideMark/>
          </w:tcPr>
          <w:p w14:paraId="10B5BDF6" w14:textId="77777777" w:rsidR="00503751" w:rsidRPr="00503751" w:rsidRDefault="00503751" w:rsidP="0061598F">
            <w:pPr>
              <w:rPr>
                <w:rFonts w:asciiTheme="minorHAnsi" w:hAnsiTheme="minorHAnsi" w:cstheme="minorHAnsi"/>
                <w:lang w:eastAsia="en-GB"/>
              </w:rPr>
            </w:pPr>
          </w:p>
        </w:tc>
      </w:tr>
      <w:tr w:rsidR="00503751" w:rsidRPr="00503751" w14:paraId="4E48BFD2" w14:textId="77777777" w:rsidTr="005E3AA4">
        <w:trPr>
          <w:trHeight w:val="300"/>
          <w:jc w:val="center"/>
        </w:trPr>
        <w:tc>
          <w:tcPr>
            <w:tcW w:w="3261" w:type="dxa"/>
            <w:tcBorders>
              <w:top w:val="nil"/>
              <w:left w:val="nil"/>
              <w:bottom w:val="nil"/>
              <w:right w:val="nil"/>
            </w:tcBorders>
            <w:shd w:val="clear" w:color="auto" w:fill="auto"/>
            <w:noWrap/>
            <w:vAlign w:val="center"/>
            <w:hideMark/>
          </w:tcPr>
          <w:p w14:paraId="26D9F8DB" w14:textId="77777777" w:rsidR="00503751" w:rsidRPr="00503751" w:rsidRDefault="00503751" w:rsidP="0061598F">
            <w:pPr>
              <w:jc w:val="left"/>
              <w:rPr>
                <w:rFonts w:asciiTheme="minorHAnsi" w:hAnsiTheme="minorHAnsi" w:cstheme="minorHAnsi"/>
                <w:color w:val="000000"/>
                <w:lang w:eastAsia="en-GB"/>
              </w:rPr>
            </w:pPr>
            <w:r w:rsidRPr="00503751">
              <w:rPr>
                <w:rFonts w:asciiTheme="minorHAnsi" w:hAnsiTheme="minorHAnsi" w:cstheme="minorHAnsi"/>
                <w:color w:val="000000"/>
                <w:lang w:eastAsia="en-GB"/>
              </w:rPr>
              <w:t>Energy per appliance (kWh/a)</w:t>
            </w:r>
          </w:p>
        </w:tc>
        <w:tc>
          <w:tcPr>
            <w:tcW w:w="1275" w:type="dxa"/>
            <w:tcBorders>
              <w:top w:val="nil"/>
              <w:left w:val="nil"/>
              <w:bottom w:val="nil"/>
              <w:right w:val="nil"/>
            </w:tcBorders>
            <w:shd w:val="clear" w:color="auto" w:fill="auto"/>
            <w:noWrap/>
            <w:vAlign w:val="center"/>
            <w:hideMark/>
          </w:tcPr>
          <w:p w14:paraId="132CBB15" w14:textId="77777777" w:rsidR="00503751" w:rsidRPr="00503751" w:rsidRDefault="00503751" w:rsidP="0061598F">
            <w:pPr>
              <w:tabs>
                <w:tab w:val="decimal" w:pos="585"/>
              </w:tabs>
              <w:rPr>
                <w:rFonts w:asciiTheme="minorHAnsi" w:hAnsiTheme="minorHAnsi" w:cstheme="minorHAnsi"/>
                <w:color w:val="000000"/>
                <w:lang w:eastAsia="en-GB"/>
              </w:rPr>
            </w:pPr>
            <w:r w:rsidRPr="00503751">
              <w:rPr>
                <w:rFonts w:asciiTheme="minorHAnsi" w:hAnsiTheme="minorHAnsi" w:cstheme="minorHAnsi"/>
                <w:color w:val="000000"/>
                <w:lang w:eastAsia="en-GB"/>
              </w:rPr>
              <w:t>416</w:t>
            </w:r>
          </w:p>
        </w:tc>
        <w:tc>
          <w:tcPr>
            <w:tcW w:w="1276" w:type="dxa"/>
            <w:tcBorders>
              <w:top w:val="nil"/>
              <w:left w:val="nil"/>
              <w:bottom w:val="nil"/>
              <w:right w:val="nil"/>
            </w:tcBorders>
            <w:shd w:val="clear" w:color="auto" w:fill="auto"/>
            <w:noWrap/>
            <w:vAlign w:val="center"/>
            <w:hideMark/>
          </w:tcPr>
          <w:p w14:paraId="3611E015" w14:textId="77777777" w:rsidR="00503751" w:rsidRPr="00503751" w:rsidRDefault="00503751" w:rsidP="0061598F">
            <w:pPr>
              <w:tabs>
                <w:tab w:val="decimal" w:pos="585"/>
              </w:tabs>
              <w:rPr>
                <w:rFonts w:asciiTheme="minorHAnsi" w:hAnsiTheme="minorHAnsi" w:cstheme="minorHAnsi"/>
                <w:color w:val="000000"/>
                <w:lang w:eastAsia="en-GB"/>
              </w:rPr>
            </w:pPr>
            <w:r w:rsidRPr="00503751">
              <w:rPr>
                <w:rFonts w:asciiTheme="minorHAnsi" w:hAnsiTheme="minorHAnsi" w:cstheme="minorHAnsi"/>
                <w:color w:val="000000"/>
                <w:lang w:eastAsia="en-GB"/>
              </w:rPr>
              <w:t>376</w:t>
            </w:r>
          </w:p>
        </w:tc>
        <w:tc>
          <w:tcPr>
            <w:tcW w:w="1384" w:type="dxa"/>
            <w:tcBorders>
              <w:top w:val="nil"/>
              <w:left w:val="nil"/>
              <w:bottom w:val="nil"/>
              <w:right w:val="nil"/>
            </w:tcBorders>
            <w:shd w:val="clear" w:color="auto" w:fill="auto"/>
            <w:noWrap/>
            <w:vAlign w:val="center"/>
            <w:hideMark/>
          </w:tcPr>
          <w:p w14:paraId="66CE5C18" w14:textId="77777777" w:rsidR="00503751" w:rsidRPr="00503751" w:rsidRDefault="00503751" w:rsidP="0061598F">
            <w:pPr>
              <w:tabs>
                <w:tab w:val="decimal" w:pos="585"/>
              </w:tabs>
              <w:rPr>
                <w:rFonts w:asciiTheme="minorHAnsi" w:hAnsiTheme="minorHAnsi" w:cstheme="minorHAnsi"/>
                <w:color w:val="000000"/>
                <w:lang w:eastAsia="en-GB"/>
              </w:rPr>
            </w:pPr>
            <w:r w:rsidRPr="00503751">
              <w:rPr>
                <w:rFonts w:asciiTheme="minorHAnsi" w:hAnsiTheme="minorHAnsi" w:cstheme="minorHAnsi"/>
                <w:color w:val="000000"/>
                <w:lang w:eastAsia="en-GB"/>
              </w:rPr>
              <w:t>185</w:t>
            </w:r>
          </w:p>
        </w:tc>
        <w:tc>
          <w:tcPr>
            <w:tcW w:w="1033" w:type="dxa"/>
            <w:tcBorders>
              <w:top w:val="nil"/>
              <w:left w:val="nil"/>
              <w:bottom w:val="nil"/>
              <w:right w:val="nil"/>
            </w:tcBorders>
            <w:shd w:val="clear" w:color="auto" w:fill="auto"/>
            <w:noWrap/>
            <w:vAlign w:val="center"/>
            <w:hideMark/>
          </w:tcPr>
          <w:p w14:paraId="15AFF617" w14:textId="77777777" w:rsidR="00503751" w:rsidRPr="00503751" w:rsidRDefault="00503751" w:rsidP="0061598F">
            <w:pPr>
              <w:tabs>
                <w:tab w:val="decimal" w:pos="585"/>
              </w:tabs>
              <w:rPr>
                <w:rFonts w:asciiTheme="minorHAnsi" w:hAnsiTheme="minorHAnsi" w:cstheme="minorHAnsi"/>
                <w:color w:val="000000"/>
                <w:lang w:eastAsia="en-GB"/>
              </w:rPr>
            </w:pPr>
            <w:r w:rsidRPr="00503751">
              <w:rPr>
                <w:rFonts w:asciiTheme="minorHAnsi" w:hAnsiTheme="minorHAnsi" w:cstheme="minorHAnsi"/>
                <w:color w:val="000000"/>
                <w:lang w:eastAsia="en-GB"/>
              </w:rPr>
              <w:t>316</w:t>
            </w:r>
          </w:p>
        </w:tc>
        <w:tc>
          <w:tcPr>
            <w:tcW w:w="1093" w:type="dxa"/>
            <w:tcBorders>
              <w:top w:val="nil"/>
              <w:left w:val="nil"/>
              <w:bottom w:val="nil"/>
              <w:right w:val="nil"/>
            </w:tcBorders>
            <w:shd w:val="clear" w:color="auto" w:fill="auto"/>
            <w:noWrap/>
            <w:vAlign w:val="center"/>
            <w:hideMark/>
          </w:tcPr>
          <w:p w14:paraId="1A807D04" w14:textId="77777777" w:rsidR="00503751" w:rsidRPr="00503751" w:rsidRDefault="00503751" w:rsidP="0061598F">
            <w:pPr>
              <w:tabs>
                <w:tab w:val="decimal" w:pos="554"/>
              </w:tabs>
              <w:rPr>
                <w:rFonts w:asciiTheme="minorHAnsi" w:hAnsiTheme="minorHAnsi" w:cstheme="minorHAnsi"/>
                <w:color w:val="000000"/>
                <w:lang w:eastAsia="en-GB"/>
              </w:rPr>
            </w:pPr>
            <w:r w:rsidRPr="00503751">
              <w:rPr>
                <w:rFonts w:asciiTheme="minorHAnsi" w:hAnsiTheme="minorHAnsi" w:cstheme="minorHAnsi"/>
                <w:color w:val="000000"/>
                <w:lang w:eastAsia="en-GB"/>
              </w:rPr>
              <w:t>329</w:t>
            </w:r>
          </w:p>
        </w:tc>
      </w:tr>
      <w:tr w:rsidR="00503751" w:rsidRPr="00503751" w14:paraId="6D671FAB" w14:textId="77777777" w:rsidTr="005E3AA4">
        <w:trPr>
          <w:trHeight w:val="300"/>
          <w:jc w:val="center"/>
        </w:trPr>
        <w:tc>
          <w:tcPr>
            <w:tcW w:w="3261" w:type="dxa"/>
            <w:tcBorders>
              <w:top w:val="nil"/>
              <w:left w:val="nil"/>
              <w:bottom w:val="single" w:sz="4" w:space="0" w:color="auto"/>
              <w:right w:val="nil"/>
            </w:tcBorders>
            <w:shd w:val="clear" w:color="auto" w:fill="auto"/>
            <w:noWrap/>
            <w:vAlign w:val="center"/>
            <w:hideMark/>
          </w:tcPr>
          <w:p w14:paraId="57F3AC10" w14:textId="77777777" w:rsidR="00503751" w:rsidRPr="00503751" w:rsidRDefault="00503751" w:rsidP="0061598F">
            <w:pPr>
              <w:jc w:val="left"/>
              <w:rPr>
                <w:rFonts w:asciiTheme="minorHAnsi" w:hAnsiTheme="minorHAnsi" w:cstheme="minorHAnsi"/>
                <w:color w:val="000000"/>
                <w:lang w:eastAsia="en-GB"/>
              </w:rPr>
            </w:pPr>
            <w:r w:rsidRPr="00503751">
              <w:rPr>
                <w:rFonts w:asciiTheme="minorHAnsi" w:hAnsiTheme="minorHAnsi" w:cstheme="minorHAnsi"/>
                <w:color w:val="000000"/>
                <w:lang w:eastAsia="en-GB"/>
              </w:rPr>
              <w:t>Proportion of each appliance (%)</w:t>
            </w:r>
          </w:p>
        </w:tc>
        <w:tc>
          <w:tcPr>
            <w:tcW w:w="1275" w:type="dxa"/>
            <w:tcBorders>
              <w:top w:val="nil"/>
              <w:left w:val="nil"/>
              <w:bottom w:val="single" w:sz="4" w:space="0" w:color="auto"/>
              <w:right w:val="nil"/>
            </w:tcBorders>
            <w:shd w:val="clear" w:color="auto" w:fill="auto"/>
            <w:noWrap/>
            <w:vAlign w:val="center"/>
            <w:hideMark/>
          </w:tcPr>
          <w:p w14:paraId="3A1CB44F" w14:textId="77777777" w:rsidR="00503751" w:rsidRPr="00503751" w:rsidRDefault="00503751" w:rsidP="0061598F">
            <w:pPr>
              <w:tabs>
                <w:tab w:val="decimal" w:pos="585"/>
              </w:tabs>
              <w:rPr>
                <w:rFonts w:asciiTheme="minorHAnsi" w:hAnsiTheme="minorHAnsi" w:cstheme="minorHAnsi"/>
                <w:color w:val="000000"/>
                <w:lang w:eastAsia="en-GB"/>
              </w:rPr>
            </w:pPr>
            <w:r w:rsidRPr="00503751">
              <w:rPr>
                <w:rFonts w:asciiTheme="minorHAnsi" w:hAnsiTheme="minorHAnsi" w:cstheme="minorHAnsi"/>
                <w:color w:val="000000"/>
                <w:lang w:eastAsia="en-GB"/>
              </w:rPr>
              <w:t>12%</w:t>
            </w:r>
          </w:p>
        </w:tc>
        <w:tc>
          <w:tcPr>
            <w:tcW w:w="1276" w:type="dxa"/>
            <w:tcBorders>
              <w:top w:val="nil"/>
              <w:left w:val="nil"/>
              <w:bottom w:val="single" w:sz="4" w:space="0" w:color="auto"/>
              <w:right w:val="nil"/>
            </w:tcBorders>
            <w:shd w:val="clear" w:color="auto" w:fill="auto"/>
            <w:noWrap/>
            <w:vAlign w:val="center"/>
            <w:hideMark/>
          </w:tcPr>
          <w:p w14:paraId="7A3E1403" w14:textId="77777777" w:rsidR="00503751" w:rsidRPr="00503751" w:rsidRDefault="00503751" w:rsidP="0061598F">
            <w:pPr>
              <w:tabs>
                <w:tab w:val="decimal" w:pos="585"/>
              </w:tabs>
              <w:rPr>
                <w:rFonts w:asciiTheme="minorHAnsi" w:hAnsiTheme="minorHAnsi" w:cstheme="minorHAnsi"/>
                <w:color w:val="000000"/>
                <w:lang w:eastAsia="en-GB"/>
              </w:rPr>
            </w:pPr>
            <w:r w:rsidRPr="00503751">
              <w:rPr>
                <w:rFonts w:asciiTheme="minorHAnsi" w:hAnsiTheme="minorHAnsi" w:cstheme="minorHAnsi"/>
                <w:color w:val="000000"/>
                <w:lang w:eastAsia="en-GB"/>
              </w:rPr>
              <w:t>47%</w:t>
            </w:r>
          </w:p>
        </w:tc>
        <w:tc>
          <w:tcPr>
            <w:tcW w:w="1384" w:type="dxa"/>
            <w:tcBorders>
              <w:top w:val="nil"/>
              <w:left w:val="nil"/>
              <w:bottom w:val="single" w:sz="4" w:space="0" w:color="auto"/>
              <w:right w:val="nil"/>
            </w:tcBorders>
            <w:shd w:val="clear" w:color="auto" w:fill="auto"/>
            <w:noWrap/>
            <w:vAlign w:val="center"/>
            <w:hideMark/>
          </w:tcPr>
          <w:p w14:paraId="3A92A4B6" w14:textId="77777777" w:rsidR="00503751" w:rsidRPr="00503751" w:rsidRDefault="00503751" w:rsidP="0061598F">
            <w:pPr>
              <w:tabs>
                <w:tab w:val="decimal" w:pos="585"/>
              </w:tabs>
              <w:rPr>
                <w:rFonts w:asciiTheme="minorHAnsi" w:hAnsiTheme="minorHAnsi" w:cstheme="minorHAnsi"/>
                <w:color w:val="000000"/>
                <w:lang w:eastAsia="en-GB"/>
              </w:rPr>
            </w:pPr>
            <w:r w:rsidRPr="00503751">
              <w:rPr>
                <w:rFonts w:asciiTheme="minorHAnsi" w:hAnsiTheme="minorHAnsi" w:cstheme="minorHAnsi"/>
                <w:color w:val="000000"/>
                <w:lang w:eastAsia="en-GB"/>
              </w:rPr>
              <w:t>21%</w:t>
            </w:r>
          </w:p>
        </w:tc>
        <w:tc>
          <w:tcPr>
            <w:tcW w:w="1033" w:type="dxa"/>
            <w:tcBorders>
              <w:top w:val="nil"/>
              <w:left w:val="nil"/>
              <w:bottom w:val="single" w:sz="4" w:space="0" w:color="auto"/>
              <w:right w:val="nil"/>
            </w:tcBorders>
            <w:shd w:val="clear" w:color="auto" w:fill="auto"/>
            <w:noWrap/>
            <w:vAlign w:val="center"/>
            <w:hideMark/>
          </w:tcPr>
          <w:p w14:paraId="26C5AA11" w14:textId="77777777" w:rsidR="00503751" w:rsidRPr="00503751" w:rsidRDefault="00503751" w:rsidP="0061598F">
            <w:pPr>
              <w:tabs>
                <w:tab w:val="decimal" w:pos="585"/>
              </w:tabs>
              <w:rPr>
                <w:rFonts w:asciiTheme="minorHAnsi" w:hAnsiTheme="minorHAnsi" w:cstheme="minorHAnsi"/>
                <w:color w:val="000000"/>
                <w:lang w:eastAsia="en-GB"/>
              </w:rPr>
            </w:pPr>
            <w:r w:rsidRPr="00503751">
              <w:rPr>
                <w:rFonts w:asciiTheme="minorHAnsi" w:hAnsiTheme="minorHAnsi" w:cstheme="minorHAnsi"/>
                <w:color w:val="000000"/>
                <w:lang w:eastAsia="en-GB"/>
              </w:rPr>
              <w:t>20%</w:t>
            </w:r>
          </w:p>
        </w:tc>
        <w:tc>
          <w:tcPr>
            <w:tcW w:w="1093" w:type="dxa"/>
            <w:tcBorders>
              <w:top w:val="nil"/>
              <w:left w:val="nil"/>
              <w:bottom w:val="single" w:sz="4" w:space="0" w:color="auto"/>
              <w:right w:val="nil"/>
            </w:tcBorders>
            <w:shd w:val="clear" w:color="auto" w:fill="auto"/>
            <w:noWrap/>
            <w:vAlign w:val="center"/>
            <w:hideMark/>
          </w:tcPr>
          <w:p w14:paraId="081A20C0" w14:textId="77777777" w:rsidR="00503751" w:rsidRPr="00503751" w:rsidRDefault="00503751" w:rsidP="0061598F">
            <w:pPr>
              <w:tabs>
                <w:tab w:val="decimal" w:pos="412"/>
                <w:tab w:val="decimal" w:pos="585"/>
              </w:tabs>
              <w:rPr>
                <w:rFonts w:asciiTheme="minorHAnsi" w:hAnsiTheme="minorHAnsi" w:cstheme="minorHAnsi"/>
                <w:color w:val="000000"/>
                <w:lang w:eastAsia="en-GB"/>
              </w:rPr>
            </w:pPr>
          </w:p>
        </w:tc>
      </w:tr>
      <w:tr w:rsidR="00503751" w:rsidRPr="00503751" w14:paraId="4B7E2C31" w14:textId="77777777" w:rsidTr="005E3AA4">
        <w:trPr>
          <w:trHeight w:val="300"/>
          <w:jc w:val="center"/>
        </w:trPr>
        <w:tc>
          <w:tcPr>
            <w:tcW w:w="4536" w:type="dxa"/>
            <w:gridSpan w:val="2"/>
            <w:tcBorders>
              <w:top w:val="single" w:sz="4" w:space="0" w:color="auto"/>
              <w:left w:val="nil"/>
              <w:bottom w:val="nil"/>
              <w:right w:val="nil"/>
            </w:tcBorders>
            <w:shd w:val="clear" w:color="auto" w:fill="auto"/>
            <w:noWrap/>
            <w:vAlign w:val="center"/>
            <w:hideMark/>
          </w:tcPr>
          <w:p w14:paraId="2836CC9F" w14:textId="77777777" w:rsidR="00503751" w:rsidRPr="00503751" w:rsidRDefault="00503751" w:rsidP="0061598F">
            <w:pPr>
              <w:jc w:val="left"/>
              <w:rPr>
                <w:rFonts w:asciiTheme="minorHAnsi" w:hAnsiTheme="minorHAnsi" w:cstheme="minorHAnsi"/>
                <w:b/>
                <w:bCs/>
                <w:color w:val="000000"/>
                <w:lang w:eastAsia="en-GB"/>
              </w:rPr>
            </w:pPr>
            <w:proofErr w:type="spellStart"/>
            <w:r w:rsidRPr="00503751">
              <w:rPr>
                <w:rFonts w:asciiTheme="minorHAnsi" w:hAnsiTheme="minorHAnsi" w:cstheme="minorHAnsi"/>
                <w:b/>
                <w:bCs/>
                <w:color w:val="000000"/>
                <w:lang w:eastAsia="en-GB"/>
              </w:rPr>
              <w:t>Biglia</w:t>
            </w:r>
            <w:proofErr w:type="spellEnd"/>
            <w:r w:rsidRPr="00503751">
              <w:rPr>
                <w:rFonts w:asciiTheme="minorHAnsi" w:hAnsiTheme="minorHAnsi" w:cstheme="minorHAnsi"/>
                <w:b/>
                <w:bCs/>
                <w:color w:val="000000"/>
                <w:lang w:eastAsia="en-GB"/>
              </w:rPr>
              <w:t xml:space="preserve"> et al.</w:t>
            </w:r>
          </w:p>
        </w:tc>
        <w:tc>
          <w:tcPr>
            <w:tcW w:w="1276" w:type="dxa"/>
            <w:tcBorders>
              <w:top w:val="single" w:sz="4" w:space="0" w:color="auto"/>
              <w:left w:val="nil"/>
              <w:bottom w:val="nil"/>
              <w:right w:val="nil"/>
            </w:tcBorders>
            <w:shd w:val="clear" w:color="auto" w:fill="auto"/>
            <w:noWrap/>
            <w:vAlign w:val="center"/>
            <w:hideMark/>
          </w:tcPr>
          <w:p w14:paraId="5954C002" w14:textId="77777777" w:rsidR="00503751" w:rsidRPr="00503751" w:rsidRDefault="00503751" w:rsidP="0061598F">
            <w:pPr>
              <w:jc w:val="left"/>
              <w:rPr>
                <w:rFonts w:asciiTheme="minorHAnsi" w:hAnsiTheme="minorHAnsi" w:cstheme="minorHAnsi"/>
                <w:color w:val="000000"/>
                <w:lang w:eastAsia="en-GB"/>
              </w:rPr>
            </w:pPr>
          </w:p>
        </w:tc>
        <w:tc>
          <w:tcPr>
            <w:tcW w:w="1384" w:type="dxa"/>
            <w:tcBorders>
              <w:top w:val="single" w:sz="4" w:space="0" w:color="auto"/>
              <w:left w:val="nil"/>
              <w:bottom w:val="nil"/>
              <w:right w:val="nil"/>
            </w:tcBorders>
            <w:shd w:val="clear" w:color="auto" w:fill="auto"/>
            <w:noWrap/>
            <w:vAlign w:val="center"/>
            <w:hideMark/>
          </w:tcPr>
          <w:p w14:paraId="2356FB2C" w14:textId="77777777" w:rsidR="00503751" w:rsidRPr="00503751" w:rsidRDefault="00503751" w:rsidP="0061598F">
            <w:pPr>
              <w:rPr>
                <w:rFonts w:asciiTheme="minorHAnsi" w:hAnsiTheme="minorHAnsi" w:cstheme="minorHAnsi"/>
                <w:lang w:eastAsia="en-GB"/>
              </w:rPr>
            </w:pPr>
          </w:p>
        </w:tc>
        <w:tc>
          <w:tcPr>
            <w:tcW w:w="1033" w:type="dxa"/>
            <w:tcBorders>
              <w:top w:val="single" w:sz="4" w:space="0" w:color="auto"/>
              <w:left w:val="nil"/>
              <w:bottom w:val="nil"/>
              <w:right w:val="nil"/>
            </w:tcBorders>
            <w:shd w:val="clear" w:color="auto" w:fill="auto"/>
            <w:noWrap/>
            <w:vAlign w:val="center"/>
            <w:hideMark/>
          </w:tcPr>
          <w:p w14:paraId="5AEE96C8" w14:textId="77777777" w:rsidR="00503751" w:rsidRPr="00503751" w:rsidRDefault="00503751" w:rsidP="0061598F">
            <w:pPr>
              <w:rPr>
                <w:rFonts w:asciiTheme="minorHAnsi" w:hAnsiTheme="minorHAnsi" w:cstheme="minorHAnsi"/>
                <w:lang w:eastAsia="en-GB"/>
              </w:rPr>
            </w:pPr>
          </w:p>
        </w:tc>
        <w:tc>
          <w:tcPr>
            <w:tcW w:w="1093" w:type="dxa"/>
            <w:tcBorders>
              <w:top w:val="single" w:sz="4" w:space="0" w:color="auto"/>
              <w:left w:val="nil"/>
              <w:bottom w:val="nil"/>
              <w:right w:val="nil"/>
            </w:tcBorders>
            <w:shd w:val="clear" w:color="auto" w:fill="auto"/>
            <w:noWrap/>
            <w:vAlign w:val="center"/>
            <w:hideMark/>
          </w:tcPr>
          <w:p w14:paraId="0E1B61A8" w14:textId="77777777" w:rsidR="00503751" w:rsidRPr="00503751" w:rsidRDefault="00503751" w:rsidP="0061598F">
            <w:pPr>
              <w:rPr>
                <w:rFonts w:asciiTheme="minorHAnsi" w:hAnsiTheme="minorHAnsi" w:cstheme="minorHAnsi"/>
                <w:lang w:eastAsia="en-GB"/>
              </w:rPr>
            </w:pPr>
          </w:p>
        </w:tc>
      </w:tr>
      <w:tr w:rsidR="00503751" w:rsidRPr="00503751" w14:paraId="01641C01" w14:textId="77777777" w:rsidTr="005E3AA4">
        <w:trPr>
          <w:trHeight w:val="300"/>
          <w:jc w:val="center"/>
        </w:trPr>
        <w:tc>
          <w:tcPr>
            <w:tcW w:w="3261" w:type="dxa"/>
            <w:tcBorders>
              <w:top w:val="nil"/>
              <w:left w:val="nil"/>
              <w:bottom w:val="nil"/>
              <w:right w:val="nil"/>
            </w:tcBorders>
            <w:shd w:val="clear" w:color="auto" w:fill="auto"/>
            <w:noWrap/>
            <w:vAlign w:val="center"/>
            <w:hideMark/>
          </w:tcPr>
          <w:p w14:paraId="42723C8D" w14:textId="77777777" w:rsidR="00503751" w:rsidRPr="00503751" w:rsidRDefault="00503751" w:rsidP="0061598F">
            <w:pPr>
              <w:jc w:val="left"/>
              <w:rPr>
                <w:rFonts w:asciiTheme="minorHAnsi" w:hAnsiTheme="minorHAnsi" w:cstheme="minorHAnsi"/>
                <w:color w:val="000000"/>
                <w:lang w:eastAsia="en-GB"/>
              </w:rPr>
            </w:pPr>
            <w:r w:rsidRPr="00503751">
              <w:rPr>
                <w:rFonts w:asciiTheme="minorHAnsi" w:hAnsiTheme="minorHAnsi" w:cstheme="minorHAnsi"/>
                <w:color w:val="000000"/>
                <w:lang w:eastAsia="en-GB"/>
              </w:rPr>
              <w:t>Energy per appliance (kWh/a)</w:t>
            </w:r>
          </w:p>
        </w:tc>
        <w:tc>
          <w:tcPr>
            <w:tcW w:w="1275" w:type="dxa"/>
            <w:tcBorders>
              <w:top w:val="nil"/>
              <w:left w:val="nil"/>
              <w:bottom w:val="nil"/>
              <w:right w:val="nil"/>
            </w:tcBorders>
            <w:shd w:val="clear" w:color="auto" w:fill="auto"/>
            <w:noWrap/>
            <w:vAlign w:val="center"/>
            <w:hideMark/>
          </w:tcPr>
          <w:p w14:paraId="3389C484"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420</w:t>
            </w:r>
          </w:p>
        </w:tc>
        <w:tc>
          <w:tcPr>
            <w:tcW w:w="1276" w:type="dxa"/>
            <w:tcBorders>
              <w:top w:val="nil"/>
              <w:left w:val="nil"/>
              <w:bottom w:val="nil"/>
              <w:right w:val="nil"/>
            </w:tcBorders>
            <w:shd w:val="clear" w:color="auto" w:fill="auto"/>
            <w:noWrap/>
            <w:vAlign w:val="center"/>
            <w:hideMark/>
          </w:tcPr>
          <w:p w14:paraId="4744C6E2"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390</w:t>
            </w:r>
          </w:p>
        </w:tc>
        <w:tc>
          <w:tcPr>
            <w:tcW w:w="1384" w:type="dxa"/>
            <w:tcBorders>
              <w:top w:val="nil"/>
              <w:left w:val="nil"/>
              <w:bottom w:val="nil"/>
              <w:right w:val="nil"/>
            </w:tcBorders>
            <w:shd w:val="clear" w:color="auto" w:fill="auto"/>
            <w:noWrap/>
            <w:vAlign w:val="center"/>
            <w:hideMark/>
          </w:tcPr>
          <w:p w14:paraId="348E9828"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274</w:t>
            </w:r>
          </w:p>
        </w:tc>
        <w:tc>
          <w:tcPr>
            <w:tcW w:w="1033" w:type="dxa"/>
            <w:tcBorders>
              <w:top w:val="nil"/>
              <w:left w:val="nil"/>
              <w:bottom w:val="nil"/>
              <w:right w:val="nil"/>
            </w:tcBorders>
            <w:shd w:val="clear" w:color="auto" w:fill="auto"/>
            <w:noWrap/>
            <w:vAlign w:val="center"/>
            <w:hideMark/>
          </w:tcPr>
          <w:p w14:paraId="5D6FF804"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342</w:t>
            </w:r>
          </w:p>
        </w:tc>
        <w:tc>
          <w:tcPr>
            <w:tcW w:w="1093" w:type="dxa"/>
            <w:tcBorders>
              <w:top w:val="nil"/>
              <w:left w:val="nil"/>
              <w:bottom w:val="nil"/>
              <w:right w:val="nil"/>
            </w:tcBorders>
            <w:shd w:val="clear" w:color="auto" w:fill="auto"/>
            <w:noWrap/>
            <w:vAlign w:val="center"/>
            <w:hideMark/>
          </w:tcPr>
          <w:p w14:paraId="2B8AA837"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360</w:t>
            </w:r>
          </w:p>
        </w:tc>
      </w:tr>
      <w:tr w:rsidR="00503751" w:rsidRPr="00503751" w14:paraId="4D278729" w14:textId="77777777" w:rsidTr="005E3AA4">
        <w:trPr>
          <w:trHeight w:val="300"/>
          <w:jc w:val="center"/>
        </w:trPr>
        <w:tc>
          <w:tcPr>
            <w:tcW w:w="3261" w:type="dxa"/>
            <w:tcBorders>
              <w:top w:val="nil"/>
              <w:left w:val="nil"/>
              <w:bottom w:val="single" w:sz="4" w:space="0" w:color="auto"/>
              <w:right w:val="nil"/>
            </w:tcBorders>
            <w:shd w:val="clear" w:color="auto" w:fill="auto"/>
            <w:noWrap/>
            <w:vAlign w:val="center"/>
            <w:hideMark/>
          </w:tcPr>
          <w:p w14:paraId="7892F38E" w14:textId="77777777" w:rsidR="00503751" w:rsidRPr="00503751" w:rsidRDefault="00503751" w:rsidP="0061598F">
            <w:pPr>
              <w:jc w:val="left"/>
              <w:rPr>
                <w:rFonts w:asciiTheme="minorHAnsi" w:hAnsiTheme="minorHAnsi" w:cstheme="minorHAnsi"/>
                <w:color w:val="000000"/>
                <w:lang w:eastAsia="en-GB"/>
              </w:rPr>
            </w:pPr>
            <w:r w:rsidRPr="00503751">
              <w:rPr>
                <w:rFonts w:asciiTheme="minorHAnsi" w:hAnsiTheme="minorHAnsi" w:cstheme="minorHAnsi"/>
                <w:color w:val="000000"/>
                <w:lang w:eastAsia="en-GB"/>
              </w:rPr>
              <w:t>Proportion of each appliance (%)</w:t>
            </w:r>
          </w:p>
        </w:tc>
        <w:tc>
          <w:tcPr>
            <w:tcW w:w="1275" w:type="dxa"/>
            <w:tcBorders>
              <w:top w:val="nil"/>
              <w:left w:val="nil"/>
              <w:bottom w:val="single" w:sz="4" w:space="0" w:color="auto"/>
              <w:right w:val="nil"/>
            </w:tcBorders>
            <w:shd w:val="clear" w:color="auto" w:fill="auto"/>
            <w:noWrap/>
            <w:vAlign w:val="center"/>
            <w:hideMark/>
          </w:tcPr>
          <w:p w14:paraId="38967A56"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9%</w:t>
            </w:r>
          </w:p>
        </w:tc>
        <w:tc>
          <w:tcPr>
            <w:tcW w:w="1276" w:type="dxa"/>
            <w:tcBorders>
              <w:top w:val="nil"/>
              <w:left w:val="nil"/>
              <w:bottom w:val="single" w:sz="4" w:space="0" w:color="auto"/>
              <w:right w:val="nil"/>
            </w:tcBorders>
            <w:shd w:val="clear" w:color="auto" w:fill="auto"/>
            <w:noWrap/>
            <w:vAlign w:val="center"/>
            <w:hideMark/>
          </w:tcPr>
          <w:p w14:paraId="7FDFFBE5"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52%</w:t>
            </w:r>
          </w:p>
        </w:tc>
        <w:tc>
          <w:tcPr>
            <w:tcW w:w="1384" w:type="dxa"/>
            <w:tcBorders>
              <w:top w:val="nil"/>
              <w:left w:val="nil"/>
              <w:bottom w:val="single" w:sz="4" w:space="0" w:color="auto"/>
              <w:right w:val="nil"/>
            </w:tcBorders>
            <w:shd w:val="clear" w:color="auto" w:fill="auto"/>
            <w:noWrap/>
            <w:vAlign w:val="center"/>
            <w:hideMark/>
          </w:tcPr>
          <w:p w14:paraId="4ECF8B68"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20%</w:t>
            </w:r>
          </w:p>
        </w:tc>
        <w:tc>
          <w:tcPr>
            <w:tcW w:w="1033" w:type="dxa"/>
            <w:tcBorders>
              <w:top w:val="nil"/>
              <w:left w:val="nil"/>
              <w:bottom w:val="single" w:sz="4" w:space="0" w:color="auto"/>
              <w:right w:val="nil"/>
            </w:tcBorders>
            <w:shd w:val="clear" w:color="auto" w:fill="auto"/>
            <w:noWrap/>
            <w:vAlign w:val="center"/>
            <w:hideMark/>
          </w:tcPr>
          <w:p w14:paraId="0B240181"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19%</w:t>
            </w:r>
          </w:p>
        </w:tc>
        <w:tc>
          <w:tcPr>
            <w:tcW w:w="1093" w:type="dxa"/>
            <w:tcBorders>
              <w:top w:val="nil"/>
              <w:left w:val="nil"/>
              <w:bottom w:val="single" w:sz="4" w:space="0" w:color="auto"/>
              <w:right w:val="nil"/>
            </w:tcBorders>
            <w:shd w:val="clear" w:color="auto" w:fill="auto"/>
            <w:noWrap/>
            <w:vAlign w:val="center"/>
            <w:hideMark/>
          </w:tcPr>
          <w:p w14:paraId="7F5A7AD7" w14:textId="77777777" w:rsidR="00503751" w:rsidRPr="00503751" w:rsidRDefault="00503751" w:rsidP="0061598F">
            <w:pPr>
              <w:tabs>
                <w:tab w:val="decimal" w:pos="412"/>
                <w:tab w:val="decimal" w:pos="585"/>
              </w:tabs>
              <w:jc w:val="left"/>
              <w:rPr>
                <w:rFonts w:asciiTheme="minorHAnsi" w:hAnsiTheme="minorHAnsi" w:cstheme="minorHAnsi"/>
                <w:color w:val="000000"/>
                <w:lang w:eastAsia="en-GB"/>
              </w:rPr>
            </w:pPr>
          </w:p>
        </w:tc>
      </w:tr>
      <w:tr w:rsidR="00503751" w:rsidRPr="00503751" w14:paraId="537B374B" w14:textId="77777777" w:rsidTr="005E3AA4">
        <w:trPr>
          <w:trHeight w:val="300"/>
          <w:jc w:val="center"/>
        </w:trPr>
        <w:tc>
          <w:tcPr>
            <w:tcW w:w="3261" w:type="dxa"/>
            <w:tcBorders>
              <w:top w:val="single" w:sz="4" w:space="0" w:color="auto"/>
              <w:left w:val="nil"/>
              <w:bottom w:val="nil"/>
              <w:right w:val="nil"/>
            </w:tcBorders>
            <w:shd w:val="clear" w:color="auto" w:fill="auto"/>
            <w:noWrap/>
            <w:vAlign w:val="center"/>
          </w:tcPr>
          <w:p w14:paraId="00790FE2" w14:textId="77777777" w:rsidR="00503751" w:rsidRPr="00923DF4" w:rsidRDefault="00503751" w:rsidP="0061598F">
            <w:pPr>
              <w:jc w:val="left"/>
              <w:rPr>
                <w:rFonts w:asciiTheme="minorHAnsi" w:hAnsiTheme="minorHAnsi" w:cstheme="minorHAnsi"/>
                <w:b/>
                <w:bCs/>
                <w:color w:val="000000"/>
                <w:lang w:eastAsia="en-GB"/>
              </w:rPr>
            </w:pPr>
            <w:r w:rsidRPr="00923DF4">
              <w:rPr>
                <w:rFonts w:asciiTheme="minorHAnsi" w:hAnsiTheme="minorHAnsi" w:cstheme="minorHAnsi"/>
                <w:b/>
                <w:bCs/>
                <w:color w:val="000000"/>
                <w:lang w:eastAsia="en-GB"/>
              </w:rPr>
              <w:t>Dupret et al.</w:t>
            </w:r>
          </w:p>
        </w:tc>
        <w:tc>
          <w:tcPr>
            <w:tcW w:w="1275" w:type="dxa"/>
            <w:tcBorders>
              <w:top w:val="single" w:sz="4" w:space="0" w:color="auto"/>
              <w:left w:val="nil"/>
              <w:bottom w:val="nil"/>
              <w:right w:val="nil"/>
            </w:tcBorders>
            <w:shd w:val="clear" w:color="auto" w:fill="auto"/>
            <w:noWrap/>
            <w:vAlign w:val="center"/>
          </w:tcPr>
          <w:p w14:paraId="3F62F85D" w14:textId="77777777" w:rsidR="00503751" w:rsidRPr="00503751" w:rsidRDefault="00503751" w:rsidP="0061598F">
            <w:pPr>
              <w:tabs>
                <w:tab w:val="decimal" w:pos="585"/>
              </w:tabs>
              <w:jc w:val="left"/>
              <w:rPr>
                <w:rFonts w:asciiTheme="minorHAnsi" w:hAnsiTheme="minorHAnsi" w:cstheme="minorHAnsi"/>
                <w:color w:val="000000"/>
                <w:lang w:eastAsia="en-GB"/>
              </w:rPr>
            </w:pPr>
          </w:p>
        </w:tc>
        <w:tc>
          <w:tcPr>
            <w:tcW w:w="1276" w:type="dxa"/>
            <w:tcBorders>
              <w:top w:val="single" w:sz="4" w:space="0" w:color="auto"/>
              <w:left w:val="nil"/>
              <w:bottom w:val="nil"/>
              <w:right w:val="nil"/>
            </w:tcBorders>
            <w:shd w:val="clear" w:color="auto" w:fill="auto"/>
            <w:noWrap/>
            <w:vAlign w:val="center"/>
          </w:tcPr>
          <w:p w14:paraId="52DEE885" w14:textId="77777777" w:rsidR="00503751" w:rsidRPr="00503751" w:rsidRDefault="00503751" w:rsidP="0061598F">
            <w:pPr>
              <w:tabs>
                <w:tab w:val="decimal" w:pos="585"/>
              </w:tabs>
              <w:jc w:val="left"/>
              <w:rPr>
                <w:rFonts w:asciiTheme="minorHAnsi" w:hAnsiTheme="minorHAnsi" w:cstheme="minorHAnsi"/>
                <w:color w:val="000000"/>
                <w:lang w:eastAsia="en-GB"/>
              </w:rPr>
            </w:pPr>
          </w:p>
        </w:tc>
        <w:tc>
          <w:tcPr>
            <w:tcW w:w="1384" w:type="dxa"/>
            <w:tcBorders>
              <w:top w:val="single" w:sz="4" w:space="0" w:color="auto"/>
              <w:left w:val="nil"/>
              <w:bottom w:val="nil"/>
              <w:right w:val="nil"/>
            </w:tcBorders>
            <w:shd w:val="clear" w:color="auto" w:fill="auto"/>
            <w:noWrap/>
            <w:vAlign w:val="center"/>
          </w:tcPr>
          <w:p w14:paraId="4C8B085D" w14:textId="77777777" w:rsidR="00503751" w:rsidRPr="00503751" w:rsidRDefault="00503751" w:rsidP="0061598F">
            <w:pPr>
              <w:tabs>
                <w:tab w:val="decimal" w:pos="585"/>
              </w:tabs>
              <w:jc w:val="left"/>
              <w:rPr>
                <w:rFonts w:asciiTheme="minorHAnsi" w:hAnsiTheme="minorHAnsi" w:cstheme="minorHAnsi"/>
                <w:color w:val="000000"/>
                <w:lang w:eastAsia="en-GB"/>
              </w:rPr>
            </w:pPr>
          </w:p>
        </w:tc>
        <w:tc>
          <w:tcPr>
            <w:tcW w:w="1033" w:type="dxa"/>
            <w:tcBorders>
              <w:top w:val="single" w:sz="4" w:space="0" w:color="auto"/>
              <w:left w:val="nil"/>
              <w:bottom w:val="nil"/>
              <w:right w:val="nil"/>
            </w:tcBorders>
            <w:shd w:val="clear" w:color="auto" w:fill="auto"/>
            <w:noWrap/>
            <w:vAlign w:val="center"/>
          </w:tcPr>
          <w:p w14:paraId="0CCCADA8" w14:textId="77777777" w:rsidR="00503751" w:rsidRPr="00503751" w:rsidRDefault="00503751" w:rsidP="0061598F">
            <w:pPr>
              <w:tabs>
                <w:tab w:val="decimal" w:pos="585"/>
              </w:tabs>
              <w:jc w:val="left"/>
              <w:rPr>
                <w:rFonts w:asciiTheme="minorHAnsi" w:hAnsiTheme="minorHAnsi" w:cstheme="minorHAnsi"/>
                <w:color w:val="000000"/>
                <w:lang w:eastAsia="en-GB"/>
              </w:rPr>
            </w:pPr>
          </w:p>
        </w:tc>
        <w:tc>
          <w:tcPr>
            <w:tcW w:w="1093" w:type="dxa"/>
            <w:tcBorders>
              <w:top w:val="single" w:sz="4" w:space="0" w:color="auto"/>
              <w:left w:val="nil"/>
              <w:bottom w:val="nil"/>
              <w:right w:val="nil"/>
            </w:tcBorders>
            <w:shd w:val="clear" w:color="auto" w:fill="auto"/>
            <w:noWrap/>
            <w:vAlign w:val="center"/>
          </w:tcPr>
          <w:p w14:paraId="232EBFA7" w14:textId="77777777" w:rsidR="00503751" w:rsidRPr="00503751" w:rsidRDefault="00503751" w:rsidP="0061598F">
            <w:pPr>
              <w:tabs>
                <w:tab w:val="decimal" w:pos="412"/>
                <w:tab w:val="decimal" w:pos="585"/>
              </w:tabs>
              <w:jc w:val="left"/>
              <w:rPr>
                <w:rFonts w:asciiTheme="minorHAnsi" w:hAnsiTheme="minorHAnsi" w:cstheme="minorHAnsi"/>
                <w:color w:val="000000"/>
                <w:lang w:eastAsia="en-GB"/>
              </w:rPr>
            </w:pPr>
          </w:p>
        </w:tc>
      </w:tr>
      <w:tr w:rsidR="00503751" w:rsidRPr="00503751" w14:paraId="04E6BAC2" w14:textId="77777777" w:rsidTr="005E3AA4">
        <w:trPr>
          <w:trHeight w:val="300"/>
          <w:jc w:val="center"/>
        </w:trPr>
        <w:tc>
          <w:tcPr>
            <w:tcW w:w="3261" w:type="dxa"/>
            <w:tcBorders>
              <w:top w:val="nil"/>
              <w:left w:val="nil"/>
              <w:bottom w:val="nil"/>
              <w:right w:val="nil"/>
            </w:tcBorders>
            <w:shd w:val="clear" w:color="auto" w:fill="auto"/>
            <w:noWrap/>
            <w:vAlign w:val="center"/>
          </w:tcPr>
          <w:p w14:paraId="390518FB" w14:textId="77777777" w:rsidR="00503751" w:rsidRPr="00503751" w:rsidRDefault="00503751" w:rsidP="0061598F">
            <w:pPr>
              <w:jc w:val="left"/>
              <w:rPr>
                <w:rFonts w:asciiTheme="minorHAnsi" w:hAnsiTheme="minorHAnsi" w:cstheme="minorHAnsi"/>
                <w:color w:val="000000"/>
                <w:lang w:eastAsia="en-GB"/>
              </w:rPr>
            </w:pPr>
            <w:r w:rsidRPr="00503751">
              <w:rPr>
                <w:rFonts w:asciiTheme="minorHAnsi" w:hAnsiTheme="minorHAnsi" w:cstheme="minorHAnsi"/>
                <w:color w:val="000000"/>
                <w:lang w:eastAsia="en-GB"/>
              </w:rPr>
              <w:t>Energy per appliance (kWh/a)</w:t>
            </w:r>
          </w:p>
        </w:tc>
        <w:tc>
          <w:tcPr>
            <w:tcW w:w="1275" w:type="dxa"/>
            <w:tcBorders>
              <w:top w:val="nil"/>
              <w:left w:val="nil"/>
              <w:bottom w:val="nil"/>
              <w:right w:val="nil"/>
            </w:tcBorders>
            <w:shd w:val="clear" w:color="auto" w:fill="auto"/>
            <w:noWrap/>
            <w:vAlign w:val="center"/>
          </w:tcPr>
          <w:p w14:paraId="139C1BC5"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354*</w:t>
            </w:r>
          </w:p>
        </w:tc>
        <w:tc>
          <w:tcPr>
            <w:tcW w:w="1276" w:type="dxa"/>
            <w:tcBorders>
              <w:top w:val="nil"/>
              <w:left w:val="nil"/>
              <w:bottom w:val="nil"/>
              <w:right w:val="nil"/>
            </w:tcBorders>
            <w:shd w:val="clear" w:color="auto" w:fill="auto"/>
            <w:noWrap/>
            <w:vAlign w:val="center"/>
          </w:tcPr>
          <w:p w14:paraId="66E20C16"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386</w:t>
            </w:r>
          </w:p>
        </w:tc>
        <w:tc>
          <w:tcPr>
            <w:tcW w:w="1384" w:type="dxa"/>
            <w:tcBorders>
              <w:top w:val="nil"/>
              <w:left w:val="nil"/>
              <w:bottom w:val="nil"/>
              <w:right w:val="nil"/>
            </w:tcBorders>
            <w:shd w:val="clear" w:color="auto" w:fill="auto"/>
            <w:noWrap/>
            <w:vAlign w:val="center"/>
          </w:tcPr>
          <w:p w14:paraId="08F698B0"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211</w:t>
            </w:r>
          </w:p>
        </w:tc>
        <w:tc>
          <w:tcPr>
            <w:tcW w:w="1033" w:type="dxa"/>
            <w:tcBorders>
              <w:top w:val="nil"/>
              <w:left w:val="nil"/>
              <w:bottom w:val="nil"/>
              <w:right w:val="nil"/>
            </w:tcBorders>
            <w:shd w:val="clear" w:color="auto" w:fill="auto"/>
            <w:noWrap/>
            <w:vAlign w:val="center"/>
          </w:tcPr>
          <w:p w14:paraId="774C529A" w14:textId="77777777" w:rsidR="00503751" w:rsidRPr="00503751" w:rsidRDefault="00503751" w:rsidP="0061598F">
            <w:pPr>
              <w:tabs>
                <w:tab w:val="decimal" w:pos="585"/>
              </w:tabs>
              <w:jc w:val="left"/>
              <w:rPr>
                <w:rFonts w:asciiTheme="minorHAnsi" w:hAnsiTheme="minorHAnsi" w:cstheme="minorHAnsi"/>
                <w:color w:val="000000"/>
                <w:lang w:eastAsia="en-GB"/>
              </w:rPr>
            </w:pPr>
            <w:r w:rsidRPr="00503751">
              <w:rPr>
                <w:rFonts w:asciiTheme="minorHAnsi" w:hAnsiTheme="minorHAnsi" w:cstheme="minorHAnsi"/>
                <w:color w:val="000000"/>
                <w:lang w:eastAsia="en-GB"/>
              </w:rPr>
              <w:t>354*</w:t>
            </w:r>
          </w:p>
        </w:tc>
        <w:tc>
          <w:tcPr>
            <w:tcW w:w="1093" w:type="dxa"/>
            <w:tcBorders>
              <w:top w:val="nil"/>
              <w:left w:val="nil"/>
              <w:bottom w:val="nil"/>
              <w:right w:val="nil"/>
            </w:tcBorders>
            <w:shd w:val="clear" w:color="auto" w:fill="auto"/>
            <w:noWrap/>
            <w:vAlign w:val="center"/>
          </w:tcPr>
          <w:p w14:paraId="4609E6C4" w14:textId="77777777" w:rsidR="00503751" w:rsidRPr="00503751" w:rsidRDefault="00503751" w:rsidP="0061598F">
            <w:pPr>
              <w:tabs>
                <w:tab w:val="decimal" w:pos="412"/>
                <w:tab w:val="decimal" w:pos="585"/>
              </w:tabs>
              <w:jc w:val="left"/>
              <w:rPr>
                <w:rFonts w:asciiTheme="minorHAnsi" w:hAnsiTheme="minorHAnsi" w:cstheme="minorHAnsi"/>
                <w:color w:val="000000"/>
                <w:lang w:eastAsia="en-GB"/>
              </w:rPr>
            </w:pPr>
          </w:p>
        </w:tc>
      </w:tr>
    </w:tbl>
    <w:p w14:paraId="757F927A" w14:textId="77777777" w:rsidR="00503751" w:rsidRDefault="00503751" w:rsidP="00593C09">
      <w:pPr>
        <w:pStyle w:val="IIR12MainText"/>
      </w:pPr>
      <w:r>
        <w:t>* Value given was for freezer, not separated into upright or chest.</w:t>
      </w:r>
    </w:p>
    <w:p w14:paraId="3A2351D9" w14:textId="6DFE9A96" w:rsidR="00503751" w:rsidRDefault="00503751" w:rsidP="00593C09">
      <w:pPr>
        <w:pStyle w:val="IIR12MainText"/>
      </w:pPr>
      <w:r>
        <w:t>The European Commission’s most recent Preparatory Study on household refrigerating appliances (VHK and ARMINES, 2016) predicted the average energy consumption of units sold over the period 2005-2030 in the EU, for different scenarios, business as usual (BAU), ambitious and lowest life cycle cost (LLCC).  The BAU scenario is the ‘realistic’ energy saving scenario as indicated in the 2007 preparatory study</w:t>
      </w:r>
      <w:r w:rsidR="008F4E0D">
        <w:t>.</w:t>
      </w:r>
      <w:r>
        <w:t xml:space="preserve">  The ambitious scenario is technically possible but requires the consumer to pay more over the </w:t>
      </w:r>
      <w:proofErr w:type="gramStart"/>
      <w:r>
        <w:t>life-time</w:t>
      </w:r>
      <w:proofErr w:type="gramEnd"/>
      <w:r>
        <w:t xml:space="preserve"> of the equipment.</w:t>
      </w:r>
    </w:p>
    <w:p w14:paraId="7807D1AA" w14:textId="018334D9" w:rsidR="00503751" w:rsidRDefault="00503751" w:rsidP="00593C09">
      <w:pPr>
        <w:pStyle w:val="IIR12MainText"/>
      </w:pPr>
      <w:r>
        <w:t xml:space="preserve">The EU total annual energy consumption </w:t>
      </w:r>
      <w:r w:rsidR="00192865">
        <w:t xml:space="preserve">from the above study </w:t>
      </w:r>
      <w:r>
        <w:t xml:space="preserve">was adjusted for the UK by using the proportion of </w:t>
      </w:r>
      <w:r w:rsidR="00192865">
        <w:t xml:space="preserve">the </w:t>
      </w:r>
      <w:r>
        <w:t xml:space="preserve">UK population compared to the EU </w:t>
      </w:r>
      <w:r w:rsidR="00192865">
        <w:t xml:space="preserve">population </w:t>
      </w:r>
      <w:r>
        <w:t>and is shown in Fig</w:t>
      </w:r>
      <w:r w:rsidR="004D50A4">
        <w:t>.</w:t>
      </w:r>
      <w:r>
        <w:t xml:space="preserve"> 2.  The</w:t>
      </w:r>
      <w:r w:rsidR="00EB1545">
        <w:t xml:space="preserve"> UK</w:t>
      </w:r>
      <w:r>
        <w:t xml:space="preserve"> </w:t>
      </w:r>
      <w:r w:rsidR="00192865">
        <w:t xml:space="preserve">Government </w:t>
      </w:r>
      <w:r>
        <w:t xml:space="preserve">projections have also been plotted on the same graph.  </w:t>
      </w:r>
      <w:proofErr w:type="gramStart"/>
      <w:r>
        <w:t>It can be seen that the</w:t>
      </w:r>
      <w:proofErr w:type="gramEnd"/>
      <w:r>
        <w:t xml:space="preserve"> </w:t>
      </w:r>
      <w:r w:rsidR="00E76CED">
        <w:t>UK</w:t>
      </w:r>
      <w:r>
        <w:t xml:space="preserve"> projections very closely match the BAU scenario up to 2030 (end date of EU projections) and it is reasonable to conclude that the </w:t>
      </w:r>
      <w:proofErr w:type="spellStart"/>
      <w:r>
        <w:t>Ecodesign</w:t>
      </w:r>
      <w:proofErr w:type="spellEnd"/>
      <w:r>
        <w:t xml:space="preserve"> data may have been used to guide the </w:t>
      </w:r>
      <w:r w:rsidR="00E76CED">
        <w:t>UK</w:t>
      </w:r>
      <w:r>
        <w:t xml:space="preserve"> projections.  The </w:t>
      </w:r>
      <w:r w:rsidR="00E76CED">
        <w:t>UK</w:t>
      </w:r>
      <w:r>
        <w:t xml:space="preserve"> projection extends beyond the </w:t>
      </w:r>
      <w:proofErr w:type="spellStart"/>
      <w:r>
        <w:t>Ecodesign</w:t>
      </w:r>
      <w:proofErr w:type="spellEnd"/>
      <w:r>
        <w:t xml:space="preserve"> projections to 2050.</w:t>
      </w:r>
    </w:p>
    <w:p w14:paraId="5F034CCF" w14:textId="7647FB81" w:rsidR="00503751" w:rsidRDefault="00503751" w:rsidP="00593C09">
      <w:pPr>
        <w:pStyle w:val="IIR12MainText"/>
      </w:pPr>
    </w:p>
    <w:p w14:paraId="4C225032" w14:textId="264DB0BE" w:rsidR="004F4A4E" w:rsidRDefault="004F4A4E" w:rsidP="00664889">
      <w:pPr>
        <w:pStyle w:val="IIR12MainText"/>
      </w:pPr>
      <w:r>
        <w:rPr>
          <w:noProof/>
        </w:rPr>
        <w:lastRenderedPageBreak/>
        <w:drawing>
          <wp:inline distT="0" distB="0" distL="0" distR="0" wp14:anchorId="0D822EB6" wp14:editId="6028338F">
            <wp:extent cx="6096000" cy="2743200"/>
            <wp:effectExtent l="0" t="0" r="0" b="0"/>
            <wp:docPr id="1467209927" name="Chart 1">
              <a:extLst xmlns:a="http://schemas.openxmlformats.org/drawingml/2006/main">
                <a:ext uri="{FF2B5EF4-FFF2-40B4-BE49-F238E27FC236}">
                  <a16:creationId xmlns:a16="http://schemas.microsoft.com/office/drawing/2014/main" id="{24FA0294-6366-4DB8-95B8-8245B7642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A68A53" w14:textId="77777777" w:rsidR="00503751" w:rsidRDefault="00503751" w:rsidP="00164CEB">
      <w:pPr>
        <w:pStyle w:val="IIR14FigureCaption"/>
        <w:jc w:val="center"/>
      </w:pPr>
      <w:r w:rsidRPr="00503751">
        <w:t>Figure 2. Total electrical energy consumption in UK according to different EU scenarios.</w:t>
      </w:r>
    </w:p>
    <w:p w14:paraId="035DFFEF" w14:textId="77777777" w:rsidR="002947DA" w:rsidRPr="00503751" w:rsidRDefault="002947DA" w:rsidP="005E3AA4">
      <w:pPr>
        <w:pStyle w:val="IIR14FigureCaption"/>
      </w:pPr>
    </w:p>
    <w:p w14:paraId="3C1565EC" w14:textId="23A52A07" w:rsidR="00503751" w:rsidRDefault="00503751" w:rsidP="00593C09">
      <w:pPr>
        <w:pStyle w:val="IIR12MainText"/>
      </w:pPr>
      <w:r>
        <w:t xml:space="preserve">The EU based projections above are based on assumptions of the average </w:t>
      </w:r>
      <w:r w:rsidR="008F4E0D">
        <w:t>AE</w:t>
      </w:r>
      <w:r>
        <w:t xml:space="preserve"> of replacement stock each year from VHK and ARMINES (2016) shown in Fig</w:t>
      </w:r>
      <w:r w:rsidR="004D50A4">
        <w:t>.</w:t>
      </w:r>
      <w:r>
        <w:t xml:space="preserve"> 3.  </w:t>
      </w:r>
    </w:p>
    <w:p w14:paraId="1BF3EB6C" w14:textId="5BD7AD06" w:rsidR="00503751" w:rsidRDefault="00503751" w:rsidP="00664889">
      <w:pPr>
        <w:pStyle w:val="IIR12MainText"/>
      </w:pPr>
      <w:r>
        <w:rPr>
          <w:noProof/>
        </w:rPr>
        <w:drawing>
          <wp:inline distT="0" distB="0" distL="0" distR="0" wp14:anchorId="602C930E" wp14:editId="003F87EC">
            <wp:extent cx="4833620" cy="2628741"/>
            <wp:effectExtent l="0" t="0" r="5080" b="63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rotWithShape="1">
                    <a:blip r:embed="rId10"/>
                    <a:srcRect l="22435" t="41046" r="34855" b="27298"/>
                    <a:stretch/>
                  </pic:blipFill>
                  <pic:spPr bwMode="auto">
                    <a:xfrm>
                      <a:off x="0" y="0"/>
                      <a:ext cx="4845508" cy="2635206"/>
                    </a:xfrm>
                    <a:prstGeom prst="rect">
                      <a:avLst/>
                    </a:prstGeom>
                    <a:ln>
                      <a:noFill/>
                    </a:ln>
                    <a:extLst>
                      <a:ext uri="{53640926-AAD7-44D8-BBD7-CCE9431645EC}">
                        <a14:shadowObscured xmlns:a14="http://schemas.microsoft.com/office/drawing/2010/main"/>
                      </a:ext>
                    </a:extLst>
                  </pic:spPr>
                </pic:pic>
              </a:graphicData>
            </a:graphic>
          </wp:inline>
        </w:drawing>
      </w:r>
    </w:p>
    <w:p w14:paraId="779B5C28" w14:textId="7B17D7F7" w:rsidR="00503751" w:rsidRDefault="00503751" w:rsidP="00164CEB">
      <w:pPr>
        <w:pStyle w:val="IIR14FigureCaption"/>
        <w:jc w:val="center"/>
        <w:rPr>
          <w:color w:val="FF0000"/>
        </w:rPr>
      </w:pPr>
      <w:r w:rsidRPr="00503751">
        <w:t>Figure 3.  Projected AE of domestic refrigerators being sold in EU for different scenarios.  From VHK and ARMINES (2016).</w:t>
      </w:r>
    </w:p>
    <w:p w14:paraId="02EEACB3" w14:textId="77777777" w:rsidR="002947DA" w:rsidRPr="00503751" w:rsidRDefault="002947DA" w:rsidP="005E3AA4">
      <w:pPr>
        <w:pStyle w:val="IIR14FigureCaption"/>
      </w:pPr>
    </w:p>
    <w:p w14:paraId="1E2B6724" w14:textId="563B4EAB" w:rsidR="00503751" w:rsidRDefault="00503751" w:rsidP="00593C09">
      <w:pPr>
        <w:pStyle w:val="IIR12MainText"/>
      </w:pPr>
      <w:r>
        <w:t xml:space="preserve">The best available technology (BAT) in the UK and EU at time of writing (February 2023) was considered as the lowest AE appliances found on the </w:t>
      </w:r>
      <w:proofErr w:type="spellStart"/>
      <w:r>
        <w:t>TopTen</w:t>
      </w:r>
      <w:proofErr w:type="spellEnd"/>
      <w:r>
        <w:t xml:space="preserve"> list (https://www.toptenuk.org/ and https://www.topten.eu/).  These are shown in Table 2 with the average being a weighted calculation using proportions of appliances from the </w:t>
      </w:r>
      <w:r w:rsidR="00E76CED">
        <w:t>UK</w:t>
      </w:r>
      <w:r>
        <w:t xml:space="preserve"> study for 2023.</w:t>
      </w:r>
    </w:p>
    <w:p w14:paraId="02208641" w14:textId="77777777" w:rsidR="00503751" w:rsidRPr="00503751" w:rsidRDefault="00503751" w:rsidP="00347121">
      <w:pPr>
        <w:pStyle w:val="IIR13TableCaption"/>
      </w:pPr>
      <w:r w:rsidRPr="00503751">
        <w:t>Table 2.  BAT AE for UK And EU for different refrigerator types.  Energy label shown in brackets.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53"/>
        <w:gridCol w:w="1653"/>
        <w:gridCol w:w="1514"/>
        <w:gridCol w:w="1653"/>
        <w:gridCol w:w="1465"/>
      </w:tblGrid>
      <w:tr w:rsidR="00503751" w:rsidRPr="007A4C2E" w14:paraId="3FD40EE7" w14:textId="77777777" w:rsidTr="00503751">
        <w:trPr>
          <w:trHeight w:val="300"/>
          <w:jc w:val="center"/>
        </w:trPr>
        <w:tc>
          <w:tcPr>
            <w:tcW w:w="1809" w:type="dxa"/>
            <w:vAlign w:val="center"/>
          </w:tcPr>
          <w:p w14:paraId="18146FE7" w14:textId="77777777" w:rsidR="00503751" w:rsidRPr="007A4C2E" w:rsidRDefault="00503751" w:rsidP="0061598F">
            <w:pPr>
              <w:spacing w:before="60" w:after="60"/>
              <w:jc w:val="left"/>
              <w:rPr>
                <w:rFonts w:ascii="Calibri" w:hAnsi="Calibri" w:cs="Calibri"/>
                <w:lang w:eastAsia="en-GB"/>
              </w:rPr>
            </w:pPr>
            <w:bookmarkStart w:id="0" w:name="_Hlk127884499"/>
          </w:p>
        </w:tc>
        <w:tc>
          <w:tcPr>
            <w:tcW w:w="1653" w:type="dxa"/>
            <w:shd w:val="clear" w:color="auto" w:fill="auto"/>
            <w:noWrap/>
            <w:vAlign w:val="center"/>
            <w:hideMark/>
          </w:tcPr>
          <w:p w14:paraId="6315B819" w14:textId="77777777" w:rsidR="00503751" w:rsidRPr="007A4C2E" w:rsidRDefault="00503751" w:rsidP="0061598F">
            <w:pPr>
              <w:spacing w:before="60" w:after="60"/>
              <w:jc w:val="center"/>
              <w:rPr>
                <w:rFonts w:ascii="Calibri" w:hAnsi="Calibri" w:cs="Calibri"/>
                <w:lang w:eastAsia="en-GB"/>
              </w:rPr>
            </w:pPr>
            <w:r w:rsidRPr="007A4C2E">
              <w:rPr>
                <w:rFonts w:ascii="Calibri" w:hAnsi="Calibri" w:cs="Calibri"/>
                <w:lang w:eastAsia="en-GB"/>
              </w:rPr>
              <w:t>Chest Freezer</w:t>
            </w:r>
          </w:p>
        </w:tc>
        <w:tc>
          <w:tcPr>
            <w:tcW w:w="1653" w:type="dxa"/>
            <w:shd w:val="clear" w:color="auto" w:fill="auto"/>
            <w:noWrap/>
            <w:vAlign w:val="center"/>
            <w:hideMark/>
          </w:tcPr>
          <w:p w14:paraId="5344865A" w14:textId="77777777" w:rsidR="00503751" w:rsidRPr="007A4C2E" w:rsidRDefault="00503751" w:rsidP="0061598F">
            <w:pPr>
              <w:spacing w:before="60" w:after="60"/>
              <w:jc w:val="center"/>
              <w:rPr>
                <w:rFonts w:ascii="Calibri" w:hAnsi="Calibri" w:cs="Calibri"/>
                <w:lang w:eastAsia="en-GB"/>
              </w:rPr>
            </w:pPr>
            <w:r w:rsidRPr="007A4C2E">
              <w:rPr>
                <w:rFonts w:ascii="Calibri" w:hAnsi="Calibri" w:cs="Calibri"/>
                <w:lang w:eastAsia="en-GB"/>
              </w:rPr>
              <w:t>Fridge-freezer</w:t>
            </w:r>
          </w:p>
        </w:tc>
        <w:tc>
          <w:tcPr>
            <w:tcW w:w="1514" w:type="dxa"/>
            <w:shd w:val="clear" w:color="auto" w:fill="auto"/>
            <w:noWrap/>
            <w:vAlign w:val="center"/>
            <w:hideMark/>
          </w:tcPr>
          <w:p w14:paraId="06E2FA6C" w14:textId="77777777" w:rsidR="00503751" w:rsidRPr="007A4C2E" w:rsidRDefault="00503751" w:rsidP="0061598F">
            <w:pPr>
              <w:spacing w:before="60" w:after="60"/>
              <w:jc w:val="center"/>
              <w:rPr>
                <w:rFonts w:ascii="Calibri" w:hAnsi="Calibri" w:cs="Calibri"/>
                <w:lang w:eastAsia="en-GB"/>
              </w:rPr>
            </w:pPr>
            <w:r w:rsidRPr="007A4C2E">
              <w:rPr>
                <w:rFonts w:ascii="Calibri" w:hAnsi="Calibri" w:cs="Calibri"/>
                <w:lang w:eastAsia="en-GB"/>
              </w:rPr>
              <w:t>Refrigerator</w:t>
            </w:r>
          </w:p>
        </w:tc>
        <w:tc>
          <w:tcPr>
            <w:tcW w:w="1653" w:type="dxa"/>
            <w:shd w:val="clear" w:color="auto" w:fill="auto"/>
            <w:noWrap/>
            <w:vAlign w:val="center"/>
            <w:hideMark/>
          </w:tcPr>
          <w:p w14:paraId="4CADBEE6" w14:textId="77777777" w:rsidR="00503751" w:rsidRPr="007A4C2E" w:rsidRDefault="00503751" w:rsidP="0061598F">
            <w:pPr>
              <w:spacing w:before="60" w:after="60"/>
              <w:jc w:val="center"/>
              <w:rPr>
                <w:rFonts w:ascii="Calibri" w:hAnsi="Calibri" w:cs="Calibri"/>
                <w:lang w:eastAsia="en-GB"/>
              </w:rPr>
            </w:pPr>
            <w:r w:rsidRPr="007A4C2E">
              <w:rPr>
                <w:rFonts w:ascii="Calibri" w:hAnsi="Calibri" w:cs="Calibri"/>
                <w:lang w:eastAsia="en-GB"/>
              </w:rPr>
              <w:t>Upright freezer</w:t>
            </w:r>
          </w:p>
        </w:tc>
        <w:tc>
          <w:tcPr>
            <w:tcW w:w="1465" w:type="dxa"/>
            <w:vAlign w:val="center"/>
          </w:tcPr>
          <w:p w14:paraId="40816A33" w14:textId="77777777" w:rsidR="00503751" w:rsidRPr="007A4C2E" w:rsidRDefault="00503751" w:rsidP="0061598F">
            <w:pPr>
              <w:spacing w:before="60" w:after="60"/>
              <w:jc w:val="center"/>
              <w:rPr>
                <w:rFonts w:ascii="Calibri" w:hAnsi="Calibri" w:cs="Calibri"/>
                <w:lang w:eastAsia="en-GB"/>
              </w:rPr>
            </w:pPr>
            <w:r>
              <w:rPr>
                <w:rFonts w:ascii="Calibri" w:hAnsi="Calibri" w:cs="Calibri"/>
                <w:lang w:eastAsia="en-GB"/>
              </w:rPr>
              <w:t>Average (weighted)</w:t>
            </w:r>
          </w:p>
        </w:tc>
      </w:tr>
      <w:tr w:rsidR="00503751" w:rsidRPr="007A4C2E" w14:paraId="0F98AC18" w14:textId="77777777" w:rsidTr="00503751">
        <w:trPr>
          <w:trHeight w:val="234"/>
          <w:jc w:val="center"/>
        </w:trPr>
        <w:tc>
          <w:tcPr>
            <w:tcW w:w="1809" w:type="dxa"/>
            <w:vAlign w:val="center"/>
          </w:tcPr>
          <w:p w14:paraId="454C8EBB" w14:textId="77777777" w:rsidR="00503751" w:rsidRPr="007A4C2E" w:rsidRDefault="00503751" w:rsidP="0061598F">
            <w:pPr>
              <w:spacing w:before="60" w:after="60"/>
              <w:jc w:val="left"/>
              <w:rPr>
                <w:rFonts w:ascii="Calibri" w:hAnsi="Calibri" w:cs="Calibri"/>
                <w:lang w:eastAsia="en-GB"/>
              </w:rPr>
            </w:pPr>
            <w:r w:rsidRPr="007A4C2E">
              <w:rPr>
                <w:rFonts w:ascii="Calibri" w:hAnsi="Calibri" w:cs="Calibri"/>
                <w:lang w:eastAsia="en-GB"/>
              </w:rPr>
              <w:t>BAT UK (kWh/a)</w:t>
            </w:r>
          </w:p>
        </w:tc>
        <w:tc>
          <w:tcPr>
            <w:tcW w:w="1653" w:type="dxa"/>
            <w:shd w:val="clear" w:color="auto" w:fill="auto"/>
            <w:noWrap/>
            <w:vAlign w:val="center"/>
          </w:tcPr>
          <w:p w14:paraId="250C7B78" w14:textId="77777777" w:rsidR="00503751" w:rsidRPr="007A4C2E" w:rsidRDefault="00503751" w:rsidP="0061598F">
            <w:pPr>
              <w:tabs>
                <w:tab w:val="decimal" w:pos="903"/>
              </w:tabs>
              <w:spacing w:before="60" w:after="60"/>
              <w:jc w:val="left"/>
              <w:rPr>
                <w:rFonts w:ascii="Calibri" w:hAnsi="Calibri" w:cs="Calibri"/>
                <w:lang w:eastAsia="en-GB"/>
              </w:rPr>
            </w:pPr>
            <w:r w:rsidRPr="007A4C2E">
              <w:rPr>
                <w:rFonts w:ascii="Calibri" w:hAnsi="Calibri" w:cs="Calibri"/>
                <w:lang w:eastAsia="en-GB"/>
              </w:rPr>
              <w:t>2</w:t>
            </w:r>
            <w:r>
              <w:rPr>
                <w:rFonts w:ascii="Calibri" w:hAnsi="Calibri" w:cs="Calibri"/>
                <w:lang w:eastAsia="en-GB"/>
              </w:rPr>
              <w:t>10 (E)</w:t>
            </w:r>
          </w:p>
        </w:tc>
        <w:tc>
          <w:tcPr>
            <w:tcW w:w="1653" w:type="dxa"/>
            <w:shd w:val="clear" w:color="auto" w:fill="auto"/>
            <w:noWrap/>
            <w:vAlign w:val="center"/>
          </w:tcPr>
          <w:p w14:paraId="6AE974C5" w14:textId="77777777" w:rsidR="00503751" w:rsidRPr="007A4C2E" w:rsidRDefault="00503751" w:rsidP="0061598F">
            <w:pPr>
              <w:tabs>
                <w:tab w:val="decimal" w:pos="903"/>
              </w:tabs>
              <w:spacing w:before="60" w:after="60"/>
              <w:jc w:val="left"/>
              <w:rPr>
                <w:rFonts w:ascii="Calibri" w:hAnsi="Calibri" w:cs="Calibri"/>
                <w:lang w:eastAsia="en-GB"/>
              </w:rPr>
            </w:pPr>
            <w:r w:rsidRPr="007A4C2E">
              <w:rPr>
                <w:rFonts w:ascii="Calibri" w:hAnsi="Calibri" w:cs="Calibri"/>
                <w:lang w:eastAsia="en-GB"/>
              </w:rPr>
              <w:t>1</w:t>
            </w:r>
            <w:r>
              <w:rPr>
                <w:rFonts w:ascii="Calibri" w:hAnsi="Calibri" w:cs="Calibri"/>
                <w:lang w:eastAsia="en-GB"/>
              </w:rPr>
              <w:t>10 (A)</w:t>
            </w:r>
          </w:p>
        </w:tc>
        <w:tc>
          <w:tcPr>
            <w:tcW w:w="1514" w:type="dxa"/>
            <w:shd w:val="clear" w:color="auto" w:fill="auto"/>
            <w:noWrap/>
            <w:vAlign w:val="center"/>
          </w:tcPr>
          <w:p w14:paraId="1931A307" w14:textId="77777777" w:rsidR="00503751" w:rsidRPr="007A4C2E" w:rsidRDefault="00503751" w:rsidP="0061598F">
            <w:pPr>
              <w:tabs>
                <w:tab w:val="decimal" w:pos="698"/>
              </w:tabs>
              <w:spacing w:before="60" w:after="60"/>
              <w:jc w:val="left"/>
              <w:rPr>
                <w:rFonts w:ascii="Calibri" w:hAnsi="Calibri" w:cs="Calibri"/>
                <w:lang w:eastAsia="en-GB"/>
              </w:rPr>
            </w:pPr>
            <w:r w:rsidRPr="007A4C2E">
              <w:rPr>
                <w:rFonts w:ascii="Calibri" w:hAnsi="Calibri" w:cs="Calibri"/>
                <w:lang w:eastAsia="en-GB"/>
              </w:rPr>
              <w:t>65</w:t>
            </w:r>
            <w:r>
              <w:rPr>
                <w:rFonts w:ascii="Calibri" w:hAnsi="Calibri" w:cs="Calibri"/>
                <w:lang w:eastAsia="en-GB"/>
              </w:rPr>
              <w:t xml:space="preserve"> (A)</w:t>
            </w:r>
          </w:p>
        </w:tc>
        <w:tc>
          <w:tcPr>
            <w:tcW w:w="1653" w:type="dxa"/>
            <w:shd w:val="clear" w:color="auto" w:fill="auto"/>
            <w:noWrap/>
            <w:vAlign w:val="center"/>
          </w:tcPr>
          <w:p w14:paraId="204807F4" w14:textId="77777777" w:rsidR="00503751" w:rsidRPr="007A4C2E" w:rsidRDefault="00503751" w:rsidP="0061598F">
            <w:pPr>
              <w:tabs>
                <w:tab w:val="decimal" w:pos="903"/>
              </w:tabs>
              <w:spacing w:before="60" w:after="60"/>
              <w:jc w:val="left"/>
              <w:rPr>
                <w:rFonts w:ascii="Calibri" w:hAnsi="Calibri" w:cs="Calibri"/>
                <w:lang w:eastAsia="en-GB"/>
              </w:rPr>
            </w:pPr>
            <w:r w:rsidRPr="007A4C2E">
              <w:rPr>
                <w:rFonts w:ascii="Calibri" w:hAnsi="Calibri" w:cs="Calibri"/>
                <w:lang w:eastAsia="en-GB"/>
              </w:rPr>
              <w:t>179</w:t>
            </w:r>
            <w:r>
              <w:rPr>
                <w:rFonts w:ascii="Calibri" w:hAnsi="Calibri" w:cs="Calibri"/>
                <w:lang w:eastAsia="en-GB"/>
              </w:rPr>
              <w:t xml:space="preserve"> (C)</w:t>
            </w:r>
          </w:p>
        </w:tc>
        <w:tc>
          <w:tcPr>
            <w:tcW w:w="1465" w:type="dxa"/>
            <w:vAlign w:val="center"/>
          </w:tcPr>
          <w:p w14:paraId="0665EF44" w14:textId="77777777" w:rsidR="00503751" w:rsidRPr="007A4C2E" w:rsidRDefault="00503751" w:rsidP="0061598F">
            <w:pPr>
              <w:tabs>
                <w:tab w:val="decimal" w:pos="903"/>
              </w:tabs>
              <w:spacing w:before="60" w:after="60"/>
              <w:jc w:val="left"/>
              <w:rPr>
                <w:rFonts w:ascii="Calibri" w:hAnsi="Calibri" w:cs="Calibri"/>
                <w:lang w:eastAsia="en-GB"/>
              </w:rPr>
            </w:pPr>
            <w:r w:rsidRPr="007A4C2E">
              <w:rPr>
                <w:rFonts w:ascii="Calibri" w:hAnsi="Calibri" w:cs="Calibri"/>
                <w:lang w:eastAsia="en-GB"/>
              </w:rPr>
              <w:t>1</w:t>
            </w:r>
            <w:r>
              <w:rPr>
                <w:rFonts w:ascii="Calibri" w:hAnsi="Calibri" w:cs="Calibri"/>
                <w:lang w:eastAsia="en-GB"/>
              </w:rPr>
              <w:t>27</w:t>
            </w:r>
          </w:p>
        </w:tc>
      </w:tr>
      <w:tr w:rsidR="00503751" w:rsidRPr="007A4C2E" w14:paraId="588F44EE" w14:textId="77777777" w:rsidTr="00503751">
        <w:trPr>
          <w:trHeight w:val="300"/>
          <w:jc w:val="center"/>
        </w:trPr>
        <w:tc>
          <w:tcPr>
            <w:tcW w:w="1809" w:type="dxa"/>
            <w:vAlign w:val="center"/>
          </w:tcPr>
          <w:p w14:paraId="6F0EC485" w14:textId="77777777" w:rsidR="00503751" w:rsidRPr="007A4C2E" w:rsidRDefault="00503751" w:rsidP="0061598F">
            <w:pPr>
              <w:spacing w:before="60" w:after="60"/>
              <w:jc w:val="left"/>
              <w:rPr>
                <w:rFonts w:ascii="Calibri" w:hAnsi="Calibri" w:cs="Calibri"/>
                <w:lang w:eastAsia="en-GB"/>
              </w:rPr>
            </w:pPr>
            <w:r w:rsidRPr="007A4C2E">
              <w:rPr>
                <w:rFonts w:ascii="Calibri" w:hAnsi="Calibri" w:cs="Calibri"/>
                <w:lang w:eastAsia="en-GB"/>
              </w:rPr>
              <w:t>BAT EU (kWh/a)</w:t>
            </w:r>
          </w:p>
        </w:tc>
        <w:tc>
          <w:tcPr>
            <w:tcW w:w="1653" w:type="dxa"/>
            <w:shd w:val="clear" w:color="auto" w:fill="auto"/>
            <w:noWrap/>
            <w:vAlign w:val="center"/>
          </w:tcPr>
          <w:p w14:paraId="24961E2D" w14:textId="77777777" w:rsidR="00503751" w:rsidRPr="007A4C2E" w:rsidRDefault="00503751" w:rsidP="0061598F">
            <w:pPr>
              <w:tabs>
                <w:tab w:val="decimal" w:pos="903"/>
              </w:tabs>
              <w:spacing w:before="60" w:after="60"/>
              <w:jc w:val="left"/>
              <w:rPr>
                <w:rFonts w:ascii="Calibri" w:hAnsi="Calibri" w:cs="Calibri"/>
                <w:lang w:eastAsia="en-GB"/>
              </w:rPr>
            </w:pPr>
            <w:r w:rsidRPr="007A4C2E">
              <w:rPr>
                <w:rFonts w:ascii="Calibri" w:hAnsi="Calibri" w:cs="Calibri"/>
              </w:rPr>
              <w:t>1</w:t>
            </w:r>
            <w:r>
              <w:rPr>
                <w:rFonts w:ascii="Calibri" w:hAnsi="Calibri" w:cs="Calibri"/>
              </w:rPr>
              <w:t>44 (C)</w:t>
            </w:r>
          </w:p>
        </w:tc>
        <w:tc>
          <w:tcPr>
            <w:tcW w:w="1653" w:type="dxa"/>
            <w:shd w:val="clear" w:color="auto" w:fill="auto"/>
            <w:noWrap/>
            <w:vAlign w:val="center"/>
          </w:tcPr>
          <w:p w14:paraId="2E106191" w14:textId="77777777" w:rsidR="00503751" w:rsidRPr="007A4C2E" w:rsidRDefault="00503751" w:rsidP="0061598F">
            <w:pPr>
              <w:tabs>
                <w:tab w:val="decimal" w:pos="903"/>
              </w:tabs>
              <w:spacing w:before="60" w:after="60"/>
              <w:jc w:val="left"/>
              <w:rPr>
                <w:rFonts w:ascii="Calibri" w:hAnsi="Calibri" w:cs="Calibri"/>
                <w:lang w:eastAsia="en-GB"/>
              </w:rPr>
            </w:pPr>
            <w:r w:rsidRPr="007A4C2E">
              <w:rPr>
                <w:rFonts w:ascii="Calibri" w:hAnsi="Calibri" w:cs="Calibri"/>
              </w:rPr>
              <w:t>108</w:t>
            </w:r>
            <w:r>
              <w:rPr>
                <w:rFonts w:ascii="Calibri" w:hAnsi="Calibri" w:cs="Calibri"/>
              </w:rPr>
              <w:t xml:space="preserve"> (A)</w:t>
            </w:r>
          </w:p>
        </w:tc>
        <w:tc>
          <w:tcPr>
            <w:tcW w:w="1514" w:type="dxa"/>
            <w:shd w:val="clear" w:color="auto" w:fill="auto"/>
            <w:noWrap/>
            <w:vAlign w:val="center"/>
          </w:tcPr>
          <w:p w14:paraId="457BBA83" w14:textId="77777777" w:rsidR="00503751" w:rsidRPr="007A4C2E" w:rsidRDefault="00503751" w:rsidP="0061598F">
            <w:pPr>
              <w:tabs>
                <w:tab w:val="decimal" w:pos="698"/>
              </w:tabs>
              <w:spacing w:before="60" w:after="60"/>
              <w:jc w:val="left"/>
              <w:rPr>
                <w:rFonts w:ascii="Calibri" w:hAnsi="Calibri" w:cs="Calibri"/>
                <w:lang w:eastAsia="en-GB"/>
              </w:rPr>
            </w:pPr>
            <w:r w:rsidRPr="007A4C2E">
              <w:rPr>
                <w:rFonts w:ascii="Calibri" w:hAnsi="Calibri" w:cs="Calibri"/>
                <w:lang w:eastAsia="en-GB"/>
              </w:rPr>
              <w:t>65</w:t>
            </w:r>
            <w:r>
              <w:rPr>
                <w:rFonts w:ascii="Calibri" w:hAnsi="Calibri" w:cs="Calibri"/>
                <w:lang w:eastAsia="en-GB"/>
              </w:rPr>
              <w:t xml:space="preserve"> (A)</w:t>
            </w:r>
          </w:p>
        </w:tc>
        <w:tc>
          <w:tcPr>
            <w:tcW w:w="1653" w:type="dxa"/>
            <w:shd w:val="clear" w:color="auto" w:fill="auto"/>
            <w:noWrap/>
            <w:vAlign w:val="center"/>
          </w:tcPr>
          <w:p w14:paraId="36AF0E54" w14:textId="77777777" w:rsidR="00503751" w:rsidRPr="007A4C2E" w:rsidRDefault="00503751" w:rsidP="0061598F">
            <w:pPr>
              <w:tabs>
                <w:tab w:val="decimal" w:pos="903"/>
              </w:tabs>
              <w:spacing w:before="60" w:after="60"/>
              <w:jc w:val="left"/>
              <w:rPr>
                <w:rFonts w:ascii="Calibri" w:hAnsi="Calibri" w:cs="Calibri"/>
                <w:lang w:eastAsia="en-GB"/>
              </w:rPr>
            </w:pPr>
            <w:r w:rsidRPr="007A4C2E">
              <w:rPr>
                <w:rFonts w:ascii="Calibri" w:hAnsi="Calibri" w:cs="Calibri"/>
              </w:rPr>
              <w:t>179</w:t>
            </w:r>
            <w:r>
              <w:rPr>
                <w:rFonts w:ascii="Calibri" w:hAnsi="Calibri" w:cs="Calibri"/>
              </w:rPr>
              <w:t xml:space="preserve"> (C)</w:t>
            </w:r>
          </w:p>
        </w:tc>
        <w:tc>
          <w:tcPr>
            <w:tcW w:w="1465" w:type="dxa"/>
            <w:vAlign w:val="center"/>
          </w:tcPr>
          <w:p w14:paraId="74C58514" w14:textId="77777777" w:rsidR="00503751" w:rsidRPr="007A4C2E" w:rsidRDefault="00503751" w:rsidP="0061598F">
            <w:pPr>
              <w:tabs>
                <w:tab w:val="decimal" w:pos="903"/>
              </w:tabs>
              <w:spacing w:before="60" w:after="60"/>
              <w:jc w:val="left"/>
              <w:rPr>
                <w:rFonts w:ascii="Calibri" w:hAnsi="Calibri" w:cs="Calibri"/>
              </w:rPr>
            </w:pPr>
            <w:r>
              <w:rPr>
                <w:rFonts w:ascii="Calibri" w:hAnsi="Calibri" w:cs="Calibri"/>
              </w:rPr>
              <w:t>118</w:t>
            </w:r>
          </w:p>
        </w:tc>
      </w:tr>
    </w:tbl>
    <w:bookmarkEnd w:id="0"/>
    <w:p w14:paraId="1B6B4C67" w14:textId="77777777" w:rsidR="00503751" w:rsidRDefault="00503751" w:rsidP="00593C09">
      <w:pPr>
        <w:pStyle w:val="IIR12MainText"/>
      </w:pPr>
      <w:r>
        <w:lastRenderedPageBreak/>
        <w:t xml:space="preserve">BAT (EU) and BAT (UK) were the same or similar except for chest freezers.  This was due to the 5 BAT (EU) chest freezer models not being available for sale in the UK.  However, as only 11% of domestic refrigerators in use are chest freezers it makes only a small difference to the weighted mean (8%).   </w:t>
      </w:r>
    </w:p>
    <w:p w14:paraId="7E5EDEF6" w14:textId="1E424857" w:rsidR="00503751" w:rsidRDefault="00503751" w:rsidP="00593C09">
      <w:pPr>
        <w:pStyle w:val="IIR12MainText"/>
      </w:pPr>
      <w:r>
        <w:t xml:space="preserve">If we compare the average BAT with EU projections </w:t>
      </w:r>
      <w:r w:rsidR="005140BC">
        <w:t xml:space="preserve">for </w:t>
      </w:r>
      <w:r>
        <w:t>2023 (Fig</w:t>
      </w:r>
      <w:r w:rsidR="004D50A4">
        <w:t>.</w:t>
      </w:r>
      <w:r>
        <w:t xml:space="preserve"> 3) we can see that the BAT closely matches the </w:t>
      </w:r>
      <w:r w:rsidR="005140BC">
        <w:t xml:space="preserve">two </w:t>
      </w:r>
      <w:r>
        <w:t xml:space="preserve">LLCC projections.  We can conclude that </w:t>
      </w:r>
      <w:r w:rsidR="004E3440">
        <w:t xml:space="preserve">for the whole market </w:t>
      </w:r>
      <w:r w:rsidR="005140BC">
        <w:t>to align with the</w:t>
      </w:r>
      <w:r>
        <w:t xml:space="preserve"> LLCC projections </w:t>
      </w:r>
      <w:r w:rsidR="005140BC">
        <w:t>all appliances would need to be BAT</w:t>
      </w:r>
      <w:r w:rsidR="004E3440">
        <w:t xml:space="preserve"> and that this has not been </w:t>
      </w:r>
      <w:proofErr w:type="gramStart"/>
      <w:r w:rsidR="004E3440">
        <w:t>achieved.</w:t>
      </w:r>
      <w:r>
        <w:t>.</w:t>
      </w:r>
      <w:proofErr w:type="gramEnd"/>
      <w:r>
        <w:t xml:space="preserve">  </w:t>
      </w:r>
    </w:p>
    <w:p w14:paraId="189C7184" w14:textId="0BF845A6" w:rsidR="00503751" w:rsidRDefault="004E3440" w:rsidP="00593C09">
      <w:pPr>
        <w:pStyle w:val="IIR12MainText"/>
      </w:pPr>
      <w:proofErr w:type="gramStart"/>
      <w:r>
        <w:t>Additionally</w:t>
      </w:r>
      <w:proofErr w:type="gramEnd"/>
      <w:r>
        <w:t xml:space="preserve"> it is clear that not all </w:t>
      </w:r>
      <w:r w:rsidR="00503751">
        <w:t xml:space="preserve">customers will purchase the BAT and therefore a likely replacement stock AE needs to be found.  From </w:t>
      </w:r>
      <w:r w:rsidR="008F4E0D">
        <w:t xml:space="preserve">the </w:t>
      </w:r>
      <w:r w:rsidR="008F4E0D" w:rsidRPr="008F4E0D">
        <w:t>European Product Registry for Energy Labelling</w:t>
      </w:r>
      <w:r w:rsidR="008F4E0D">
        <w:t xml:space="preserve"> (</w:t>
      </w:r>
      <w:r w:rsidR="00503751">
        <w:t>ERPREL</w:t>
      </w:r>
      <w:r w:rsidR="008F4E0D">
        <w:t>)</w:t>
      </w:r>
      <w:r w:rsidR="00503751">
        <w:t xml:space="preserve"> half (50%) of the domestic refrigerator models are class F (Fig</w:t>
      </w:r>
      <w:r w:rsidR="004D50A4">
        <w:t>.</w:t>
      </w:r>
      <w:r w:rsidR="00503751">
        <w:t xml:space="preserve"> 4). </w:t>
      </w:r>
    </w:p>
    <w:p w14:paraId="44BB8907" w14:textId="5B531F79" w:rsidR="00503751" w:rsidRDefault="00503751" w:rsidP="00664889">
      <w:pPr>
        <w:pStyle w:val="IIR12MainText"/>
      </w:pPr>
      <w:r>
        <w:rPr>
          <w:noProof/>
        </w:rPr>
        <w:drawing>
          <wp:inline distT="0" distB="0" distL="0" distR="0" wp14:anchorId="3181D510" wp14:editId="5CD78ED1">
            <wp:extent cx="4572000" cy="2743200"/>
            <wp:effectExtent l="0" t="0" r="0" b="0"/>
            <wp:docPr id="9" name="Chart 9">
              <a:extLst xmlns:a="http://schemas.openxmlformats.org/drawingml/2006/main">
                <a:ext uri="{FF2B5EF4-FFF2-40B4-BE49-F238E27FC236}">
                  <a16:creationId xmlns:a16="http://schemas.microsoft.com/office/drawing/2014/main" id="{CD40355B-1D78-227E-3013-F74F4C800A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84B499" w14:textId="77777777" w:rsidR="00503751" w:rsidRPr="00347121" w:rsidRDefault="00503751" w:rsidP="00164CEB">
      <w:pPr>
        <w:pStyle w:val="IIR14FigureCaption"/>
        <w:jc w:val="center"/>
      </w:pPr>
      <w:r w:rsidRPr="00347121">
        <w:t>Figure 4.  Proportion of domestic refrigerator models at each label class from EPREL in March 2023.</w:t>
      </w:r>
    </w:p>
    <w:p w14:paraId="3E20A51B" w14:textId="77777777" w:rsidR="002947DA" w:rsidRPr="00503751" w:rsidRDefault="002947DA" w:rsidP="005E3AA4">
      <w:pPr>
        <w:pStyle w:val="IIR14FigureCaption"/>
      </w:pPr>
    </w:p>
    <w:p w14:paraId="2311305E" w14:textId="67BB8DFC" w:rsidR="00503751" w:rsidRPr="00434BDB" w:rsidRDefault="00503751" w:rsidP="00593C09">
      <w:pPr>
        <w:pStyle w:val="IIR12MainText"/>
      </w:pPr>
      <w:r w:rsidRPr="00434BDB">
        <w:t>EPREL does not allow different model types to be searched, however, from a major retailer’s web site (https://www.argos.co.uk/) the modal energy label class was F for all 4 types of appliances.  Based on an F label class, Table 3 shows a representative energy consumption based on models from the major retailer.  Comparing this energy consumption with the EU Projections (Fig</w:t>
      </w:r>
      <w:r w:rsidR="004D50A4" w:rsidRPr="00434BDB">
        <w:t>.</w:t>
      </w:r>
      <w:r w:rsidRPr="00434BDB">
        <w:t xml:space="preserve"> 3) shows AE of replacement stock in 2023 is </w:t>
      </w:r>
      <w:proofErr w:type="gramStart"/>
      <w:r w:rsidRPr="00434BDB">
        <w:t>similar to</w:t>
      </w:r>
      <w:proofErr w:type="gramEnd"/>
      <w:r w:rsidRPr="00434BDB">
        <w:t xml:space="preserve"> that predicted by VHK and ARMINES (2016) for the period before 2010.</w:t>
      </w:r>
    </w:p>
    <w:p w14:paraId="6579575E" w14:textId="2435D4A5" w:rsidR="00503751" w:rsidRPr="00D566E2" w:rsidRDefault="00503751" w:rsidP="00347121">
      <w:pPr>
        <w:pStyle w:val="IIR13TableCaption"/>
      </w:pPr>
      <w:r w:rsidRPr="00D566E2">
        <w:t>Table 3.  Representative AE for new stock in 2023.</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653"/>
        <w:gridCol w:w="1653"/>
        <w:gridCol w:w="1653"/>
        <w:gridCol w:w="1653"/>
        <w:gridCol w:w="1653"/>
      </w:tblGrid>
      <w:tr w:rsidR="00503751" w:rsidRPr="00D566E2" w14:paraId="3EEC5760" w14:textId="3DDA4EF1" w:rsidTr="00923DF4">
        <w:trPr>
          <w:trHeight w:val="300"/>
          <w:jc w:val="center"/>
        </w:trPr>
        <w:tc>
          <w:tcPr>
            <w:tcW w:w="1653" w:type="dxa"/>
            <w:vAlign w:val="center"/>
          </w:tcPr>
          <w:p w14:paraId="06108659" w14:textId="402B8E1D" w:rsidR="00503751" w:rsidRPr="00D566E2" w:rsidRDefault="00503751" w:rsidP="0061598F">
            <w:pPr>
              <w:jc w:val="left"/>
              <w:rPr>
                <w:rFonts w:ascii="Calibri" w:hAnsi="Calibri" w:cs="Calibri"/>
                <w:lang w:eastAsia="en-GB"/>
              </w:rPr>
            </w:pPr>
            <w:bookmarkStart w:id="1" w:name="_Hlk128055764"/>
          </w:p>
        </w:tc>
        <w:tc>
          <w:tcPr>
            <w:tcW w:w="1653" w:type="dxa"/>
            <w:shd w:val="clear" w:color="auto" w:fill="auto"/>
            <w:noWrap/>
            <w:vAlign w:val="center"/>
            <w:hideMark/>
          </w:tcPr>
          <w:p w14:paraId="42FEC9A4" w14:textId="53F02A74" w:rsidR="00503751" w:rsidRPr="00D566E2" w:rsidRDefault="00503751" w:rsidP="0061598F">
            <w:pPr>
              <w:jc w:val="left"/>
              <w:rPr>
                <w:rFonts w:ascii="Calibri" w:hAnsi="Calibri" w:cs="Calibri"/>
                <w:lang w:eastAsia="en-GB"/>
              </w:rPr>
            </w:pPr>
            <w:r w:rsidRPr="00D566E2">
              <w:rPr>
                <w:rFonts w:ascii="Calibri" w:hAnsi="Calibri" w:cs="Calibri"/>
                <w:lang w:eastAsia="en-GB"/>
              </w:rPr>
              <w:t>Chest freezer</w:t>
            </w:r>
          </w:p>
        </w:tc>
        <w:tc>
          <w:tcPr>
            <w:tcW w:w="1653" w:type="dxa"/>
            <w:shd w:val="clear" w:color="auto" w:fill="auto"/>
            <w:noWrap/>
            <w:vAlign w:val="center"/>
            <w:hideMark/>
          </w:tcPr>
          <w:p w14:paraId="438A7317" w14:textId="7F23D09C" w:rsidR="00503751" w:rsidRPr="00D566E2" w:rsidRDefault="00503751" w:rsidP="0061598F">
            <w:pPr>
              <w:jc w:val="left"/>
              <w:rPr>
                <w:rFonts w:ascii="Calibri" w:hAnsi="Calibri" w:cs="Calibri"/>
                <w:lang w:eastAsia="en-GB"/>
              </w:rPr>
            </w:pPr>
            <w:r w:rsidRPr="00D566E2">
              <w:rPr>
                <w:rFonts w:ascii="Calibri" w:hAnsi="Calibri" w:cs="Calibri"/>
                <w:lang w:eastAsia="en-GB"/>
              </w:rPr>
              <w:t>Fridge-freezer</w:t>
            </w:r>
          </w:p>
        </w:tc>
        <w:tc>
          <w:tcPr>
            <w:tcW w:w="1653" w:type="dxa"/>
            <w:shd w:val="clear" w:color="auto" w:fill="auto"/>
            <w:noWrap/>
            <w:vAlign w:val="center"/>
            <w:hideMark/>
          </w:tcPr>
          <w:p w14:paraId="316E2361" w14:textId="512B54EE" w:rsidR="00503751" w:rsidRPr="00D566E2" w:rsidRDefault="00503751" w:rsidP="0061598F">
            <w:pPr>
              <w:jc w:val="left"/>
              <w:rPr>
                <w:rFonts w:ascii="Calibri" w:hAnsi="Calibri" w:cs="Calibri"/>
                <w:lang w:eastAsia="en-GB"/>
              </w:rPr>
            </w:pPr>
            <w:r w:rsidRPr="00D566E2">
              <w:rPr>
                <w:rFonts w:ascii="Calibri" w:hAnsi="Calibri" w:cs="Calibri"/>
                <w:lang w:eastAsia="en-GB"/>
              </w:rPr>
              <w:t>Refrigerator</w:t>
            </w:r>
          </w:p>
        </w:tc>
        <w:tc>
          <w:tcPr>
            <w:tcW w:w="1653" w:type="dxa"/>
            <w:shd w:val="clear" w:color="auto" w:fill="auto"/>
            <w:noWrap/>
            <w:vAlign w:val="center"/>
            <w:hideMark/>
          </w:tcPr>
          <w:p w14:paraId="69501AE6" w14:textId="1738F708" w:rsidR="00503751" w:rsidRPr="00D566E2" w:rsidRDefault="00503751" w:rsidP="0061598F">
            <w:pPr>
              <w:jc w:val="left"/>
              <w:rPr>
                <w:rFonts w:ascii="Calibri" w:hAnsi="Calibri" w:cs="Calibri"/>
                <w:lang w:eastAsia="en-GB"/>
              </w:rPr>
            </w:pPr>
            <w:r w:rsidRPr="00D566E2">
              <w:rPr>
                <w:rFonts w:ascii="Calibri" w:hAnsi="Calibri" w:cs="Calibri"/>
                <w:lang w:eastAsia="en-GB"/>
              </w:rPr>
              <w:t>Upright freezer</w:t>
            </w:r>
          </w:p>
        </w:tc>
        <w:tc>
          <w:tcPr>
            <w:tcW w:w="1653" w:type="dxa"/>
            <w:vAlign w:val="center"/>
          </w:tcPr>
          <w:p w14:paraId="4124E184" w14:textId="11F6A310" w:rsidR="00503751" w:rsidRPr="00D566E2" w:rsidRDefault="00503751" w:rsidP="0061598F">
            <w:pPr>
              <w:jc w:val="center"/>
              <w:rPr>
                <w:rFonts w:ascii="Calibri" w:hAnsi="Calibri" w:cs="Calibri"/>
                <w:lang w:eastAsia="en-GB"/>
              </w:rPr>
            </w:pPr>
            <w:r w:rsidRPr="00D566E2">
              <w:rPr>
                <w:rFonts w:ascii="Calibri" w:hAnsi="Calibri" w:cs="Calibri"/>
                <w:lang w:eastAsia="en-GB"/>
              </w:rPr>
              <w:t>Weighted average</w:t>
            </w:r>
          </w:p>
        </w:tc>
      </w:tr>
      <w:tr w:rsidR="00503751" w:rsidRPr="00D566E2" w14:paraId="5604B9AC" w14:textId="3F06CAB4" w:rsidTr="00923DF4">
        <w:trPr>
          <w:trHeight w:val="300"/>
          <w:jc w:val="center"/>
        </w:trPr>
        <w:tc>
          <w:tcPr>
            <w:tcW w:w="1653" w:type="dxa"/>
            <w:vAlign w:val="center"/>
          </w:tcPr>
          <w:p w14:paraId="0BE0D03A" w14:textId="2BC6C6F2" w:rsidR="00503751" w:rsidRPr="00D566E2" w:rsidRDefault="00503751" w:rsidP="0061598F">
            <w:pPr>
              <w:jc w:val="left"/>
              <w:rPr>
                <w:rFonts w:ascii="Calibri" w:hAnsi="Calibri" w:cs="Calibri"/>
                <w:lang w:eastAsia="en-GB"/>
              </w:rPr>
            </w:pPr>
            <w:r w:rsidRPr="00D566E2">
              <w:rPr>
                <w:rFonts w:ascii="Calibri" w:hAnsi="Calibri" w:cs="Calibri"/>
                <w:lang w:eastAsia="en-GB"/>
              </w:rPr>
              <w:t>(kWh/a)</w:t>
            </w:r>
          </w:p>
        </w:tc>
        <w:tc>
          <w:tcPr>
            <w:tcW w:w="1653" w:type="dxa"/>
            <w:shd w:val="clear" w:color="auto" w:fill="auto"/>
            <w:noWrap/>
            <w:vAlign w:val="center"/>
          </w:tcPr>
          <w:p w14:paraId="4AA0E616" w14:textId="1CD15C58" w:rsidR="00503751" w:rsidRPr="00D566E2" w:rsidRDefault="00503751" w:rsidP="0061598F">
            <w:pPr>
              <w:tabs>
                <w:tab w:val="decimal" w:pos="1058"/>
              </w:tabs>
              <w:jc w:val="left"/>
              <w:rPr>
                <w:rFonts w:ascii="Calibri" w:hAnsi="Calibri" w:cs="Calibri"/>
                <w:lang w:eastAsia="en-GB"/>
              </w:rPr>
            </w:pPr>
            <w:r w:rsidRPr="00D566E2">
              <w:rPr>
                <w:rFonts w:ascii="Calibri" w:hAnsi="Calibri" w:cs="Calibri"/>
                <w:lang w:eastAsia="en-GB"/>
              </w:rPr>
              <w:t>250</w:t>
            </w:r>
          </w:p>
        </w:tc>
        <w:tc>
          <w:tcPr>
            <w:tcW w:w="1653" w:type="dxa"/>
            <w:shd w:val="clear" w:color="auto" w:fill="auto"/>
            <w:noWrap/>
            <w:vAlign w:val="center"/>
          </w:tcPr>
          <w:p w14:paraId="19A7A97E" w14:textId="21A9CCE6" w:rsidR="00503751" w:rsidRPr="00D566E2" w:rsidRDefault="00503751" w:rsidP="0061598F">
            <w:pPr>
              <w:tabs>
                <w:tab w:val="decimal" w:pos="1058"/>
              </w:tabs>
              <w:jc w:val="left"/>
              <w:rPr>
                <w:rFonts w:ascii="Calibri" w:hAnsi="Calibri" w:cs="Calibri"/>
                <w:lang w:eastAsia="en-GB"/>
              </w:rPr>
            </w:pPr>
            <w:r w:rsidRPr="00D566E2">
              <w:rPr>
                <w:rFonts w:ascii="Calibri" w:hAnsi="Calibri" w:cs="Calibri"/>
                <w:lang w:eastAsia="en-GB"/>
              </w:rPr>
              <w:t>280</w:t>
            </w:r>
          </w:p>
        </w:tc>
        <w:tc>
          <w:tcPr>
            <w:tcW w:w="1653" w:type="dxa"/>
            <w:shd w:val="clear" w:color="auto" w:fill="auto"/>
            <w:noWrap/>
            <w:vAlign w:val="center"/>
          </w:tcPr>
          <w:p w14:paraId="501E15E6" w14:textId="79ADCD81" w:rsidR="00503751" w:rsidRPr="00D566E2" w:rsidRDefault="00503751" w:rsidP="0061598F">
            <w:pPr>
              <w:tabs>
                <w:tab w:val="decimal" w:pos="1058"/>
              </w:tabs>
              <w:jc w:val="left"/>
              <w:rPr>
                <w:rFonts w:ascii="Calibri" w:hAnsi="Calibri" w:cs="Calibri"/>
                <w:lang w:eastAsia="en-GB"/>
              </w:rPr>
            </w:pPr>
            <w:r w:rsidRPr="00D566E2">
              <w:rPr>
                <w:rFonts w:ascii="Calibri" w:hAnsi="Calibri" w:cs="Calibri"/>
                <w:lang w:eastAsia="en-GB"/>
              </w:rPr>
              <w:t>140</w:t>
            </w:r>
          </w:p>
        </w:tc>
        <w:tc>
          <w:tcPr>
            <w:tcW w:w="1653" w:type="dxa"/>
            <w:shd w:val="clear" w:color="auto" w:fill="auto"/>
            <w:noWrap/>
            <w:vAlign w:val="center"/>
          </w:tcPr>
          <w:p w14:paraId="2D3AEB34" w14:textId="10C7E214" w:rsidR="00503751" w:rsidRPr="00D566E2" w:rsidRDefault="00503751" w:rsidP="0061598F">
            <w:pPr>
              <w:tabs>
                <w:tab w:val="decimal" w:pos="1058"/>
              </w:tabs>
              <w:jc w:val="left"/>
              <w:rPr>
                <w:rFonts w:ascii="Calibri" w:hAnsi="Calibri" w:cs="Calibri"/>
                <w:lang w:eastAsia="en-GB"/>
              </w:rPr>
            </w:pPr>
            <w:r w:rsidRPr="00D566E2">
              <w:rPr>
                <w:rFonts w:ascii="Calibri" w:hAnsi="Calibri" w:cs="Calibri"/>
                <w:lang w:eastAsia="en-GB"/>
              </w:rPr>
              <w:t>300</w:t>
            </w:r>
          </w:p>
        </w:tc>
        <w:tc>
          <w:tcPr>
            <w:tcW w:w="1653" w:type="dxa"/>
            <w:vAlign w:val="center"/>
          </w:tcPr>
          <w:p w14:paraId="485DEAC7" w14:textId="23102FCF" w:rsidR="00503751" w:rsidRPr="00D566E2" w:rsidRDefault="00503751" w:rsidP="0061598F">
            <w:pPr>
              <w:tabs>
                <w:tab w:val="decimal" w:pos="1058"/>
              </w:tabs>
              <w:jc w:val="left"/>
              <w:rPr>
                <w:rFonts w:ascii="Calibri" w:hAnsi="Calibri" w:cs="Calibri"/>
                <w:lang w:eastAsia="en-GB"/>
              </w:rPr>
            </w:pPr>
            <w:r w:rsidRPr="00D566E2">
              <w:rPr>
                <w:rFonts w:ascii="Calibri" w:hAnsi="Calibri" w:cs="Calibri"/>
                <w:lang w:eastAsia="en-GB"/>
              </w:rPr>
              <w:t>259</w:t>
            </w:r>
          </w:p>
        </w:tc>
      </w:tr>
      <w:bookmarkEnd w:id="1"/>
    </w:tbl>
    <w:p w14:paraId="22C8BC60" w14:textId="7EC85923" w:rsidR="00503751" w:rsidRPr="00434BDB" w:rsidRDefault="00503751" w:rsidP="00593C09">
      <w:pPr>
        <w:pStyle w:val="IIR12MainText"/>
      </w:pPr>
    </w:p>
    <w:p w14:paraId="09EF778F" w14:textId="5B0A8E2A" w:rsidR="00503751" w:rsidRPr="00434BDB" w:rsidRDefault="00503751" w:rsidP="00593C09">
      <w:pPr>
        <w:pStyle w:val="IIR12MainText"/>
      </w:pPr>
      <w:r w:rsidRPr="00434BDB">
        <w:t xml:space="preserve">Table 2 shows that current BAT products are available which fit the EU LLCC scenario, however, the products currently being sold (Table 3) use about 50% more energy than even the BAU scenario.  Although A-class fridge-freezers are available for sale from the retailer, these accounted for 1.5% of the products available whereas F-class products accounted for 80%.  According to the EPREL database, 50% of fridges, freezers and wine storage </w:t>
      </w:r>
      <w:r w:rsidR="00D205F2">
        <w:t xml:space="preserve">appliances </w:t>
      </w:r>
      <w:r w:rsidRPr="00434BDB">
        <w:t>are F label and only 0.6% are A and B label (Fig</w:t>
      </w:r>
      <w:r w:rsidR="004D50A4" w:rsidRPr="00434BDB">
        <w:t>.</w:t>
      </w:r>
      <w:r w:rsidRPr="00434BDB">
        <w:t xml:space="preserve"> 4).</w:t>
      </w:r>
    </w:p>
    <w:p w14:paraId="42CA63C5" w14:textId="59E3856F" w:rsidR="00503751" w:rsidRPr="00434BDB" w:rsidRDefault="00503751" w:rsidP="00593C09">
      <w:pPr>
        <w:pStyle w:val="IIR12MainText"/>
      </w:pPr>
      <w:r w:rsidRPr="00434BDB">
        <w:t xml:space="preserve">To follow the trajectory of the </w:t>
      </w:r>
      <w:r w:rsidR="00E76CED" w:rsidRPr="00434BDB">
        <w:t>UK</w:t>
      </w:r>
      <w:r w:rsidRPr="00434BDB">
        <w:t xml:space="preserve"> projection from 2023 and EU BAU scenario would require an average AE of approximately 160 in 2023.  For fridge-freezers this would likely require a B-class and only 0.9% of the 319 fridge-freezers on the retailer’s web site were A and B-class.  </w:t>
      </w:r>
    </w:p>
    <w:p w14:paraId="69624698" w14:textId="44A7184D" w:rsidR="00503751" w:rsidRDefault="00503751" w:rsidP="00593C09">
      <w:pPr>
        <w:pStyle w:val="IIR12MainText"/>
      </w:pPr>
      <w:r>
        <w:t>It is not clear why C and D-class chest freezers are not available in the UK (Table 2).  Also, the BAT for freezers (chest and upright) are much higher than for fridges and refrigerators.  Some of this may</w:t>
      </w:r>
      <w:r w:rsidR="00D205F2">
        <w:t xml:space="preserve"> </w:t>
      </w:r>
      <w:r>
        <w:t xml:space="preserve">be due to the </w:t>
      </w:r>
      <w:r>
        <w:lastRenderedPageBreak/>
        <w:t xml:space="preserve">calculation methodology used in creating the labels.  The label class (A to G) is related to the actual energy consumption compared to a calculated energy consumption (standard energy consumption).  This is described in detail in EUR-Lex (2009).  Based on this calculation, refrigerators with a 3-star compartment, refrigerator-freezers and upright freezers are all allowed to use more energy than chest-freezers for the same energy label classification and volume.  </w:t>
      </w:r>
    </w:p>
    <w:p w14:paraId="03B5366A" w14:textId="77777777" w:rsidR="00D205F2" w:rsidRPr="009C579E" w:rsidRDefault="00D205F2" w:rsidP="00593C09">
      <w:pPr>
        <w:pStyle w:val="IIR12MainText"/>
      </w:pPr>
      <w:r w:rsidRPr="009C579E">
        <w:t xml:space="preserve">Due to the new IEC standard (IEC, 2015) which is a requirement for the updated energy labelling Directive, chest freezers are expected to use 2% less energy and fridge-freezers 19% more energy </w:t>
      </w:r>
      <w:r>
        <w:t>than when measured by the previous standard</w:t>
      </w:r>
      <w:r w:rsidRPr="009C579E">
        <w:t xml:space="preserve"> (VHK and </w:t>
      </w:r>
      <w:proofErr w:type="spellStart"/>
      <w:r w:rsidRPr="009C579E">
        <w:t>Armines</w:t>
      </w:r>
      <w:proofErr w:type="spellEnd"/>
      <w:r w:rsidRPr="009C579E">
        <w:t>, 2016).  This will somewhat reduce the disparity between chest-freezers and fridge-freezers.</w:t>
      </w:r>
    </w:p>
    <w:p w14:paraId="7A3B20BD" w14:textId="1B0242B7" w:rsidR="00503751" w:rsidRDefault="00503751" w:rsidP="00593C09">
      <w:pPr>
        <w:pStyle w:val="IIR12MainText"/>
      </w:pPr>
      <w:r>
        <w:t xml:space="preserve">The poor efficiency of chest-freezers may also be due to commercial factors.  Chest-freezers are the least common type of the 4 appliances and according to </w:t>
      </w:r>
      <w:r w:rsidR="00E76CED">
        <w:t>UK</w:t>
      </w:r>
      <w:r>
        <w:t xml:space="preserve"> projections their market size is shrinking and the market for fridge-freezers is growing.  Therefore, there is less incentive for manufacturers to invest in energy reducing technologies</w:t>
      </w:r>
      <w:r w:rsidR="00D205F2">
        <w:t xml:space="preserve"> or optimising performance</w:t>
      </w:r>
      <w:r>
        <w:t>.</w:t>
      </w:r>
    </w:p>
    <w:p w14:paraId="40EE18FB" w14:textId="391245CE" w:rsidR="004D50A4" w:rsidRPr="00347121" w:rsidRDefault="004D50A4" w:rsidP="00164CEB">
      <w:pPr>
        <w:pStyle w:val="IIR10Level2Headingforsub-sections"/>
      </w:pPr>
      <w:r w:rsidRPr="00347121">
        <w:t>Professional</w:t>
      </w:r>
    </w:p>
    <w:p w14:paraId="09412882" w14:textId="43CB38B7" w:rsidR="004D50A4" w:rsidRDefault="004D50A4" w:rsidP="00593C09">
      <w:pPr>
        <w:pStyle w:val="IIR12MainText"/>
      </w:pPr>
      <w:r>
        <w:t>3.2.1</w:t>
      </w:r>
      <w:r>
        <w:tab/>
      </w:r>
      <w:r w:rsidR="00E3001E">
        <w:t>Eco-design</w:t>
      </w:r>
      <w:r>
        <w:t xml:space="preserve"> projections</w:t>
      </w:r>
    </w:p>
    <w:p w14:paraId="23BBB61B" w14:textId="665C0B97" w:rsidR="004D50A4" w:rsidRDefault="004D50A4" w:rsidP="00593C09">
      <w:pPr>
        <w:pStyle w:val="IIR12MainText"/>
      </w:pPr>
      <w:r>
        <w:t>The most recent Eco</w:t>
      </w:r>
      <w:r w:rsidR="00E3001E">
        <w:t>-</w:t>
      </w:r>
      <w:r>
        <w:t xml:space="preserve">design study for the European Commission (Kenma et al., 2022) </w:t>
      </w:r>
      <w:r w:rsidR="009A2B81">
        <w:t xml:space="preserve">presents </w:t>
      </w:r>
      <w:r>
        <w:t xml:space="preserve">professional refrigeration energy consumption projected to 2050 for 4 main types of cabinet (Table 4).  </w:t>
      </w:r>
      <w:r w:rsidR="008F3D46">
        <w:t xml:space="preserve">Products </w:t>
      </w:r>
      <w:r>
        <w:t xml:space="preserve">are categorised as chilled vertical (CV), frozen vertical (FV), chilled horizonal (CH) and frozen horizontal (FH), where horizontal includes counter and under counter.  </w:t>
      </w:r>
      <w:r w:rsidR="00E3001E">
        <w:t>Total energy consumption</w:t>
      </w:r>
      <w:r>
        <w:t xml:space="preserve"> for the UK was calculated on a pro rata population basis.  </w:t>
      </w:r>
    </w:p>
    <w:p w14:paraId="7345EA18" w14:textId="11B047DD" w:rsidR="004D50A4" w:rsidRPr="004D50A4" w:rsidRDefault="004D50A4" w:rsidP="00347121">
      <w:pPr>
        <w:pStyle w:val="IIR13TableCaption"/>
      </w:pPr>
      <w:r w:rsidRPr="004D50A4">
        <w:t>Table 4.  Total energy consumption of the 4 types of professional refrigeration in the UK projected to 2050 (TWh/a).</w:t>
      </w:r>
    </w:p>
    <w:tbl>
      <w:tblPr>
        <w:tblStyle w:val="TableGrid"/>
        <w:tblW w:w="0" w:type="auto"/>
        <w:jc w:val="center"/>
        <w:tblLook w:val="04A0" w:firstRow="1" w:lastRow="0" w:firstColumn="1" w:lastColumn="0" w:noHBand="0" w:noVBand="1"/>
      </w:tblPr>
      <w:tblGrid>
        <w:gridCol w:w="959"/>
        <w:gridCol w:w="1276"/>
        <w:gridCol w:w="1412"/>
        <w:gridCol w:w="1474"/>
        <w:gridCol w:w="1417"/>
      </w:tblGrid>
      <w:tr w:rsidR="004D50A4" w:rsidRPr="000A44E6" w14:paraId="41FDCBA5" w14:textId="77777777" w:rsidTr="0061598F">
        <w:trPr>
          <w:jc w:val="center"/>
        </w:trPr>
        <w:tc>
          <w:tcPr>
            <w:tcW w:w="959" w:type="dxa"/>
          </w:tcPr>
          <w:p w14:paraId="4F971366" w14:textId="77777777" w:rsidR="004D50A4" w:rsidRDefault="004D50A4" w:rsidP="0061598F">
            <w:pPr>
              <w:spacing w:before="60" w:after="60"/>
              <w:rPr>
                <w:rFonts w:ascii="Calibri" w:hAnsi="Calibri" w:cs="Calibri"/>
                <w:color w:val="000000"/>
              </w:rPr>
            </w:pPr>
          </w:p>
        </w:tc>
        <w:tc>
          <w:tcPr>
            <w:tcW w:w="1276" w:type="dxa"/>
            <w:vAlign w:val="bottom"/>
          </w:tcPr>
          <w:p w14:paraId="71D016B4" w14:textId="77777777" w:rsidR="004D50A4" w:rsidRPr="000A44E6" w:rsidRDefault="004D50A4" w:rsidP="0061598F">
            <w:pPr>
              <w:spacing w:before="60" w:after="60"/>
              <w:jc w:val="center"/>
            </w:pPr>
            <w:r>
              <w:rPr>
                <w:rFonts w:ascii="Calibri" w:hAnsi="Calibri" w:cs="Calibri"/>
                <w:color w:val="000000"/>
              </w:rPr>
              <w:t>2020</w:t>
            </w:r>
          </w:p>
        </w:tc>
        <w:tc>
          <w:tcPr>
            <w:tcW w:w="1412" w:type="dxa"/>
            <w:vAlign w:val="bottom"/>
          </w:tcPr>
          <w:p w14:paraId="5703F1BF" w14:textId="77777777" w:rsidR="004D50A4" w:rsidRPr="000A44E6" w:rsidRDefault="004D50A4" w:rsidP="0061598F">
            <w:pPr>
              <w:spacing w:before="60" w:after="60"/>
              <w:jc w:val="center"/>
            </w:pPr>
            <w:r>
              <w:rPr>
                <w:rFonts w:ascii="Calibri" w:hAnsi="Calibri" w:cs="Calibri"/>
                <w:color w:val="000000"/>
              </w:rPr>
              <w:t>2025</w:t>
            </w:r>
          </w:p>
        </w:tc>
        <w:tc>
          <w:tcPr>
            <w:tcW w:w="1474" w:type="dxa"/>
            <w:vAlign w:val="bottom"/>
          </w:tcPr>
          <w:p w14:paraId="4D5E1E0D" w14:textId="77777777" w:rsidR="004D50A4" w:rsidRPr="000A44E6" w:rsidRDefault="004D50A4" w:rsidP="0061598F">
            <w:pPr>
              <w:spacing w:before="60" w:after="60"/>
              <w:jc w:val="center"/>
            </w:pPr>
            <w:r>
              <w:rPr>
                <w:rFonts w:ascii="Calibri" w:hAnsi="Calibri" w:cs="Calibri"/>
                <w:color w:val="000000"/>
              </w:rPr>
              <w:t>2030</w:t>
            </w:r>
          </w:p>
        </w:tc>
        <w:tc>
          <w:tcPr>
            <w:tcW w:w="1417" w:type="dxa"/>
            <w:vAlign w:val="bottom"/>
          </w:tcPr>
          <w:p w14:paraId="2EB3C79E" w14:textId="77777777" w:rsidR="004D50A4" w:rsidRPr="000A44E6" w:rsidRDefault="004D50A4" w:rsidP="0061598F">
            <w:pPr>
              <w:spacing w:before="60" w:after="60"/>
              <w:jc w:val="center"/>
            </w:pPr>
            <w:r>
              <w:rPr>
                <w:rFonts w:ascii="Calibri" w:hAnsi="Calibri" w:cs="Calibri"/>
                <w:color w:val="000000"/>
              </w:rPr>
              <w:t>2050</w:t>
            </w:r>
          </w:p>
        </w:tc>
      </w:tr>
      <w:tr w:rsidR="004D50A4" w:rsidRPr="000A44E6" w14:paraId="5EFFF28E" w14:textId="77777777" w:rsidTr="0061598F">
        <w:trPr>
          <w:jc w:val="center"/>
        </w:trPr>
        <w:tc>
          <w:tcPr>
            <w:tcW w:w="959" w:type="dxa"/>
            <w:vAlign w:val="bottom"/>
          </w:tcPr>
          <w:p w14:paraId="407A4B37" w14:textId="77777777" w:rsidR="004D50A4" w:rsidRDefault="004D50A4" w:rsidP="0061598F">
            <w:pPr>
              <w:spacing w:before="60" w:after="60"/>
              <w:rPr>
                <w:rFonts w:ascii="Calibri" w:hAnsi="Calibri" w:cs="Calibri"/>
                <w:color w:val="000000"/>
              </w:rPr>
            </w:pPr>
            <w:r>
              <w:rPr>
                <w:rFonts w:ascii="Calibri" w:hAnsi="Calibri" w:cs="Calibri"/>
                <w:color w:val="000000"/>
              </w:rPr>
              <w:t>CV</w:t>
            </w:r>
          </w:p>
        </w:tc>
        <w:tc>
          <w:tcPr>
            <w:tcW w:w="1276" w:type="dxa"/>
            <w:vAlign w:val="bottom"/>
          </w:tcPr>
          <w:p w14:paraId="2EA44164" w14:textId="77777777" w:rsidR="004D50A4" w:rsidRDefault="004D50A4" w:rsidP="0061598F">
            <w:pPr>
              <w:tabs>
                <w:tab w:val="decimal" w:pos="510"/>
              </w:tabs>
              <w:spacing w:before="60" w:after="60"/>
              <w:rPr>
                <w:rFonts w:ascii="Calibri" w:hAnsi="Calibri" w:cs="Calibri"/>
                <w:color w:val="000000"/>
              </w:rPr>
            </w:pPr>
            <w:r>
              <w:rPr>
                <w:rFonts w:ascii="Calibri" w:hAnsi="Calibri" w:cs="Calibri"/>
                <w:color w:val="000000"/>
              </w:rPr>
              <w:t>0.27</w:t>
            </w:r>
          </w:p>
        </w:tc>
        <w:tc>
          <w:tcPr>
            <w:tcW w:w="1412" w:type="dxa"/>
            <w:vAlign w:val="bottom"/>
          </w:tcPr>
          <w:p w14:paraId="6E6D6CF2"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0.21</w:t>
            </w:r>
          </w:p>
        </w:tc>
        <w:tc>
          <w:tcPr>
            <w:tcW w:w="1474" w:type="dxa"/>
            <w:vAlign w:val="bottom"/>
          </w:tcPr>
          <w:p w14:paraId="76F97506"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0.21</w:t>
            </w:r>
          </w:p>
        </w:tc>
        <w:tc>
          <w:tcPr>
            <w:tcW w:w="1417" w:type="dxa"/>
            <w:vAlign w:val="bottom"/>
          </w:tcPr>
          <w:p w14:paraId="5B0B63C9"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0.24</w:t>
            </w:r>
          </w:p>
        </w:tc>
      </w:tr>
      <w:tr w:rsidR="004D50A4" w:rsidRPr="000A44E6" w14:paraId="21EB3A4B" w14:textId="77777777" w:rsidTr="0061598F">
        <w:trPr>
          <w:jc w:val="center"/>
        </w:trPr>
        <w:tc>
          <w:tcPr>
            <w:tcW w:w="959" w:type="dxa"/>
            <w:vAlign w:val="bottom"/>
          </w:tcPr>
          <w:p w14:paraId="1C0917F1" w14:textId="77777777" w:rsidR="004D50A4" w:rsidRDefault="004D50A4" w:rsidP="0061598F">
            <w:pPr>
              <w:spacing w:before="60" w:after="60"/>
              <w:rPr>
                <w:rFonts w:ascii="Calibri" w:hAnsi="Calibri" w:cs="Calibri"/>
                <w:color w:val="000000"/>
              </w:rPr>
            </w:pPr>
            <w:r>
              <w:rPr>
                <w:rFonts w:ascii="Calibri" w:hAnsi="Calibri" w:cs="Calibri"/>
                <w:color w:val="000000"/>
              </w:rPr>
              <w:t>FV</w:t>
            </w:r>
          </w:p>
        </w:tc>
        <w:tc>
          <w:tcPr>
            <w:tcW w:w="1276" w:type="dxa"/>
            <w:vAlign w:val="bottom"/>
          </w:tcPr>
          <w:p w14:paraId="23E830AD" w14:textId="77777777" w:rsidR="004D50A4" w:rsidRDefault="004D50A4" w:rsidP="0061598F">
            <w:pPr>
              <w:tabs>
                <w:tab w:val="decimal" w:pos="510"/>
              </w:tabs>
              <w:spacing w:before="60" w:after="60"/>
              <w:rPr>
                <w:rFonts w:ascii="Calibri" w:hAnsi="Calibri" w:cs="Calibri"/>
                <w:color w:val="000000"/>
              </w:rPr>
            </w:pPr>
            <w:r>
              <w:rPr>
                <w:rFonts w:ascii="Calibri" w:hAnsi="Calibri" w:cs="Calibri"/>
                <w:color w:val="000000"/>
              </w:rPr>
              <w:t>0.31</w:t>
            </w:r>
          </w:p>
        </w:tc>
        <w:tc>
          <w:tcPr>
            <w:tcW w:w="1412" w:type="dxa"/>
            <w:vAlign w:val="bottom"/>
          </w:tcPr>
          <w:p w14:paraId="1DA01233"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0.25</w:t>
            </w:r>
          </w:p>
        </w:tc>
        <w:tc>
          <w:tcPr>
            <w:tcW w:w="1474" w:type="dxa"/>
            <w:vAlign w:val="bottom"/>
          </w:tcPr>
          <w:p w14:paraId="20E6EE98"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0.24</w:t>
            </w:r>
          </w:p>
        </w:tc>
        <w:tc>
          <w:tcPr>
            <w:tcW w:w="1417" w:type="dxa"/>
            <w:vAlign w:val="bottom"/>
          </w:tcPr>
          <w:p w14:paraId="565BFC4F"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0.27</w:t>
            </w:r>
          </w:p>
        </w:tc>
      </w:tr>
      <w:tr w:rsidR="004D50A4" w:rsidRPr="000A44E6" w14:paraId="1C3F8D17" w14:textId="77777777" w:rsidTr="0061598F">
        <w:trPr>
          <w:jc w:val="center"/>
        </w:trPr>
        <w:tc>
          <w:tcPr>
            <w:tcW w:w="959" w:type="dxa"/>
            <w:vAlign w:val="bottom"/>
          </w:tcPr>
          <w:p w14:paraId="58280FAF" w14:textId="77777777" w:rsidR="004D50A4" w:rsidRDefault="004D50A4" w:rsidP="0061598F">
            <w:pPr>
              <w:spacing w:before="60" w:after="60"/>
              <w:rPr>
                <w:rFonts w:ascii="Calibri" w:hAnsi="Calibri" w:cs="Calibri"/>
                <w:color w:val="000000"/>
              </w:rPr>
            </w:pPr>
            <w:r>
              <w:rPr>
                <w:rFonts w:ascii="Calibri" w:hAnsi="Calibri" w:cs="Calibri"/>
                <w:color w:val="000000"/>
              </w:rPr>
              <w:t>CH</w:t>
            </w:r>
          </w:p>
        </w:tc>
        <w:tc>
          <w:tcPr>
            <w:tcW w:w="1276" w:type="dxa"/>
            <w:vAlign w:val="bottom"/>
          </w:tcPr>
          <w:p w14:paraId="13EE8E82" w14:textId="77777777" w:rsidR="004D50A4" w:rsidRDefault="004D50A4" w:rsidP="0061598F">
            <w:pPr>
              <w:tabs>
                <w:tab w:val="decimal" w:pos="510"/>
              </w:tabs>
              <w:spacing w:before="60" w:after="60"/>
              <w:rPr>
                <w:rFonts w:ascii="Calibri" w:hAnsi="Calibri" w:cs="Calibri"/>
                <w:color w:val="000000"/>
              </w:rPr>
            </w:pPr>
            <w:r>
              <w:rPr>
                <w:rFonts w:ascii="Calibri" w:hAnsi="Calibri" w:cs="Calibri"/>
                <w:color w:val="000000"/>
              </w:rPr>
              <w:t>0.21</w:t>
            </w:r>
          </w:p>
        </w:tc>
        <w:tc>
          <w:tcPr>
            <w:tcW w:w="1412" w:type="dxa"/>
            <w:vAlign w:val="bottom"/>
          </w:tcPr>
          <w:p w14:paraId="41DDD436"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0.17</w:t>
            </w:r>
          </w:p>
        </w:tc>
        <w:tc>
          <w:tcPr>
            <w:tcW w:w="1474" w:type="dxa"/>
            <w:vAlign w:val="bottom"/>
          </w:tcPr>
          <w:p w14:paraId="7623044A"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0.16</w:t>
            </w:r>
          </w:p>
        </w:tc>
        <w:tc>
          <w:tcPr>
            <w:tcW w:w="1417" w:type="dxa"/>
            <w:vAlign w:val="bottom"/>
          </w:tcPr>
          <w:p w14:paraId="38688192"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0.20</w:t>
            </w:r>
          </w:p>
        </w:tc>
      </w:tr>
      <w:tr w:rsidR="004D50A4" w:rsidRPr="000A44E6" w14:paraId="11AB76DA" w14:textId="77777777" w:rsidTr="0061598F">
        <w:trPr>
          <w:jc w:val="center"/>
        </w:trPr>
        <w:tc>
          <w:tcPr>
            <w:tcW w:w="959" w:type="dxa"/>
            <w:vAlign w:val="bottom"/>
          </w:tcPr>
          <w:p w14:paraId="4D147708" w14:textId="77777777" w:rsidR="004D50A4" w:rsidRDefault="004D50A4" w:rsidP="0061598F">
            <w:pPr>
              <w:spacing w:before="60" w:after="60"/>
              <w:rPr>
                <w:rFonts w:ascii="Calibri" w:hAnsi="Calibri" w:cs="Calibri"/>
                <w:color w:val="000000"/>
              </w:rPr>
            </w:pPr>
            <w:r>
              <w:rPr>
                <w:rFonts w:ascii="Calibri" w:hAnsi="Calibri" w:cs="Calibri"/>
                <w:color w:val="000000"/>
              </w:rPr>
              <w:t>FH</w:t>
            </w:r>
          </w:p>
        </w:tc>
        <w:tc>
          <w:tcPr>
            <w:tcW w:w="1276" w:type="dxa"/>
            <w:vAlign w:val="bottom"/>
          </w:tcPr>
          <w:p w14:paraId="25275948" w14:textId="77777777" w:rsidR="004D50A4" w:rsidRDefault="004D50A4" w:rsidP="0061598F">
            <w:pPr>
              <w:tabs>
                <w:tab w:val="decimal" w:pos="510"/>
              </w:tabs>
              <w:spacing w:before="60" w:after="60"/>
              <w:rPr>
                <w:rFonts w:ascii="Calibri" w:hAnsi="Calibri" w:cs="Calibri"/>
                <w:color w:val="000000"/>
              </w:rPr>
            </w:pPr>
            <w:r>
              <w:rPr>
                <w:rFonts w:ascii="Calibri" w:hAnsi="Calibri" w:cs="Calibri"/>
                <w:color w:val="000000"/>
              </w:rPr>
              <w:t>0.13</w:t>
            </w:r>
          </w:p>
        </w:tc>
        <w:tc>
          <w:tcPr>
            <w:tcW w:w="1412" w:type="dxa"/>
            <w:vAlign w:val="bottom"/>
          </w:tcPr>
          <w:p w14:paraId="7198DDCB"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0.09</w:t>
            </w:r>
          </w:p>
        </w:tc>
        <w:tc>
          <w:tcPr>
            <w:tcW w:w="1474" w:type="dxa"/>
            <w:vAlign w:val="bottom"/>
          </w:tcPr>
          <w:p w14:paraId="1081AF42"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0.09</w:t>
            </w:r>
          </w:p>
        </w:tc>
        <w:tc>
          <w:tcPr>
            <w:tcW w:w="1417" w:type="dxa"/>
            <w:vAlign w:val="bottom"/>
          </w:tcPr>
          <w:p w14:paraId="5A2D29DA" w14:textId="77777777" w:rsidR="004D50A4" w:rsidRDefault="004D50A4" w:rsidP="0061598F">
            <w:pPr>
              <w:tabs>
                <w:tab w:val="decimal" w:pos="559"/>
              </w:tabs>
              <w:spacing w:before="60" w:after="60"/>
              <w:rPr>
                <w:rFonts w:ascii="Calibri" w:hAnsi="Calibri" w:cs="Calibri"/>
                <w:color w:val="000000"/>
              </w:rPr>
            </w:pPr>
            <w:r>
              <w:rPr>
                <w:rFonts w:ascii="Calibri" w:hAnsi="Calibri" w:cs="Calibri"/>
                <w:color w:val="000000"/>
              </w:rPr>
              <w:t>0.10</w:t>
            </w:r>
          </w:p>
        </w:tc>
      </w:tr>
      <w:tr w:rsidR="004D50A4" w:rsidRPr="008F3D46" w14:paraId="25410D8A" w14:textId="77777777" w:rsidTr="0061598F">
        <w:trPr>
          <w:jc w:val="center"/>
        </w:trPr>
        <w:tc>
          <w:tcPr>
            <w:tcW w:w="959" w:type="dxa"/>
          </w:tcPr>
          <w:p w14:paraId="79FB36D3" w14:textId="77777777" w:rsidR="004D50A4" w:rsidRPr="00923DF4" w:rsidRDefault="004D50A4" w:rsidP="0061598F">
            <w:pPr>
              <w:spacing w:before="60" w:after="60"/>
              <w:rPr>
                <w:rFonts w:ascii="Calibri" w:hAnsi="Calibri" w:cs="Calibri"/>
                <w:b/>
                <w:bCs/>
                <w:color w:val="000000"/>
              </w:rPr>
            </w:pPr>
            <w:r w:rsidRPr="00923DF4">
              <w:rPr>
                <w:rFonts w:ascii="Calibri" w:hAnsi="Calibri" w:cs="Calibri"/>
                <w:b/>
                <w:bCs/>
                <w:color w:val="000000"/>
              </w:rPr>
              <w:t>Total</w:t>
            </w:r>
          </w:p>
        </w:tc>
        <w:tc>
          <w:tcPr>
            <w:tcW w:w="1276" w:type="dxa"/>
            <w:vAlign w:val="bottom"/>
          </w:tcPr>
          <w:p w14:paraId="35732E3F" w14:textId="77777777" w:rsidR="004D50A4" w:rsidRPr="00923DF4" w:rsidRDefault="004D50A4" w:rsidP="0061598F">
            <w:pPr>
              <w:tabs>
                <w:tab w:val="decimal" w:pos="510"/>
              </w:tabs>
              <w:spacing w:before="60" w:after="60"/>
              <w:rPr>
                <w:b/>
                <w:bCs/>
              </w:rPr>
            </w:pPr>
            <w:r w:rsidRPr="00923DF4">
              <w:rPr>
                <w:rFonts w:ascii="Calibri" w:hAnsi="Calibri" w:cs="Calibri"/>
                <w:b/>
                <w:bCs/>
                <w:color w:val="000000"/>
              </w:rPr>
              <w:t>0.93</w:t>
            </w:r>
          </w:p>
        </w:tc>
        <w:tc>
          <w:tcPr>
            <w:tcW w:w="1412" w:type="dxa"/>
            <w:vAlign w:val="bottom"/>
          </w:tcPr>
          <w:p w14:paraId="1EC1E874" w14:textId="77777777" w:rsidR="004D50A4" w:rsidRPr="00923DF4" w:rsidRDefault="004D50A4" w:rsidP="0061598F">
            <w:pPr>
              <w:tabs>
                <w:tab w:val="decimal" w:pos="559"/>
              </w:tabs>
              <w:spacing w:before="60" w:after="60"/>
              <w:rPr>
                <w:b/>
                <w:bCs/>
              </w:rPr>
            </w:pPr>
            <w:r w:rsidRPr="00923DF4">
              <w:rPr>
                <w:rFonts w:ascii="Calibri" w:hAnsi="Calibri" w:cs="Calibri"/>
                <w:b/>
                <w:bCs/>
                <w:color w:val="000000"/>
              </w:rPr>
              <w:t>0.72</w:t>
            </w:r>
          </w:p>
        </w:tc>
        <w:tc>
          <w:tcPr>
            <w:tcW w:w="1474" w:type="dxa"/>
            <w:vAlign w:val="bottom"/>
          </w:tcPr>
          <w:p w14:paraId="0FFF5B26" w14:textId="77777777" w:rsidR="004D50A4" w:rsidRPr="00923DF4" w:rsidRDefault="004D50A4" w:rsidP="0061598F">
            <w:pPr>
              <w:tabs>
                <w:tab w:val="decimal" w:pos="559"/>
              </w:tabs>
              <w:spacing w:before="60" w:after="60"/>
              <w:rPr>
                <w:b/>
                <w:bCs/>
              </w:rPr>
            </w:pPr>
            <w:r w:rsidRPr="00923DF4">
              <w:rPr>
                <w:rFonts w:ascii="Calibri" w:hAnsi="Calibri" w:cs="Calibri"/>
                <w:b/>
                <w:bCs/>
                <w:color w:val="000000"/>
              </w:rPr>
              <w:t>0.69</w:t>
            </w:r>
          </w:p>
        </w:tc>
        <w:tc>
          <w:tcPr>
            <w:tcW w:w="1417" w:type="dxa"/>
            <w:vAlign w:val="bottom"/>
          </w:tcPr>
          <w:p w14:paraId="52586C56" w14:textId="77777777" w:rsidR="004D50A4" w:rsidRPr="00923DF4" w:rsidRDefault="004D50A4" w:rsidP="0061598F">
            <w:pPr>
              <w:tabs>
                <w:tab w:val="decimal" w:pos="559"/>
              </w:tabs>
              <w:spacing w:before="60" w:after="60"/>
              <w:rPr>
                <w:b/>
                <w:bCs/>
              </w:rPr>
            </w:pPr>
            <w:r w:rsidRPr="00923DF4">
              <w:rPr>
                <w:rFonts w:ascii="Calibri" w:hAnsi="Calibri" w:cs="Calibri"/>
                <w:b/>
                <w:bCs/>
                <w:color w:val="000000"/>
              </w:rPr>
              <w:t>0.81</w:t>
            </w:r>
          </w:p>
        </w:tc>
      </w:tr>
    </w:tbl>
    <w:p w14:paraId="1F53A027" w14:textId="77777777" w:rsidR="004D50A4" w:rsidRDefault="004D50A4" w:rsidP="00593C09">
      <w:pPr>
        <w:pStyle w:val="IIR12MainText"/>
      </w:pPr>
    </w:p>
    <w:p w14:paraId="6633C6EA" w14:textId="38122D63" w:rsidR="004D50A4" w:rsidRDefault="004D50A4" w:rsidP="00593C09">
      <w:pPr>
        <w:pStyle w:val="IIR12MainText"/>
      </w:pPr>
      <w:r>
        <w:t>Table 5 shows the energy efficiency index (EEI) and energy label classes of the 4 products</w:t>
      </w:r>
      <w:r w:rsidR="00E3001E">
        <w:t>.</w:t>
      </w:r>
    </w:p>
    <w:p w14:paraId="086BCE63" w14:textId="3005731C" w:rsidR="004D50A4" w:rsidRPr="004D50A4" w:rsidRDefault="004D50A4" w:rsidP="00347121">
      <w:pPr>
        <w:pStyle w:val="IIR13TableCaption"/>
      </w:pPr>
      <w:r w:rsidRPr="004D50A4">
        <w:t>Table 5.  EEI and energy label class of professional refrigeration in the UK</w:t>
      </w:r>
    </w:p>
    <w:tbl>
      <w:tblPr>
        <w:tblStyle w:val="TableGrid"/>
        <w:tblW w:w="0" w:type="auto"/>
        <w:jc w:val="center"/>
        <w:tblLook w:val="04A0" w:firstRow="1" w:lastRow="0" w:firstColumn="1" w:lastColumn="0" w:noHBand="0" w:noVBand="1"/>
      </w:tblPr>
      <w:tblGrid>
        <w:gridCol w:w="1186"/>
        <w:gridCol w:w="1786"/>
        <w:gridCol w:w="1224"/>
        <w:gridCol w:w="1260"/>
      </w:tblGrid>
      <w:tr w:rsidR="004D50A4" w:rsidRPr="000A44E6" w14:paraId="7DAB9418" w14:textId="77777777" w:rsidTr="00923DF4">
        <w:trPr>
          <w:jc w:val="center"/>
        </w:trPr>
        <w:tc>
          <w:tcPr>
            <w:tcW w:w="1186" w:type="dxa"/>
          </w:tcPr>
          <w:p w14:paraId="2AD9515B" w14:textId="77777777" w:rsidR="004D50A4" w:rsidRDefault="004D50A4" w:rsidP="0061598F">
            <w:pPr>
              <w:rPr>
                <w:rFonts w:ascii="Calibri" w:hAnsi="Calibri" w:cs="Calibri"/>
                <w:color w:val="000000"/>
              </w:rPr>
            </w:pPr>
          </w:p>
        </w:tc>
        <w:tc>
          <w:tcPr>
            <w:tcW w:w="1786" w:type="dxa"/>
            <w:vAlign w:val="bottom"/>
          </w:tcPr>
          <w:p w14:paraId="6E12DC09" w14:textId="77777777" w:rsidR="004D50A4" w:rsidRDefault="004D50A4" w:rsidP="00923DF4">
            <w:pPr>
              <w:jc w:val="center"/>
              <w:rPr>
                <w:rFonts w:ascii="Calibri" w:hAnsi="Calibri" w:cs="Calibri"/>
                <w:color w:val="000000"/>
              </w:rPr>
            </w:pPr>
            <w:r>
              <w:rPr>
                <w:rFonts w:ascii="Calibri" w:hAnsi="Calibri" w:cs="Calibri"/>
                <w:color w:val="000000"/>
              </w:rPr>
              <w:t>Sales:</w:t>
            </w:r>
          </w:p>
          <w:p w14:paraId="64902626" w14:textId="77777777" w:rsidR="004D50A4" w:rsidRDefault="004D50A4" w:rsidP="00923DF4">
            <w:pPr>
              <w:jc w:val="center"/>
              <w:rPr>
                <w:rFonts w:ascii="Calibri" w:hAnsi="Calibri" w:cs="Calibri"/>
                <w:color w:val="000000"/>
              </w:rPr>
            </w:pPr>
            <w:r>
              <w:rPr>
                <w:rFonts w:ascii="Calibri" w:hAnsi="Calibri" w:cs="Calibri"/>
                <w:color w:val="000000"/>
              </w:rPr>
              <w:t>EEI (label)</w:t>
            </w:r>
          </w:p>
        </w:tc>
        <w:tc>
          <w:tcPr>
            <w:tcW w:w="2484" w:type="dxa"/>
            <w:gridSpan w:val="2"/>
            <w:vAlign w:val="bottom"/>
          </w:tcPr>
          <w:p w14:paraId="09147AC4" w14:textId="77777777" w:rsidR="004D50A4" w:rsidRDefault="004D50A4" w:rsidP="00923DF4">
            <w:pPr>
              <w:jc w:val="center"/>
              <w:rPr>
                <w:rFonts w:ascii="Calibri" w:hAnsi="Calibri" w:cs="Calibri"/>
                <w:color w:val="000000"/>
              </w:rPr>
            </w:pPr>
            <w:r>
              <w:rPr>
                <w:rFonts w:ascii="Calibri" w:hAnsi="Calibri" w:cs="Calibri"/>
                <w:color w:val="000000"/>
              </w:rPr>
              <w:t>Stock:</w:t>
            </w:r>
          </w:p>
          <w:p w14:paraId="71B66773" w14:textId="77777777" w:rsidR="004D50A4" w:rsidRDefault="004D50A4" w:rsidP="00923DF4">
            <w:pPr>
              <w:jc w:val="center"/>
              <w:rPr>
                <w:rFonts w:ascii="Calibri" w:hAnsi="Calibri" w:cs="Calibri"/>
                <w:color w:val="000000"/>
              </w:rPr>
            </w:pPr>
            <w:r>
              <w:rPr>
                <w:rFonts w:ascii="Calibri" w:hAnsi="Calibri" w:cs="Calibri"/>
                <w:color w:val="000000"/>
              </w:rPr>
              <w:t>EEI (label)</w:t>
            </w:r>
          </w:p>
        </w:tc>
      </w:tr>
      <w:tr w:rsidR="004D50A4" w:rsidRPr="000A44E6" w14:paraId="42C32A99" w14:textId="77777777" w:rsidTr="00923DF4">
        <w:trPr>
          <w:jc w:val="center"/>
        </w:trPr>
        <w:tc>
          <w:tcPr>
            <w:tcW w:w="1186" w:type="dxa"/>
          </w:tcPr>
          <w:p w14:paraId="3A5D5D85" w14:textId="77777777" w:rsidR="004D50A4" w:rsidRDefault="004D50A4" w:rsidP="0061598F">
            <w:pPr>
              <w:rPr>
                <w:rFonts w:ascii="Calibri" w:hAnsi="Calibri" w:cs="Calibri"/>
                <w:color w:val="000000"/>
              </w:rPr>
            </w:pPr>
          </w:p>
        </w:tc>
        <w:tc>
          <w:tcPr>
            <w:tcW w:w="1786" w:type="dxa"/>
            <w:vAlign w:val="bottom"/>
          </w:tcPr>
          <w:p w14:paraId="2AD99A73" w14:textId="77777777" w:rsidR="004D50A4" w:rsidRPr="000A44E6" w:rsidRDefault="004D50A4" w:rsidP="0061598F">
            <w:pPr>
              <w:jc w:val="center"/>
            </w:pPr>
            <w:r>
              <w:rPr>
                <w:rFonts w:ascii="Calibri" w:hAnsi="Calibri" w:cs="Calibri"/>
                <w:color w:val="000000"/>
              </w:rPr>
              <w:t>2020 and after</w:t>
            </w:r>
          </w:p>
        </w:tc>
        <w:tc>
          <w:tcPr>
            <w:tcW w:w="1224" w:type="dxa"/>
            <w:vAlign w:val="bottom"/>
          </w:tcPr>
          <w:p w14:paraId="7906ED2A" w14:textId="77777777" w:rsidR="004D50A4" w:rsidRPr="000A44E6" w:rsidRDefault="004D50A4" w:rsidP="0061598F">
            <w:pPr>
              <w:jc w:val="center"/>
            </w:pPr>
            <w:r>
              <w:rPr>
                <w:rFonts w:ascii="Calibri" w:hAnsi="Calibri" w:cs="Calibri"/>
                <w:color w:val="000000"/>
              </w:rPr>
              <w:t>2020</w:t>
            </w:r>
          </w:p>
        </w:tc>
        <w:tc>
          <w:tcPr>
            <w:tcW w:w="1260" w:type="dxa"/>
            <w:vAlign w:val="bottom"/>
          </w:tcPr>
          <w:p w14:paraId="19C557BA" w14:textId="77777777" w:rsidR="004D50A4" w:rsidRPr="000A44E6" w:rsidRDefault="004D50A4" w:rsidP="0061598F">
            <w:pPr>
              <w:jc w:val="center"/>
            </w:pPr>
            <w:r>
              <w:rPr>
                <w:rFonts w:ascii="Calibri" w:hAnsi="Calibri" w:cs="Calibri"/>
                <w:color w:val="000000"/>
              </w:rPr>
              <w:t>2030 +</w:t>
            </w:r>
          </w:p>
        </w:tc>
      </w:tr>
      <w:tr w:rsidR="004D50A4" w:rsidRPr="000A44E6" w14:paraId="57A6606B" w14:textId="77777777" w:rsidTr="00923DF4">
        <w:trPr>
          <w:jc w:val="center"/>
        </w:trPr>
        <w:tc>
          <w:tcPr>
            <w:tcW w:w="1186" w:type="dxa"/>
            <w:vAlign w:val="bottom"/>
          </w:tcPr>
          <w:p w14:paraId="544619FB" w14:textId="77777777" w:rsidR="004D50A4" w:rsidRDefault="004D50A4" w:rsidP="0061598F">
            <w:pPr>
              <w:rPr>
                <w:rFonts w:ascii="Calibri" w:hAnsi="Calibri" w:cs="Calibri"/>
                <w:color w:val="000000"/>
              </w:rPr>
            </w:pPr>
            <w:r>
              <w:rPr>
                <w:rFonts w:ascii="Calibri" w:hAnsi="Calibri" w:cs="Calibri"/>
                <w:color w:val="000000"/>
              </w:rPr>
              <w:t>CV</w:t>
            </w:r>
          </w:p>
        </w:tc>
        <w:tc>
          <w:tcPr>
            <w:tcW w:w="1786" w:type="dxa"/>
            <w:vAlign w:val="bottom"/>
          </w:tcPr>
          <w:p w14:paraId="205F8954" w14:textId="77777777" w:rsidR="004D50A4" w:rsidRDefault="004D50A4" w:rsidP="0061598F">
            <w:pPr>
              <w:jc w:val="center"/>
              <w:rPr>
                <w:rFonts w:ascii="Calibri" w:hAnsi="Calibri" w:cs="Calibri"/>
                <w:color w:val="000000"/>
              </w:rPr>
            </w:pPr>
            <w:r>
              <w:rPr>
                <w:rFonts w:ascii="Calibri" w:hAnsi="Calibri" w:cs="Calibri"/>
                <w:color w:val="000000"/>
              </w:rPr>
              <w:t>57 (D)</w:t>
            </w:r>
          </w:p>
        </w:tc>
        <w:tc>
          <w:tcPr>
            <w:tcW w:w="1224" w:type="dxa"/>
            <w:vAlign w:val="bottom"/>
          </w:tcPr>
          <w:p w14:paraId="0C241883" w14:textId="77777777" w:rsidR="004D50A4" w:rsidRDefault="004D50A4" w:rsidP="0061598F">
            <w:pPr>
              <w:jc w:val="center"/>
              <w:rPr>
                <w:rFonts w:ascii="Calibri" w:hAnsi="Calibri" w:cs="Calibri"/>
                <w:color w:val="000000"/>
              </w:rPr>
            </w:pPr>
            <w:r>
              <w:rPr>
                <w:rFonts w:ascii="Calibri" w:hAnsi="Calibri" w:cs="Calibri"/>
                <w:color w:val="000000"/>
              </w:rPr>
              <w:t>83 (E)</w:t>
            </w:r>
          </w:p>
        </w:tc>
        <w:tc>
          <w:tcPr>
            <w:tcW w:w="1260" w:type="dxa"/>
            <w:vAlign w:val="bottom"/>
          </w:tcPr>
          <w:p w14:paraId="5FCD0785" w14:textId="77777777" w:rsidR="004D50A4" w:rsidRDefault="004D50A4" w:rsidP="0061598F">
            <w:pPr>
              <w:jc w:val="center"/>
              <w:rPr>
                <w:rFonts w:ascii="Calibri" w:hAnsi="Calibri" w:cs="Calibri"/>
                <w:color w:val="000000"/>
              </w:rPr>
            </w:pPr>
            <w:r>
              <w:rPr>
                <w:rFonts w:ascii="Calibri" w:hAnsi="Calibri" w:cs="Calibri"/>
                <w:color w:val="000000"/>
              </w:rPr>
              <w:t>57 (D)</w:t>
            </w:r>
          </w:p>
        </w:tc>
      </w:tr>
      <w:tr w:rsidR="004D50A4" w:rsidRPr="000A44E6" w14:paraId="634C9379" w14:textId="77777777" w:rsidTr="00923DF4">
        <w:trPr>
          <w:jc w:val="center"/>
        </w:trPr>
        <w:tc>
          <w:tcPr>
            <w:tcW w:w="1186" w:type="dxa"/>
            <w:vAlign w:val="bottom"/>
          </w:tcPr>
          <w:p w14:paraId="24CDC050" w14:textId="77777777" w:rsidR="004D50A4" w:rsidRDefault="004D50A4" w:rsidP="0061598F">
            <w:pPr>
              <w:rPr>
                <w:rFonts w:ascii="Calibri" w:hAnsi="Calibri" w:cs="Calibri"/>
                <w:color w:val="000000"/>
              </w:rPr>
            </w:pPr>
            <w:r>
              <w:rPr>
                <w:rFonts w:ascii="Calibri" w:hAnsi="Calibri" w:cs="Calibri"/>
                <w:color w:val="000000"/>
              </w:rPr>
              <w:t>FV</w:t>
            </w:r>
          </w:p>
        </w:tc>
        <w:tc>
          <w:tcPr>
            <w:tcW w:w="1786" w:type="dxa"/>
            <w:vAlign w:val="bottom"/>
          </w:tcPr>
          <w:p w14:paraId="045795EE" w14:textId="77777777" w:rsidR="004D50A4" w:rsidRDefault="004D50A4" w:rsidP="0061598F">
            <w:pPr>
              <w:jc w:val="center"/>
              <w:rPr>
                <w:rFonts w:ascii="Calibri" w:hAnsi="Calibri" w:cs="Calibri"/>
                <w:color w:val="000000"/>
              </w:rPr>
            </w:pPr>
            <w:r>
              <w:rPr>
                <w:rFonts w:ascii="Calibri" w:hAnsi="Calibri" w:cs="Calibri"/>
                <w:color w:val="000000"/>
              </w:rPr>
              <w:t>53 (D)</w:t>
            </w:r>
          </w:p>
        </w:tc>
        <w:tc>
          <w:tcPr>
            <w:tcW w:w="1224" w:type="dxa"/>
            <w:vAlign w:val="bottom"/>
          </w:tcPr>
          <w:p w14:paraId="2F1F8F46" w14:textId="77777777" w:rsidR="004D50A4" w:rsidRDefault="004D50A4" w:rsidP="0061598F">
            <w:pPr>
              <w:jc w:val="center"/>
              <w:rPr>
                <w:rFonts w:ascii="Calibri" w:hAnsi="Calibri" w:cs="Calibri"/>
                <w:color w:val="000000"/>
              </w:rPr>
            </w:pPr>
            <w:r>
              <w:rPr>
                <w:rFonts w:ascii="Calibri" w:hAnsi="Calibri" w:cs="Calibri"/>
                <w:color w:val="000000"/>
              </w:rPr>
              <w:t>79 (E)</w:t>
            </w:r>
          </w:p>
        </w:tc>
        <w:tc>
          <w:tcPr>
            <w:tcW w:w="1260" w:type="dxa"/>
            <w:vAlign w:val="bottom"/>
          </w:tcPr>
          <w:p w14:paraId="68C832AA" w14:textId="77777777" w:rsidR="004D50A4" w:rsidRDefault="004D50A4" w:rsidP="0061598F">
            <w:pPr>
              <w:jc w:val="center"/>
              <w:rPr>
                <w:rFonts w:ascii="Calibri" w:hAnsi="Calibri" w:cs="Calibri"/>
                <w:color w:val="000000"/>
              </w:rPr>
            </w:pPr>
            <w:r>
              <w:rPr>
                <w:rFonts w:ascii="Calibri" w:hAnsi="Calibri" w:cs="Calibri"/>
                <w:color w:val="000000"/>
              </w:rPr>
              <w:t>53 (D)</w:t>
            </w:r>
          </w:p>
        </w:tc>
      </w:tr>
      <w:tr w:rsidR="004D50A4" w:rsidRPr="000A44E6" w14:paraId="430AE868" w14:textId="77777777" w:rsidTr="00923DF4">
        <w:trPr>
          <w:jc w:val="center"/>
        </w:trPr>
        <w:tc>
          <w:tcPr>
            <w:tcW w:w="1186" w:type="dxa"/>
            <w:vAlign w:val="bottom"/>
          </w:tcPr>
          <w:p w14:paraId="0BC2827F" w14:textId="77777777" w:rsidR="004D50A4" w:rsidRDefault="004D50A4" w:rsidP="0061598F">
            <w:pPr>
              <w:rPr>
                <w:rFonts w:ascii="Calibri" w:hAnsi="Calibri" w:cs="Calibri"/>
                <w:color w:val="000000"/>
              </w:rPr>
            </w:pPr>
            <w:r>
              <w:rPr>
                <w:rFonts w:ascii="Calibri" w:hAnsi="Calibri" w:cs="Calibri"/>
                <w:color w:val="000000"/>
              </w:rPr>
              <w:t>CH</w:t>
            </w:r>
          </w:p>
        </w:tc>
        <w:tc>
          <w:tcPr>
            <w:tcW w:w="1786" w:type="dxa"/>
            <w:vAlign w:val="bottom"/>
          </w:tcPr>
          <w:p w14:paraId="4014E714" w14:textId="77777777" w:rsidR="004D50A4" w:rsidRDefault="004D50A4" w:rsidP="0061598F">
            <w:pPr>
              <w:jc w:val="center"/>
              <w:rPr>
                <w:rFonts w:ascii="Calibri" w:hAnsi="Calibri" w:cs="Calibri"/>
                <w:color w:val="000000"/>
              </w:rPr>
            </w:pPr>
            <w:r>
              <w:rPr>
                <w:rFonts w:ascii="Calibri" w:hAnsi="Calibri" w:cs="Calibri"/>
                <w:color w:val="000000"/>
              </w:rPr>
              <w:t>65 (D)</w:t>
            </w:r>
          </w:p>
        </w:tc>
        <w:tc>
          <w:tcPr>
            <w:tcW w:w="1224" w:type="dxa"/>
            <w:vAlign w:val="bottom"/>
          </w:tcPr>
          <w:p w14:paraId="7CF1B2CB" w14:textId="77777777" w:rsidR="004D50A4" w:rsidRDefault="004D50A4" w:rsidP="0061598F">
            <w:pPr>
              <w:jc w:val="center"/>
              <w:rPr>
                <w:rFonts w:ascii="Calibri" w:hAnsi="Calibri" w:cs="Calibri"/>
                <w:color w:val="000000"/>
              </w:rPr>
            </w:pPr>
            <w:r>
              <w:rPr>
                <w:rFonts w:ascii="Calibri" w:hAnsi="Calibri" w:cs="Calibri"/>
                <w:color w:val="000000"/>
              </w:rPr>
              <w:t>94 (F)</w:t>
            </w:r>
          </w:p>
        </w:tc>
        <w:tc>
          <w:tcPr>
            <w:tcW w:w="1260" w:type="dxa"/>
            <w:vAlign w:val="bottom"/>
          </w:tcPr>
          <w:p w14:paraId="5F650F5A" w14:textId="77777777" w:rsidR="004D50A4" w:rsidRDefault="004D50A4" w:rsidP="0061598F">
            <w:pPr>
              <w:jc w:val="center"/>
              <w:rPr>
                <w:rFonts w:ascii="Calibri" w:hAnsi="Calibri" w:cs="Calibri"/>
                <w:color w:val="000000"/>
              </w:rPr>
            </w:pPr>
            <w:r>
              <w:rPr>
                <w:rFonts w:ascii="Calibri" w:hAnsi="Calibri" w:cs="Calibri"/>
                <w:color w:val="000000"/>
              </w:rPr>
              <w:t>65 (D)</w:t>
            </w:r>
          </w:p>
        </w:tc>
      </w:tr>
      <w:tr w:rsidR="004D50A4" w:rsidRPr="000A44E6" w14:paraId="230AD24B" w14:textId="77777777" w:rsidTr="00923DF4">
        <w:trPr>
          <w:jc w:val="center"/>
        </w:trPr>
        <w:tc>
          <w:tcPr>
            <w:tcW w:w="1186" w:type="dxa"/>
            <w:vAlign w:val="bottom"/>
          </w:tcPr>
          <w:p w14:paraId="1482A929" w14:textId="77777777" w:rsidR="004D50A4" w:rsidRDefault="004D50A4" w:rsidP="0061598F">
            <w:pPr>
              <w:rPr>
                <w:rFonts w:ascii="Calibri" w:hAnsi="Calibri" w:cs="Calibri"/>
                <w:color w:val="000000"/>
              </w:rPr>
            </w:pPr>
            <w:r>
              <w:rPr>
                <w:rFonts w:ascii="Calibri" w:hAnsi="Calibri" w:cs="Calibri"/>
                <w:color w:val="000000"/>
              </w:rPr>
              <w:t>FH</w:t>
            </w:r>
          </w:p>
        </w:tc>
        <w:tc>
          <w:tcPr>
            <w:tcW w:w="1786" w:type="dxa"/>
            <w:vAlign w:val="bottom"/>
          </w:tcPr>
          <w:p w14:paraId="73A05964" w14:textId="77777777" w:rsidR="004D50A4" w:rsidRDefault="004D50A4" w:rsidP="0061598F">
            <w:pPr>
              <w:jc w:val="center"/>
              <w:rPr>
                <w:rFonts w:ascii="Calibri" w:hAnsi="Calibri" w:cs="Calibri"/>
                <w:color w:val="000000"/>
              </w:rPr>
            </w:pPr>
            <w:r>
              <w:rPr>
                <w:rFonts w:ascii="Calibri" w:hAnsi="Calibri" w:cs="Calibri"/>
                <w:color w:val="000000"/>
              </w:rPr>
              <w:t>61 (D)</w:t>
            </w:r>
          </w:p>
        </w:tc>
        <w:tc>
          <w:tcPr>
            <w:tcW w:w="1224" w:type="dxa"/>
            <w:vAlign w:val="bottom"/>
          </w:tcPr>
          <w:p w14:paraId="699246D0" w14:textId="77777777" w:rsidR="004D50A4" w:rsidRDefault="004D50A4" w:rsidP="0061598F">
            <w:pPr>
              <w:jc w:val="center"/>
              <w:rPr>
                <w:rFonts w:ascii="Calibri" w:hAnsi="Calibri" w:cs="Calibri"/>
                <w:color w:val="000000"/>
              </w:rPr>
            </w:pPr>
            <w:r>
              <w:rPr>
                <w:rFonts w:ascii="Calibri" w:hAnsi="Calibri" w:cs="Calibri"/>
                <w:color w:val="000000"/>
              </w:rPr>
              <w:t>91 (F)</w:t>
            </w:r>
          </w:p>
        </w:tc>
        <w:tc>
          <w:tcPr>
            <w:tcW w:w="1260" w:type="dxa"/>
            <w:vAlign w:val="bottom"/>
          </w:tcPr>
          <w:p w14:paraId="2BB39293" w14:textId="77777777" w:rsidR="004D50A4" w:rsidRDefault="004D50A4" w:rsidP="0061598F">
            <w:pPr>
              <w:jc w:val="center"/>
              <w:rPr>
                <w:rFonts w:ascii="Calibri" w:hAnsi="Calibri" w:cs="Calibri"/>
                <w:color w:val="000000"/>
              </w:rPr>
            </w:pPr>
            <w:r>
              <w:rPr>
                <w:rFonts w:ascii="Calibri" w:hAnsi="Calibri" w:cs="Calibri"/>
                <w:color w:val="000000"/>
              </w:rPr>
              <w:t>61 (D)</w:t>
            </w:r>
          </w:p>
        </w:tc>
      </w:tr>
    </w:tbl>
    <w:p w14:paraId="38CC8BAC" w14:textId="4A35AE48" w:rsidR="004D50A4" w:rsidRDefault="004D50A4" w:rsidP="00593C09">
      <w:pPr>
        <w:pStyle w:val="IIR12MainText"/>
      </w:pPr>
    </w:p>
    <w:p w14:paraId="1955B84D" w14:textId="0FFEE885" w:rsidR="004D50A4" w:rsidRDefault="004D50A4" w:rsidP="00593C09">
      <w:pPr>
        <w:pStyle w:val="IIR12MainText"/>
      </w:pPr>
      <w:r>
        <w:t xml:space="preserve">The </w:t>
      </w:r>
      <w:proofErr w:type="spellStart"/>
      <w:r>
        <w:t>Ecodesign</w:t>
      </w:r>
      <w:proofErr w:type="spellEnd"/>
      <w:r>
        <w:t xml:space="preserve"> study suggested changing the calculation of the EEI and changing the threshold for the labelling.  This revised policy change (ECO scenario) is predicted to reduce energy consumption of storage cabinets up to 2050 and is shown in Table 6 along with the current scenario (BAU scenario).  The ECO scenario is predicted to reduce emission of professional refrigeration by 19% in 2030 and 41% by 2050.  </w:t>
      </w:r>
    </w:p>
    <w:p w14:paraId="088C17ED" w14:textId="2A428C8C" w:rsidR="004D50A4" w:rsidRPr="004D50A4" w:rsidRDefault="004D50A4" w:rsidP="00347121">
      <w:pPr>
        <w:pStyle w:val="IIR13TableCaption"/>
      </w:pPr>
      <w:r w:rsidRPr="004D50A4">
        <w:lastRenderedPageBreak/>
        <w:t xml:space="preserve">Table 6.  Total </w:t>
      </w:r>
      <w:r w:rsidR="009A2B81">
        <w:t>e</w:t>
      </w:r>
      <w:r w:rsidR="009A2B81" w:rsidRPr="004D50A4">
        <w:t xml:space="preserve">nergy </w:t>
      </w:r>
      <w:r w:rsidRPr="004D50A4">
        <w:t>consumption of professional refrigeration in the UK projected to 2050 under different scenarios with approximate an approximate representative current energy label in brackets (TWh/a).</w:t>
      </w:r>
    </w:p>
    <w:tbl>
      <w:tblPr>
        <w:tblStyle w:val="TableGrid"/>
        <w:tblW w:w="0" w:type="auto"/>
        <w:jc w:val="center"/>
        <w:tblLook w:val="04A0" w:firstRow="1" w:lastRow="0" w:firstColumn="1" w:lastColumn="0" w:noHBand="0" w:noVBand="1"/>
      </w:tblPr>
      <w:tblGrid>
        <w:gridCol w:w="1107"/>
        <w:gridCol w:w="1259"/>
        <w:gridCol w:w="1275"/>
        <w:gridCol w:w="1284"/>
        <w:gridCol w:w="1287"/>
      </w:tblGrid>
      <w:tr w:rsidR="004D50A4" w:rsidRPr="000A44E6" w14:paraId="37482A66" w14:textId="77777777" w:rsidTr="0061598F">
        <w:trPr>
          <w:jc w:val="center"/>
        </w:trPr>
        <w:tc>
          <w:tcPr>
            <w:tcW w:w="1107" w:type="dxa"/>
          </w:tcPr>
          <w:p w14:paraId="22ABA3BB" w14:textId="77777777" w:rsidR="004D50A4" w:rsidRDefault="004D50A4" w:rsidP="0061598F">
            <w:pPr>
              <w:spacing w:before="60" w:after="60"/>
              <w:rPr>
                <w:rFonts w:ascii="Calibri" w:hAnsi="Calibri" w:cs="Calibri"/>
                <w:color w:val="000000"/>
              </w:rPr>
            </w:pPr>
          </w:p>
        </w:tc>
        <w:tc>
          <w:tcPr>
            <w:tcW w:w="1259" w:type="dxa"/>
            <w:vAlign w:val="bottom"/>
          </w:tcPr>
          <w:p w14:paraId="2DB50FE1" w14:textId="77777777" w:rsidR="004D50A4" w:rsidRPr="000A44E6" w:rsidRDefault="004D50A4" w:rsidP="0061598F">
            <w:pPr>
              <w:spacing w:before="60" w:after="60"/>
              <w:jc w:val="center"/>
            </w:pPr>
            <w:r>
              <w:rPr>
                <w:rFonts w:ascii="Calibri" w:hAnsi="Calibri" w:cs="Calibri"/>
                <w:color w:val="000000"/>
              </w:rPr>
              <w:t>2020</w:t>
            </w:r>
          </w:p>
        </w:tc>
        <w:tc>
          <w:tcPr>
            <w:tcW w:w="1275" w:type="dxa"/>
            <w:vAlign w:val="bottom"/>
          </w:tcPr>
          <w:p w14:paraId="162F0781" w14:textId="77777777" w:rsidR="004D50A4" w:rsidRPr="000A44E6" w:rsidRDefault="004D50A4" w:rsidP="0061598F">
            <w:pPr>
              <w:spacing w:before="60" w:after="60"/>
              <w:jc w:val="center"/>
            </w:pPr>
            <w:r>
              <w:rPr>
                <w:rFonts w:ascii="Calibri" w:hAnsi="Calibri" w:cs="Calibri"/>
                <w:color w:val="000000"/>
              </w:rPr>
              <w:t>2030</w:t>
            </w:r>
          </w:p>
        </w:tc>
        <w:tc>
          <w:tcPr>
            <w:tcW w:w="1284" w:type="dxa"/>
            <w:vAlign w:val="bottom"/>
          </w:tcPr>
          <w:p w14:paraId="253F8E65" w14:textId="77777777" w:rsidR="004D50A4" w:rsidRPr="000A44E6" w:rsidRDefault="004D50A4" w:rsidP="0061598F">
            <w:pPr>
              <w:spacing w:before="60" w:after="60"/>
              <w:jc w:val="center"/>
            </w:pPr>
            <w:r>
              <w:rPr>
                <w:rFonts w:ascii="Calibri" w:hAnsi="Calibri" w:cs="Calibri"/>
                <w:color w:val="000000"/>
              </w:rPr>
              <w:t>2040</w:t>
            </w:r>
          </w:p>
        </w:tc>
        <w:tc>
          <w:tcPr>
            <w:tcW w:w="1287" w:type="dxa"/>
            <w:vAlign w:val="bottom"/>
          </w:tcPr>
          <w:p w14:paraId="12468AD1" w14:textId="77777777" w:rsidR="004D50A4" w:rsidRPr="000A44E6" w:rsidRDefault="004D50A4" w:rsidP="0061598F">
            <w:pPr>
              <w:spacing w:before="60" w:after="60"/>
              <w:jc w:val="center"/>
            </w:pPr>
            <w:r>
              <w:rPr>
                <w:rFonts w:ascii="Calibri" w:hAnsi="Calibri" w:cs="Calibri"/>
                <w:color w:val="000000"/>
              </w:rPr>
              <w:t>2050</w:t>
            </w:r>
          </w:p>
        </w:tc>
      </w:tr>
      <w:tr w:rsidR="004D50A4" w:rsidRPr="000A44E6" w14:paraId="79A3977B" w14:textId="77777777" w:rsidTr="0061598F">
        <w:trPr>
          <w:jc w:val="center"/>
        </w:trPr>
        <w:tc>
          <w:tcPr>
            <w:tcW w:w="1107" w:type="dxa"/>
            <w:vAlign w:val="bottom"/>
          </w:tcPr>
          <w:p w14:paraId="668F66EA" w14:textId="77777777" w:rsidR="004D50A4" w:rsidRDefault="004D50A4" w:rsidP="0061598F">
            <w:pPr>
              <w:spacing w:before="60" w:after="60"/>
              <w:rPr>
                <w:rFonts w:ascii="Calibri" w:hAnsi="Calibri" w:cs="Calibri"/>
                <w:color w:val="000000"/>
              </w:rPr>
            </w:pPr>
            <w:r>
              <w:rPr>
                <w:rFonts w:ascii="Calibri" w:hAnsi="Calibri" w:cs="Calibri"/>
                <w:color w:val="000000"/>
              </w:rPr>
              <w:t>BAU</w:t>
            </w:r>
          </w:p>
        </w:tc>
        <w:tc>
          <w:tcPr>
            <w:tcW w:w="1259" w:type="dxa"/>
            <w:vAlign w:val="center"/>
          </w:tcPr>
          <w:p w14:paraId="266C1360" w14:textId="77777777" w:rsidR="004D50A4" w:rsidRDefault="004D50A4" w:rsidP="0061598F">
            <w:pPr>
              <w:spacing w:before="60" w:after="60"/>
              <w:jc w:val="center"/>
              <w:rPr>
                <w:rFonts w:ascii="Calibri" w:hAnsi="Calibri" w:cs="Calibri"/>
                <w:color w:val="000000"/>
              </w:rPr>
            </w:pPr>
            <w:r>
              <w:rPr>
                <w:rFonts w:ascii="Calibri" w:hAnsi="Calibri" w:cs="Calibri"/>
                <w:color w:val="000000"/>
              </w:rPr>
              <w:t>0.93 (F)</w:t>
            </w:r>
          </w:p>
        </w:tc>
        <w:tc>
          <w:tcPr>
            <w:tcW w:w="1275" w:type="dxa"/>
            <w:vAlign w:val="center"/>
          </w:tcPr>
          <w:p w14:paraId="1B3000BA" w14:textId="77777777" w:rsidR="004D50A4" w:rsidRDefault="004D50A4" w:rsidP="0061598F">
            <w:pPr>
              <w:spacing w:before="60" w:after="60"/>
              <w:jc w:val="center"/>
              <w:rPr>
                <w:rFonts w:ascii="Calibri" w:hAnsi="Calibri" w:cs="Calibri"/>
                <w:color w:val="000000"/>
              </w:rPr>
            </w:pPr>
            <w:r>
              <w:rPr>
                <w:rFonts w:ascii="Calibri" w:hAnsi="Calibri" w:cs="Calibri"/>
                <w:color w:val="000000"/>
              </w:rPr>
              <w:t>0.69 (D)</w:t>
            </w:r>
          </w:p>
        </w:tc>
        <w:tc>
          <w:tcPr>
            <w:tcW w:w="1284" w:type="dxa"/>
            <w:vAlign w:val="center"/>
          </w:tcPr>
          <w:p w14:paraId="1B98918D" w14:textId="77777777" w:rsidR="004D50A4" w:rsidRDefault="004D50A4" w:rsidP="0061598F">
            <w:pPr>
              <w:spacing w:before="60" w:after="60"/>
              <w:jc w:val="center"/>
              <w:rPr>
                <w:rFonts w:ascii="Calibri" w:hAnsi="Calibri" w:cs="Calibri"/>
                <w:color w:val="000000"/>
              </w:rPr>
            </w:pPr>
            <w:r>
              <w:rPr>
                <w:rFonts w:ascii="Calibri" w:hAnsi="Calibri" w:cs="Calibri"/>
                <w:color w:val="000000"/>
              </w:rPr>
              <w:t>0.76 (D)</w:t>
            </w:r>
          </w:p>
        </w:tc>
        <w:tc>
          <w:tcPr>
            <w:tcW w:w="1287" w:type="dxa"/>
            <w:vAlign w:val="center"/>
          </w:tcPr>
          <w:p w14:paraId="4714879E" w14:textId="77777777" w:rsidR="004D50A4" w:rsidRDefault="004D50A4" w:rsidP="0061598F">
            <w:pPr>
              <w:spacing w:before="60" w:after="60"/>
              <w:jc w:val="center"/>
              <w:rPr>
                <w:rFonts w:ascii="Calibri" w:hAnsi="Calibri" w:cs="Calibri"/>
                <w:color w:val="000000"/>
              </w:rPr>
            </w:pPr>
            <w:r>
              <w:rPr>
                <w:rFonts w:ascii="Calibri" w:hAnsi="Calibri" w:cs="Calibri"/>
                <w:color w:val="000000"/>
              </w:rPr>
              <w:t>0.82 (D)</w:t>
            </w:r>
          </w:p>
        </w:tc>
      </w:tr>
      <w:tr w:rsidR="004D50A4" w:rsidRPr="000A44E6" w14:paraId="30FB6B04" w14:textId="77777777" w:rsidTr="0061598F">
        <w:trPr>
          <w:jc w:val="center"/>
        </w:trPr>
        <w:tc>
          <w:tcPr>
            <w:tcW w:w="1107" w:type="dxa"/>
            <w:vAlign w:val="bottom"/>
          </w:tcPr>
          <w:p w14:paraId="13F736C8" w14:textId="77777777" w:rsidR="004D50A4" w:rsidRDefault="004D50A4" w:rsidP="0061598F">
            <w:pPr>
              <w:spacing w:before="60" w:after="60"/>
              <w:rPr>
                <w:rFonts w:ascii="Calibri" w:hAnsi="Calibri" w:cs="Calibri"/>
                <w:color w:val="000000"/>
              </w:rPr>
            </w:pPr>
            <w:r>
              <w:rPr>
                <w:rFonts w:ascii="Calibri" w:hAnsi="Calibri" w:cs="Calibri"/>
                <w:color w:val="000000"/>
              </w:rPr>
              <w:t>ECO</w:t>
            </w:r>
          </w:p>
        </w:tc>
        <w:tc>
          <w:tcPr>
            <w:tcW w:w="1259" w:type="dxa"/>
            <w:vAlign w:val="center"/>
          </w:tcPr>
          <w:p w14:paraId="0DFD5C1E" w14:textId="77777777" w:rsidR="004D50A4" w:rsidRDefault="004D50A4" w:rsidP="0061598F">
            <w:pPr>
              <w:spacing w:before="60" w:after="60"/>
              <w:jc w:val="center"/>
              <w:rPr>
                <w:rFonts w:ascii="Calibri" w:hAnsi="Calibri" w:cs="Calibri"/>
                <w:color w:val="000000"/>
              </w:rPr>
            </w:pPr>
            <w:r>
              <w:rPr>
                <w:rFonts w:ascii="Calibri" w:hAnsi="Calibri" w:cs="Calibri"/>
                <w:color w:val="000000"/>
              </w:rPr>
              <w:t>0.93 (F)</w:t>
            </w:r>
          </w:p>
        </w:tc>
        <w:tc>
          <w:tcPr>
            <w:tcW w:w="1275" w:type="dxa"/>
            <w:vAlign w:val="center"/>
          </w:tcPr>
          <w:p w14:paraId="4BC3ACFC" w14:textId="77777777" w:rsidR="004D50A4" w:rsidRDefault="004D50A4" w:rsidP="0061598F">
            <w:pPr>
              <w:spacing w:before="60" w:after="60"/>
              <w:jc w:val="center"/>
              <w:rPr>
                <w:rFonts w:ascii="Calibri" w:hAnsi="Calibri" w:cs="Calibri"/>
                <w:color w:val="000000"/>
              </w:rPr>
            </w:pPr>
            <w:r>
              <w:rPr>
                <w:rFonts w:ascii="Calibri" w:hAnsi="Calibri" w:cs="Calibri"/>
                <w:color w:val="000000"/>
              </w:rPr>
              <w:t>0.56 (C)</w:t>
            </w:r>
          </w:p>
        </w:tc>
        <w:tc>
          <w:tcPr>
            <w:tcW w:w="1284" w:type="dxa"/>
            <w:vAlign w:val="center"/>
          </w:tcPr>
          <w:p w14:paraId="2CD02154" w14:textId="77777777" w:rsidR="004D50A4" w:rsidRDefault="004D50A4" w:rsidP="0061598F">
            <w:pPr>
              <w:spacing w:before="60" w:after="60"/>
              <w:jc w:val="center"/>
              <w:rPr>
                <w:rFonts w:ascii="Calibri" w:hAnsi="Calibri" w:cs="Calibri"/>
                <w:color w:val="000000"/>
              </w:rPr>
            </w:pPr>
            <w:r>
              <w:rPr>
                <w:rFonts w:ascii="Calibri" w:hAnsi="Calibri" w:cs="Calibri"/>
                <w:color w:val="000000"/>
              </w:rPr>
              <w:t>0.47 (B)</w:t>
            </w:r>
          </w:p>
        </w:tc>
        <w:tc>
          <w:tcPr>
            <w:tcW w:w="1287" w:type="dxa"/>
            <w:vAlign w:val="center"/>
          </w:tcPr>
          <w:p w14:paraId="479B6EEE" w14:textId="77777777" w:rsidR="004D50A4" w:rsidRDefault="004D50A4" w:rsidP="0061598F">
            <w:pPr>
              <w:spacing w:before="60" w:after="60"/>
              <w:jc w:val="center"/>
              <w:rPr>
                <w:rFonts w:ascii="Calibri" w:hAnsi="Calibri" w:cs="Calibri"/>
                <w:color w:val="000000"/>
              </w:rPr>
            </w:pPr>
            <w:r>
              <w:rPr>
                <w:rFonts w:ascii="Calibri" w:hAnsi="Calibri" w:cs="Calibri"/>
                <w:color w:val="000000"/>
              </w:rPr>
              <w:t>0.48 (B)</w:t>
            </w:r>
          </w:p>
        </w:tc>
      </w:tr>
    </w:tbl>
    <w:p w14:paraId="4A9665D8" w14:textId="77777777" w:rsidR="004D50A4" w:rsidRDefault="004D50A4" w:rsidP="00593C09">
      <w:pPr>
        <w:pStyle w:val="IIR12MainText"/>
      </w:pPr>
    </w:p>
    <w:p w14:paraId="01EEE561" w14:textId="5014D75A" w:rsidR="004D50A4" w:rsidRDefault="004D50A4" w:rsidP="00593C09">
      <w:pPr>
        <w:pStyle w:val="IIR12MainText"/>
      </w:pPr>
      <w:r>
        <w:t>3.2.2</w:t>
      </w:r>
      <w:r>
        <w:tab/>
        <w:t>Feasibility of projections</w:t>
      </w:r>
    </w:p>
    <w:p w14:paraId="44E27069" w14:textId="623FA1FB" w:rsidR="004D50A4" w:rsidRDefault="004D50A4" w:rsidP="00593C09">
      <w:pPr>
        <w:pStyle w:val="IIR12MainText"/>
      </w:pPr>
      <w:r>
        <w:t>Whether the above energy reductions are achievable and go far enough was assessed.  Fig. 5 shows the proportion of professional storage cabinets within each label class on the EPREL as of March 2023.  According to the EPREL, 1% of storage cabinets are G-class and 4.3% are F-class.  Many of the worst performing storage cabinets on the EPREL were labelled incorrectly, being commercial cabinets with glass doors or blast cooling cabinets.  Chillers have a better energy class than freezers.</w:t>
      </w:r>
    </w:p>
    <w:p w14:paraId="3DFF5280" w14:textId="2EF2386E" w:rsidR="004D50A4" w:rsidRDefault="004D50A4" w:rsidP="00664889">
      <w:pPr>
        <w:pStyle w:val="IIR12MainText"/>
      </w:pPr>
      <w:r>
        <w:rPr>
          <w:noProof/>
        </w:rPr>
        <w:drawing>
          <wp:inline distT="0" distB="0" distL="0" distR="0" wp14:anchorId="1D6BA5EF" wp14:editId="45C990B9">
            <wp:extent cx="4572000" cy="2743200"/>
            <wp:effectExtent l="0" t="0" r="0" b="0"/>
            <wp:docPr id="30" name="Chart 30">
              <a:extLst xmlns:a="http://schemas.openxmlformats.org/drawingml/2006/main">
                <a:ext uri="{FF2B5EF4-FFF2-40B4-BE49-F238E27FC236}">
                  <a16:creationId xmlns:a16="http://schemas.microsoft.com/office/drawing/2014/main" id="{3119AE7D-DDE0-1B29-48BA-CDDBADEFDB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5317C6" w14:textId="39CC155B" w:rsidR="004D50A4" w:rsidRDefault="004D50A4" w:rsidP="00164CEB">
      <w:pPr>
        <w:pStyle w:val="IIR14FigureCaption"/>
        <w:jc w:val="center"/>
      </w:pPr>
      <w:r w:rsidRPr="00422B0A">
        <w:t xml:space="preserve">Figure 5.  Proportion of professional storage cabinets (%) falling within each label on EPREL as </w:t>
      </w:r>
      <w:proofErr w:type="gramStart"/>
      <w:r w:rsidRPr="00422B0A">
        <w:t>at</w:t>
      </w:r>
      <w:proofErr w:type="gramEnd"/>
      <w:r w:rsidRPr="00422B0A">
        <w:t xml:space="preserve"> March 2023.</w:t>
      </w:r>
    </w:p>
    <w:p w14:paraId="401DFEC9" w14:textId="77777777" w:rsidR="00CD7456" w:rsidRPr="00422B0A" w:rsidRDefault="00CD7456" w:rsidP="005E3AA4">
      <w:pPr>
        <w:pStyle w:val="IIR14FigureCaption"/>
      </w:pPr>
    </w:p>
    <w:p w14:paraId="5EC3C7D1" w14:textId="03761FCB" w:rsidR="004D50A4" w:rsidRDefault="004D50A4" w:rsidP="00593C09">
      <w:pPr>
        <w:pStyle w:val="IIR12MainText"/>
      </w:pPr>
      <w:r>
        <w:t>The EPREL does not allow searching by cabinet type (apart from chilled and frozen volume), so it is not possible to tell how many cabinets within each label class were vertical or horizontal.  Therefore, the web site of a major UK supplier of professional refrigerated cabinets (https://www.nisbets.co.uk/) was searched and label classes for different cabinet types were collected (Table 7).  This was from a total of 175 appliances.</w:t>
      </w:r>
    </w:p>
    <w:p w14:paraId="17D5824E" w14:textId="2420729F" w:rsidR="004D50A4" w:rsidRPr="004D50A4" w:rsidRDefault="004D50A4" w:rsidP="00347121">
      <w:pPr>
        <w:pStyle w:val="IIR13TableCaption"/>
      </w:pPr>
      <w:r w:rsidRPr="004D50A4">
        <w:t>Table 7.  Energy label and percentage of cabinets in that label from a UK retailer of professional refrigeration.</w:t>
      </w:r>
    </w:p>
    <w:tbl>
      <w:tblPr>
        <w:tblW w:w="5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36"/>
        <w:gridCol w:w="1984"/>
        <w:gridCol w:w="1559"/>
      </w:tblGrid>
      <w:tr w:rsidR="004D50A4" w:rsidRPr="00A83455" w14:paraId="4AC91E0C" w14:textId="4B7E0638" w:rsidTr="0061598F">
        <w:trPr>
          <w:trHeight w:val="300"/>
          <w:jc w:val="center"/>
        </w:trPr>
        <w:tc>
          <w:tcPr>
            <w:tcW w:w="846" w:type="dxa"/>
            <w:shd w:val="clear" w:color="auto" w:fill="auto"/>
            <w:noWrap/>
            <w:vAlign w:val="bottom"/>
            <w:hideMark/>
          </w:tcPr>
          <w:p w14:paraId="1A889238" w14:textId="0BDA03D3" w:rsidR="004D50A4" w:rsidRPr="00A83455" w:rsidRDefault="004D50A4" w:rsidP="0061598F">
            <w:pPr>
              <w:rPr>
                <w:sz w:val="20"/>
                <w:lang w:eastAsia="en-GB"/>
              </w:rPr>
            </w:pPr>
          </w:p>
        </w:tc>
        <w:tc>
          <w:tcPr>
            <w:tcW w:w="1336" w:type="dxa"/>
            <w:shd w:val="clear" w:color="auto" w:fill="auto"/>
            <w:noWrap/>
            <w:vAlign w:val="bottom"/>
            <w:hideMark/>
          </w:tcPr>
          <w:p w14:paraId="045E2B31" w14:textId="391B4C14" w:rsidR="004D50A4" w:rsidRPr="00A83455" w:rsidRDefault="004D50A4" w:rsidP="0061598F">
            <w:pPr>
              <w:jc w:val="center"/>
              <w:rPr>
                <w:rFonts w:ascii="Calibri" w:hAnsi="Calibri" w:cs="Calibri"/>
                <w:lang w:eastAsia="en-GB"/>
              </w:rPr>
            </w:pPr>
            <w:r w:rsidRPr="00A83455">
              <w:rPr>
                <w:rFonts w:ascii="Calibri" w:hAnsi="Calibri" w:cs="Calibri"/>
                <w:lang w:eastAsia="en-GB"/>
              </w:rPr>
              <w:t>Top lab</w:t>
            </w:r>
            <w:r>
              <w:rPr>
                <w:rFonts w:ascii="Calibri" w:hAnsi="Calibri" w:cs="Calibri"/>
                <w:lang w:eastAsia="en-GB"/>
              </w:rPr>
              <w:t>el class (%)</w:t>
            </w:r>
          </w:p>
        </w:tc>
        <w:tc>
          <w:tcPr>
            <w:tcW w:w="1984" w:type="dxa"/>
          </w:tcPr>
          <w:p w14:paraId="2BAB96CC" w14:textId="2EF24F6A" w:rsidR="004D50A4" w:rsidRPr="00A83455" w:rsidRDefault="004D50A4" w:rsidP="0061598F">
            <w:pPr>
              <w:jc w:val="center"/>
              <w:rPr>
                <w:rFonts w:ascii="Calibri" w:hAnsi="Calibri" w:cs="Calibri"/>
                <w:lang w:eastAsia="en-GB"/>
              </w:rPr>
            </w:pPr>
            <w:r>
              <w:rPr>
                <w:rFonts w:ascii="Calibri" w:hAnsi="Calibri" w:cs="Calibri"/>
                <w:lang w:eastAsia="en-GB"/>
              </w:rPr>
              <w:t>Modal</w:t>
            </w:r>
            <w:r w:rsidRPr="00A83455">
              <w:rPr>
                <w:rFonts w:ascii="Calibri" w:hAnsi="Calibri" w:cs="Calibri"/>
                <w:lang w:eastAsia="en-GB"/>
              </w:rPr>
              <w:t xml:space="preserve"> label</w:t>
            </w:r>
            <w:r>
              <w:rPr>
                <w:rFonts w:ascii="Calibri" w:hAnsi="Calibri" w:cs="Calibri"/>
                <w:lang w:eastAsia="en-GB"/>
              </w:rPr>
              <w:t xml:space="preserve"> class (%)</w:t>
            </w:r>
          </w:p>
        </w:tc>
        <w:tc>
          <w:tcPr>
            <w:tcW w:w="1559" w:type="dxa"/>
            <w:shd w:val="clear" w:color="auto" w:fill="auto"/>
            <w:noWrap/>
            <w:vAlign w:val="bottom"/>
            <w:hideMark/>
          </w:tcPr>
          <w:p w14:paraId="70C4D916" w14:textId="6D46AD94" w:rsidR="004D50A4" w:rsidRPr="00A83455" w:rsidRDefault="004D50A4" w:rsidP="0061598F">
            <w:pPr>
              <w:jc w:val="center"/>
              <w:rPr>
                <w:rFonts w:ascii="Calibri" w:hAnsi="Calibri" w:cs="Calibri"/>
                <w:lang w:eastAsia="en-GB"/>
              </w:rPr>
            </w:pPr>
            <w:r w:rsidRPr="00A83455">
              <w:rPr>
                <w:rFonts w:ascii="Calibri" w:hAnsi="Calibri" w:cs="Calibri"/>
                <w:lang w:eastAsia="en-GB"/>
              </w:rPr>
              <w:t>Bottom label</w:t>
            </w:r>
            <w:r>
              <w:rPr>
                <w:rFonts w:ascii="Calibri" w:hAnsi="Calibri" w:cs="Calibri"/>
                <w:lang w:eastAsia="en-GB"/>
              </w:rPr>
              <w:t xml:space="preserve"> class (%)</w:t>
            </w:r>
          </w:p>
        </w:tc>
      </w:tr>
      <w:tr w:rsidR="004D50A4" w:rsidRPr="00A83455" w14:paraId="35C64598" w14:textId="5C7B938D" w:rsidTr="0061598F">
        <w:trPr>
          <w:trHeight w:val="300"/>
          <w:jc w:val="center"/>
        </w:trPr>
        <w:tc>
          <w:tcPr>
            <w:tcW w:w="846" w:type="dxa"/>
            <w:shd w:val="clear" w:color="auto" w:fill="auto"/>
            <w:noWrap/>
            <w:vAlign w:val="bottom"/>
            <w:hideMark/>
          </w:tcPr>
          <w:p w14:paraId="20929258" w14:textId="6337DA8E" w:rsidR="004D50A4" w:rsidRPr="00A83455" w:rsidRDefault="004D50A4" w:rsidP="0061598F">
            <w:pPr>
              <w:rPr>
                <w:rFonts w:ascii="Calibri" w:hAnsi="Calibri" w:cs="Calibri"/>
                <w:lang w:eastAsia="en-GB"/>
              </w:rPr>
            </w:pPr>
            <w:r w:rsidRPr="00A83455">
              <w:rPr>
                <w:rFonts w:ascii="Calibri" w:hAnsi="Calibri" w:cs="Calibri"/>
                <w:lang w:eastAsia="en-GB"/>
              </w:rPr>
              <w:t>CV</w:t>
            </w:r>
          </w:p>
        </w:tc>
        <w:tc>
          <w:tcPr>
            <w:tcW w:w="1336" w:type="dxa"/>
            <w:shd w:val="clear" w:color="auto" w:fill="auto"/>
            <w:noWrap/>
            <w:vAlign w:val="bottom"/>
            <w:hideMark/>
          </w:tcPr>
          <w:p w14:paraId="32050798" w14:textId="5309ADAE" w:rsidR="004D50A4" w:rsidRPr="00A83455" w:rsidRDefault="004D50A4" w:rsidP="0061598F">
            <w:pPr>
              <w:jc w:val="center"/>
              <w:rPr>
                <w:rFonts w:ascii="Calibri" w:hAnsi="Calibri" w:cs="Calibri"/>
                <w:lang w:eastAsia="en-GB"/>
              </w:rPr>
            </w:pPr>
            <w:r w:rsidRPr="00A83455">
              <w:rPr>
                <w:rFonts w:ascii="Calibri" w:hAnsi="Calibri" w:cs="Calibri"/>
                <w:lang w:eastAsia="en-GB"/>
              </w:rPr>
              <w:t>A (4)</w:t>
            </w:r>
          </w:p>
        </w:tc>
        <w:tc>
          <w:tcPr>
            <w:tcW w:w="1984" w:type="dxa"/>
            <w:vAlign w:val="bottom"/>
          </w:tcPr>
          <w:p w14:paraId="060132F4" w14:textId="293FB792" w:rsidR="004D50A4" w:rsidRPr="00A83455" w:rsidRDefault="004D50A4" w:rsidP="0061598F">
            <w:pPr>
              <w:jc w:val="center"/>
              <w:rPr>
                <w:rFonts w:ascii="Calibri" w:hAnsi="Calibri" w:cs="Calibri"/>
                <w:lang w:eastAsia="en-GB"/>
              </w:rPr>
            </w:pPr>
            <w:r w:rsidRPr="00A83455">
              <w:rPr>
                <w:rFonts w:ascii="Calibri" w:hAnsi="Calibri" w:cs="Calibri"/>
              </w:rPr>
              <w:t>C (52)</w:t>
            </w:r>
          </w:p>
        </w:tc>
        <w:tc>
          <w:tcPr>
            <w:tcW w:w="1559" w:type="dxa"/>
            <w:shd w:val="clear" w:color="auto" w:fill="auto"/>
            <w:noWrap/>
            <w:vAlign w:val="bottom"/>
            <w:hideMark/>
          </w:tcPr>
          <w:p w14:paraId="770C8138" w14:textId="106DB9BF" w:rsidR="004D50A4" w:rsidRPr="00A83455" w:rsidRDefault="004D50A4" w:rsidP="0061598F">
            <w:pPr>
              <w:jc w:val="center"/>
              <w:rPr>
                <w:rFonts w:ascii="Calibri" w:hAnsi="Calibri" w:cs="Calibri"/>
                <w:lang w:eastAsia="en-GB"/>
              </w:rPr>
            </w:pPr>
            <w:r w:rsidRPr="00A83455">
              <w:rPr>
                <w:rFonts w:ascii="Calibri" w:hAnsi="Calibri" w:cs="Calibri"/>
                <w:lang w:eastAsia="en-GB"/>
              </w:rPr>
              <w:t>F (4)</w:t>
            </w:r>
          </w:p>
        </w:tc>
      </w:tr>
      <w:tr w:rsidR="004D50A4" w:rsidRPr="00A83455" w14:paraId="23646815" w14:textId="533C6D3E" w:rsidTr="0061598F">
        <w:trPr>
          <w:trHeight w:val="300"/>
          <w:jc w:val="center"/>
        </w:trPr>
        <w:tc>
          <w:tcPr>
            <w:tcW w:w="846" w:type="dxa"/>
            <w:shd w:val="clear" w:color="auto" w:fill="auto"/>
            <w:noWrap/>
            <w:vAlign w:val="bottom"/>
            <w:hideMark/>
          </w:tcPr>
          <w:p w14:paraId="1268A2A0" w14:textId="07EBE957" w:rsidR="004D50A4" w:rsidRPr="00A83455" w:rsidRDefault="004D50A4" w:rsidP="0061598F">
            <w:pPr>
              <w:rPr>
                <w:rFonts w:ascii="Calibri" w:hAnsi="Calibri" w:cs="Calibri"/>
                <w:lang w:eastAsia="en-GB"/>
              </w:rPr>
            </w:pPr>
            <w:r w:rsidRPr="00A83455">
              <w:rPr>
                <w:rFonts w:ascii="Calibri" w:hAnsi="Calibri" w:cs="Calibri"/>
                <w:lang w:eastAsia="en-GB"/>
              </w:rPr>
              <w:t>CH</w:t>
            </w:r>
          </w:p>
        </w:tc>
        <w:tc>
          <w:tcPr>
            <w:tcW w:w="1336" w:type="dxa"/>
            <w:shd w:val="clear" w:color="auto" w:fill="auto"/>
            <w:noWrap/>
            <w:vAlign w:val="bottom"/>
            <w:hideMark/>
          </w:tcPr>
          <w:p w14:paraId="533395C3" w14:textId="00FB62B1" w:rsidR="004D50A4" w:rsidRPr="00A83455" w:rsidRDefault="004D50A4" w:rsidP="0061598F">
            <w:pPr>
              <w:jc w:val="center"/>
              <w:rPr>
                <w:rFonts w:ascii="Calibri" w:hAnsi="Calibri" w:cs="Calibri"/>
                <w:lang w:eastAsia="en-GB"/>
              </w:rPr>
            </w:pPr>
            <w:r w:rsidRPr="00A83455">
              <w:rPr>
                <w:rFonts w:ascii="Calibri" w:hAnsi="Calibri" w:cs="Calibri"/>
                <w:lang w:eastAsia="en-GB"/>
              </w:rPr>
              <w:t>A+ (7)</w:t>
            </w:r>
          </w:p>
        </w:tc>
        <w:tc>
          <w:tcPr>
            <w:tcW w:w="1984" w:type="dxa"/>
            <w:vAlign w:val="bottom"/>
          </w:tcPr>
          <w:p w14:paraId="7D05382C" w14:textId="44BD034C" w:rsidR="004D50A4" w:rsidRPr="00A83455" w:rsidRDefault="004D50A4" w:rsidP="0061598F">
            <w:pPr>
              <w:jc w:val="center"/>
              <w:rPr>
                <w:rFonts w:ascii="Calibri" w:hAnsi="Calibri" w:cs="Calibri"/>
                <w:lang w:eastAsia="en-GB"/>
              </w:rPr>
            </w:pPr>
            <w:r w:rsidRPr="00A83455">
              <w:rPr>
                <w:rFonts w:ascii="Calibri" w:hAnsi="Calibri" w:cs="Calibri"/>
              </w:rPr>
              <w:t>B (36)</w:t>
            </w:r>
          </w:p>
        </w:tc>
        <w:tc>
          <w:tcPr>
            <w:tcW w:w="1559" w:type="dxa"/>
            <w:shd w:val="clear" w:color="auto" w:fill="auto"/>
            <w:noWrap/>
            <w:vAlign w:val="bottom"/>
            <w:hideMark/>
          </w:tcPr>
          <w:p w14:paraId="4C48E41F" w14:textId="4BA9FC2F" w:rsidR="004D50A4" w:rsidRPr="00A83455" w:rsidRDefault="004D50A4" w:rsidP="0061598F">
            <w:pPr>
              <w:jc w:val="center"/>
              <w:rPr>
                <w:rFonts w:ascii="Calibri" w:hAnsi="Calibri" w:cs="Calibri"/>
                <w:lang w:eastAsia="en-GB"/>
              </w:rPr>
            </w:pPr>
            <w:r w:rsidRPr="00A83455">
              <w:rPr>
                <w:rFonts w:ascii="Calibri" w:hAnsi="Calibri" w:cs="Calibri"/>
                <w:lang w:eastAsia="en-GB"/>
              </w:rPr>
              <w:t>E (1)</w:t>
            </w:r>
          </w:p>
        </w:tc>
      </w:tr>
      <w:tr w:rsidR="004D50A4" w:rsidRPr="00A83455" w14:paraId="13C929E2" w14:textId="7C2B2381" w:rsidTr="0061598F">
        <w:trPr>
          <w:trHeight w:val="300"/>
          <w:jc w:val="center"/>
        </w:trPr>
        <w:tc>
          <w:tcPr>
            <w:tcW w:w="846" w:type="dxa"/>
            <w:shd w:val="clear" w:color="auto" w:fill="auto"/>
            <w:noWrap/>
            <w:vAlign w:val="bottom"/>
            <w:hideMark/>
          </w:tcPr>
          <w:p w14:paraId="5DF9B9E8" w14:textId="04C1B1F6" w:rsidR="004D50A4" w:rsidRPr="00A83455" w:rsidRDefault="004D50A4" w:rsidP="0061598F">
            <w:pPr>
              <w:rPr>
                <w:rFonts w:ascii="Calibri" w:hAnsi="Calibri" w:cs="Calibri"/>
                <w:lang w:eastAsia="en-GB"/>
              </w:rPr>
            </w:pPr>
            <w:r w:rsidRPr="00A83455">
              <w:rPr>
                <w:rFonts w:ascii="Calibri" w:hAnsi="Calibri" w:cs="Calibri"/>
                <w:lang w:eastAsia="en-GB"/>
              </w:rPr>
              <w:t>FV</w:t>
            </w:r>
          </w:p>
        </w:tc>
        <w:tc>
          <w:tcPr>
            <w:tcW w:w="1336" w:type="dxa"/>
            <w:shd w:val="clear" w:color="auto" w:fill="auto"/>
            <w:noWrap/>
            <w:vAlign w:val="bottom"/>
            <w:hideMark/>
          </w:tcPr>
          <w:p w14:paraId="505DCFAC" w14:textId="23916AA8" w:rsidR="004D50A4" w:rsidRPr="00A83455" w:rsidRDefault="004D50A4" w:rsidP="0061598F">
            <w:pPr>
              <w:jc w:val="center"/>
              <w:rPr>
                <w:rFonts w:ascii="Calibri" w:hAnsi="Calibri" w:cs="Calibri"/>
                <w:lang w:eastAsia="en-GB"/>
              </w:rPr>
            </w:pPr>
            <w:r w:rsidRPr="00A83455">
              <w:rPr>
                <w:rFonts w:ascii="Calibri" w:hAnsi="Calibri" w:cs="Calibri"/>
                <w:lang w:eastAsia="en-GB"/>
              </w:rPr>
              <w:t>B (16)</w:t>
            </w:r>
          </w:p>
        </w:tc>
        <w:tc>
          <w:tcPr>
            <w:tcW w:w="1984" w:type="dxa"/>
            <w:vAlign w:val="bottom"/>
          </w:tcPr>
          <w:p w14:paraId="39F4E3E2" w14:textId="7B116787" w:rsidR="004D50A4" w:rsidRPr="00A83455" w:rsidRDefault="004D50A4" w:rsidP="0061598F">
            <w:pPr>
              <w:jc w:val="center"/>
              <w:rPr>
                <w:rFonts w:ascii="Calibri" w:hAnsi="Calibri" w:cs="Calibri"/>
                <w:lang w:eastAsia="en-GB"/>
              </w:rPr>
            </w:pPr>
            <w:r w:rsidRPr="00A83455">
              <w:rPr>
                <w:rFonts w:ascii="Calibri" w:hAnsi="Calibri" w:cs="Calibri"/>
              </w:rPr>
              <w:t>D (22)</w:t>
            </w:r>
          </w:p>
        </w:tc>
        <w:tc>
          <w:tcPr>
            <w:tcW w:w="1559" w:type="dxa"/>
            <w:shd w:val="clear" w:color="auto" w:fill="auto"/>
            <w:noWrap/>
            <w:vAlign w:val="bottom"/>
            <w:hideMark/>
          </w:tcPr>
          <w:p w14:paraId="02D72C3F" w14:textId="33E53B92" w:rsidR="004D50A4" w:rsidRPr="00A83455" w:rsidRDefault="004D50A4" w:rsidP="0061598F">
            <w:pPr>
              <w:jc w:val="center"/>
              <w:rPr>
                <w:rFonts w:ascii="Calibri" w:hAnsi="Calibri" w:cs="Calibri"/>
                <w:lang w:eastAsia="en-GB"/>
              </w:rPr>
            </w:pPr>
            <w:r w:rsidRPr="00A83455">
              <w:rPr>
                <w:rFonts w:ascii="Calibri" w:hAnsi="Calibri" w:cs="Calibri"/>
                <w:lang w:eastAsia="en-GB"/>
              </w:rPr>
              <w:t>E (10)</w:t>
            </w:r>
          </w:p>
        </w:tc>
      </w:tr>
      <w:tr w:rsidR="004D50A4" w:rsidRPr="00A83455" w14:paraId="5DC89678" w14:textId="282FFF6C" w:rsidTr="0061598F">
        <w:trPr>
          <w:trHeight w:val="300"/>
          <w:jc w:val="center"/>
        </w:trPr>
        <w:tc>
          <w:tcPr>
            <w:tcW w:w="846" w:type="dxa"/>
            <w:shd w:val="clear" w:color="auto" w:fill="auto"/>
            <w:noWrap/>
            <w:vAlign w:val="bottom"/>
            <w:hideMark/>
          </w:tcPr>
          <w:p w14:paraId="27587109" w14:textId="382162E7" w:rsidR="004D50A4" w:rsidRPr="00A83455" w:rsidRDefault="004D50A4" w:rsidP="0061598F">
            <w:pPr>
              <w:rPr>
                <w:rFonts w:ascii="Calibri" w:hAnsi="Calibri" w:cs="Calibri"/>
                <w:lang w:eastAsia="en-GB"/>
              </w:rPr>
            </w:pPr>
            <w:r w:rsidRPr="00A83455">
              <w:rPr>
                <w:rFonts w:ascii="Calibri" w:hAnsi="Calibri" w:cs="Calibri"/>
                <w:lang w:eastAsia="en-GB"/>
              </w:rPr>
              <w:t>FH</w:t>
            </w:r>
          </w:p>
        </w:tc>
        <w:tc>
          <w:tcPr>
            <w:tcW w:w="1336" w:type="dxa"/>
            <w:shd w:val="clear" w:color="auto" w:fill="auto"/>
            <w:noWrap/>
            <w:vAlign w:val="bottom"/>
            <w:hideMark/>
          </w:tcPr>
          <w:p w14:paraId="06F53E04" w14:textId="5CE9EDEA" w:rsidR="004D50A4" w:rsidRPr="00A83455" w:rsidRDefault="004D50A4" w:rsidP="0061598F">
            <w:pPr>
              <w:jc w:val="center"/>
              <w:rPr>
                <w:rFonts w:ascii="Calibri" w:hAnsi="Calibri" w:cs="Calibri"/>
                <w:lang w:eastAsia="en-GB"/>
              </w:rPr>
            </w:pPr>
            <w:r w:rsidRPr="00A83455">
              <w:rPr>
                <w:rFonts w:ascii="Calibri" w:hAnsi="Calibri" w:cs="Calibri"/>
                <w:lang w:eastAsia="en-GB"/>
              </w:rPr>
              <w:t>B (12)</w:t>
            </w:r>
          </w:p>
        </w:tc>
        <w:tc>
          <w:tcPr>
            <w:tcW w:w="1984" w:type="dxa"/>
            <w:vAlign w:val="bottom"/>
          </w:tcPr>
          <w:p w14:paraId="0958C778" w14:textId="14B5D955" w:rsidR="004D50A4" w:rsidRPr="00A83455" w:rsidRDefault="004D50A4" w:rsidP="0061598F">
            <w:pPr>
              <w:jc w:val="center"/>
              <w:rPr>
                <w:rFonts w:ascii="Calibri" w:hAnsi="Calibri" w:cs="Calibri"/>
                <w:lang w:eastAsia="en-GB"/>
              </w:rPr>
            </w:pPr>
            <w:r w:rsidRPr="00A83455">
              <w:rPr>
                <w:rFonts w:ascii="Calibri" w:hAnsi="Calibri" w:cs="Calibri"/>
              </w:rPr>
              <w:t>D (76)</w:t>
            </w:r>
          </w:p>
        </w:tc>
        <w:tc>
          <w:tcPr>
            <w:tcW w:w="1559" w:type="dxa"/>
            <w:shd w:val="clear" w:color="auto" w:fill="auto"/>
            <w:noWrap/>
            <w:vAlign w:val="bottom"/>
            <w:hideMark/>
          </w:tcPr>
          <w:p w14:paraId="2DE8F9EC" w14:textId="2647B679" w:rsidR="004D50A4" w:rsidRPr="00A83455" w:rsidRDefault="004D50A4" w:rsidP="0061598F">
            <w:pPr>
              <w:jc w:val="center"/>
              <w:rPr>
                <w:rFonts w:ascii="Calibri" w:hAnsi="Calibri" w:cs="Calibri"/>
                <w:lang w:eastAsia="en-GB"/>
              </w:rPr>
            </w:pPr>
            <w:r w:rsidRPr="00A83455">
              <w:rPr>
                <w:rFonts w:ascii="Calibri" w:hAnsi="Calibri" w:cs="Calibri"/>
                <w:lang w:eastAsia="en-GB"/>
              </w:rPr>
              <w:t>D (76)</w:t>
            </w:r>
          </w:p>
        </w:tc>
      </w:tr>
    </w:tbl>
    <w:p w14:paraId="25749537" w14:textId="6C52505B" w:rsidR="004D50A4" w:rsidRDefault="004D50A4" w:rsidP="00593C09">
      <w:pPr>
        <w:pStyle w:val="IIR12MainText"/>
      </w:pPr>
      <w:r>
        <w:t>This data correlated well with the EPREL data showing most cabinets falling in the C and D class and chillers performing better than freezers.  However, this data also shows a difference between the different model types, with CV providing label class one higher than CH which were one higher than FV and FH.</w:t>
      </w:r>
    </w:p>
    <w:p w14:paraId="36FDB6A7" w14:textId="60CDFAC0" w:rsidR="004D50A4" w:rsidRPr="002947DA" w:rsidRDefault="004D50A4" w:rsidP="00593C09">
      <w:pPr>
        <w:pStyle w:val="IIR12MainText"/>
      </w:pPr>
      <w:r>
        <w:t>The Eco</w:t>
      </w:r>
      <w:r w:rsidR="00E3001E">
        <w:t>-</w:t>
      </w:r>
      <w:r>
        <w:t>design ECO scenario aims to lead average cabinets to a B-class by 2040.  For all cabinets this is already achievable for all cabinet types.  However, it would be more difficult for freezers than chillers.  For CH type, this would probably be too lenient, as the modal class is already a B.</w:t>
      </w:r>
      <w:r w:rsidR="00E3001E">
        <w:t xml:space="preserve">  </w:t>
      </w:r>
      <w:r w:rsidRPr="002947DA">
        <w:t xml:space="preserve">The ECO scenario is based on new </w:t>
      </w:r>
      <w:r w:rsidRPr="002947DA">
        <w:lastRenderedPageBreak/>
        <w:t xml:space="preserve">labelling calculations that have a </w:t>
      </w:r>
      <w:proofErr w:type="gramStart"/>
      <w:r w:rsidRPr="002947DA">
        <w:t>different effec</w:t>
      </w:r>
      <w:r w:rsidR="00593C09">
        <w:t>t</w:t>
      </w:r>
      <w:r w:rsidR="009A2B81">
        <w:t>s</w:t>
      </w:r>
      <w:proofErr w:type="gramEnd"/>
      <w:r w:rsidRPr="002947DA">
        <w:t xml:space="preserve"> on different cabinet types.  The proposed new labelling will address the better label classes for the CH type, making the label classes for this type more difficult to achieve.  It will also address the worse label classes of the freezers, making the better label classes easier for these types to achieve.</w:t>
      </w:r>
    </w:p>
    <w:p w14:paraId="3E550540" w14:textId="77777777" w:rsidR="004D50A4" w:rsidRDefault="004D50A4" w:rsidP="00593C09">
      <w:pPr>
        <w:pStyle w:val="IIR12MainText"/>
      </w:pPr>
      <w:r>
        <w:t>3.2.3</w:t>
      </w:r>
      <w:r>
        <w:tab/>
        <w:t xml:space="preserve">Removing </w:t>
      </w:r>
      <w:proofErr w:type="gramStart"/>
      <w:r>
        <w:t>labels</w:t>
      </w:r>
      <w:proofErr w:type="gramEnd"/>
    </w:p>
    <w:p w14:paraId="5EB74742" w14:textId="3FB34F4B" w:rsidR="004D50A4" w:rsidRDefault="004D50A4" w:rsidP="00593C09">
      <w:pPr>
        <w:pStyle w:val="IIR12MainText"/>
      </w:pPr>
      <w:r>
        <w:t xml:space="preserve">The effect of removing the worst energy </w:t>
      </w:r>
      <w:r w:rsidR="00300BD1">
        <w:t xml:space="preserve">label </w:t>
      </w:r>
      <w:r>
        <w:t>class</w:t>
      </w:r>
      <w:r w:rsidR="00300BD1">
        <w:t>es</w:t>
      </w:r>
      <w:r>
        <w:t xml:space="preserve"> is discussed below.  It was assumed that when the worst class is removed, the models in that class were replaced with models in the energy class one better than the one that was removed.  The total energy consumed in each class was </w:t>
      </w:r>
      <w:r w:rsidR="00E3001E">
        <w:t xml:space="preserve">assumed </w:t>
      </w:r>
      <w:r>
        <w:t>proportional to the EEI of that label multiplied by the number of pieces of equipment in that class (from EPREL).  This assumes that number of models correlates well with number of sales.  The energy savings calculated from removing the worst class in turn are shown in Fig. 6.</w:t>
      </w:r>
    </w:p>
    <w:p w14:paraId="7AA5F663" w14:textId="28B38666" w:rsidR="004D50A4" w:rsidRDefault="004D50A4" w:rsidP="00593C09">
      <w:pPr>
        <w:pStyle w:val="IIR12MainText"/>
      </w:pPr>
      <w:r>
        <w:t>According to Kenma et al (2021) the new G class will be phased out by 1.1.2026 and the new F class by 1.1.2028.</w:t>
      </w:r>
      <w:r w:rsidR="00E3001E">
        <w:t xml:space="preserve">  However, </w:t>
      </w:r>
      <w:r>
        <w:t>the G class is already rare</w:t>
      </w:r>
      <w:r w:rsidR="00E3001E">
        <w:t xml:space="preserve"> </w:t>
      </w:r>
      <w:r>
        <w:t xml:space="preserve">and </w:t>
      </w:r>
      <w:r w:rsidR="00E3001E">
        <w:t xml:space="preserve">if </w:t>
      </w:r>
      <w:r>
        <w:t>removed immediately</w:t>
      </w:r>
      <w:r w:rsidR="00E3001E">
        <w:t>, would have little effect</w:t>
      </w:r>
      <w:r>
        <w:t xml:space="preserve">.  Considering that there are so few F class cabinets, removing this class would still have little impact on energy consumption.  To drive energy improvements will require removing the E category, although this would be better applied after the new labelling calculations are applied </w:t>
      </w:r>
      <w:proofErr w:type="gramStart"/>
      <w:r>
        <w:t>so as to</w:t>
      </w:r>
      <w:proofErr w:type="gramEnd"/>
      <w:r>
        <w:t xml:space="preserve"> not unfairly impact the freezers and better impact CH cabinets.</w:t>
      </w:r>
    </w:p>
    <w:p w14:paraId="4BEA1C0A" w14:textId="18CC3630" w:rsidR="004D50A4" w:rsidRDefault="004D50A4" w:rsidP="00664889">
      <w:pPr>
        <w:pStyle w:val="IIR12MainText"/>
      </w:pPr>
      <w:r>
        <w:rPr>
          <w:noProof/>
        </w:rPr>
        <w:drawing>
          <wp:inline distT="0" distB="0" distL="0" distR="0" wp14:anchorId="5B2E45D2" wp14:editId="19397770">
            <wp:extent cx="4572000" cy="2743200"/>
            <wp:effectExtent l="0" t="0" r="0" b="0"/>
            <wp:docPr id="32" name="Chart 32">
              <a:extLst xmlns:a="http://schemas.openxmlformats.org/drawingml/2006/main">
                <a:ext uri="{FF2B5EF4-FFF2-40B4-BE49-F238E27FC236}">
                  <a16:creationId xmlns:a16="http://schemas.microsoft.com/office/drawing/2014/main" id="{BDADFE4F-BBE1-0705-A8E4-DCB180FED4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429102" w14:textId="2A66D8D5" w:rsidR="004D50A4" w:rsidRDefault="004D50A4" w:rsidP="00164CEB">
      <w:pPr>
        <w:pStyle w:val="IIR14FigureCaption"/>
        <w:jc w:val="center"/>
      </w:pPr>
      <w:r w:rsidRPr="004D50A4">
        <w:t>Figure 6.  Energy saving from removing each label in turn.</w:t>
      </w:r>
    </w:p>
    <w:p w14:paraId="39D59FEF" w14:textId="77777777" w:rsidR="00422B0A" w:rsidRPr="004D50A4" w:rsidRDefault="00422B0A" w:rsidP="005E3AA4">
      <w:pPr>
        <w:pStyle w:val="IIR14FigureCaption"/>
      </w:pPr>
    </w:p>
    <w:p w14:paraId="2A788F9B" w14:textId="3CEFC2EA" w:rsidR="00503751" w:rsidRDefault="004D50A4" w:rsidP="00593C09">
      <w:pPr>
        <w:pStyle w:val="IIR12MainText"/>
      </w:pPr>
      <w:r>
        <w:t>From these results we can conclude that removing the worst performing label classes from chillers may remove the cheapest smaller chillers with R600a components.  Removing these labels from freezers might have the opposite effect, removing the more expensive R290 units</w:t>
      </w:r>
      <w:r w:rsidR="001653FD">
        <w:t xml:space="preserve"> (which have higher cooling capacities)</w:t>
      </w:r>
      <w:r>
        <w:t xml:space="preserve"> and this will depend on the size of the units.</w:t>
      </w:r>
    </w:p>
    <w:p w14:paraId="66C41F89" w14:textId="77777777" w:rsidR="00763874" w:rsidRPr="001653FD" w:rsidRDefault="00763874" w:rsidP="00593C09">
      <w:pPr>
        <w:pStyle w:val="IIR12MainText"/>
      </w:pPr>
      <w:r w:rsidRPr="001653FD">
        <w:t>3.3</w:t>
      </w:r>
      <w:r w:rsidRPr="001653FD">
        <w:tab/>
        <w:t>Commercial</w:t>
      </w:r>
    </w:p>
    <w:p w14:paraId="0CFAB3D3" w14:textId="498F8C9D" w:rsidR="00763874" w:rsidRDefault="00763874" w:rsidP="00593C09">
      <w:pPr>
        <w:pStyle w:val="IIR12MainText"/>
      </w:pPr>
      <w:r>
        <w:t xml:space="preserve">Commercial refrigeration covers refrigerating appliances with a direct sales function.  They include super-market cabinets (SM), cabinets for scooping ice-cream (SIC), refrigerated vending machines (VM), beverage coolers (BC) and ice-cream freezers (ICF). </w:t>
      </w:r>
    </w:p>
    <w:p w14:paraId="52097E48" w14:textId="66E6A97A" w:rsidR="00763874" w:rsidRDefault="00763874" w:rsidP="00593C09">
      <w:pPr>
        <w:pStyle w:val="IIR12MainText"/>
      </w:pPr>
      <w:r>
        <w:t xml:space="preserve">The most recent study for the European Commission (Moons, 2014) shows commercial refrigeration energy consumption projected from 2010 to 2030 and was based on energy labelling and MEPS which have now been applied.  As the regulations came in later than anticipated in the study, we might expect the improvements to occur later.  As the projections assumed the regulations would enter into force in 2016, the </w:t>
      </w:r>
      <w:r>
        <w:lastRenderedPageBreak/>
        <w:t xml:space="preserve">benefits are assumed to have occurred 5 years later.  This data was corrected for UK on a pro rata basis on population and </w:t>
      </w:r>
      <w:r w:rsidR="006B7258">
        <w:t>shows total energy consumption of commercial refrigeration for 2015, 2020, 2025 and 2035, as 12.1, 11.6, 9.1 and 4.3 TWh/a respectively.</w:t>
      </w:r>
    </w:p>
    <w:p w14:paraId="513E68DF" w14:textId="77777777" w:rsidR="00763874" w:rsidRDefault="00763874" w:rsidP="00593C09">
      <w:pPr>
        <w:pStyle w:val="IIR12MainText"/>
      </w:pPr>
      <w:r>
        <w:t>This projection is based on assumptions that average products sold are A class by 2026 and halfway between A class and D/E class by 2023. These dates include the additional 5 years added due to the delay in implementation.</w:t>
      </w:r>
    </w:p>
    <w:p w14:paraId="624A0F3F" w14:textId="77777777" w:rsidR="00763874" w:rsidRDefault="00763874" w:rsidP="00593C09">
      <w:pPr>
        <w:pStyle w:val="IIR12MainText"/>
      </w:pPr>
      <w:r>
        <w:t xml:space="preserve">Table 9 shows the modal label class and the approximate median daily energy consumption </w:t>
      </w:r>
      <w:proofErr w:type="spellStart"/>
      <w:r>
        <w:t>E</w:t>
      </w:r>
      <w:r w:rsidRPr="00C94B0F">
        <w:rPr>
          <w:vertAlign w:val="subscript"/>
        </w:rPr>
        <w:t>daily</w:t>
      </w:r>
      <w:proofErr w:type="spellEnd"/>
      <w:r>
        <w:t xml:space="preserve"> for that label class for the 5 product types from the EPREL database in March 2023.  The proportion of sales comes from Moons et al (2014) and the sales x </w:t>
      </w:r>
      <w:proofErr w:type="spellStart"/>
      <w:r>
        <w:t>E</w:t>
      </w:r>
      <w:r w:rsidRPr="00C94B0F">
        <w:rPr>
          <w:vertAlign w:val="subscript"/>
        </w:rPr>
        <w:t>daily</w:t>
      </w:r>
      <w:proofErr w:type="spellEnd"/>
      <w:r>
        <w:t xml:space="preserve"> shows the proportion of total energy consumption for each product.  </w:t>
      </w:r>
    </w:p>
    <w:p w14:paraId="4E37D4BA" w14:textId="72FE2845" w:rsidR="00763874" w:rsidRPr="00763874" w:rsidRDefault="00763874" w:rsidP="00347121">
      <w:pPr>
        <w:pStyle w:val="IIR13TableCaption"/>
      </w:pPr>
      <w:r w:rsidRPr="00763874">
        <w:t xml:space="preserve">Table </w:t>
      </w:r>
      <w:r w:rsidR="006B7258">
        <w:t>8</w:t>
      </w:r>
      <w:r w:rsidRPr="00763874">
        <w:t>.  Energy consumption and sales for 5 different types of commercial refrigerated product.</w:t>
      </w:r>
    </w:p>
    <w:tbl>
      <w:tblPr>
        <w:tblW w:w="6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60"/>
        <w:gridCol w:w="1053"/>
        <w:gridCol w:w="1120"/>
        <w:gridCol w:w="960"/>
        <w:gridCol w:w="960"/>
      </w:tblGrid>
      <w:tr w:rsidR="00763874" w:rsidRPr="00763874" w14:paraId="790765AE" w14:textId="77777777" w:rsidTr="00763874">
        <w:trPr>
          <w:trHeight w:val="300"/>
          <w:jc w:val="center"/>
        </w:trPr>
        <w:tc>
          <w:tcPr>
            <w:tcW w:w="1555" w:type="dxa"/>
            <w:shd w:val="clear" w:color="auto" w:fill="auto"/>
            <w:noWrap/>
            <w:vAlign w:val="bottom"/>
            <w:hideMark/>
          </w:tcPr>
          <w:p w14:paraId="14F6A3C7" w14:textId="77777777" w:rsidR="00763874" w:rsidRPr="00763874" w:rsidRDefault="00763874" w:rsidP="0061598F">
            <w:pPr>
              <w:rPr>
                <w:rFonts w:asciiTheme="minorHAnsi" w:hAnsiTheme="minorHAnsi" w:cstheme="minorHAnsi"/>
                <w:lang w:eastAsia="en-GB"/>
              </w:rPr>
            </w:pPr>
          </w:p>
        </w:tc>
        <w:tc>
          <w:tcPr>
            <w:tcW w:w="960" w:type="dxa"/>
            <w:shd w:val="clear" w:color="auto" w:fill="auto"/>
            <w:noWrap/>
            <w:vAlign w:val="bottom"/>
            <w:hideMark/>
          </w:tcPr>
          <w:p w14:paraId="54F5D246" w14:textId="77777777" w:rsidR="00763874" w:rsidRPr="00763874" w:rsidRDefault="00763874" w:rsidP="00923DF4">
            <w:pPr>
              <w:jc w:val="center"/>
              <w:rPr>
                <w:rFonts w:asciiTheme="minorHAnsi" w:hAnsiTheme="minorHAnsi" w:cstheme="minorHAnsi"/>
                <w:color w:val="000000"/>
                <w:lang w:eastAsia="en-GB"/>
              </w:rPr>
            </w:pPr>
            <w:r w:rsidRPr="00763874">
              <w:rPr>
                <w:rFonts w:asciiTheme="minorHAnsi" w:hAnsiTheme="minorHAnsi" w:cstheme="minorHAnsi"/>
                <w:color w:val="000000"/>
                <w:lang w:eastAsia="en-GB"/>
              </w:rPr>
              <w:t>VM</w:t>
            </w:r>
          </w:p>
        </w:tc>
        <w:tc>
          <w:tcPr>
            <w:tcW w:w="1053" w:type="dxa"/>
            <w:shd w:val="clear" w:color="auto" w:fill="auto"/>
            <w:noWrap/>
            <w:vAlign w:val="bottom"/>
            <w:hideMark/>
          </w:tcPr>
          <w:p w14:paraId="75909E1E" w14:textId="77777777" w:rsidR="00763874" w:rsidRPr="00763874" w:rsidRDefault="00763874" w:rsidP="00923DF4">
            <w:pPr>
              <w:jc w:val="center"/>
              <w:rPr>
                <w:rFonts w:asciiTheme="minorHAnsi" w:hAnsiTheme="minorHAnsi" w:cstheme="minorHAnsi"/>
                <w:color w:val="000000"/>
                <w:lang w:eastAsia="en-GB"/>
              </w:rPr>
            </w:pPr>
            <w:r w:rsidRPr="00763874">
              <w:rPr>
                <w:rFonts w:asciiTheme="minorHAnsi" w:hAnsiTheme="minorHAnsi" w:cstheme="minorHAnsi"/>
                <w:color w:val="000000"/>
                <w:lang w:eastAsia="en-GB"/>
              </w:rPr>
              <w:t>BC</w:t>
            </w:r>
          </w:p>
        </w:tc>
        <w:tc>
          <w:tcPr>
            <w:tcW w:w="1120" w:type="dxa"/>
            <w:shd w:val="clear" w:color="auto" w:fill="auto"/>
            <w:noWrap/>
            <w:vAlign w:val="bottom"/>
            <w:hideMark/>
          </w:tcPr>
          <w:p w14:paraId="480EEB2B" w14:textId="77777777" w:rsidR="00763874" w:rsidRPr="00763874" w:rsidRDefault="00763874" w:rsidP="00923DF4">
            <w:pPr>
              <w:jc w:val="center"/>
              <w:rPr>
                <w:rFonts w:asciiTheme="minorHAnsi" w:hAnsiTheme="minorHAnsi" w:cstheme="minorHAnsi"/>
                <w:color w:val="000000"/>
                <w:lang w:eastAsia="en-GB"/>
              </w:rPr>
            </w:pPr>
            <w:r w:rsidRPr="00763874">
              <w:rPr>
                <w:rFonts w:asciiTheme="minorHAnsi" w:hAnsiTheme="minorHAnsi" w:cstheme="minorHAnsi"/>
                <w:color w:val="000000"/>
                <w:lang w:eastAsia="en-GB"/>
              </w:rPr>
              <w:t>ICF</w:t>
            </w:r>
          </w:p>
        </w:tc>
        <w:tc>
          <w:tcPr>
            <w:tcW w:w="960" w:type="dxa"/>
            <w:shd w:val="clear" w:color="auto" w:fill="auto"/>
            <w:noWrap/>
            <w:vAlign w:val="bottom"/>
            <w:hideMark/>
          </w:tcPr>
          <w:p w14:paraId="7F60BDA3" w14:textId="77777777" w:rsidR="00763874" w:rsidRPr="00763874" w:rsidRDefault="00763874" w:rsidP="00923DF4">
            <w:pPr>
              <w:jc w:val="center"/>
              <w:rPr>
                <w:rFonts w:asciiTheme="minorHAnsi" w:hAnsiTheme="minorHAnsi" w:cstheme="minorHAnsi"/>
                <w:color w:val="000000"/>
                <w:lang w:eastAsia="en-GB"/>
              </w:rPr>
            </w:pPr>
            <w:r w:rsidRPr="00763874">
              <w:rPr>
                <w:rFonts w:asciiTheme="minorHAnsi" w:hAnsiTheme="minorHAnsi" w:cstheme="minorHAnsi"/>
                <w:color w:val="000000"/>
                <w:lang w:eastAsia="en-GB"/>
              </w:rPr>
              <w:t>SM</w:t>
            </w:r>
          </w:p>
        </w:tc>
        <w:tc>
          <w:tcPr>
            <w:tcW w:w="960" w:type="dxa"/>
            <w:shd w:val="clear" w:color="auto" w:fill="auto"/>
            <w:noWrap/>
            <w:vAlign w:val="bottom"/>
            <w:hideMark/>
          </w:tcPr>
          <w:p w14:paraId="3D58216F" w14:textId="77777777" w:rsidR="00763874" w:rsidRPr="00763874" w:rsidRDefault="00763874" w:rsidP="00923DF4">
            <w:pPr>
              <w:jc w:val="center"/>
              <w:rPr>
                <w:rFonts w:asciiTheme="minorHAnsi" w:hAnsiTheme="minorHAnsi" w:cstheme="minorHAnsi"/>
                <w:color w:val="000000"/>
                <w:lang w:eastAsia="en-GB"/>
              </w:rPr>
            </w:pPr>
            <w:r w:rsidRPr="00763874">
              <w:rPr>
                <w:rFonts w:asciiTheme="minorHAnsi" w:hAnsiTheme="minorHAnsi" w:cstheme="minorHAnsi"/>
                <w:color w:val="000000"/>
                <w:lang w:eastAsia="en-GB"/>
              </w:rPr>
              <w:t>SIC</w:t>
            </w:r>
          </w:p>
        </w:tc>
      </w:tr>
      <w:tr w:rsidR="00763874" w:rsidRPr="00763874" w14:paraId="39D1F9A8" w14:textId="77777777" w:rsidTr="00763874">
        <w:trPr>
          <w:trHeight w:val="300"/>
          <w:jc w:val="center"/>
        </w:trPr>
        <w:tc>
          <w:tcPr>
            <w:tcW w:w="1555" w:type="dxa"/>
            <w:shd w:val="clear" w:color="auto" w:fill="auto"/>
            <w:noWrap/>
            <w:vAlign w:val="bottom"/>
            <w:hideMark/>
          </w:tcPr>
          <w:p w14:paraId="2BD4B38E" w14:textId="77777777" w:rsidR="00763874" w:rsidRPr="00763874" w:rsidRDefault="00763874" w:rsidP="0061598F">
            <w:pPr>
              <w:rPr>
                <w:rFonts w:asciiTheme="minorHAnsi" w:hAnsiTheme="minorHAnsi" w:cstheme="minorHAnsi"/>
                <w:color w:val="000000"/>
                <w:lang w:eastAsia="en-GB"/>
              </w:rPr>
            </w:pPr>
            <w:r w:rsidRPr="00763874">
              <w:rPr>
                <w:rFonts w:asciiTheme="minorHAnsi" w:hAnsiTheme="minorHAnsi" w:cstheme="minorHAnsi"/>
                <w:color w:val="000000"/>
                <w:lang w:eastAsia="en-GB"/>
              </w:rPr>
              <w:t>Label (modal)</w:t>
            </w:r>
          </w:p>
        </w:tc>
        <w:tc>
          <w:tcPr>
            <w:tcW w:w="960" w:type="dxa"/>
            <w:shd w:val="clear" w:color="auto" w:fill="auto"/>
            <w:noWrap/>
            <w:vAlign w:val="bottom"/>
            <w:hideMark/>
          </w:tcPr>
          <w:p w14:paraId="19F9256E" w14:textId="77777777" w:rsidR="00763874" w:rsidRPr="00763874" w:rsidRDefault="00763874" w:rsidP="00923DF4">
            <w:pPr>
              <w:jc w:val="center"/>
              <w:rPr>
                <w:rFonts w:asciiTheme="minorHAnsi" w:hAnsiTheme="minorHAnsi" w:cstheme="minorHAnsi"/>
                <w:color w:val="000000"/>
                <w:lang w:eastAsia="en-GB"/>
              </w:rPr>
            </w:pPr>
            <w:r w:rsidRPr="00763874">
              <w:rPr>
                <w:rFonts w:asciiTheme="minorHAnsi" w:hAnsiTheme="minorHAnsi" w:cstheme="minorHAnsi"/>
                <w:color w:val="000000"/>
                <w:lang w:eastAsia="en-GB"/>
              </w:rPr>
              <w:t>D</w:t>
            </w:r>
          </w:p>
        </w:tc>
        <w:tc>
          <w:tcPr>
            <w:tcW w:w="1053" w:type="dxa"/>
            <w:shd w:val="clear" w:color="auto" w:fill="auto"/>
            <w:noWrap/>
            <w:vAlign w:val="bottom"/>
            <w:hideMark/>
          </w:tcPr>
          <w:p w14:paraId="061DB472" w14:textId="77777777" w:rsidR="00763874" w:rsidRPr="00763874" w:rsidRDefault="00763874" w:rsidP="00923DF4">
            <w:pPr>
              <w:jc w:val="center"/>
              <w:rPr>
                <w:rFonts w:asciiTheme="minorHAnsi" w:hAnsiTheme="minorHAnsi" w:cstheme="minorHAnsi"/>
                <w:color w:val="000000"/>
                <w:lang w:eastAsia="en-GB"/>
              </w:rPr>
            </w:pPr>
            <w:r w:rsidRPr="00763874">
              <w:rPr>
                <w:rFonts w:asciiTheme="minorHAnsi" w:hAnsiTheme="minorHAnsi" w:cstheme="minorHAnsi"/>
                <w:color w:val="000000"/>
                <w:lang w:eastAsia="en-GB"/>
              </w:rPr>
              <w:t>D</w:t>
            </w:r>
          </w:p>
        </w:tc>
        <w:tc>
          <w:tcPr>
            <w:tcW w:w="1120" w:type="dxa"/>
            <w:shd w:val="clear" w:color="auto" w:fill="auto"/>
            <w:noWrap/>
            <w:vAlign w:val="bottom"/>
            <w:hideMark/>
          </w:tcPr>
          <w:p w14:paraId="3CA037D4" w14:textId="77777777" w:rsidR="00763874" w:rsidRPr="00763874" w:rsidRDefault="00763874" w:rsidP="00923DF4">
            <w:pPr>
              <w:jc w:val="center"/>
              <w:rPr>
                <w:rFonts w:asciiTheme="minorHAnsi" w:hAnsiTheme="minorHAnsi" w:cstheme="minorHAnsi"/>
                <w:color w:val="000000"/>
                <w:lang w:eastAsia="en-GB"/>
              </w:rPr>
            </w:pPr>
            <w:r w:rsidRPr="00763874">
              <w:rPr>
                <w:rFonts w:asciiTheme="minorHAnsi" w:hAnsiTheme="minorHAnsi" w:cstheme="minorHAnsi"/>
                <w:color w:val="000000"/>
                <w:lang w:eastAsia="en-GB"/>
              </w:rPr>
              <w:t>D</w:t>
            </w:r>
          </w:p>
        </w:tc>
        <w:tc>
          <w:tcPr>
            <w:tcW w:w="960" w:type="dxa"/>
            <w:shd w:val="clear" w:color="auto" w:fill="auto"/>
            <w:noWrap/>
            <w:vAlign w:val="bottom"/>
            <w:hideMark/>
          </w:tcPr>
          <w:p w14:paraId="698AA59E" w14:textId="77777777" w:rsidR="00763874" w:rsidRPr="00763874" w:rsidRDefault="00763874" w:rsidP="00923DF4">
            <w:pPr>
              <w:jc w:val="center"/>
              <w:rPr>
                <w:rFonts w:asciiTheme="minorHAnsi" w:hAnsiTheme="minorHAnsi" w:cstheme="minorHAnsi"/>
                <w:color w:val="000000"/>
                <w:lang w:eastAsia="en-GB"/>
              </w:rPr>
            </w:pPr>
            <w:r w:rsidRPr="00763874">
              <w:rPr>
                <w:rFonts w:asciiTheme="minorHAnsi" w:hAnsiTheme="minorHAnsi" w:cstheme="minorHAnsi"/>
                <w:color w:val="000000"/>
                <w:lang w:eastAsia="en-GB"/>
              </w:rPr>
              <w:t>F</w:t>
            </w:r>
          </w:p>
        </w:tc>
        <w:tc>
          <w:tcPr>
            <w:tcW w:w="960" w:type="dxa"/>
            <w:shd w:val="clear" w:color="auto" w:fill="auto"/>
            <w:noWrap/>
            <w:vAlign w:val="bottom"/>
            <w:hideMark/>
          </w:tcPr>
          <w:p w14:paraId="070083EE" w14:textId="77777777" w:rsidR="00763874" w:rsidRPr="00763874" w:rsidRDefault="00763874" w:rsidP="00923DF4">
            <w:pPr>
              <w:jc w:val="center"/>
              <w:rPr>
                <w:rFonts w:asciiTheme="minorHAnsi" w:hAnsiTheme="minorHAnsi" w:cstheme="minorHAnsi"/>
                <w:color w:val="000000"/>
                <w:lang w:eastAsia="en-GB"/>
              </w:rPr>
            </w:pPr>
            <w:r w:rsidRPr="00763874">
              <w:rPr>
                <w:rFonts w:asciiTheme="minorHAnsi" w:hAnsiTheme="minorHAnsi" w:cstheme="minorHAnsi"/>
                <w:color w:val="000000"/>
                <w:lang w:eastAsia="en-GB"/>
              </w:rPr>
              <w:t>E</w:t>
            </w:r>
          </w:p>
        </w:tc>
      </w:tr>
      <w:tr w:rsidR="00763874" w:rsidRPr="00763874" w14:paraId="2027B708" w14:textId="77777777" w:rsidTr="00763874">
        <w:trPr>
          <w:trHeight w:val="300"/>
          <w:jc w:val="center"/>
        </w:trPr>
        <w:tc>
          <w:tcPr>
            <w:tcW w:w="1555" w:type="dxa"/>
            <w:shd w:val="clear" w:color="auto" w:fill="auto"/>
            <w:noWrap/>
            <w:vAlign w:val="bottom"/>
            <w:hideMark/>
          </w:tcPr>
          <w:p w14:paraId="476384B6" w14:textId="77777777" w:rsidR="00763874" w:rsidRPr="00763874" w:rsidRDefault="00763874" w:rsidP="0061598F">
            <w:pPr>
              <w:rPr>
                <w:rFonts w:asciiTheme="minorHAnsi" w:hAnsiTheme="minorHAnsi" w:cstheme="minorHAnsi"/>
                <w:color w:val="000000"/>
                <w:lang w:eastAsia="en-GB"/>
              </w:rPr>
            </w:pPr>
            <w:proofErr w:type="spellStart"/>
            <w:r w:rsidRPr="00763874">
              <w:rPr>
                <w:rFonts w:asciiTheme="minorHAnsi" w:hAnsiTheme="minorHAnsi" w:cstheme="minorHAnsi"/>
              </w:rPr>
              <w:t>E</w:t>
            </w:r>
            <w:r w:rsidRPr="00763874">
              <w:rPr>
                <w:rFonts w:asciiTheme="minorHAnsi" w:hAnsiTheme="minorHAnsi" w:cstheme="minorHAnsi"/>
                <w:vertAlign w:val="subscript"/>
              </w:rPr>
              <w:t>daily</w:t>
            </w:r>
            <w:proofErr w:type="spellEnd"/>
            <w:r w:rsidRPr="00763874">
              <w:rPr>
                <w:rFonts w:asciiTheme="minorHAnsi" w:hAnsiTheme="minorHAnsi" w:cstheme="minorHAnsi"/>
                <w:color w:val="000000"/>
                <w:lang w:eastAsia="en-GB"/>
              </w:rPr>
              <w:t xml:space="preserve"> (kWh/a)</w:t>
            </w:r>
          </w:p>
        </w:tc>
        <w:tc>
          <w:tcPr>
            <w:tcW w:w="960" w:type="dxa"/>
            <w:shd w:val="clear" w:color="auto" w:fill="auto"/>
            <w:noWrap/>
            <w:vAlign w:val="bottom"/>
            <w:hideMark/>
          </w:tcPr>
          <w:p w14:paraId="4FE71C6C"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3.45</w:t>
            </w:r>
          </w:p>
        </w:tc>
        <w:tc>
          <w:tcPr>
            <w:tcW w:w="1053" w:type="dxa"/>
            <w:shd w:val="clear" w:color="auto" w:fill="auto"/>
            <w:noWrap/>
            <w:vAlign w:val="bottom"/>
            <w:hideMark/>
          </w:tcPr>
          <w:p w14:paraId="703A410F"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2.09</w:t>
            </w:r>
          </w:p>
        </w:tc>
        <w:tc>
          <w:tcPr>
            <w:tcW w:w="1120" w:type="dxa"/>
            <w:shd w:val="clear" w:color="auto" w:fill="auto"/>
            <w:noWrap/>
            <w:vAlign w:val="bottom"/>
            <w:hideMark/>
          </w:tcPr>
          <w:p w14:paraId="05DED6E3"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2.11</w:t>
            </w:r>
          </w:p>
        </w:tc>
        <w:tc>
          <w:tcPr>
            <w:tcW w:w="960" w:type="dxa"/>
            <w:shd w:val="clear" w:color="auto" w:fill="auto"/>
            <w:noWrap/>
            <w:vAlign w:val="bottom"/>
            <w:hideMark/>
          </w:tcPr>
          <w:p w14:paraId="50E66E72"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44.90</w:t>
            </w:r>
          </w:p>
        </w:tc>
        <w:tc>
          <w:tcPr>
            <w:tcW w:w="960" w:type="dxa"/>
            <w:shd w:val="clear" w:color="auto" w:fill="auto"/>
            <w:noWrap/>
            <w:vAlign w:val="bottom"/>
            <w:hideMark/>
          </w:tcPr>
          <w:p w14:paraId="3327FD28"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33.89</w:t>
            </w:r>
          </w:p>
        </w:tc>
      </w:tr>
      <w:tr w:rsidR="00763874" w:rsidRPr="00763874" w14:paraId="31EC23D0" w14:textId="77777777" w:rsidTr="00763874">
        <w:trPr>
          <w:trHeight w:val="300"/>
          <w:jc w:val="center"/>
        </w:trPr>
        <w:tc>
          <w:tcPr>
            <w:tcW w:w="1555" w:type="dxa"/>
            <w:shd w:val="clear" w:color="auto" w:fill="auto"/>
            <w:noWrap/>
            <w:vAlign w:val="bottom"/>
            <w:hideMark/>
          </w:tcPr>
          <w:p w14:paraId="2EA57D08" w14:textId="77777777" w:rsidR="00763874" w:rsidRPr="00763874" w:rsidRDefault="00763874" w:rsidP="0061598F">
            <w:pPr>
              <w:rPr>
                <w:rFonts w:asciiTheme="minorHAnsi" w:hAnsiTheme="minorHAnsi" w:cstheme="minorHAnsi"/>
                <w:color w:val="000000"/>
                <w:lang w:eastAsia="en-GB"/>
              </w:rPr>
            </w:pPr>
            <w:r w:rsidRPr="00763874">
              <w:rPr>
                <w:rFonts w:asciiTheme="minorHAnsi" w:hAnsiTheme="minorHAnsi" w:cstheme="minorHAnsi"/>
                <w:color w:val="000000"/>
                <w:lang w:eastAsia="en-GB"/>
              </w:rPr>
              <w:t>Sales (%)</w:t>
            </w:r>
          </w:p>
        </w:tc>
        <w:tc>
          <w:tcPr>
            <w:tcW w:w="960" w:type="dxa"/>
            <w:shd w:val="clear" w:color="auto" w:fill="auto"/>
            <w:noWrap/>
            <w:vAlign w:val="bottom"/>
            <w:hideMark/>
          </w:tcPr>
          <w:p w14:paraId="1DBA6E8E"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9.2</w:t>
            </w:r>
          </w:p>
        </w:tc>
        <w:tc>
          <w:tcPr>
            <w:tcW w:w="1053" w:type="dxa"/>
            <w:shd w:val="clear" w:color="auto" w:fill="auto"/>
            <w:noWrap/>
            <w:vAlign w:val="bottom"/>
            <w:hideMark/>
          </w:tcPr>
          <w:p w14:paraId="142FFE7A"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45.1</w:t>
            </w:r>
          </w:p>
        </w:tc>
        <w:tc>
          <w:tcPr>
            <w:tcW w:w="1120" w:type="dxa"/>
            <w:shd w:val="clear" w:color="auto" w:fill="auto"/>
            <w:noWrap/>
            <w:vAlign w:val="bottom"/>
            <w:hideMark/>
          </w:tcPr>
          <w:p w14:paraId="10424D57"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19.3</w:t>
            </w:r>
          </w:p>
        </w:tc>
        <w:tc>
          <w:tcPr>
            <w:tcW w:w="960" w:type="dxa"/>
            <w:shd w:val="clear" w:color="auto" w:fill="auto"/>
            <w:noWrap/>
            <w:vAlign w:val="bottom"/>
            <w:hideMark/>
          </w:tcPr>
          <w:p w14:paraId="5A9DACDD"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26.0</w:t>
            </w:r>
          </w:p>
        </w:tc>
        <w:tc>
          <w:tcPr>
            <w:tcW w:w="960" w:type="dxa"/>
            <w:shd w:val="clear" w:color="auto" w:fill="auto"/>
            <w:noWrap/>
            <w:vAlign w:val="bottom"/>
            <w:hideMark/>
          </w:tcPr>
          <w:p w14:paraId="6DFD8535"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0.4</w:t>
            </w:r>
          </w:p>
        </w:tc>
      </w:tr>
      <w:tr w:rsidR="00763874" w:rsidRPr="00763874" w14:paraId="5C71F6C3" w14:textId="77777777" w:rsidTr="00763874">
        <w:trPr>
          <w:trHeight w:val="300"/>
          <w:jc w:val="center"/>
        </w:trPr>
        <w:tc>
          <w:tcPr>
            <w:tcW w:w="1555" w:type="dxa"/>
            <w:shd w:val="clear" w:color="auto" w:fill="auto"/>
            <w:noWrap/>
            <w:vAlign w:val="bottom"/>
            <w:hideMark/>
          </w:tcPr>
          <w:p w14:paraId="4B26A938" w14:textId="77777777" w:rsidR="00763874" w:rsidRPr="00763874" w:rsidRDefault="00763874" w:rsidP="0061598F">
            <w:pPr>
              <w:rPr>
                <w:rFonts w:asciiTheme="minorHAnsi" w:hAnsiTheme="minorHAnsi" w:cstheme="minorHAnsi"/>
                <w:color w:val="000000"/>
                <w:lang w:eastAsia="en-GB"/>
              </w:rPr>
            </w:pPr>
            <w:r w:rsidRPr="00763874">
              <w:rPr>
                <w:rFonts w:asciiTheme="minorHAnsi" w:hAnsiTheme="minorHAnsi" w:cstheme="minorHAnsi"/>
                <w:color w:val="000000"/>
                <w:lang w:eastAsia="en-GB"/>
              </w:rPr>
              <w:t xml:space="preserve">Sales x </w:t>
            </w:r>
            <w:proofErr w:type="spellStart"/>
            <w:r w:rsidRPr="00763874">
              <w:rPr>
                <w:rFonts w:asciiTheme="minorHAnsi" w:hAnsiTheme="minorHAnsi" w:cstheme="minorHAnsi"/>
              </w:rPr>
              <w:t>E</w:t>
            </w:r>
            <w:r w:rsidRPr="00763874">
              <w:rPr>
                <w:rFonts w:asciiTheme="minorHAnsi" w:hAnsiTheme="minorHAnsi" w:cstheme="minorHAnsi"/>
                <w:vertAlign w:val="subscript"/>
              </w:rPr>
              <w:t>daily</w:t>
            </w:r>
            <w:proofErr w:type="spellEnd"/>
          </w:p>
        </w:tc>
        <w:tc>
          <w:tcPr>
            <w:tcW w:w="960" w:type="dxa"/>
            <w:shd w:val="clear" w:color="auto" w:fill="auto"/>
            <w:noWrap/>
            <w:vAlign w:val="bottom"/>
            <w:hideMark/>
          </w:tcPr>
          <w:p w14:paraId="2536AE33"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0.32</w:t>
            </w:r>
          </w:p>
        </w:tc>
        <w:tc>
          <w:tcPr>
            <w:tcW w:w="1053" w:type="dxa"/>
            <w:shd w:val="clear" w:color="auto" w:fill="auto"/>
            <w:noWrap/>
            <w:vAlign w:val="bottom"/>
            <w:hideMark/>
          </w:tcPr>
          <w:p w14:paraId="3DC5A0BC"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0.94</w:t>
            </w:r>
          </w:p>
        </w:tc>
        <w:tc>
          <w:tcPr>
            <w:tcW w:w="1120" w:type="dxa"/>
            <w:shd w:val="clear" w:color="auto" w:fill="auto"/>
            <w:noWrap/>
            <w:vAlign w:val="bottom"/>
            <w:hideMark/>
          </w:tcPr>
          <w:p w14:paraId="61B42DB4"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0.41</w:t>
            </w:r>
          </w:p>
        </w:tc>
        <w:tc>
          <w:tcPr>
            <w:tcW w:w="960" w:type="dxa"/>
            <w:shd w:val="clear" w:color="auto" w:fill="auto"/>
            <w:noWrap/>
            <w:vAlign w:val="bottom"/>
            <w:hideMark/>
          </w:tcPr>
          <w:p w14:paraId="584A3153"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11.67</w:t>
            </w:r>
          </w:p>
        </w:tc>
        <w:tc>
          <w:tcPr>
            <w:tcW w:w="960" w:type="dxa"/>
            <w:shd w:val="clear" w:color="auto" w:fill="auto"/>
            <w:noWrap/>
            <w:vAlign w:val="bottom"/>
            <w:hideMark/>
          </w:tcPr>
          <w:p w14:paraId="31531C50" w14:textId="77777777" w:rsidR="00763874" w:rsidRPr="00763874" w:rsidRDefault="00763874" w:rsidP="00923DF4">
            <w:pPr>
              <w:tabs>
                <w:tab w:val="decimal" w:pos="321"/>
              </w:tabs>
              <w:rPr>
                <w:rFonts w:asciiTheme="minorHAnsi" w:hAnsiTheme="minorHAnsi" w:cstheme="minorHAnsi"/>
                <w:color w:val="000000"/>
                <w:lang w:eastAsia="en-GB"/>
              </w:rPr>
            </w:pPr>
            <w:r w:rsidRPr="00763874">
              <w:rPr>
                <w:rFonts w:asciiTheme="minorHAnsi" w:hAnsiTheme="minorHAnsi" w:cstheme="minorHAnsi"/>
                <w:color w:val="000000"/>
                <w:lang w:eastAsia="en-GB"/>
              </w:rPr>
              <w:t>0.14</w:t>
            </w:r>
          </w:p>
        </w:tc>
      </w:tr>
    </w:tbl>
    <w:p w14:paraId="7CF5DE91" w14:textId="77777777" w:rsidR="00763874" w:rsidRDefault="00763874" w:rsidP="00593C09">
      <w:pPr>
        <w:pStyle w:val="IIR12MainText"/>
      </w:pPr>
    </w:p>
    <w:p w14:paraId="7F6856D6" w14:textId="77777777" w:rsidR="00763874" w:rsidRDefault="00763874" w:rsidP="00593C09">
      <w:pPr>
        <w:pStyle w:val="IIR12MainText"/>
      </w:pPr>
      <w:r>
        <w:t xml:space="preserve">Table 9 shows that the modal label class is an F for the product type with the largest influence on energy consumption (based on Sales x </w:t>
      </w:r>
      <w:proofErr w:type="spellStart"/>
      <w:r>
        <w:t>E</w:t>
      </w:r>
      <w:r w:rsidRPr="00C94B0F">
        <w:rPr>
          <w:vertAlign w:val="subscript"/>
        </w:rPr>
        <w:t>daily</w:t>
      </w:r>
      <w:proofErr w:type="spellEnd"/>
      <w:r>
        <w:t>) which is a SM type.  Given that the projections in Table 8 are based upon products sold being A class by 2026 and half-way between A class and D/E class by 2023, this shows that the projections are over optimistic based on current sales (Table 9).</w:t>
      </w:r>
    </w:p>
    <w:p w14:paraId="60D83AD0" w14:textId="77777777" w:rsidR="00763874" w:rsidRDefault="00763874" w:rsidP="00593C09">
      <w:pPr>
        <w:pStyle w:val="IIR12MainText"/>
      </w:pPr>
      <w:r>
        <w:t>3.3.1</w:t>
      </w:r>
      <w:r>
        <w:tab/>
        <w:t>Supermarket cabinets</w:t>
      </w:r>
    </w:p>
    <w:p w14:paraId="62552D21" w14:textId="0A705A0A" w:rsidR="00763874" w:rsidRDefault="00763874" w:rsidP="00593C09">
      <w:pPr>
        <w:pStyle w:val="IIR12MainText"/>
      </w:pPr>
      <w:r>
        <w:t xml:space="preserve">The most significant factor in determining the performance of a supermarket chiller, is whether it has doors or not.  Open fronted vertical chilled supermarket cabinets are classed as </w:t>
      </w:r>
      <w:proofErr w:type="gramStart"/>
      <w:r>
        <w:t>VC2</w:t>
      </w:r>
      <w:proofErr w:type="gramEnd"/>
      <w:r>
        <w:t xml:space="preserve"> and doored versions are classed as VC4.  This allows them to be searched in the EPREL. Searching for remote (refrigeration system separate from cabinet) cabinets shows that for remote open fronted vertical chilled supermarket cabinets (RCV2), 93.7% are E class and below and for remote doored vertical chilled supermarket cabinets (RCV4) 96.7% are D class and above (Fig. 7).</w:t>
      </w:r>
    </w:p>
    <w:p w14:paraId="78B13695" w14:textId="77777777" w:rsidR="00763874" w:rsidRDefault="00763874" w:rsidP="00593C09">
      <w:pPr>
        <w:pStyle w:val="IIR12MainText"/>
      </w:pPr>
    </w:p>
    <w:p w14:paraId="4187EC0A" w14:textId="08B399D9" w:rsidR="00763874" w:rsidRDefault="00273649" w:rsidP="00664889">
      <w:pPr>
        <w:pStyle w:val="IIR12MainText"/>
      </w:pPr>
      <w:r>
        <w:rPr>
          <w:noProof/>
        </w:rPr>
        <w:drawing>
          <wp:inline distT="0" distB="0" distL="0" distR="0" wp14:anchorId="6D21C5E3" wp14:editId="43B18E2D">
            <wp:extent cx="4569086" cy="2681998"/>
            <wp:effectExtent l="0" t="0" r="3175" b="4445"/>
            <wp:docPr id="1268902145" name="Chart 1">
              <a:extLst xmlns:a="http://schemas.openxmlformats.org/drawingml/2006/main">
                <a:ext uri="{FF2B5EF4-FFF2-40B4-BE49-F238E27FC236}">
                  <a16:creationId xmlns:a16="http://schemas.microsoft.com/office/drawing/2014/main" id="{E75C2FA4-234C-45DC-B2C9-F96B379579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77037E" w14:textId="68B1AF53" w:rsidR="00763874" w:rsidRDefault="00763874" w:rsidP="00164CEB">
      <w:pPr>
        <w:pStyle w:val="IIR14FigureCaption"/>
        <w:jc w:val="center"/>
      </w:pPr>
      <w:r w:rsidRPr="00763874">
        <w:t>Figure 7. Percentage of models of that fall within each label class.</w:t>
      </w:r>
    </w:p>
    <w:p w14:paraId="25A0C194" w14:textId="77777777" w:rsidR="002947DA" w:rsidRPr="00763874" w:rsidRDefault="002947DA" w:rsidP="005E3AA4">
      <w:pPr>
        <w:pStyle w:val="IIR14FigureCaption"/>
      </w:pPr>
    </w:p>
    <w:p w14:paraId="6ECDB3AA" w14:textId="77777777" w:rsidR="00763874" w:rsidRDefault="00763874" w:rsidP="00593C09">
      <w:pPr>
        <w:pStyle w:val="IIR12MainText"/>
      </w:pPr>
      <w:r>
        <w:t>If labels E to G were removed, this would remove almost all remote open cabinets and leave almost all remote closed cabinets.  This would mean that remote supermarket cabinets sold would predominantly be C and D class.  If done immediately this could make remote supermarket cabinets fall in line with the projections used in Table 8.</w:t>
      </w:r>
    </w:p>
    <w:p w14:paraId="6472781E" w14:textId="791AFBCE" w:rsidR="00763874" w:rsidRDefault="00763874" w:rsidP="00593C09">
      <w:pPr>
        <w:pStyle w:val="IIR12MainText"/>
      </w:pPr>
      <w:r>
        <w:t xml:space="preserve">For integral supermarket cabinets the proportion of doored (ICV4) and open (ICV2) is shown in Fig. </w:t>
      </w:r>
      <w:r w:rsidR="00273649">
        <w:t>7</w:t>
      </w:r>
      <w:r>
        <w:t>.  For ICV4, 89.3% are D class and above and for ICV2 45% are E class and below.  Removing labels E to G would have less of an impact on open integrals than it does on open remotes, keeping 55% of open integrals (ICV2) on the market (45% removed).  However, it would have more of an impact on closed integrals (ICV4), than closed remotes, removing 10.7% of the models.</w:t>
      </w:r>
    </w:p>
    <w:p w14:paraId="485A7DD7" w14:textId="77CF3F57" w:rsidR="00B605CB" w:rsidRPr="0031086E" w:rsidRDefault="003E3EE6" w:rsidP="00593C09">
      <w:pPr>
        <w:pStyle w:val="IIR08AbstractKeywords"/>
      </w:pPr>
      <w:r w:rsidRPr="00DA2361">
        <w:t>CONCLUSIONS</w:t>
      </w:r>
    </w:p>
    <w:p w14:paraId="7FFE80DA" w14:textId="1209A9F3" w:rsidR="002947DA" w:rsidRDefault="002947DA" w:rsidP="00F351C2">
      <w:pPr>
        <w:pStyle w:val="MainText"/>
        <w:ind w:left="0"/>
      </w:pPr>
      <w:r w:rsidRPr="00627D16">
        <w:t xml:space="preserve">The </w:t>
      </w:r>
      <w:r w:rsidR="00C94B0F">
        <w:t>UK Government</w:t>
      </w:r>
      <w:r w:rsidRPr="00627D16">
        <w:t xml:space="preserve"> projections </w:t>
      </w:r>
      <w:r>
        <w:t xml:space="preserve">for domestic refrigeration </w:t>
      </w:r>
      <w:r w:rsidRPr="00627D16">
        <w:t xml:space="preserve">are not realistic and should be adjusted to reflect </w:t>
      </w:r>
      <w:r>
        <w:t>current</w:t>
      </w:r>
      <w:r w:rsidRPr="00627D16">
        <w:t xml:space="preserve"> sales.</w:t>
      </w:r>
      <w:r>
        <w:t xml:space="preserve">  Current BAT products are available which fit the EU LLCC scenario; however, the products currently being sold use about 50% more energy than even the BAU scenario.  To follow the trajectory of the </w:t>
      </w:r>
      <w:r w:rsidR="006A0A41">
        <w:t>UK</w:t>
      </w:r>
      <w:r>
        <w:t xml:space="preserve"> projection</w:t>
      </w:r>
      <w:r w:rsidR="006A0A41">
        <w:t>s</w:t>
      </w:r>
      <w:r>
        <w:t xml:space="preserve"> from 2023 would require fridge-freezers to be a B-class. Only </w:t>
      </w:r>
      <w:r w:rsidR="0017447D">
        <w:t>0.9</w:t>
      </w:r>
      <w:r>
        <w:t xml:space="preserve">% of the fridge-freezers on the suppliers’ web site examined were A and B-class at the time of writing.  </w:t>
      </w:r>
    </w:p>
    <w:p w14:paraId="23E0CB64" w14:textId="357C3031" w:rsidR="002947DA" w:rsidRPr="00430F20" w:rsidRDefault="002947DA" w:rsidP="00F351C2">
      <w:pPr>
        <w:pStyle w:val="MainText"/>
        <w:ind w:left="0"/>
      </w:pPr>
      <w:r>
        <w:t xml:space="preserve">For professional refrigeration </w:t>
      </w:r>
      <w:r w:rsidRPr="0079355D">
        <w:t xml:space="preserve">the new G class will be phased out by 1.1.2026 and the new F class by 1.1.2028.  </w:t>
      </w:r>
      <w:r>
        <w:t xml:space="preserve">This will probably have little effect on the energy consumption of UK stock, as there are already very few models in these label classes.  </w:t>
      </w:r>
      <w:r w:rsidRPr="00430F20">
        <w:t xml:space="preserve">To drive energy improvements will require removing the </w:t>
      </w:r>
      <w:r>
        <w:t>E-class</w:t>
      </w:r>
      <w:r w:rsidRPr="00430F20">
        <w:t xml:space="preserve">, </w:t>
      </w:r>
      <w:r>
        <w:t xml:space="preserve">and </w:t>
      </w:r>
      <w:r w:rsidRPr="00430F20">
        <w:t xml:space="preserve">this is better done after the new </w:t>
      </w:r>
      <w:r>
        <w:t>Eco</w:t>
      </w:r>
      <w:r w:rsidR="006A0A41">
        <w:t>-</w:t>
      </w:r>
      <w:r>
        <w:t xml:space="preserve">design </w:t>
      </w:r>
      <w:r w:rsidRPr="00430F20">
        <w:t xml:space="preserve">labelling </w:t>
      </w:r>
      <w:r>
        <w:t>regulations are applied,</w:t>
      </w:r>
      <w:r w:rsidRPr="00430F20">
        <w:t xml:space="preserve"> so as not </w:t>
      </w:r>
      <w:r w:rsidR="00682251">
        <w:t xml:space="preserve">to </w:t>
      </w:r>
      <w:r w:rsidRPr="00430F20">
        <w:t>unfairly impact the freezers and better impact the CH type.</w:t>
      </w:r>
    </w:p>
    <w:p w14:paraId="2B0D92E9" w14:textId="783178C8" w:rsidR="002947DA" w:rsidRDefault="002947DA" w:rsidP="00F351C2">
      <w:pPr>
        <w:pStyle w:val="MainText"/>
        <w:ind w:left="0"/>
      </w:pPr>
      <w:proofErr w:type="gramStart"/>
      <w:r w:rsidRPr="000E4FE6">
        <w:t>It is clear that all</w:t>
      </w:r>
      <w:proofErr w:type="gramEnd"/>
      <w:r w:rsidRPr="000E4FE6">
        <w:t xml:space="preserve"> commercial cabinet </w:t>
      </w:r>
      <w:r>
        <w:t>types</w:t>
      </w:r>
      <w:r w:rsidRPr="000E4FE6">
        <w:t xml:space="preserve"> </w:t>
      </w:r>
      <w:r>
        <w:t>use more energy than</w:t>
      </w:r>
      <w:r w:rsidRPr="000E4FE6">
        <w:t xml:space="preserve"> the </w:t>
      </w:r>
      <w:r>
        <w:t>Eco</w:t>
      </w:r>
      <w:r w:rsidR="006A0A41">
        <w:t>-</w:t>
      </w:r>
      <w:r>
        <w:t xml:space="preserve">design study </w:t>
      </w:r>
      <w:r w:rsidRPr="000E4FE6">
        <w:t>projection timescale.</w:t>
      </w:r>
      <w:r w:rsidRPr="0001603D">
        <w:t xml:space="preserve">  </w:t>
      </w:r>
      <w:r>
        <w:t>Banning</w:t>
      </w:r>
      <w:r w:rsidRPr="0001603D">
        <w:t xml:space="preserve"> open fronted </w:t>
      </w:r>
      <w:r>
        <w:t xml:space="preserve">supermarket </w:t>
      </w:r>
      <w:r w:rsidRPr="0001603D">
        <w:t>cabinets</w:t>
      </w:r>
      <w:r>
        <w:t xml:space="preserve"> and/or removing </w:t>
      </w:r>
      <w:r w:rsidR="00363856">
        <w:t xml:space="preserve">the lowest </w:t>
      </w:r>
      <w:r>
        <w:t>3 label</w:t>
      </w:r>
      <w:r w:rsidR="00363856">
        <w:t xml:space="preserve"> classes</w:t>
      </w:r>
      <w:r w:rsidRPr="0001603D">
        <w:t>, would bring the</w:t>
      </w:r>
      <w:r>
        <w:t>s</w:t>
      </w:r>
      <w:r w:rsidRPr="0001603D">
        <w:t xml:space="preserve">e </w:t>
      </w:r>
      <w:r>
        <w:t>model types</w:t>
      </w:r>
      <w:r w:rsidRPr="0001603D">
        <w:t xml:space="preserve"> in line with current projections</w:t>
      </w:r>
      <w:r>
        <w:t>,</w:t>
      </w:r>
      <w:r w:rsidRPr="0001603D">
        <w:t xml:space="preserve"> but only if it happened immediately.  </w:t>
      </w:r>
    </w:p>
    <w:p w14:paraId="42C9ACFE" w14:textId="77777777" w:rsidR="002947DA" w:rsidRDefault="002947DA" w:rsidP="00F351C2">
      <w:pPr>
        <w:pStyle w:val="MainText"/>
        <w:ind w:left="0"/>
      </w:pPr>
      <w:r>
        <w:t>The following recommendations have been concluded from this work with the aim of aligning UK Government projections closer to reality and reducing energy consumption in the future.</w:t>
      </w:r>
    </w:p>
    <w:p w14:paraId="4DFE6D88" w14:textId="77777777" w:rsidR="002947DA" w:rsidRDefault="002947DA" w:rsidP="00F351C2">
      <w:pPr>
        <w:pStyle w:val="MainText"/>
        <w:numPr>
          <w:ilvl w:val="0"/>
          <w:numId w:val="38"/>
        </w:numPr>
        <w:ind w:left="709" w:hanging="709"/>
      </w:pPr>
      <w:r>
        <w:t>Determine up to date domestic stock energy consumption.</w:t>
      </w:r>
    </w:p>
    <w:p w14:paraId="34BCCB68" w14:textId="77777777" w:rsidR="002947DA" w:rsidRDefault="002947DA" w:rsidP="00F351C2">
      <w:pPr>
        <w:pStyle w:val="MainText"/>
        <w:numPr>
          <w:ilvl w:val="0"/>
          <w:numId w:val="38"/>
        </w:numPr>
        <w:ind w:left="709" w:hanging="709"/>
      </w:pPr>
      <w:r>
        <w:t xml:space="preserve">Adjust UK Government domestic predictions based on up-to-date stock, current </w:t>
      </w:r>
      <w:proofErr w:type="gramStart"/>
      <w:r>
        <w:t>sales</w:t>
      </w:r>
      <w:proofErr w:type="gramEnd"/>
      <w:r>
        <w:t xml:space="preserve"> and realistic projections.</w:t>
      </w:r>
    </w:p>
    <w:p w14:paraId="49D415D2" w14:textId="77777777" w:rsidR="002947DA" w:rsidRPr="00624C15" w:rsidRDefault="002947DA" w:rsidP="00F351C2">
      <w:pPr>
        <w:pStyle w:val="MainText"/>
        <w:numPr>
          <w:ilvl w:val="0"/>
          <w:numId w:val="38"/>
        </w:numPr>
        <w:ind w:left="709" w:hanging="709"/>
      </w:pPr>
      <w:r>
        <w:t>Introduce policy to phase out the worst performing professional cabinet labels as soon as possible.</w:t>
      </w:r>
    </w:p>
    <w:p w14:paraId="6855E63D" w14:textId="77777777" w:rsidR="002947DA" w:rsidRPr="00624C15" w:rsidRDefault="002947DA" w:rsidP="00F351C2">
      <w:pPr>
        <w:pStyle w:val="MainText"/>
        <w:numPr>
          <w:ilvl w:val="0"/>
          <w:numId w:val="38"/>
        </w:numPr>
        <w:ind w:left="709" w:hanging="709"/>
      </w:pPr>
      <w:r>
        <w:t>Introduce policy to phase out open fronted supermarket display cabinets, either directly or by removing label classes.</w:t>
      </w:r>
    </w:p>
    <w:p w14:paraId="09F89846" w14:textId="2BD0A270" w:rsidR="00B605CB" w:rsidRPr="008C5E15" w:rsidRDefault="00B605CB" w:rsidP="00C947EC">
      <w:pPr>
        <w:pStyle w:val="IIR15Acknowledgements"/>
        <w:rPr>
          <w:rFonts w:asciiTheme="minorHAnsi" w:hAnsiTheme="minorHAnsi" w:cstheme="minorHAnsi"/>
        </w:rPr>
      </w:pPr>
      <w:r w:rsidRPr="008C5E15">
        <w:rPr>
          <w:rFonts w:asciiTheme="minorHAnsi" w:hAnsiTheme="minorHAnsi" w:cstheme="minorHAnsi"/>
        </w:rPr>
        <w:t>ACKNOWLEDGEMENTS</w:t>
      </w:r>
    </w:p>
    <w:p w14:paraId="005648B8" w14:textId="77777777" w:rsidR="002947DA" w:rsidRDefault="002947DA" w:rsidP="002947DA">
      <w:pPr>
        <w:pStyle w:val="IIR15Acknowledgements"/>
        <w:jc w:val="left"/>
        <w:rPr>
          <w:rFonts w:asciiTheme="minorHAnsi" w:hAnsiTheme="minorHAnsi" w:cstheme="minorHAnsi"/>
          <w:b w:val="0"/>
          <w:caps w:val="0"/>
          <w:sz w:val="22"/>
          <w:lang w:bidi="en-US"/>
        </w:rPr>
      </w:pPr>
      <w:bookmarkStart w:id="2" w:name="_Hlk48836264"/>
      <w:r w:rsidRPr="002947DA">
        <w:rPr>
          <w:rFonts w:asciiTheme="minorHAnsi" w:hAnsiTheme="minorHAnsi" w:cstheme="minorHAnsi"/>
          <w:b w:val="0"/>
          <w:caps w:val="0"/>
          <w:sz w:val="22"/>
          <w:lang w:bidi="en-US"/>
        </w:rPr>
        <w:t>This work was carried out as part of an EPSRC UK Energy Research Centre Project (EP/S029575/1) and EPSRC grant (EP/V042548/1).  We would like to thank BEIS for supporting us with UK government statistics.</w:t>
      </w:r>
    </w:p>
    <w:p w14:paraId="2B74939F" w14:textId="1DE08FED" w:rsidR="00B605CB" w:rsidRPr="008C5E15" w:rsidRDefault="003E3EE6" w:rsidP="00C947EC">
      <w:pPr>
        <w:pStyle w:val="IIR15Acknowledgements"/>
        <w:rPr>
          <w:rFonts w:asciiTheme="minorHAnsi" w:hAnsiTheme="minorHAnsi" w:cstheme="minorHAnsi"/>
        </w:rPr>
      </w:pPr>
      <w:bookmarkStart w:id="3" w:name="_Hlk48836269"/>
      <w:bookmarkEnd w:id="2"/>
      <w:r w:rsidRPr="008C5E15">
        <w:rPr>
          <w:rFonts w:asciiTheme="minorHAnsi" w:hAnsiTheme="minorHAnsi" w:cstheme="minorHAnsi"/>
        </w:rPr>
        <w:t>REFERENCES</w:t>
      </w:r>
      <w:bookmarkEnd w:id="3"/>
      <w:r w:rsidR="000D3AF2" w:rsidRPr="008C5E15">
        <w:rPr>
          <w:rFonts w:asciiTheme="minorHAnsi" w:hAnsiTheme="minorHAnsi" w:cstheme="minorHAnsi"/>
        </w:rPr>
        <w:t xml:space="preserve"> </w:t>
      </w:r>
    </w:p>
    <w:p w14:paraId="75FE8968" w14:textId="33D35BFC" w:rsidR="00883F37" w:rsidRDefault="00883F37" w:rsidP="00F351C2">
      <w:pPr>
        <w:pStyle w:val="MainText"/>
        <w:ind w:left="0"/>
      </w:pPr>
      <w:proofErr w:type="spellStart"/>
      <w:r>
        <w:t>Biglia</w:t>
      </w:r>
      <w:proofErr w:type="spellEnd"/>
      <w:r>
        <w:t xml:space="preserve">, A., Gemmell, A.J., Foster, H.J., Evans, J.A., 2018. Temperature and energy performance of domestic cold appliances in households in England. Int. J. </w:t>
      </w:r>
      <w:proofErr w:type="spellStart"/>
      <w:r>
        <w:t>Refrig</w:t>
      </w:r>
      <w:proofErr w:type="spellEnd"/>
      <w:r>
        <w:t>. 87, 172</w:t>
      </w:r>
      <w:r>
        <w:rPr>
          <w:rFonts w:ascii="STIX" w:hAnsi="STIX" w:cs="STIX"/>
        </w:rPr>
        <w:t>–</w:t>
      </w:r>
      <w:r>
        <w:t>184.</w:t>
      </w:r>
    </w:p>
    <w:p w14:paraId="3604BA6D" w14:textId="42313D04" w:rsidR="00B569B3" w:rsidRDefault="00B569B3" w:rsidP="00F351C2">
      <w:pPr>
        <w:pStyle w:val="MainText"/>
        <w:ind w:left="0"/>
      </w:pPr>
      <w:r>
        <w:t>Dupret, M., Zimmerman, J-P, 2019. Electricity consumption of cold appliances, washing machines, dish washers, tumble driers and air conditioners. On-site monitoring campaign in 100 households. Analysis of the evolution of the consumption over the last 20 years. Proceedings of the ECEEE summer study, 2019</w:t>
      </w:r>
    </w:p>
    <w:p w14:paraId="2222D1A6" w14:textId="77777777" w:rsidR="00B569B3" w:rsidRPr="00D83F6D" w:rsidRDefault="00B569B3" w:rsidP="00F351C2">
      <w:pPr>
        <w:pStyle w:val="MainText"/>
        <w:ind w:left="0"/>
      </w:pPr>
      <w:r>
        <w:lastRenderedPageBreak/>
        <w:t xml:space="preserve">EUR-Lex, 2009.  </w:t>
      </w:r>
      <w:r w:rsidRPr="001F340C">
        <w:t xml:space="preserve">Commission Regulation (EC) No 643/2009 of 22 July 2009 implementing Directive 2005/32/EC of the European Parliament and of the Council </w:t>
      </w:r>
      <w:proofErr w:type="gramStart"/>
      <w:r w:rsidRPr="001F340C">
        <w:t>with regard to</w:t>
      </w:r>
      <w:proofErr w:type="gramEnd"/>
      <w:r w:rsidRPr="001F340C">
        <w:t xml:space="preserve"> </w:t>
      </w:r>
      <w:proofErr w:type="spellStart"/>
      <w:r w:rsidRPr="001F340C">
        <w:t>ecodesign</w:t>
      </w:r>
      <w:proofErr w:type="spellEnd"/>
      <w:r w:rsidRPr="001F340C">
        <w:t xml:space="preserve"> requirements for household refrigerating appliances (Text with EEA relevance)</w:t>
      </w:r>
      <w:r>
        <w:t xml:space="preserve">.  </w:t>
      </w:r>
      <w:r w:rsidRPr="00DE2DBA">
        <w:t>Document 32009R0643</w:t>
      </w:r>
      <w:r>
        <w:t xml:space="preserve">.  </w:t>
      </w:r>
    </w:p>
    <w:p w14:paraId="2CD18773" w14:textId="77777777" w:rsidR="00B569B3" w:rsidRDefault="00B569B3" w:rsidP="00F351C2">
      <w:pPr>
        <w:pStyle w:val="MainText"/>
        <w:ind w:left="0"/>
      </w:pPr>
      <w:r w:rsidRPr="00D83F6D">
        <w:t>Foster, A., Brown, T., Evans, J., 2022, April. Baseline Refrigeration Emissions in the UK. In The 7th IIR Conference on Sustainability and the Cold Chain.</w:t>
      </w:r>
    </w:p>
    <w:p w14:paraId="0D1F8991" w14:textId="77777777" w:rsidR="00B569B3" w:rsidRDefault="00B569B3" w:rsidP="00F351C2">
      <w:pPr>
        <w:pStyle w:val="MainText"/>
        <w:ind w:left="0"/>
      </w:pPr>
      <w:r w:rsidRPr="00D83F6D">
        <w:t>HM Government, 2021. Net Zero Strategy: Build Back Greener.  Printed in the UK by HH Associates Ltd. on behalf of the Controller of Her Majesty’s Stationery Office.  ISBN 78-1-5286-2938-6</w:t>
      </w:r>
      <w:r>
        <w:t>.</w:t>
      </w:r>
    </w:p>
    <w:p w14:paraId="0DED249E" w14:textId="77777777" w:rsidR="00B569B3" w:rsidRDefault="00B569B3" w:rsidP="00F351C2">
      <w:pPr>
        <w:pStyle w:val="MainText"/>
        <w:ind w:left="0"/>
      </w:pPr>
      <w:r w:rsidRPr="00D83F6D">
        <w:t>HM Government, 202</w:t>
      </w:r>
      <w:r>
        <w:t>3</w:t>
      </w:r>
      <w:r w:rsidRPr="00D83F6D">
        <w:t xml:space="preserve">. </w:t>
      </w:r>
      <w:r>
        <w:t>Carbon Budget Delivery Plan</w:t>
      </w:r>
      <w:r w:rsidRPr="00D83F6D">
        <w:t xml:space="preserve">.  </w:t>
      </w:r>
      <w:r>
        <w:t xml:space="preserve">Printed in the UK by HH Global on behalf of the Controller of His Majesty’s Stationery Office.  </w:t>
      </w:r>
      <w:r w:rsidRPr="00D83F6D">
        <w:t xml:space="preserve">ISBN </w:t>
      </w:r>
      <w:r>
        <w:t>978-1-5286-4015-2.</w:t>
      </w:r>
    </w:p>
    <w:p w14:paraId="5DA289ED" w14:textId="77777777" w:rsidR="00B569B3" w:rsidRPr="00D83F6D" w:rsidRDefault="00B569B3" w:rsidP="00F351C2">
      <w:pPr>
        <w:pStyle w:val="MainText"/>
        <w:ind w:left="0"/>
      </w:pPr>
      <w:r>
        <w:t>IEC 62552-1:2015.  Household refrigerating appliances - Characteristics and test methods - Part 1: General requirements.</w:t>
      </w:r>
    </w:p>
    <w:p w14:paraId="6915EC06" w14:textId="20455FF3" w:rsidR="00B569B3" w:rsidRPr="00D83F6D" w:rsidRDefault="00B569B3" w:rsidP="00F351C2">
      <w:pPr>
        <w:pStyle w:val="MainText"/>
        <w:ind w:left="0"/>
      </w:pPr>
      <w:r>
        <w:t xml:space="preserve">Kenma, R. Wesselman, P., Boorn, R. </w:t>
      </w:r>
      <w:proofErr w:type="gramStart"/>
      <w:r>
        <w:t>an</w:t>
      </w:r>
      <w:proofErr w:type="gramEnd"/>
      <w:r>
        <w:t xml:space="preserve"> den, Elburg M. van, Tait, J., Barthel, C., Jensen, C.  </w:t>
      </w:r>
      <w:r w:rsidR="00E76CED">
        <w:t xml:space="preserve">(2022) </w:t>
      </w:r>
      <w:r>
        <w:t xml:space="preserve">Professional Refrigeration </w:t>
      </w:r>
      <w:proofErr w:type="spellStart"/>
      <w:r>
        <w:t>Ecodesign</w:t>
      </w:r>
      <w:proofErr w:type="spellEnd"/>
      <w:r>
        <w:t xml:space="preserve"> and Energy Labelling:  Review Study Phase 1.1 &amp; 1.2 Technical Analysis DRAFT 2nd INTERIM REPORT.  European Commission.  </w:t>
      </w:r>
      <w:hyperlink r:id="rId15" w:history="1">
        <w:r>
          <w:rPr>
            <w:rStyle w:val="Hyperlink"/>
          </w:rPr>
          <w:t xml:space="preserve">20221221_Professional refrigeration review </w:t>
        </w:r>
        <w:proofErr w:type="spellStart"/>
        <w:r>
          <w:rPr>
            <w:rStyle w:val="Hyperlink"/>
          </w:rPr>
          <w:t>study_second</w:t>
        </w:r>
        <w:proofErr w:type="spellEnd"/>
        <w:r>
          <w:rPr>
            <w:rStyle w:val="Hyperlink"/>
          </w:rPr>
          <w:t xml:space="preserve"> interim report.pdf (ecoprorefrigeration.eu)</w:t>
        </w:r>
      </w:hyperlink>
      <w:r>
        <w:t>.</w:t>
      </w:r>
    </w:p>
    <w:p w14:paraId="23161917" w14:textId="77777777" w:rsidR="00B569B3" w:rsidRPr="00544EC7" w:rsidRDefault="00B569B3" w:rsidP="00F351C2">
      <w:pPr>
        <w:pStyle w:val="MainText"/>
        <w:ind w:left="0"/>
        <w:rPr>
          <w:lang w:eastAsia="fr-FR"/>
        </w:rPr>
      </w:pPr>
      <w:r w:rsidRPr="00544EC7">
        <w:rPr>
          <w:rStyle w:val="Hyperlink"/>
        </w:rPr>
        <w:t>Moons et al</w:t>
      </w:r>
      <w:r>
        <w:rPr>
          <w:rStyle w:val="Hyperlink"/>
        </w:rPr>
        <w:t xml:space="preserve">, 2014.  </w:t>
      </w:r>
      <w:proofErr w:type="spellStart"/>
      <w:r>
        <w:t>Ecodesign</w:t>
      </w:r>
      <w:proofErr w:type="spellEnd"/>
      <w:r>
        <w:t xml:space="preserve"> for Commercial Refrigeration: Preparatory study update Final report. Report EUR 26781 EN.  European Commission.</w:t>
      </w:r>
    </w:p>
    <w:p w14:paraId="6248D9E0" w14:textId="77777777" w:rsidR="00B569B3" w:rsidRPr="006F3A15" w:rsidRDefault="00B569B3" w:rsidP="00F351C2">
      <w:pPr>
        <w:pStyle w:val="MainText"/>
        <w:ind w:left="0"/>
      </w:pPr>
      <w:r>
        <w:t xml:space="preserve">VHK and </w:t>
      </w:r>
      <w:proofErr w:type="spellStart"/>
      <w:r>
        <w:t>Armines</w:t>
      </w:r>
      <w:proofErr w:type="spellEnd"/>
      <w:r>
        <w:t xml:space="preserve">, 2016.  Preparatory/review study: Commission Regulation (EC) No. 643/2009 </w:t>
      </w:r>
      <w:proofErr w:type="gramStart"/>
      <w:r>
        <w:t>with regard to</w:t>
      </w:r>
      <w:proofErr w:type="gramEnd"/>
      <w:r>
        <w:t xml:space="preserve"> </w:t>
      </w:r>
      <w:proofErr w:type="spellStart"/>
      <w:r>
        <w:t>ecodesign</w:t>
      </w:r>
      <w:proofErr w:type="spellEnd"/>
      <w:r>
        <w:t xml:space="preserve"> requirements for household refrigeration appliances and Commission Delegated Regulation (EU) No. 1060/2010 with regard to energy labelling of household refrigeration appliances FINAL REPORT.  European Commission.</w:t>
      </w:r>
    </w:p>
    <w:p w14:paraId="2A581F2B" w14:textId="3D514527" w:rsidR="00B569B3" w:rsidRDefault="00B569B3" w:rsidP="00593C09">
      <w:pPr>
        <w:pStyle w:val="IIR12MainText"/>
      </w:pPr>
    </w:p>
    <w:p w14:paraId="4820B579" w14:textId="3F0EFEC9" w:rsidR="003E3FDD" w:rsidRPr="002947DA" w:rsidRDefault="003E3FDD" w:rsidP="00593C09">
      <w:pPr>
        <w:pStyle w:val="IIR16ReferencesText"/>
      </w:pPr>
      <w:r w:rsidRPr="002947DA">
        <w:t xml:space="preserve"> </w:t>
      </w:r>
    </w:p>
    <w:sectPr w:rsidR="003E3FDD" w:rsidRPr="002947DA" w:rsidSect="00F64BA0">
      <w:headerReference w:type="default" r:id="rId16"/>
      <w:footerReference w:type="default" r:id="rId17"/>
      <w:headerReference w:type="first" r:id="rId18"/>
      <w:footerReference w:type="first" r:id="rId19"/>
      <w:pgSz w:w="11907" w:h="16839" w:code="9"/>
      <w:pgMar w:top="1134" w:right="1134"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F8473" w14:textId="77777777" w:rsidR="00E10582" w:rsidRDefault="00E10582">
      <w:r>
        <w:separator/>
      </w:r>
    </w:p>
  </w:endnote>
  <w:endnote w:type="continuationSeparator" w:id="0">
    <w:p w14:paraId="5C4A5438" w14:textId="77777777" w:rsidR="00E10582" w:rsidRDefault="00E1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PS MT">
    <w:altName w:val="Arial"/>
    <w:charset w:val="00"/>
    <w:family w:val="moder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I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8AA5D" w14:textId="20CF53E6" w:rsidR="001252B6" w:rsidRPr="00061C20" w:rsidRDefault="00DA68B9" w:rsidP="00255363">
    <w:pPr>
      <w:pStyle w:val="Footer"/>
      <w:rPr>
        <w:sz w:val="18"/>
        <w:szCs w:val="20"/>
      </w:rPr>
    </w:pPr>
    <w:r>
      <w:rPr>
        <w:sz w:val="18"/>
        <w:szCs w:val="20"/>
      </w:rPr>
      <w:t xml:space="preserve">ICCC2024 </w:t>
    </w:r>
    <w:r w:rsidRPr="00061C20">
      <w:rPr>
        <w:sz w:val="18"/>
        <w:szCs w:val="20"/>
      </w:rPr>
      <w:t xml:space="preserve">| </w:t>
    </w:r>
    <w:r w:rsidR="00122705">
      <w:rPr>
        <w:sz w:val="18"/>
        <w:szCs w:val="20"/>
      </w:rPr>
      <w:t>8</w:t>
    </w:r>
    <w:r w:rsidR="00685439" w:rsidRPr="00685439">
      <w:rPr>
        <w:sz w:val="18"/>
        <w:szCs w:val="20"/>
        <w:vertAlign w:val="superscript"/>
      </w:rPr>
      <w:t>th</w:t>
    </w:r>
    <w:r w:rsidR="00685439">
      <w:rPr>
        <w:sz w:val="18"/>
        <w:szCs w:val="20"/>
      </w:rPr>
      <w:t xml:space="preserve"> IIR </w:t>
    </w:r>
    <w:r w:rsidR="00E06EAC">
      <w:rPr>
        <w:sz w:val="18"/>
        <w:szCs w:val="20"/>
      </w:rPr>
      <w:t>International C</w:t>
    </w:r>
    <w:r w:rsidR="00685439">
      <w:rPr>
        <w:sz w:val="18"/>
        <w:szCs w:val="20"/>
      </w:rPr>
      <w:t>onference on Sustainability and the Cold Chain</w:t>
    </w:r>
    <w:r w:rsidR="009B240C" w:rsidRPr="00061C20">
      <w:rPr>
        <w:sz w:val="18"/>
        <w:szCs w:val="20"/>
      </w:rPr>
      <w:t xml:space="preserve"> | </w:t>
    </w:r>
    <w:r w:rsidR="00234328">
      <w:rPr>
        <w:sz w:val="18"/>
        <w:szCs w:val="20"/>
      </w:rPr>
      <w:t>June</w:t>
    </w:r>
    <w:r w:rsidR="00685439">
      <w:rPr>
        <w:sz w:val="18"/>
        <w:szCs w:val="20"/>
      </w:rPr>
      <w:t xml:space="preserve"> </w:t>
    </w:r>
    <w:r w:rsidR="00234328">
      <w:rPr>
        <w:sz w:val="18"/>
        <w:szCs w:val="20"/>
      </w:rPr>
      <w:t>9</w:t>
    </w:r>
    <w:r w:rsidR="00685439">
      <w:rPr>
        <w:sz w:val="18"/>
        <w:szCs w:val="20"/>
      </w:rPr>
      <w:t>-1</w:t>
    </w:r>
    <w:r w:rsidR="00234328">
      <w:rPr>
        <w:sz w:val="18"/>
        <w:szCs w:val="20"/>
      </w:rPr>
      <w:t>1</w:t>
    </w:r>
    <w:r w:rsidR="009B240C" w:rsidRPr="00061C20">
      <w:rPr>
        <w:sz w:val="18"/>
        <w:szCs w:val="20"/>
      </w:rPr>
      <w:t xml:space="preserve"> | </w:t>
    </w:r>
    <w:r w:rsidR="00234328">
      <w:rPr>
        <w:sz w:val="18"/>
        <w:szCs w:val="20"/>
      </w:rPr>
      <w:t>Tokyo</w:t>
    </w:r>
    <w:r w:rsidR="009B240C" w:rsidRPr="00061C20">
      <w:rPr>
        <w:sz w:val="18"/>
        <w:szCs w:val="20"/>
      </w:rPr>
      <w:t xml:space="preserve">, </w:t>
    </w:r>
    <w:r w:rsidR="00C234E3" w:rsidRPr="00061C20">
      <w:rPr>
        <w:noProof/>
        <w:sz w:val="20"/>
        <w:szCs w:val="20"/>
        <w:lang w:val="en-US" w:eastAsia="ja-JP"/>
      </w:rPr>
      <mc:AlternateContent>
        <mc:Choice Requires="wps">
          <w:drawing>
            <wp:anchor distT="0" distB="0" distL="114300" distR="114300" simplePos="0" relativeHeight="251663360" behindDoc="0" locked="0" layoutInCell="1" allowOverlap="1" wp14:anchorId="36FF56B4" wp14:editId="6CEA8F3A">
              <wp:simplePos x="0" y="0"/>
              <wp:positionH relativeFrom="column">
                <wp:posOffset>327660</wp:posOffset>
              </wp:positionH>
              <wp:positionV relativeFrom="paragraph">
                <wp:posOffset>9961245</wp:posOffset>
              </wp:positionV>
              <wp:extent cx="6400800" cy="34290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F40D4" w14:textId="77777777" w:rsidR="00C234E3" w:rsidRPr="00AA303A" w:rsidRDefault="00C234E3" w:rsidP="00C234E3">
                          <w:pPr>
                            <w:jc w:val="center"/>
                            <w:rPr>
                              <w:szCs w:val="20"/>
                            </w:rPr>
                          </w:pPr>
                          <w:r w:rsidRPr="00AA303A">
                            <w:rPr>
                              <w:szCs w:val="20"/>
                            </w:rPr>
                            <w:t xml:space="preserve">Name of the IIR Conference, Location, Year </w:t>
                          </w:r>
                        </w:p>
                        <w:p w14:paraId="4766ED3E" w14:textId="77777777" w:rsidR="00C234E3" w:rsidRDefault="00C234E3" w:rsidP="00C234E3"/>
                        <w:p w14:paraId="52A83066" w14:textId="77777777" w:rsidR="00C234E3" w:rsidRPr="00AA303A" w:rsidRDefault="00C234E3" w:rsidP="00C234E3">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F56B4" id="_x0000_t202" coordsize="21600,21600" o:spt="202" path="m,l,21600r21600,l21600,xe">
              <v:stroke joinstyle="miter"/>
              <v:path gradientshapeok="t" o:connecttype="rect"/>
            </v:shapetype>
            <v:shape id="Textové pole 6" o:spid="_x0000_s1026" type="#_x0000_t202" style="position:absolute;left:0;text-align:left;margin-left:25.8pt;margin-top:784.35pt;width:7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" stroked="f">
              <v:textbox>
                <w:txbxContent>
                  <w:p w14:paraId="5CFF40D4" w14:textId="77777777" w:rsidR="00C234E3" w:rsidRPr="00AA303A" w:rsidRDefault="00C234E3" w:rsidP="00C234E3">
                    <w:pPr>
                      <w:jc w:val="center"/>
                      <w:rPr>
                        <w:szCs w:val="20"/>
                      </w:rPr>
                    </w:pPr>
                    <w:r w:rsidRPr="00AA303A">
                      <w:rPr>
                        <w:szCs w:val="20"/>
                      </w:rPr>
                      <w:t xml:space="preserve">Name of the IIR Conference, Location, Year </w:t>
                    </w:r>
                  </w:p>
                  <w:p w14:paraId="4766ED3E" w14:textId="77777777" w:rsidR="00C234E3" w:rsidRDefault="00C234E3" w:rsidP="00C234E3"/>
                  <w:p w14:paraId="52A83066" w14:textId="77777777" w:rsidR="00C234E3" w:rsidRPr="00AA303A" w:rsidRDefault="00C234E3" w:rsidP="00C234E3">
                    <w:pPr>
                      <w:jc w:val="center"/>
                      <w:rPr>
                        <w:szCs w:val="20"/>
                      </w:rPr>
                    </w:pPr>
                    <w:r w:rsidRPr="00AA303A">
                      <w:rPr>
                        <w:szCs w:val="20"/>
                      </w:rPr>
                      <w:t xml:space="preserve">Name of the IIR Conference, Location, Year </w:t>
                    </w:r>
                  </w:p>
                </w:txbxContent>
              </v:textbox>
            </v:shape>
          </w:pict>
        </mc:Fallback>
      </mc:AlternateContent>
    </w:r>
    <w:r w:rsidR="00C234E3" w:rsidRPr="00061C20">
      <w:rPr>
        <w:noProof/>
        <w:sz w:val="20"/>
        <w:szCs w:val="20"/>
        <w:lang w:val="en-US" w:eastAsia="ja-JP"/>
      </w:rPr>
      <mc:AlternateContent>
        <mc:Choice Requires="wps">
          <w:drawing>
            <wp:anchor distT="0" distB="0" distL="114300" distR="114300" simplePos="0" relativeHeight="251662336" behindDoc="0" locked="0" layoutInCell="1" allowOverlap="1" wp14:anchorId="3D9B4D50" wp14:editId="09F1C3EB">
              <wp:simplePos x="0" y="0"/>
              <wp:positionH relativeFrom="column">
                <wp:posOffset>327660</wp:posOffset>
              </wp:positionH>
              <wp:positionV relativeFrom="paragraph">
                <wp:posOffset>9961245</wp:posOffset>
              </wp:positionV>
              <wp:extent cx="6400800" cy="34290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7D4D0" w14:textId="77777777" w:rsidR="00C234E3" w:rsidRPr="00AA303A" w:rsidRDefault="00C234E3" w:rsidP="00C234E3">
                          <w:pPr>
                            <w:jc w:val="center"/>
                            <w:rPr>
                              <w:szCs w:val="20"/>
                            </w:rPr>
                          </w:pPr>
                          <w:r w:rsidRPr="00AA303A">
                            <w:rPr>
                              <w:szCs w:val="20"/>
                            </w:rPr>
                            <w:t xml:space="preserve">Name of the IIR Conference, Location, Year </w:t>
                          </w:r>
                        </w:p>
                        <w:p w14:paraId="187BE357" w14:textId="77777777" w:rsidR="00C234E3" w:rsidRDefault="00C234E3" w:rsidP="00C234E3"/>
                        <w:p w14:paraId="63CD47C9" w14:textId="77777777" w:rsidR="00C234E3" w:rsidRPr="00AA303A" w:rsidRDefault="00C234E3" w:rsidP="00C234E3">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4D50" id="Textové pole 8" o:spid="_x0000_s1027" type="#_x0000_t202" style="position:absolute;left:0;text-align:left;margin-left:25.8pt;margin-top:784.35pt;width:7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" stroked="f">
              <v:textbox>
                <w:txbxContent>
                  <w:p w14:paraId="0507D4D0" w14:textId="77777777" w:rsidR="00C234E3" w:rsidRPr="00AA303A" w:rsidRDefault="00C234E3" w:rsidP="00C234E3">
                    <w:pPr>
                      <w:jc w:val="center"/>
                      <w:rPr>
                        <w:szCs w:val="20"/>
                      </w:rPr>
                    </w:pPr>
                    <w:r w:rsidRPr="00AA303A">
                      <w:rPr>
                        <w:szCs w:val="20"/>
                      </w:rPr>
                      <w:t xml:space="preserve">Name of the IIR Conference, Location, Year </w:t>
                    </w:r>
                  </w:p>
                  <w:p w14:paraId="187BE357" w14:textId="77777777" w:rsidR="00C234E3" w:rsidRDefault="00C234E3" w:rsidP="00C234E3"/>
                  <w:p w14:paraId="63CD47C9" w14:textId="77777777" w:rsidR="00C234E3" w:rsidRPr="00AA303A" w:rsidRDefault="00C234E3" w:rsidP="00C234E3">
                    <w:pPr>
                      <w:jc w:val="center"/>
                      <w:rPr>
                        <w:szCs w:val="20"/>
                      </w:rPr>
                    </w:pPr>
                    <w:r w:rsidRPr="00AA303A">
                      <w:rPr>
                        <w:szCs w:val="20"/>
                      </w:rPr>
                      <w:t xml:space="preserve">Name of the IIR Conference, Location, Year </w:t>
                    </w:r>
                  </w:p>
                </w:txbxContent>
              </v:textbox>
            </v:shape>
          </w:pict>
        </mc:Fallback>
      </mc:AlternateContent>
    </w:r>
    <w:r w:rsidR="00234328">
      <w:rPr>
        <w:sz w:val="18"/>
        <w:szCs w:val="20"/>
      </w:rPr>
      <w:t>Japan</w:t>
    </w:r>
  </w:p>
  <w:p w14:paraId="046DB370" w14:textId="36AB83C3" w:rsidR="009B240C" w:rsidRPr="00255363" w:rsidRDefault="009D6511" w:rsidP="00DA68B9">
    <w:pPr>
      <w:pStyle w:val="Footer"/>
      <w:jc w:val="both"/>
    </w:pPr>
    <w:r w:rsidRPr="00061C20">
      <w:rPr>
        <w:noProof/>
        <w:sz w:val="20"/>
        <w:szCs w:val="20"/>
        <w:lang w:val="en-US" w:eastAsia="ja-JP"/>
      </w:rPr>
      <mc:AlternateContent>
        <mc:Choice Requires="wps">
          <w:drawing>
            <wp:anchor distT="0" distB="0" distL="114300" distR="114300" simplePos="0" relativeHeight="251665408" behindDoc="0" locked="0" layoutInCell="1" allowOverlap="1" wp14:anchorId="2089244A" wp14:editId="260B4B36">
              <wp:simplePos x="0" y="0"/>
              <wp:positionH relativeFrom="margin">
                <wp:posOffset>-178435</wp:posOffset>
              </wp:positionH>
              <wp:positionV relativeFrom="margin">
                <wp:posOffset>9639028</wp:posOffset>
              </wp:positionV>
              <wp:extent cx="6473190" cy="334645"/>
              <wp:effectExtent l="0" t="0" r="3810" b="8255"/>
              <wp:wrapSquare wrapText="bothSides"/>
              <wp:docPr id="1" name="Rectangle 1"/>
              <wp:cNvGraphicFramePr/>
              <a:graphic xmlns:a="http://schemas.openxmlformats.org/drawingml/2006/main">
                <a:graphicData uri="http://schemas.microsoft.com/office/word/2010/wordprocessingShape">
                  <wps:wsp>
                    <wps:cNvSpPr/>
                    <wps:spPr>
                      <a:xfrm>
                        <a:off x="0" y="0"/>
                        <a:ext cx="6473190" cy="334645"/>
                      </a:xfrm>
                      <a:prstGeom prst="rect">
                        <a:avLst/>
                      </a:prstGeom>
                      <a:solidFill>
                        <a:srgbClr val="0B6C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7451E" id="Rectangle 1" o:spid="_x0000_s1026" style="position:absolute;left:0;text-align:left;margin-left:-14.05pt;margin-top:759pt;width:509.7pt;height:26.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" fillcolor="#0b6cb1" stroked="f" strokeweight="1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7FCCF" w14:textId="77777777" w:rsidR="001252B6" w:rsidRDefault="001252B6" w:rsidP="007E4265"/>
  <w:p w14:paraId="0CBA7E39" w14:textId="77777777" w:rsidR="001252B6" w:rsidRPr="00BA1421" w:rsidRDefault="002D268F" w:rsidP="002D268F">
    <w:pPr>
      <w:tabs>
        <w:tab w:val="left" w:pos="0"/>
      </w:tabs>
      <w:ind w:left="720" w:hanging="360"/>
      <w:jc w:val="center"/>
    </w:pPr>
    <w:r>
      <w:rPr>
        <w:rFonts w:eastAsia="Times New Roman"/>
        <w:sz w:val="20"/>
        <w:szCs w:val="20"/>
      </w:rPr>
      <w:t>The 14</w:t>
    </w:r>
    <w:r w:rsidRPr="00F966C6">
      <w:rPr>
        <w:rFonts w:eastAsia="Times New Roman"/>
        <w:sz w:val="20"/>
        <w:szCs w:val="20"/>
        <w:vertAlign w:val="superscript"/>
      </w:rPr>
      <w:t>th</w:t>
    </w:r>
    <w:r>
      <w:rPr>
        <w:rFonts w:eastAsia="Times New Roman"/>
        <w:sz w:val="20"/>
        <w:szCs w:val="20"/>
      </w:rPr>
      <w:t xml:space="preserve"> CRYOGENICS 2017 International IIR Conference, Dresden, Germany</w:t>
    </w:r>
    <w:r w:rsidR="00B605CB" w:rsidRPr="00FC2515">
      <w:rPr>
        <w:color w:val="4D4436"/>
        <w:sz w:val="20"/>
        <w:szCs w:val="20"/>
      </w:rPr>
      <w:t xml:space="preserve"> </w:t>
    </w:r>
    <w:r w:rsidR="00B605CB">
      <w:rPr>
        <w:noProof/>
        <w:lang w:val="en-US" w:eastAsia="ja-JP"/>
      </w:rPr>
      <mc:AlternateContent>
        <mc:Choice Requires="wps">
          <w:drawing>
            <wp:anchor distT="0" distB="0" distL="114300" distR="114300" simplePos="0" relativeHeight="251660288" behindDoc="0" locked="0" layoutInCell="1" allowOverlap="1" wp14:anchorId="1AF5B749" wp14:editId="5F8525BD">
              <wp:simplePos x="0" y="0"/>
              <wp:positionH relativeFrom="column">
                <wp:posOffset>327660</wp:posOffset>
              </wp:positionH>
              <wp:positionV relativeFrom="paragraph">
                <wp:posOffset>9961245</wp:posOffset>
              </wp:positionV>
              <wp:extent cx="6400800" cy="3429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7BB9B" w14:textId="77777777" w:rsidR="001252B6" w:rsidRPr="00AA303A" w:rsidRDefault="00B605CB" w:rsidP="00FC2515">
                          <w:pPr>
                            <w:jc w:val="center"/>
                            <w:rPr>
                              <w:szCs w:val="20"/>
                            </w:rPr>
                          </w:pPr>
                          <w:r w:rsidRPr="00AA303A">
                            <w:rPr>
                              <w:szCs w:val="20"/>
                            </w:rPr>
                            <w:t xml:space="preserve">Name of the IIR Conference, Location, Year </w:t>
                          </w:r>
                        </w:p>
                        <w:p w14:paraId="66950D56" w14:textId="77777777" w:rsidR="001252B6" w:rsidRDefault="001252B6"/>
                        <w:p w14:paraId="7F2D88E2" w14:textId="77777777" w:rsidR="001252B6" w:rsidRPr="00AA303A" w:rsidRDefault="00B605CB" w:rsidP="00FC2515">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B749" id="_x0000_t202" coordsize="21600,21600" o:spt="202" path="m,l,21600r21600,l21600,xe">
              <v:stroke joinstyle="miter"/>
              <v:path gradientshapeok="t" o:connecttype="rect"/>
            </v:shapetype>
            <v:shape id="Textové pole 3" o:spid="_x0000_s1028" type="#_x0000_t202" style="position:absolute;left:0;text-align:left;margin-left:25.8pt;margin-top:784.35pt;width:7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" stroked="f">
              <v:textbox>
                <w:txbxContent>
                  <w:p w14:paraId="4067BB9B" w14:textId="77777777" w:rsidR="001252B6" w:rsidRPr="00AA303A" w:rsidRDefault="00B605CB" w:rsidP="00FC2515">
                    <w:pPr>
                      <w:jc w:val="center"/>
                      <w:rPr>
                        <w:szCs w:val="20"/>
                      </w:rPr>
                    </w:pPr>
                    <w:r w:rsidRPr="00AA303A">
                      <w:rPr>
                        <w:szCs w:val="20"/>
                      </w:rPr>
                      <w:t xml:space="preserve">Name of the IIR Conference, Location, Year </w:t>
                    </w:r>
                  </w:p>
                  <w:p w14:paraId="66950D56" w14:textId="77777777" w:rsidR="001252B6" w:rsidRDefault="001252B6"/>
                  <w:p w14:paraId="7F2D88E2" w14:textId="77777777" w:rsidR="001252B6" w:rsidRPr="00AA303A" w:rsidRDefault="00B605CB" w:rsidP="00FC2515">
                    <w:pPr>
                      <w:jc w:val="center"/>
                      <w:rPr>
                        <w:szCs w:val="20"/>
                      </w:rPr>
                    </w:pPr>
                    <w:r w:rsidRPr="00AA303A">
                      <w:rPr>
                        <w:szCs w:val="20"/>
                      </w:rPr>
                      <w:t xml:space="preserve">Name of the IIR Conference, Location, Year </w:t>
                    </w:r>
                  </w:p>
                </w:txbxContent>
              </v:textbox>
            </v:shape>
          </w:pict>
        </mc:Fallback>
      </mc:AlternateContent>
    </w:r>
    <w:r w:rsidR="00B605CB">
      <w:rPr>
        <w:noProof/>
        <w:lang w:val="en-US" w:eastAsia="ja-JP"/>
      </w:rPr>
      <mc:AlternateContent>
        <mc:Choice Requires="wps">
          <w:drawing>
            <wp:anchor distT="0" distB="0" distL="114300" distR="114300" simplePos="0" relativeHeight="251659264" behindDoc="0" locked="0" layoutInCell="1" allowOverlap="1" wp14:anchorId="1205A2AC" wp14:editId="7D3E603F">
              <wp:simplePos x="0" y="0"/>
              <wp:positionH relativeFrom="column">
                <wp:posOffset>327660</wp:posOffset>
              </wp:positionH>
              <wp:positionV relativeFrom="paragraph">
                <wp:posOffset>9961245</wp:posOffset>
              </wp:positionV>
              <wp:extent cx="6400800" cy="342900"/>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896FE" w14:textId="77777777" w:rsidR="001252B6" w:rsidRPr="00AA303A" w:rsidRDefault="00B605CB" w:rsidP="00FC2515">
                          <w:pPr>
                            <w:jc w:val="center"/>
                            <w:rPr>
                              <w:szCs w:val="20"/>
                            </w:rPr>
                          </w:pPr>
                          <w:r w:rsidRPr="00AA303A">
                            <w:rPr>
                              <w:szCs w:val="20"/>
                            </w:rPr>
                            <w:t xml:space="preserve">Name of the IIR Conference, Location, Year </w:t>
                          </w:r>
                        </w:p>
                        <w:p w14:paraId="617574C6" w14:textId="77777777" w:rsidR="001252B6" w:rsidRDefault="001252B6"/>
                        <w:p w14:paraId="720DBC59" w14:textId="77777777" w:rsidR="001252B6" w:rsidRPr="00AA303A" w:rsidRDefault="00B605CB" w:rsidP="00FC2515">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5A2AC" id="Textové pole 7" o:spid="_x0000_s1029" type="#_x0000_t202" style="position:absolute;left:0;text-align:left;margin-left:25.8pt;margin-top:784.3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" stroked="f">
              <v:textbox>
                <w:txbxContent>
                  <w:p w14:paraId="626896FE" w14:textId="77777777" w:rsidR="001252B6" w:rsidRPr="00AA303A" w:rsidRDefault="00B605CB" w:rsidP="00FC2515">
                    <w:pPr>
                      <w:jc w:val="center"/>
                      <w:rPr>
                        <w:szCs w:val="20"/>
                      </w:rPr>
                    </w:pPr>
                    <w:r w:rsidRPr="00AA303A">
                      <w:rPr>
                        <w:szCs w:val="20"/>
                      </w:rPr>
                      <w:t xml:space="preserve">Name of the IIR Conference, Location, Year </w:t>
                    </w:r>
                  </w:p>
                  <w:p w14:paraId="617574C6" w14:textId="77777777" w:rsidR="001252B6" w:rsidRDefault="001252B6"/>
                  <w:p w14:paraId="720DBC59" w14:textId="77777777" w:rsidR="001252B6" w:rsidRPr="00AA303A" w:rsidRDefault="00B605CB" w:rsidP="00FC2515">
                    <w:pPr>
                      <w:jc w:val="center"/>
                      <w:rPr>
                        <w:szCs w:val="20"/>
                      </w:rPr>
                    </w:pPr>
                    <w:r w:rsidRPr="00AA303A">
                      <w:rPr>
                        <w:szCs w:val="20"/>
                      </w:rPr>
                      <w:t xml:space="preserve">Name of the IIR Conference, Location, Year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F7CE2" w14:textId="77777777" w:rsidR="00E10582" w:rsidRDefault="00E10582">
      <w:r>
        <w:separator/>
      </w:r>
    </w:p>
  </w:footnote>
  <w:footnote w:type="continuationSeparator" w:id="0">
    <w:p w14:paraId="25383E5A" w14:textId="77777777" w:rsidR="00E10582" w:rsidRDefault="00E1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7320E" w14:textId="77777777" w:rsidR="00DE294A" w:rsidRPr="005B0A22" w:rsidRDefault="00DE294A" w:rsidP="00DE294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1C75D" w14:textId="77777777" w:rsidR="001252B6" w:rsidRDefault="00B605CB" w:rsidP="005B0A22">
    <w:pPr>
      <w:pStyle w:val="Header"/>
    </w:pPr>
    <w:r>
      <w:tab/>
    </w:r>
    <w:r>
      <w:tab/>
    </w:r>
    <w:r>
      <w:tab/>
      <w:t>PAPER ID: XXXX</w:t>
    </w:r>
  </w:p>
  <w:p w14:paraId="301A184C" w14:textId="77777777" w:rsidR="001252B6" w:rsidRPr="00F50D55" w:rsidRDefault="00B605CB" w:rsidP="005B0A22">
    <w:pPr>
      <w:pStyle w:val="Header"/>
    </w:pPr>
    <w:r>
      <w:tab/>
    </w:r>
    <w:r>
      <w:tab/>
    </w:r>
    <w:r>
      <w:tab/>
      <w:t xml:space="preserve">DOI: </w:t>
    </w:r>
    <w:r w:rsidRPr="009E06E1">
      <w:t>10.18462/iir.cryo.2017.XXXX</w:t>
    </w:r>
  </w:p>
  <w:p w14:paraId="7422E975" w14:textId="77777777" w:rsidR="001252B6" w:rsidRDefault="001252B6" w:rsidP="005B0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124D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72B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349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C62C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E9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E33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2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40D8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07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984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6BBE"/>
    <w:multiLevelType w:val="hybridMultilevel"/>
    <w:tmpl w:val="08B8F584"/>
    <w:lvl w:ilvl="0" w:tplc="8AC0600C">
      <w:numFmt w:val="bullet"/>
      <w:lvlText w:val=""/>
      <w:lvlJc w:val="left"/>
      <w:pPr>
        <w:ind w:left="704" w:hanging="420"/>
      </w:pPr>
      <w:rPr>
        <w:rFonts w:ascii="Symbol" w:eastAsia="Calibri" w:hAnsi="Symbol"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03BF6A18"/>
    <w:multiLevelType w:val="hybridMultilevel"/>
    <w:tmpl w:val="C39E277E"/>
    <w:lvl w:ilvl="0" w:tplc="77660C4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CC468B"/>
    <w:multiLevelType w:val="multilevel"/>
    <w:tmpl w:val="F5FAF95C"/>
    <w:lvl w:ilvl="0">
      <w:start w:val="1"/>
      <w:numFmt w:val="decimal"/>
      <w:lvlText w:val="%1."/>
      <w:lvlJc w:val="left"/>
      <w:pPr>
        <w:ind w:left="0" w:firstLine="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7586D87"/>
    <w:multiLevelType w:val="hybridMultilevel"/>
    <w:tmpl w:val="40D4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B06461"/>
    <w:multiLevelType w:val="hybridMultilevel"/>
    <w:tmpl w:val="ACC20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C12B76"/>
    <w:multiLevelType w:val="multilevel"/>
    <w:tmpl w:val="CAACBEE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pStyle w:val="IIR11Level3Headingforsub-sub-sections"/>
      <w:lvlText w:val="%1.%2.%3."/>
      <w:lvlJc w:val="left"/>
      <w:pPr>
        <w:ind w:left="851" w:hanging="851"/>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DA6DA2"/>
    <w:multiLevelType w:val="multilevel"/>
    <w:tmpl w:val="16F62C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DA015D"/>
    <w:multiLevelType w:val="hybridMultilevel"/>
    <w:tmpl w:val="1AFA47B2"/>
    <w:lvl w:ilvl="0" w:tplc="0409000F">
      <w:start w:val="1"/>
      <w:numFmt w:val="decimal"/>
      <w:lvlText w:val="%1."/>
      <w:lvlJc w:val="left"/>
      <w:pPr>
        <w:ind w:left="80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8" w15:restartNumberingAfterBreak="0">
    <w:nsid w:val="21BE361E"/>
    <w:multiLevelType w:val="hybridMultilevel"/>
    <w:tmpl w:val="CE88F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DE0B0C"/>
    <w:multiLevelType w:val="hybridMultilevel"/>
    <w:tmpl w:val="05D64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4000BD"/>
    <w:multiLevelType w:val="hybridMultilevel"/>
    <w:tmpl w:val="27147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E02158"/>
    <w:multiLevelType w:val="hybridMultilevel"/>
    <w:tmpl w:val="8EEC902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1751CD3"/>
    <w:multiLevelType w:val="hybridMultilevel"/>
    <w:tmpl w:val="0F9410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5E01E6A"/>
    <w:multiLevelType w:val="multilevel"/>
    <w:tmpl w:val="8EF6095E"/>
    <w:lvl w:ilvl="0">
      <w:start w:val="1"/>
      <w:numFmt w:val="upperRoman"/>
      <w:suff w:val="space"/>
      <w:lvlText w:val="%1."/>
      <w:lvlJc w:val="left"/>
      <w:pPr>
        <w:ind w:left="360" w:hanging="360"/>
      </w:pPr>
      <w:rPr>
        <w:rFonts w:ascii="Calibri" w:hAnsi="Calibri" w:hint="default"/>
        <w:b/>
        <w:i w:val="0"/>
        <w:sz w:val="32"/>
      </w:rPr>
    </w:lvl>
    <w:lvl w:ilvl="1">
      <w:start w:val="1"/>
      <w:numFmt w:val="decimal"/>
      <w:suff w:val="space"/>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993" w:hanging="567"/>
      </w:pPr>
      <w:rPr>
        <w:rFonts w:ascii="Calibri" w:hAnsi="Calibri" w:hint="default"/>
        <w:b/>
        <w:i w:val="0"/>
        <w:sz w:val="20"/>
      </w:rPr>
    </w:lvl>
    <w:lvl w:ilvl="3">
      <w:start w:val="1"/>
      <w:numFmt w:val="decimal"/>
      <w:suff w:val="space"/>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3B20BC"/>
    <w:multiLevelType w:val="hybridMultilevel"/>
    <w:tmpl w:val="2240676A"/>
    <w:lvl w:ilvl="0" w:tplc="E4D2EB74">
      <w:start w:val="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3BE629C4"/>
    <w:multiLevelType w:val="hybridMultilevel"/>
    <w:tmpl w:val="EED04A32"/>
    <w:lvl w:ilvl="0" w:tplc="BE94D2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B3BCA"/>
    <w:multiLevelType w:val="hybridMultilevel"/>
    <w:tmpl w:val="E7007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CD4430"/>
    <w:multiLevelType w:val="hybridMultilevel"/>
    <w:tmpl w:val="665099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EFF4205"/>
    <w:multiLevelType w:val="multilevel"/>
    <w:tmpl w:val="82AC5F1A"/>
    <w:lvl w:ilvl="0">
      <w:start w:val="1"/>
      <w:numFmt w:val="decimal"/>
      <w:pStyle w:val="IIR08AbstractKeywords"/>
      <w:lvlText w:val="%1."/>
      <w:lvlJc w:val="left"/>
      <w:pPr>
        <w:ind w:left="720" w:hanging="360"/>
      </w:pPr>
    </w:lvl>
    <w:lvl w:ilvl="1">
      <w:start w:val="1"/>
      <w:numFmt w:val="decimal"/>
      <w:pStyle w:val="IIR10Level2Headingforsub-sections"/>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FC56FF"/>
    <w:multiLevelType w:val="hybridMultilevel"/>
    <w:tmpl w:val="EA263BC6"/>
    <w:lvl w:ilvl="0" w:tplc="BA9EBC48">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0A03E4"/>
    <w:multiLevelType w:val="hybridMultilevel"/>
    <w:tmpl w:val="01EAD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F801652"/>
    <w:multiLevelType w:val="hybridMultilevel"/>
    <w:tmpl w:val="673E33CE"/>
    <w:lvl w:ilvl="0" w:tplc="3AB4806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7535890">
    <w:abstractNumId w:val="8"/>
  </w:num>
  <w:num w:numId="2" w16cid:durableId="1633826997">
    <w:abstractNumId w:val="3"/>
  </w:num>
  <w:num w:numId="3" w16cid:durableId="22946010">
    <w:abstractNumId w:val="2"/>
  </w:num>
  <w:num w:numId="4" w16cid:durableId="1702585390">
    <w:abstractNumId w:val="1"/>
  </w:num>
  <w:num w:numId="5" w16cid:durableId="1824158133">
    <w:abstractNumId w:val="0"/>
  </w:num>
  <w:num w:numId="6" w16cid:durableId="119538764">
    <w:abstractNumId w:val="9"/>
  </w:num>
  <w:num w:numId="7" w16cid:durableId="744686607">
    <w:abstractNumId w:val="7"/>
  </w:num>
  <w:num w:numId="8" w16cid:durableId="613828607">
    <w:abstractNumId w:val="6"/>
  </w:num>
  <w:num w:numId="9" w16cid:durableId="457377405">
    <w:abstractNumId w:val="5"/>
  </w:num>
  <w:num w:numId="10" w16cid:durableId="1858038984">
    <w:abstractNumId w:val="4"/>
  </w:num>
  <w:num w:numId="11" w16cid:durableId="1773087800">
    <w:abstractNumId w:val="15"/>
  </w:num>
  <w:num w:numId="12" w16cid:durableId="308678725">
    <w:abstractNumId w:val="15"/>
  </w:num>
  <w:num w:numId="13" w16cid:durableId="1155560805">
    <w:abstractNumId w:val="23"/>
  </w:num>
  <w:num w:numId="14" w16cid:durableId="362436598">
    <w:abstractNumId w:val="23"/>
  </w:num>
  <w:num w:numId="15" w16cid:durableId="1461416468">
    <w:abstractNumId w:val="23"/>
  </w:num>
  <w:num w:numId="16" w16cid:durableId="959725573">
    <w:abstractNumId w:val="23"/>
  </w:num>
  <w:num w:numId="17" w16cid:durableId="1953898850">
    <w:abstractNumId w:val="18"/>
  </w:num>
  <w:num w:numId="18" w16cid:durableId="209920393">
    <w:abstractNumId w:val="21"/>
  </w:num>
  <w:num w:numId="19" w16cid:durableId="751701572">
    <w:abstractNumId w:val="15"/>
  </w:num>
  <w:num w:numId="20" w16cid:durableId="906383803">
    <w:abstractNumId w:val="12"/>
  </w:num>
  <w:num w:numId="21" w16cid:durableId="1773933646">
    <w:abstractNumId w:val="12"/>
  </w:num>
  <w:num w:numId="22" w16cid:durableId="420105544">
    <w:abstractNumId w:val="16"/>
  </w:num>
  <w:num w:numId="23" w16cid:durableId="1434934103">
    <w:abstractNumId w:val="29"/>
  </w:num>
  <w:num w:numId="24" w16cid:durableId="2117943179">
    <w:abstractNumId w:val="17"/>
  </w:num>
  <w:num w:numId="25" w16cid:durableId="1578400457">
    <w:abstractNumId w:val="24"/>
  </w:num>
  <w:num w:numId="26" w16cid:durableId="1025015033">
    <w:abstractNumId w:val="14"/>
  </w:num>
  <w:num w:numId="27" w16cid:durableId="1334381315">
    <w:abstractNumId w:val="19"/>
  </w:num>
  <w:num w:numId="28" w16cid:durableId="208495283">
    <w:abstractNumId w:val="20"/>
  </w:num>
  <w:num w:numId="29" w16cid:durableId="1388839361">
    <w:abstractNumId w:val="26"/>
  </w:num>
  <w:num w:numId="30" w16cid:durableId="693195428">
    <w:abstractNumId w:val="30"/>
  </w:num>
  <w:num w:numId="31" w16cid:durableId="1463889984">
    <w:abstractNumId w:val="31"/>
  </w:num>
  <w:num w:numId="32" w16cid:durableId="104542354">
    <w:abstractNumId w:val="13"/>
  </w:num>
  <w:num w:numId="33" w16cid:durableId="1958901954">
    <w:abstractNumId w:val="11"/>
  </w:num>
  <w:num w:numId="34" w16cid:durableId="1700079666">
    <w:abstractNumId w:val="28"/>
  </w:num>
  <w:num w:numId="35" w16cid:durableId="1255943759">
    <w:abstractNumId w:val="25"/>
  </w:num>
  <w:num w:numId="36" w16cid:durableId="2005623064">
    <w:abstractNumId w:val="22"/>
  </w:num>
  <w:num w:numId="37" w16cid:durableId="1767261249">
    <w:abstractNumId w:val="10"/>
  </w:num>
  <w:num w:numId="38" w16cid:durableId="20094010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08"/>
  <w:hyphenationZone w:val="425"/>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6D"/>
    <w:rsid w:val="00005D8D"/>
    <w:rsid w:val="00007FD8"/>
    <w:rsid w:val="00012603"/>
    <w:rsid w:val="00024CD1"/>
    <w:rsid w:val="00032261"/>
    <w:rsid w:val="00033213"/>
    <w:rsid w:val="00061C20"/>
    <w:rsid w:val="000629EF"/>
    <w:rsid w:val="000761CE"/>
    <w:rsid w:val="0007655C"/>
    <w:rsid w:val="000901F5"/>
    <w:rsid w:val="000A02D3"/>
    <w:rsid w:val="000A66CB"/>
    <w:rsid w:val="000A67D1"/>
    <w:rsid w:val="000B474C"/>
    <w:rsid w:val="000B6C44"/>
    <w:rsid w:val="000C312C"/>
    <w:rsid w:val="000C71F5"/>
    <w:rsid w:val="000D0049"/>
    <w:rsid w:val="000D2F05"/>
    <w:rsid w:val="000D3AF2"/>
    <w:rsid w:val="000D4497"/>
    <w:rsid w:val="000F289C"/>
    <w:rsid w:val="00114DFE"/>
    <w:rsid w:val="001178F0"/>
    <w:rsid w:val="001179A1"/>
    <w:rsid w:val="00120A34"/>
    <w:rsid w:val="00122705"/>
    <w:rsid w:val="001252B6"/>
    <w:rsid w:val="001427CC"/>
    <w:rsid w:val="0014363D"/>
    <w:rsid w:val="00156A36"/>
    <w:rsid w:val="00164CEB"/>
    <w:rsid w:val="001653FD"/>
    <w:rsid w:val="0017005B"/>
    <w:rsid w:val="0017447D"/>
    <w:rsid w:val="001749E0"/>
    <w:rsid w:val="001753F9"/>
    <w:rsid w:val="001756ED"/>
    <w:rsid w:val="00177B4E"/>
    <w:rsid w:val="00183A3C"/>
    <w:rsid w:val="00184849"/>
    <w:rsid w:val="00190F67"/>
    <w:rsid w:val="00192865"/>
    <w:rsid w:val="001965AD"/>
    <w:rsid w:val="001B1232"/>
    <w:rsid w:val="001B27EA"/>
    <w:rsid w:val="001B68D6"/>
    <w:rsid w:val="001C7D01"/>
    <w:rsid w:val="001C7EC2"/>
    <w:rsid w:val="001D4286"/>
    <w:rsid w:val="001E34A1"/>
    <w:rsid w:val="001E4729"/>
    <w:rsid w:val="001E4D79"/>
    <w:rsid w:val="001F029B"/>
    <w:rsid w:val="001F2C03"/>
    <w:rsid w:val="001F4C52"/>
    <w:rsid w:val="00220FA4"/>
    <w:rsid w:val="00227860"/>
    <w:rsid w:val="002278BF"/>
    <w:rsid w:val="00234328"/>
    <w:rsid w:val="00250191"/>
    <w:rsid w:val="00252DD4"/>
    <w:rsid w:val="00255363"/>
    <w:rsid w:val="0025693C"/>
    <w:rsid w:val="00261E1D"/>
    <w:rsid w:val="00265B4A"/>
    <w:rsid w:val="00270E68"/>
    <w:rsid w:val="00273649"/>
    <w:rsid w:val="00276F29"/>
    <w:rsid w:val="002947DA"/>
    <w:rsid w:val="002A0D36"/>
    <w:rsid w:val="002A51B7"/>
    <w:rsid w:val="002B5665"/>
    <w:rsid w:val="002C138E"/>
    <w:rsid w:val="002C39D6"/>
    <w:rsid w:val="002D268F"/>
    <w:rsid w:val="002E1F9B"/>
    <w:rsid w:val="00300BD1"/>
    <w:rsid w:val="0030753F"/>
    <w:rsid w:val="00307D0F"/>
    <w:rsid w:val="0031086E"/>
    <w:rsid w:val="00314556"/>
    <w:rsid w:val="00325A74"/>
    <w:rsid w:val="003426F6"/>
    <w:rsid w:val="00347121"/>
    <w:rsid w:val="00351CB6"/>
    <w:rsid w:val="00363856"/>
    <w:rsid w:val="00365FE2"/>
    <w:rsid w:val="0036709A"/>
    <w:rsid w:val="0037437B"/>
    <w:rsid w:val="00376CB5"/>
    <w:rsid w:val="00381512"/>
    <w:rsid w:val="00391F8A"/>
    <w:rsid w:val="00396F03"/>
    <w:rsid w:val="003A0F21"/>
    <w:rsid w:val="003A7AD3"/>
    <w:rsid w:val="003D489A"/>
    <w:rsid w:val="003D69B4"/>
    <w:rsid w:val="003E3EE6"/>
    <w:rsid w:val="003E3FDD"/>
    <w:rsid w:val="003E518B"/>
    <w:rsid w:val="003F0B85"/>
    <w:rsid w:val="003F124D"/>
    <w:rsid w:val="003F3E84"/>
    <w:rsid w:val="00405A83"/>
    <w:rsid w:val="0041098F"/>
    <w:rsid w:val="004144FD"/>
    <w:rsid w:val="00422B0A"/>
    <w:rsid w:val="0042529D"/>
    <w:rsid w:val="00431D07"/>
    <w:rsid w:val="00434BDB"/>
    <w:rsid w:val="0043726A"/>
    <w:rsid w:val="00444CC2"/>
    <w:rsid w:val="00445FB8"/>
    <w:rsid w:val="004525B4"/>
    <w:rsid w:val="004543DF"/>
    <w:rsid w:val="0048027B"/>
    <w:rsid w:val="00482BF3"/>
    <w:rsid w:val="00483850"/>
    <w:rsid w:val="004855A0"/>
    <w:rsid w:val="00486C93"/>
    <w:rsid w:val="004977E8"/>
    <w:rsid w:val="004A1AE4"/>
    <w:rsid w:val="004A4942"/>
    <w:rsid w:val="004B098D"/>
    <w:rsid w:val="004B12FD"/>
    <w:rsid w:val="004B4EAF"/>
    <w:rsid w:val="004C25C8"/>
    <w:rsid w:val="004D50A4"/>
    <w:rsid w:val="004D6365"/>
    <w:rsid w:val="004E3440"/>
    <w:rsid w:val="004E5A7F"/>
    <w:rsid w:val="004F40E5"/>
    <w:rsid w:val="004F430D"/>
    <w:rsid w:val="004F4A4E"/>
    <w:rsid w:val="00502AFA"/>
    <w:rsid w:val="00503751"/>
    <w:rsid w:val="00504F0E"/>
    <w:rsid w:val="00510200"/>
    <w:rsid w:val="00512E48"/>
    <w:rsid w:val="005140BC"/>
    <w:rsid w:val="00530816"/>
    <w:rsid w:val="00530D44"/>
    <w:rsid w:val="00536794"/>
    <w:rsid w:val="00544FE3"/>
    <w:rsid w:val="005517A2"/>
    <w:rsid w:val="0055458B"/>
    <w:rsid w:val="00560766"/>
    <w:rsid w:val="00585DAF"/>
    <w:rsid w:val="00593C09"/>
    <w:rsid w:val="005958F8"/>
    <w:rsid w:val="005A5112"/>
    <w:rsid w:val="005A7C9F"/>
    <w:rsid w:val="005B0A22"/>
    <w:rsid w:val="005C2D27"/>
    <w:rsid w:val="005C2FE7"/>
    <w:rsid w:val="005D1F6D"/>
    <w:rsid w:val="005D7ED7"/>
    <w:rsid w:val="005E083A"/>
    <w:rsid w:val="005E3AA4"/>
    <w:rsid w:val="005F373B"/>
    <w:rsid w:val="005F3958"/>
    <w:rsid w:val="00617CF4"/>
    <w:rsid w:val="00624229"/>
    <w:rsid w:val="006261AE"/>
    <w:rsid w:val="006265A6"/>
    <w:rsid w:val="00627BA3"/>
    <w:rsid w:val="00635BD2"/>
    <w:rsid w:val="006570C8"/>
    <w:rsid w:val="00662C64"/>
    <w:rsid w:val="00664889"/>
    <w:rsid w:val="006678E7"/>
    <w:rsid w:val="006757EC"/>
    <w:rsid w:val="00682251"/>
    <w:rsid w:val="00685439"/>
    <w:rsid w:val="006A0A41"/>
    <w:rsid w:val="006A6705"/>
    <w:rsid w:val="006B277F"/>
    <w:rsid w:val="006B4614"/>
    <w:rsid w:val="006B7258"/>
    <w:rsid w:val="006C5F54"/>
    <w:rsid w:val="006D122B"/>
    <w:rsid w:val="006D47C4"/>
    <w:rsid w:val="006E06EC"/>
    <w:rsid w:val="006E17E8"/>
    <w:rsid w:val="0070023F"/>
    <w:rsid w:val="00706CB2"/>
    <w:rsid w:val="00714426"/>
    <w:rsid w:val="0071526C"/>
    <w:rsid w:val="00725FE7"/>
    <w:rsid w:val="007430E7"/>
    <w:rsid w:val="00744BA1"/>
    <w:rsid w:val="00763874"/>
    <w:rsid w:val="00767CF5"/>
    <w:rsid w:val="0078218F"/>
    <w:rsid w:val="007856D6"/>
    <w:rsid w:val="00787D50"/>
    <w:rsid w:val="00793D38"/>
    <w:rsid w:val="007A3BF7"/>
    <w:rsid w:val="007A6B71"/>
    <w:rsid w:val="007B2F51"/>
    <w:rsid w:val="007C7CB8"/>
    <w:rsid w:val="007D054B"/>
    <w:rsid w:val="007F67AD"/>
    <w:rsid w:val="007F7CBC"/>
    <w:rsid w:val="00804517"/>
    <w:rsid w:val="00813416"/>
    <w:rsid w:val="008164CA"/>
    <w:rsid w:val="00831F04"/>
    <w:rsid w:val="00870124"/>
    <w:rsid w:val="00870DAA"/>
    <w:rsid w:val="00883F37"/>
    <w:rsid w:val="008A0852"/>
    <w:rsid w:val="008A6924"/>
    <w:rsid w:val="008B14BA"/>
    <w:rsid w:val="008B1871"/>
    <w:rsid w:val="008B2007"/>
    <w:rsid w:val="008B62AD"/>
    <w:rsid w:val="008C1353"/>
    <w:rsid w:val="008C5E15"/>
    <w:rsid w:val="008C6FA1"/>
    <w:rsid w:val="008D208A"/>
    <w:rsid w:val="008D486F"/>
    <w:rsid w:val="008D56AC"/>
    <w:rsid w:val="008E050C"/>
    <w:rsid w:val="008E731C"/>
    <w:rsid w:val="008F3D46"/>
    <w:rsid w:val="008F4606"/>
    <w:rsid w:val="008F4E0D"/>
    <w:rsid w:val="00901873"/>
    <w:rsid w:val="0091064E"/>
    <w:rsid w:val="0091739A"/>
    <w:rsid w:val="00921B28"/>
    <w:rsid w:val="00921BCD"/>
    <w:rsid w:val="00923DF4"/>
    <w:rsid w:val="009242F9"/>
    <w:rsid w:val="00936F17"/>
    <w:rsid w:val="0095537C"/>
    <w:rsid w:val="00957392"/>
    <w:rsid w:val="00974B68"/>
    <w:rsid w:val="00974C63"/>
    <w:rsid w:val="009A0239"/>
    <w:rsid w:val="009A2796"/>
    <w:rsid w:val="009A2B81"/>
    <w:rsid w:val="009B240C"/>
    <w:rsid w:val="009B6F8E"/>
    <w:rsid w:val="009C071E"/>
    <w:rsid w:val="009C151E"/>
    <w:rsid w:val="009C3B27"/>
    <w:rsid w:val="009C579E"/>
    <w:rsid w:val="009D6511"/>
    <w:rsid w:val="009E53F6"/>
    <w:rsid w:val="009F453A"/>
    <w:rsid w:val="00A01BDE"/>
    <w:rsid w:val="00A048C3"/>
    <w:rsid w:val="00A113BA"/>
    <w:rsid w:val="00A14E29"/>
    <w:rsid w:val="00A17F8B"/>
    <w:rsid w:val="00A30AD7"/>
    <w:rsid w:val="00A42135"/>
    <w:rsid w:val="00A460B3"/>
    <w:rsid w:val="00A57C4A"/>
    <w:rsid w:val="00A6007A"/>
    <w:rsid w:val="00A7130B"/>
    <w:rsid w:val="00A74ADC"/>
    <w:rsid w:val="00A7651B"/>
    <w:rsid w:val="00AA4C18"/>
    <w:rsid w:val="00AA694E"/>
    <w:rsid w:val="00AB432D"/>
    <w:rsid w:val="00AB500D"/>
    <w:rsid w:val="00AC3095"/>
    <w:rsid w:val="00AC64BA"/>
    <w:rsid w:val="00AC727F"/>
    <w:rsid w:val="00AD522A"/>
    <w:rsid w:val="00AD59C8"/>
    <w:rsid w:val="00AD70D8"/>
    <w:rsid w:val="00AE5C7A"/>
    <w:rsid w:val="00AE5D1B"/>
    <w:rsid w:val="00AE782B"/>
    <w:rsid w:val="00AF5D24"/>
    <w:rsid w:val="00AF6A33"/>
    <w:rsid w:val="00AF7829"/>
    <w:rsid w:val="00B03E8F"/>
    <w:rsid w:val="00B05F2A"/>
    <w:rsid w:val="00B10ECF"/>
    <w:rsid w:val="00B14678"/>
    <w:rsid w:val="00B147B1"/>
    <w:rsid w:val="00B24FA3"/>
    <w:rsid w:val="00B41ADD"/>
    <w:rsid w:val="00B46F46"/>
    <w:rsid w:val="00B5301C"/>
    <w:rsid w:val="00B533D6"/>
    <w:rsid w:val="00B569B3"/>
    <w:rsid w:val="00B605CB"/>
    <w:rsid w:val="00B762AA"/>
    <w:rsid w:val="00B9033A"/>
    <w:rsid w:val="00BA66C5"/>
    <w:rsid w:val="00BA7EC5"/>
    <w:rsid w:val="00BB446D"/>
    <w:rsid w:val="00BC1F20"/>
    <w:rsid w:val="00BD66C7"/>
    <w:rsid w:val="00BE08F4"/>
    <w:rsid w:val="00BE12FE"/>
    <w:rsid w:val="00BE738B"/>
    <w:rsid w:val="00C03B58"/>
    <w:rsid w:val="00C06C21"/>
    <w:rsid w:val="00C07042"/>
    <w:rsid w:val="00C12067"/>
    <w:rsid w:val="00C22F41"/>
    <w:rsid w:val="00C234E3"/>
    <w:rsid w:val="00C23DF5"/>
    <w:rsid w:val="00C30679"/>
    <w:rsid w:val="00C3460F"/>
    <w:rsid w:val="00C35382"/>
    <w:rsid w:val="00C37753"/>
    <w:rsid w:val="00C4754C"/>
    <w:rsid w:val="00C56B1F"/>
    <w:rsid w:val="00C70956"/>
    <w:rsid w:val="00C80BF6"/>
    <w:rsid w:val="00C947EC"/>
    <w:rsid w:val="00C94B0F"/>
    <w:rsid w:val="00CA1884"/>
    <w:rsid w:val="00CA2701"/>
    <w:rsid w:val="00CA5D27"/>
    <w:rsid w:val="00CB0F3A"/>
    <w:rsid w:val="00CC1737"/>
    <w:rsid w:val="00CD1D1F"/>
    <w:rsid w:val="00CD25D9"/>
    <w:rsid w:val="00CD38DA"/>
    <w:rsid w:val="00CD5FA8"/>
    <w:rsid w:val="00CD7456"/>
    <w:rsid w:val="00CF22A4"/>
    <w:rsid w:val="00D0230F"/>
    <w:rsid w:val="00D02C14"/>
    <w:rsid w:val="00D137F0"/>
    <w:rsid w:val="00D13C9B"/>
    <w:rsid w:val="00D14720"/>
    <w:rsid w:val="00D17F45"/>
    <w:rsid w:val="00D205F2"/>
    <w:rsid w:val="00D254BB"/>
    <w:rsid w:val="00D27515"/>
    <w:rsid w:val="00D347EF"/>
    <w:rsid w:val="00D35EFB"/>
    <w:rsid w:val="00D4051F"/>
    <w:rsid w:val="00D510F5"/>
    <w:rsid w:val="00D55BF5"/>
    <w:rsid w:val="00D560BA"/>
    <w:rsid w:val="00D5655F"/>
    <w:rsid w:val="00D566E2"/>
    <w:rsid w:val="00D62A40"/>
    <w:rsid w:val="00D70221"/>
    <w:rsid w:val="00D96782"/>
    <w:rsid w:val="00D977ED"/>
    <w:rsid w:val="00DA0AE7"/>
    <w:rsid w:val="00DA2361"/>
    <w:rsid w:val="00DA68B9"/>
    <w:rsid w:val="00DB561A"/>
    <w:rsid w:val="00DC029F"/>
    <w:rsid w:val="00DC0AB9"/>
    <w:rsid w:val="00DC103C"/>
    <w:rsid w:val="00DD1161"/>
    <w:rsid w:val="00DE294A"/>
    <w:rsid w:val="00DE5FE3"/>
    <w:rsid w:val="00DE6343"/>
    <w:rsid w:val="00DE76BE"/>
    <w:rsid w:val="00DF525A"/>
    <w:rsid w:val="00DF68E3"/>
    <w:rsid w:val="00DF7E99"/>
    <w:rsid w:val="00E03B7E"/>
    <w:rsid w:val="00E06EAC"/>
    <w:rsid w:val="00E07F5C"/>
    <w:rsid w:val="00E10582"/>
    <w:rsid w:val="00E17B77"/>
    <w:rsid w:val="00E3001E"/>
    <w:rsid w:val="00E3268D"/>
    <w:rsid w:val="00E37B5A"/>
    <w:rsid w:val="00E44AEB"/>
    <w:rsid w:val="00E76C8F"/>
    <w:rsid w:val="00E76CED"/>
    <w:rsid w:val="00E8022A"/>
    <w:rsid w:val="00EA34DF"/>
    <w:rsid w:val="00EB1545"/>
    <w:rsid w:val="00EB5A80"/>
    <w:rsid w:val="00EE45AD"/>
    <w:rsid w:val="00EF4EA3"/>
    <w:rsid w:val="00F018C4"/>
    <w:rsid w:val="00F07AE4"/>
    <w:rsid w:val="00F12527"/>
    <w:rsid w:val="00F13954"/>
    <w:rsid w:val="00F14506"/>
    <w:rsid w:val="00F1489C"/>
    <w:rsid w:val="00F14AA9"/>
    <w:rsid w:val="00F202E6"/>
    <w:rsid w:val="00F327B2"/>
    <w:rsid w:val="00F351C2"/>
    <w:rsid w:val="00F36D46"/>
    <w:rsid w:val="00F46735"/>
    <w:rsid w:val="00F54065"/>
    <w:rsid w:val="00F57627"/>
    <w:rsid w:val="00F64BA0"/>
    <w:rsid w:val="00F6682D"/>
    <w:rsid w:val="00F70570"/>
    <w:rsid w:val="00F71F6A"/>
    <w:rsid w:val="00F7321E"/>
    <w:rsid w:val="00F8513B"/>
    <w:rsid w:val="00F91176"/>
    <w:rsid w:val="00F91239"/>
    <w:rsid w:val="00F9372F"/>
    <w:rsid w:val="00F9389B"/>
    <w:rsid w:val="00F94132"/>
    <w:rsid w:val="00F9762C"/>
    <w:rsid w:val="00FA48CB"/>
    <w:rsid w:val="00FA7C93"/>
    <w:rsid w:val="00FC157A"/>
    <w:rsid w:val="00FC76EC"/>
    <w:rsid w:val="00FE34E6"/>
    <w:rsid w:val="00FF05FE"/>
    <w:rsid w:val="00FF0E1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47A2D3"/>
  <w15:docId w15:val="{62B7DC02-1979-4020-A25B-2585A6D3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IR12MainText"/>
    <w:rsid w:val="00870DAA"/>
    <w:pPr>
      <w:spacing w:after="0" w:line="240" w:lineRule="exact"/>
      <w:jc w:val="both"/>
    </w:pPr>
    <w:rPr>
      <w:rFonts w:ascii="Times New Roman" w:eastAsia="Calibri" w:hAnsi="Times New Roman" w:cs="Times New Roman"/>
      <w:lang w:val="en-GB"/>
    </w:rPr>
  </w:style>
  <w:style w:type="paragraph" w:styleId="Heading1">
    <w:name w:val="heading 1"/>
    <w:basedOn w:val="Normal"/>
    <w:next w:val="Normal"/>
    <w:link w:val="Heading1Char"/>
    <w:uiPriority w:val="9"/>
    <w:rsid w:val="001F4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5517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D50A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638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IR02PaperTitle">
    <w:name w:val="IIR 02. Paper Title"/>
    <w:basedOn w:val="Normal"/>
    <w:next w:val="IIR03AuthorName"/>
    <w:autoRedefine/>
    <w:qFormat/>
    <w:rsid w:val="00FE34E6"/>
    <w:pPr>
      <w:spacing w:before="120" w:after="120" w:line="240" w:lineRule="auto"/>
      <w:jc w:val="center"/>
    </w:pPr>
    <w:rPr>
      <w:b/>
      <w:sz w:val="32"/>
      <w:szCs w:val="48"/>
    </w:rPr>
  </w:style>
  <w:style w:type="paragraph" w:customStyle="1" w:styleId="IIR03AuthorName">
    <w:name w:val="IIR 03. Author Name"/>
    <w:basedOn w:val="Normal"/>
    <w:next w:val="IIR05InstitutionAffiliations"/>
    <w:autoRedefine/>
    <w:qFormat/>
    <w:rsid w:val="007A6B71"/>
    <w:pPr>
      <w:spacing w:after="60" w:line="240" w:lineRule="auto"/>
      <w:jc w:val="center"/>
    </w:pPr>
    <w:rPr>
      <w:b/>
      <w:sz w:val="28"/>
    </w:rPr>
  </w:style>
  <w:style w:type="paragraph" w:customStyle="1" w:styleId="IIR05InstitutionAffiliations">
    <w:name w:val="IIR 05. Institution Affiliations"/>
    <w:basedOn w:val="Normal"/>
    <w:autoRedefine/>
    <w:qFormat/>
    <w:rsid w:val="00AD70D8"/>
    <w:pPr>
      <w:spacing w:line="240" w:lineRule="auto"/>
      <w:jc w:val="center"/>
    </w:pPr>
    <w:rPr>
      <w:szCs w:val="18"/>
    </w:rPr>
  </w:style>
  <w:style w:type="paragraph" w:customStyle="1" w:styleId="IIR12MainText">
    <w:name w:val="IIR 12. Main Text"/>
    <w:basedOn w:val="Normal"/>
    <w:autoRedefine/>
    <w:qFormat/>
    <w:rsid w:val="00593C09"/>
    <w:pPr>
      <w:spacing w:after="200" w:line="240" w:lineRule="auto"/>
    </w:pPr>
    <w:rPr>
      <w:rFonts w:asciiTheme="minorHAnsi" w:hAnsiTheme="minorHAnsi" w:cstheme="minorHAnsi"/>
      <w:szCs w:val="20"/>
      <w:lang w:bidi="en-US"/>
    </w:rPr>
  </w:style>
  <w:style w:type="paragraph" w:customStyle="1" w:styleId="IIR09Level1Headingformainsections">
    <w:name w:val="IIR 09. Level 1 Heading for main sections"/>
    <w:basedOn w:val="Normal"/>
    <w:autoRedefine/>
    <w:rsid w:val="00923DF4"/>
    <w:pPr>
      <w:keepNext/>
      <w:spacing w:before="360" w:after="120" w:line="288" w:lineRule="auto"/>
    </w:pPr>
    <w:rPr>
      <w:rFonts w:asciiTheme="minorHAnsi" w:hAnsiTheme="minorHAnsi" w:cstheme="minorHAnsi"/>
      <w:b/>
      <w:caps/>
      <w:sz w:val="24"/>
      <w:szCs w:val="20"/>
    </w:rPr>
  </w:style>
  <w:style w:type="paragraph" w:customStyle="1" w:styleId="IIR10Level2Headingforsub-sections">
    <w:name w:val="IIR 10. Level 2 Heading for sub-sections"/>
    <w:basedOn w:val="Normal"/>
    <w:next w:val="IIR12MainText"/>
    <w:autoRedefine/>
    <w:qFormat/>
    <w:rsid w:val="00164CEB"/>
    <w:pPr>
      <w:keepNext/>
      <w:numPr>
        <w:ilvl w:val="1"/>
        <w:numId w:val="34"/>
      </w:numPr>
      <w:spacing w:before="240" w:after="60" w:line="288" w:lineRule="auto"/>
      <w:ind w:left="284" w:hanging="284"/>
      <w:jc w:val="left"/>
    </w:pPr>
    <w:rPr>
      <w:rFonts w:asciiTheme="minorHAnsi" w:hAnsiTheme="minorHAnsi" w:cstheme="minorHAnsi"/>
      <w:b/>
      <w:szCs w:val="20"/>
    </w:rPr>
  </w:style>
  <w:style w:type="paragraph" w:customStyle="1" w:styleId="IIR14FigureCaption">
    <w:name w:val="IIR 14. Figure Caption"/>
    <w:basedOn w:val="Normal"/>
    <w:autoRedefine/>
    <w:qFormat/>
    <w:rsid w:val="005E3AA4"/>
    <w:pPr>
      <w:spacing w:line="240" w:lineRule="auto"/>
      <w:jc w:val="left"/>
    </w:pPr>
    <w:rPr>
      <w:rFonts w:asciiTheme="minorHAnsi" w:hAnsiTheme="minorHAnsi" w:cstheme="minorHAnsi"/>
      <w:b/>
      <w:sz w:val="20"/>
      <w:szCs w:val="20"/>
    </w:rPr>
  </w:style>
  <w:style w:type="paragraph" w:customStyle="1" w:styleId="IIR13TableCaption">
    <w:name w:val="IIR 13. Table Caption"/>
    <w:basedOn w:val="Normal"/>
    <w:autoRedefine/>
    <w:qFormat/>
    <w:rsid w:val="00347121"/>
    <w:pPr>
      <w:ind w:left="360"/>
      <w:jc w:val="center"/>
    </w:pPr>
    <w:rPr>
      <w:rFonts w:asciiTheme="minorHAnsi" w:hAnsiTheme="minorHAnsi" w:cstheme="minorHAnsi"/>
      <w:b/>
      <w:sz w:val="20"/>
      <w:szCs w:val="20"/>
    </w:rPr>
  </w:style>
  <w:style w:type="paragraph" w:customStyle="1" w:styleId="IIR16ReferencesText">
    <w:name w:val="IIR 16. References Text"/>
    <w:basedOn w:val="IIR12MainText"/>
    <w:autoRedefine/>
    <w:qFormat/>
    <w:rsid w:val="00D62A40"/>
    <w:pPr>
      <w:autoSpaceDE w:val="0"/>
      <w:autoSpaceDN w:val="0"/>
      <w:adjustRightInd w:val="0"/>
      <w:spacing w:after="120" w:line="240" w:lineRule="atLeast"/>
    </w:pPr>
    <w:rPr>
      <w:rFonts w:cs="Times New Roman PS MT"/>
      <w:color w:val="000000"/>
    </w:rPr>
  </w:style>
  <w:style w:type="paragraph" w:customStyle="1" w:styleId="IIR15Acknowledgements">
    <w:name w:val="IIR 15.Acknowledgements"/>
    <w:aliases w:val="Nomenclature,References Heading"/>
    <w:basedOn w:val="Normal"/>
    <w:next w:val="IIR12MainText"/>
    <w:autoRedefine/>
    <w:qFormat/>
    <w:rsid w:val="00C947EC"/>
    <w:pPr>
      <w:spacing w:before="480" w:after="120"/>
      <w:jc w:val="center"/>
    </w:pPr>
    <w:rPr>
      <w:b/>
      <w:caps/>
      <w:sz w:val="24"/>
      <w:szCs w:val="20"/>
    </w:rPr>
  </w:style>
  <w:style w:type="character" w:customStyle="1" w:styleId="IIR04SuperscriptletterofInstitutionAffiliations">
    <w:name w:val="IIR 04. Superscript letter of Institution Affiliations"/>
    <w:uiPriority w:val="1"/>
    <w:rsid w:val="00B05F2A"/>
    <w:rPr>
      <w:vertAlign w:val="superscript"/>
      <w:lang w:val="en-GB"/>
    </w:rPr>
  </w:style>
  <w:style w:type="paragraph" w:customStyle="1" w:styleId="IIR17Equation">
    <w:name w:val="IIR 17. Equation"/>
    <w:basedOn w:val="Normal"/>
    <w:autoRedefine/>
    <w:qFormat/>
    <w:rsid w:val="00D70221"/>
    <w:pPr>
      <w:tabs>
        <w:tab w:val="left" w:pos="3969"/>
      </w:tabs>
      <w:spacing w:before="240" w:after="240"/>
    </w:pPr>
  </w:style>
  <w:style w:type="table" w:customStyle="1" w:styleId="TableFormat">
    <w:name w:val="Table Format"/>
    <w:basedOn w:val="TableNormal"/>
    <w:uiPriority w:val="99"/>
    <w:qFormat/>
    <w:rsid w:val="00F91239"/>
    <w:pPr>
      <w:spacing w:after="0" w:line="240" w:lineRule="auto"/>
    </w:pPr>
    <w:rPr>
      <w:rFonts w:ascii="Times New Roman PS MT" w:eastAsia="Calibri" w:hAnsi="Times New Roman PS MT" w:cs="Times New Roman"/>
      <w:sz w:val="20"/>
      <w:szCs w:val="20"/>
      <w:lang w:eastAsia="cs-CZ"/>
    </w:rPr>
    <w:tblPr>
      <w:jc w:val="center"/>
      <w:tblBorders>
        <w:top w:val="single" w:sz="18" w:space="0" w:color="auto"/>
        <w:bottom w:val="single" w:sz="18" w:space="0" w:color="auto"/>
      </w:tblBorders>
    </w:tblPr>
    <w:trPr>
      <w:jc w:val="center"/>
    </w:trPr>
    <w:tcPr>
      <w:vAlign w:val="center"/>
    </w:tcPr>
    <w:tblStylePr w:type="firstRow">
      <w:rPr>
        <w:rFonts w:ascii="Segoe UI" w:hAnsi="Segoe UI"/>
        <w:b/>
        <w:sz w:val="20"/>
      </w:rPr>
      <w:tblPr>
        <w:jc w:val="center"/>
      </w:tblPr>
      <w:trPr>
        <w:jc w:val="center"/>
      </w:trPr>
      <w:tcPr>
        <w:tcBorders>
          <w:top w:val="nil"/>
          <w:bottom w:val="single" w:sz="18" w:space="0" w:color="auto"/>
        </w:tcBorders>
        <w:vAlign w:val="center"/>
      </w:tcPr>
    </w:tblStylePr>
  </w:style>
  <w:style w:type="paragraph" w:styleId="Header">
    <w:name w:val="header"/>
    <w:basedOn w:val="Normal"/>
    <w:link w:val="HeaderChar"/>
    <w:uiPriority w:val="99"/>
    <w:unhideWhenUsed/>
    <w:rsid w:val="005B0A22"/>
    <w:pPr>
      <w:tabs>
        <w:tab w:val="center" w:pos="4536"/>
        <w:tab w:val="right" w:pos="9072"/>
      </w:tabs>
      <w:jc w:val="center"/>
    </w:pPr>
    <w:rPr>
      <w:lang w:val="cs-CZ"/>
    </w:rPr>
  </w:style>
  <w:style w:type="character" w:customStyle="1" w:styleId="HeaderChar">
    <w:name w:val="Header Char"/>
    <w:link w:val="Header"/>
    <w:uiPriority w:val="99"/>
    <w:rsid w:val="005B0A22"/>
    <w:rPr>
      <w:rFonts w:ascii="Times New Roman" w:eastAsia="Calibri" w:hAnsi="Times New Roman" w:cs="Times New Roman"/>
    </w:rPr>
  </w:style>
  <w:style w:type="paragraph" w:styleId="Footer">
    <w:name w:val="footer"/>
    <w:basedOn w:val="Normal"/>
    <w:link w:val="FooterChar"/>
    <w:uiPriority w:val="99"/>
    <w:unhideWhenUsed/>
    <w:rsid w:val="00255363"/>
    <w:pPr>
      <w:jc w:val="center"/>
    </w:pPr>
  </w:style>
  <w:style w:type="character" w:customStyle="1" w:styleId="FooterChar">
    <w:name w:val="Footer Char"/>
    <w:link w:val="Footer"/>
    <w:uiPriority w:val="99"/>
    <w:rsid w:val="00255363"/>
    <w:rPr>
      <w:rFonts w:ascii="Times New Roman" w:eastAsia="Calibri" w:hAnsi="Times New Roman" w:cs="Times New Roman"/>
      <w:lang w:val="en-US"/>
    </w:rPr>
  </w:style>
  <w:style w:type="paragraph" w:customStyle="1" w:styleId="IIR13aTableText">
    <w:name w:val="IIR 13a. Table Text"/>
    <w:basedOn w:val="Normal"/>
    <w:next w:val="IIR12MainText"/>
    <w:rsid w:val="00F9372F"/>
    <w:pPr>
      <w:tabs>
        <w:tab w:val="left" w:pos="3969"/>
        <w:tab w:val="left" w:pos="7371"/>
      </w:tabs>
    </w:pPr>
    <w:rPr>
      <w:rFonts w:eastAsia="Times New Roman"/>
    </w:rPr>
  </w:style>
  <w:style w:type="character" w:customStyle="1" w:styleId="Heading1Char">
    <w:name w:val="Heading 1 Char"/>
    <w:basedOn w:val="DefaultParagraphFont"/>
    <w:link w:val="Heading1"/>
    <w:uiPriority w:val="9"/>
    <w:rsid w:val="001F4C5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5517A2"/>
    <w:rPr>
      <w:rFonts w:asciiTheme="majorHAnsi" w:eastAsiaTheme="majorEastAsia" w:hAnsiTheme="majorHAnsi" w:cstheme="majorBidi"/>
      <w:color w:val="2E74B5" w:themeColor="accent1" w:themeShade="BF"/>
      <w:sz w:val="26"/>
      <w:szCs w:val="26"/>
      <w:lang w:val="en-US"/>
    </w:rPr>
  </w:style>
  <w:style w:type="paragraph" w:customStyle="1" w:styleId="IIR08AbstractKeywords">
    <w:name w:val="IIR 08. Abstract Keywords"/>
    <w:basedOn w:val="IIR12MainText"/>
    <w:next w:val="IIR09Level1Headingformainsections"/>
    <w:autoRedefine/>
    <w:qFormat/>
    <w:rsid w:val="001B1232"/>
    <w:pPr>
      <w:numPr>
        <w:numId w:val="34"/>
      </w:numPr>
      <w:ind w:left="284"/>
      <w:jc w:val="center"/>
    </w:pPr>
    <w:rPr>
      <w:b/>
      <w:sz w:val="24"/>
    </w:rPr>
  </w:style>
  <w:style w:type="paragraph" w:customStyle="1" w:styleId="IIR18NomenclatureText">
    <w:name w:val="IIR 18. Nomenclature Text"/>
    <w:basedOn w:val="Normal"/>
    <w:rsid w:val="00AD522A"/>
  </w:style>
  <w:style w:type="paragraph" w:customStyle="1" w:styleId="IIR06AbstractTitle">
    <w:name w:val="IIR 06. Abstract Title"/>
    <w:basedOn w:val="Normal"/>
    <w:next w:val="Normal"/>
    <w:autoRedefine/>
    <w:qFormat/>
    <w:rsid w:val="00BE12FE"/>
    <w:pPr>
      <w:spacing w:before="480" w:after="120"/>
      <w:jc w:val="center"/>
    </w:pPr>
    <w:rPr>
      <w:rFonts w:asciiTheme="minorHAnsi" w:hAnsiTheme="minorHAnsi" w:cstheme="minorHAnsi"/>
      <w:b/>
      <w:caps/>
      <w:sz w:val="24"/>
      <w:szCs w:val="24"/>
    </w:rPr>
  </w:style>
  <w:style w:type="paragraph" w:customStyle="1" w:styleId="IIR11Level3Headingforsub-sub-sections">
    <w:name w:val="IIR 11. Level 3 Heading for sub-sub-sections"/>
    <w:basedOn w:val="Normal"/>
    <w:next w:val="IIR12MainText"/>
    <w:autoRedefine/>
    <w:qFormat/>
    <w:rsid w:val="003E3EE6"/>
    <w:pPr>
      <w:keepNext/>
      <w:numPr>
        <w:ilvl w:val="2"/>
        <w:numId w:val="11"/>
      </w:numPr>
      <w:spacing w:before="240" w:line="288" w:lineRule="auto"/>
    </w:pPr>
    <w:rPr>
      <w:rFonts w:eastAsia="Times New Roman"/>
      <w:szCs w:val="24"/>
      <w:lang w:eastAsia="fr-FR"/>
    </w:rPr>
  </w:style>
  <w:style w:type="table" w:styleId="TableGrid">
    <w:name w:val="Table Grid"/>
    <w:basedOn w:val="TableNormal"/>
    <w:uiPriority w:val="39"/>
    <w:rsid w:val="000C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R01DOINumber">
    <w:name w:val="IIR 01. DOI Number"/>
    <w:basedOn w:val="Normal"/>
    <w:next w:val="IIR02PaperTitle"/>
    <w:autoRedefine/>
    <w:qFormat/>
    <w:rsid w:val="005E3AA4"/>
    <w:pPr>
      <w:jc w:val="center"/>
    </w:pPr>
  </w:style>
  <w:style w:type="character" w:styleId="PlaceholderText">
    <w:name w:val="Placeholder Text"/>
    <w:basedOn w:val="DefaultParagraphFont"/>
    <w:uiPriority w:val="99"/>
    <w:semiHidden/>
    <w:rsid w:val="00431D07"/>
    <w:rPr>
      <w:color w:val="808080"/>
    </w:rPr>
  </w:style>
  <w:style w:type="paragraph" w:styleId="BalloonText">
    <w:name w:val="Balloon Text"/>
    <w:basedOn w:val="Normal"/>
    <w:link w:val="BalloonTextChar"/>
    <w:uiPriority w:val="99"/>
    <w:semiHidden/>
    <w:unhideWhenUsed/>
    <w:rsid w:val="00910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4E"/>
    <w:rPr>
      <w:rFonts w:ascii="Tahoma" w:eastAsia="Calibri" w:hAnsi="Tahoma" w:cs="Tahoma"/>
      <w:sz w:val="16"/>
      <w:szCs w:val="16"/>
      <w:lang w:val="en-GB"/>
    </w:rPr>
  </w:style>
  <w:style w:type="paragraph" w:styleId="ListParagraph">
    <w:name w:val="List Paragraph"/>
    <w:basedOn w:val="Normal"/>
    <w:link w:val="ListParagraphChar"/>
    <w:uiPriority w:val="34"/>
    <w:qFormat/>
    <w:rsid w:val="00270E68"/>
    <w:pPr>
      <w:spacing w:line="240" w:lineRule="auto"/>
      <w:ind w:left="720"/>
      <w:contextualSpacing/>
      <w:jc w:val="left"/>
    </w:pPr>
    <w:rPr>
      <w:rFonts w:ascii="Arial" w:eastAsiaTheme="minorHAnsi" w:hAnsi="Arial" w:cstheme="minorBidi"/>
      <w:sz w:val="20"/>
      <w:szCs w:val="24"/>
      <w:lang w:val="fr-FR"/>
    </w:rPr>
  </w:style>
  <w:style w:type="character" w:customStyle="1" w:styleId="ListParagraphChar">
    <w:name w:val="List Paragraph Char"/>
    <w:basedOn w:val="DefaultParagraphFont"/>
    <w:link w:val="ListParagraph"/>
    <w:uiPriority w:val="34"/>
    <w:rsid w:val="00270E68"/>
    <w:rPr>
      <w:rFonts w:ascii="Arial" w:hAnsi="Arial"/>
      <w:sz w:val="20"/>
      <w:szCs w:val="24"/>
      <w:lang w:val="fr-FR"/>
    </w:rPr>
  </w:style>
  <w:style w:type="character" w:styleId="CommentReference">
    <w:name w:val="annotation reference"/>
    <w:basedOn w:val="DefaultParagraphFont"/>
    <w:uiPriority w:val="99"/>
    <w:semiHidden/>
    <w:unhideWhenUsed/>
    <w:rsid w:val="00DF7E99"/>
    <w:rPr>
      <w:sz w:val="16"/>
      <w:szCs w:val="16"/>
    </w:rPr>
  </w:style>
  <w:style w:type="paragraph" w:styleId="CommentText">
    <w:name w:val="annotation text"/>
    <w:basedOn w:val="Normal"/>
    <w:link w:val="CommentTextChar"/>
    <w:uiPriority w:val="99"/>
    <w:unhideWhenUsed/>
    <w:rsid w:val="00DF7E99"/>
    <w:pPr>
      <w:spacing w:line="240" w:lineRule="auto"/>
    </w:pPr>
    <w:rPr>
      <w:sz w:val="20"/>
      <w:szCs w:val="20"/>
    </w:rPr>
  </w:style>
  <w:style w:type="character" w:customStyle="1" w:styleId="CommentTextChar">
    <w:name w:val="Comment Text Char"/>
    <w:basedOn w:val="DefaultParagraphFont"/>
    <w:link w:val="CommentText"/>
    <w:uiPriority w:val="99"/>
    <w:rsid w:val="00DF7E99"/>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F7E99"/>
    <w:rPr>
      <w:b/>
      <w:bCs/>
    </w:rPr>
  </w:style>
  <w:style w:type="character" w:customStyle="1" w:styleId="CommentSubjectChar">
    <w:name w:val="Comment Subject Char"/>
    <w:basedOn w:val="CommentTextChar"/>
    <w:link w:val="CommentSubject"/>
    <w:uiPriority w:val="99"/>
    <w:semiHidden/>
    <w:rsid w:val="00DF7E99"/>
    <w:rPr>
      <w:rFonts w:ascii="Times New Roman" w:eastAsia="Calibri" w:hAnsi="Times New Roman" w:cs="Times New Roman"/>
      <w:b/>
      <w:bCs/>
      <w:sz w:val="20"/>
      <w:szCs w:val="20"/>
      <w:lang w:val="en-GB"/>
    </w:rPr>
  </w:style>
  <w:style w:type="paragraph" w:styleId="Caption">
    <w:name w:val="caption"/>
    <w:basedOn w:val="Normal"/>
    <w:next w:val="Normal"/>
    <w:uiPriority w:val="35"/>
    <w:unhideWhenUsed/>
    <w:qFormat/>
    <w:rsid w:val="000761CE"/>
    <w:pPr>
      <w:spacing w:after="200" w:line="240" w:lineRule="auto"/>
    </w:pPr>
    <w:rPr>
      <w:i/>
      <w:iCs/>
      <w:color w:val="44546A" w:themeColor="text2"/>
      <w:sz w:val="18"/>
      <w:szCs w:val="18"/>
    </w:rPr>
  </w:style>
  <w:style w:type="paragraph" w:styleId="Revision">
    <w:name w:val="Revision"/>
    <w:hidden/>
    <w:uiPriority w:val="99"/>
    <w:semiHidden/>
    <w:rsid w:val="00482BF3"/>
    <w:pPr>
      <w:spacing w:after="0" w:line="240" w:lineRule="auto"/>
    </w:pPr>
    <w:rPr>
      <w:rFonts w:ascii="Times New Roman" w:eastAsia="Calibri" w:hAnsi="Times New Roman" w:cs="Times New Roman"/>
      <w:lang w:val="en-GB"/>
    </w:rPr>
  </w:style>
  <w:style w:type="character" w:styleId="Hyperlink">
    <w:name w:val="Hyperlink"/>
    <w:uiPriority w:val="99"/>
    <w:rsid w:val="00B569B3"/>
    <w:rPr>
      <w:color w:val="0000FF"/>
      <w:u w:val="single"/>
    </w:rPr>
  </w:style>
  <w:style w:type="paragraph" w:customStyle="1" w:styleId="MainText">
    <w:name w:val="Main Text"/>
    <w:basedOn w:val="Normal"/>
    <w:autoRedefine/>
    <w:qFormat/>
    <w:rsid w:val="00F351C2"/>
    <w:pPr>
      <w:spacing w:after="120" w:line="240" w:lineRule="auto"/>
      <w:ind w:left="426"/>
    </w:pPr>
    <w:rPr>
      <w:rFonts w:asciiTheme="minorHAnsi" w:hAnsiTheme="minorHAnsi" w:cstheme="minorHAnsi"/>
      <w:shd w:val="clear" w:color="auto" w:fill="FFFFFF"/>
    </w:rPr>
  </w:style>
  <w:style w:type="character" w:customStyle="1" w:styleId="Heading3Char">
    <w:name w:val="Heading 3 Char"/>
    <w:basedOn w:val="DefaultParagraphFont"/>
    <w:link w:val="Heading3"/>
    <w:uiPriority w:val="9"/>
    <w:semiHidden/>
    <w:rsid w:val="004D50A4"/>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763874"/>
    <w:rPr>
      <w:rFonts w:asciiTheme="majorHAnsi" w:eastAsiaTheme="majorEastAsia" w:hAnsiTheme="majorHAnsi" w:cstheme="majorBidi"/>
      <w:i/>
      <w:iCs/>
      <w:color w:val="2E74B5" w:themeColor="accent1" w:themeShade="BF"/>
      <w:lang w:val="en-GB"/>
    </w:rPr>
  </w:style>
  <w:style w:type="paragraph" w:customStyle="1" w:styleId="pf0">
    <w:name w:val="pf0"/>
    <w:basedOn w:val="Normal"/>
    <w:rsid w:val="002947DA"/>
    <w:pPr>
      <w:spacing w:before="100" w:beforeAutospacing="1" w:after="100" w:afterAutospacing="1" w:line="240" w:lineRule="auto"/>
      <w:jc w:val="left"/>
    </w:pPr>
    <w:rPr>
      <w:rFonts w:eastAsia="Times New Roman"/>
      <w:sz w:val="24"/>
      <w:szCs w:val="24"/>
      <w:lang w:eastAsia="en-GB"/>
    </w:rPr>
  </w:style>
  <w:style w:type="character" w:customStyle="1" w:styleId="cf01">
    <w:name w:val="cf01"/>
    <w:basedOn w:val="DefaultParagraphFont"/>
    <w:rsid w:val="002947DA"/>
    <w:rPr>
      <w:rFonts w:ascii="Segoe UI" w:hAnsi="Segoe UI" w:cs="Segoe UI" w:hint="default"/>
      <w:sz w:val="18"/>
      <w:szCs w:val="18"/>
    </w:rPr>
  </w:style>
  <w:style w:type="paragraph" w:styleId="Subtitle">
    <w:name w:val="Subtitle"/>
    <w:basedOn w:val="Normal"/>
    <w:next w:val="Normal"/>
    <w:link w:val="SubtitleChar"/>
    <w:uiPriority w:val="11"/>
    <w:qFormat/>
    <w:rsid w:val="008D56A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D56AC"/>
    <w:rPr>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ecoprorefrigeration.eu/downloads/20221221_Professional%20refrigeration%20review%20study_second%20interim%20report.pdf"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rdtserver2.office.rdandt.co.uk\LSBU\LSBU180_UKERC%20zero%20carbon\Alan's%20analysis\Projections\Tokyo%20paper%20proposed\Domestic%20refrigeration%20consumption%20projected%20into%20future%20v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dtserver2\lsbu\LSBU180_UKERC%20zero%20carbon\Alan's%20analysis\Projections\IJR%20paper%20proposed\Domestic%20refrigeration%20consumption%20projected%20into%20future%20v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Rdtserver2\lsbu\LSBU180_UKERC%20zero%20carbon\Alan's%20analysis\Projections\IJR%20paper%20proposed\Professional%20projection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Rdtserver2\lsbu\LSBU180_UKERC%20zero%20carbon\Alan's%20analysis\Projections\IJR%20paper%20proposed\Professional%20projection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rdtserver2.office.rdandt.co.uk\LSBU\LSBU180_UKERC%20zero%20carbon\Alan's%20analysis\Projections\Tokyo%20paper%20proposed\Commercial%20projection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'Ecodesign projections'!$F$8</c:f>
              <c:strCache>
                <c:ptCount val="1"/>
                <c:pt idx="0">
                  <c:v>UK </c:v>
                </c:pt>
              </c:strCache>
            </c:strRef>
          </c:tx>
          <c:spPr>
            <a:ln w="19050" cap="rnd">
              <a:solidFill>
                <a:schemeClr val="accent1"/>
              </a:solidFill>
              <a:round/>
            </a:ln>
            <a:effectLst/>
          </c:spPr>
          <c:marker>
            <c:symbol val="none"/>
          </c:marker>
          <c:xVal>
            <c:numRef>
              <c:f>'Ecodesign projections'!$E$16:$E$51</c:f>
              <c:numCache>
                <c:formatCode>General</c:formatCode>
                <c:ptCount val="3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numCache>
            </c:numRef>
          </c:xVal>
          <c:yVal>
            <c:numRef>
              <c:f>'Ecodesign projections'!$F$16:$F$51</c:f>
              <c:numCache>
                <c:formatCode>General</c:formatCode>
                <c:ptCount val="36"/>
                <c:pt idx="0">
                  <c:v>12.725</c:v>
                </c:pt>
                <c:pt idx="1">
                  <c:v>12.045999999999999</c:v>
                </c:pt>
                <c:pt idx="2">
                  <c:v>11.919</c:v>
                </c:pt>
                <c:pt idx="3">
                  <c:v>11.135000000000002</c:v>
                </c:pt>
                <c:pt idx="4">
                  <c:v>10.753999999999998</c:v>
                </c:pt>
                <c:pt idx="5">
                  <c:v>10.407</c:v>
                </c:pt>
                <c:pt idx="6">
                  <c:v>10.087</c:v>
                </c:pt>
                <c:pt idx="7">
                  <c:v>9.7889999999999997</c:v>
                </c:pt>
                <c:pt idx="8">
                  <c:v>9.5090000000000003</c:v>
                </c:pt>
                <c:pt idx="9">
                  <c:v>9.2409999999999997</c:v>
                </c:pt>
                <c:pt idx="10">
                  <c:v>9.0030000000000001</c:v>
                </c:pt>
                <c:pt idx="11">
                  <c:v>8.7970000000000006</c:v>
                </c:pt>
                <c:pt idx="12">
                  <c:v>8.6140000000000008</c:v>
                </c:pt>
                <c:pt idx="13">
                  <c:v>8.4550000000000001</c:v>
                </c:pt>
                <c:pt idx="14">
                  <c:v>8.3169999999999984</c:v>
                </c:pt>
                <c:pt idx="15">
                  <c:v>8.202</c:v>
                </c:pt>
                <c:pt idx="16">
                  <c:v>8.0910000000000011</c:v>
                </c:pt>
                <c:pt idx="17">
                  <c:v>7.9960000000000004</c:v>
                </c:pt>
                <c:pt idx="18">
                  <c:v>7.9159999999999995</c:v>
                </c:pt>
                <c:pt idx="19">
                  <c:v>7.8490000000000002</c:v>
                </c:pt>
                <c:pt idx="20">
                  <c:v>7.798</c:v>
                </c:pt>
                <c:pt idx="21">
                  <c:v>7.7580000000000009</c:v>
                </c:pt>
                <c:pt idx="22">
                  <c:v>7.3900000000000006</c:v>
                </c:pt>
                <c:pt idx="23">
                  <c:v>7.585</c:v>
                </c:pt>
                <c:pt idx="24">
                  <c:v>7.5410000000000004</c:v>
                </c:pt>
                <c:pt idx="25">
                  <c:v>7.4999999999999991</c:v>
                </c:pt>
                <c:pt idx="26">
                  <c:v>7.4610000000000003</c:v>
                </c:pt>
                <c:pt idx="27">
                  <c:v>7.4200000000000008</c:v>
                </c:pt>
                <c:pt idx="28">
                  <c:v>7.3829999999999991</c:v>
                </c:pt>
                <c:pt idx="29">
                  <c:v>7.3469999999999995</c:v>
                </c:pt>
                <c:pt idx="30">
                  <c:v>7.3139999999999992</c:v>
                </c:pt>
                <c:pt idx="31">
                  <c:v>7.2859999999999996</c:v>
                </c:pt>
                <c:pt idx="32">
                  <c:v>7.2650000000000006</c:v>
                </c:pt>
                <c:pt idx="33">
                  <c:v>7.2560000000000002</c:v>
                </c:pt>
                <c:pt idx="34">
                  <c:v>7.1919999999999993</c:v>
                </c:pt>
                <c:pt idx="35">
                  <c:v>7.1540000000000017</c:v>
                </c:pt>
              </c:numCache>
            </c:numRef>
          </c:yVal>
          <c:smooth val="0"/>
          <c:extLst>
            <c:ext xmlns:c16="http://schemas.microsoft.com/office/drawing/2014/chart" uri="{C3380CC4-5D6E-409C-BE32-E72D297353CC}">
              <c16:uniqueId val="{00000000-5F91-49E1-856A-E6E0C6C82298}"/>
            </c:ext>
          </c:extLst>
        </c:ser>
        <c:ser>
          <c:idx val="1"/>
          <c:order val="1"/>
          <c:tx>
            <c:strRef>
              <c:f>'Ecodesign projections'!$B$8</c:f>
              <c:strCache>
                <c:ptCount val="1"/>
                <c:pt idx="0">
                  <c:v>BAU</c:v>
                </c:pt>
              </c:strCache>
            </c:strRef>
          </c:tx>
          <c:spPr>
            <a:ln w="19050" cap="rnd">
              <a:solidFill>
                <a:schemeClr val="accent2"/>
              </a:solidFill>
              <a:round/>
            </a:ln>
            <a:effectLst/>
          </c:spPr>
          <c:marker>
            <c:symbol val="none"/>
          </c:marker>
          <c:xVal>
            <c:numRef>
              <c:f>'Ecodesign projections'!$A$9:$A$11</c:f>
              <c:numCache>
                <c:formatCode>General</c:formatCode>
                <c:ptCount val="3"/>
                <c:pt idx="0">
                  <c:v>2015</c:v>
                </c:pt>
                <c:pt idx="1">
                  <c:v>2020</c:v>
                </c:pt>
                <c:pt idx="2">
                  <c:v>2030</c:v>
                </c:pt>
              </c:numCache>
            </c:numRef>
          </c:xVal>
          <c:yVal>
            <c:numRef>
              <c:f>'Ecodesign projections'!$B$9:$B$11</c:f>
              <c:numCache>
                <c:formatCode>0.0</c:formatCode>
                <c:ptCount val="3"/>
                <c:pt idx="0">
                  <c:v>12.212</c:v>
                </c:pt>
                <c:pt idx="1">
                  <c:v>10.223999999999998</c:v>
                </c:pt>
                <c:pt idx="2">
                  <c:v>8.0939999999999994</c:v>
                </c:pt>
              </c:numCache>
            </c:numRef>
          </c:yVal>
          <c:smooth val="0"/>
          <c:extLst>
            <c:ext xmlns:c16="http://schemas.microsoft.com/office/drawing/2014/chart" uri="{C3380CC4-5D6E-409C-BE32-E72D297353CC}">
              <c16:uniqueId val="{00000001-5F91-49E1-856A-E6E0C6C82298}"/>
            </c:ext>
          </c:extLst>
        </c:ser>
        <c:ser>
          <c:idx val="2"/>
          <c:order val="2"/>
          <c:tx>
            <c:strRef>
              <c:f>'Ecodesign projections'!$C$8</c:f>
              <c:strCache>
                <c:ptCount val="1"/>
                <c:pt idx="0">
                  <c:v>Ambitious</c:v>
                </c:pt>
              </c:strCache>
            </c:strRef>
          </c:tx>
          <c:spPr>
            <a:ln w="19050" cap="rnd">
              <a:solidFill>
                <a:schemeClr val="accent3"/>
              </a:solidFill>
              <a:round/>
            </a:ln>
            <a:effectLst/>
          </c:spPr>
          <c:marker>
            <c:symbol val="none"/>
          </c:marker>
          <c:xVal>
            <c:numRef>
              <c:f>'Ecodesign projections'!$A$9:$A$11</c:f>
              <c:numCache>
                <c:formatCode>General</c:formatCode>
                <c:ptCount val="3"/>
                <c:pt idx="0">
                  <c:v>2015</c:v>
                </c:pt>
                <c:pt idx="1">
                  <c:v>2020</c:v>
                </c:pt>
                <c:pt idx="2">
                  <c:v>2030</c:v>
                </c:pt>
              </c:numCache>
            </c:numRef>
          </c:xVal>
          <c:yVal>
            <c:numRef>
              <c:f>'Ecodesign projections'!$C$9:$C$11</c:f>
              <c:numCache>
                <c:formatCode>0.0</c:formatCode>
                <c:ptCount val="3"/>
                <c:pt idx="0">
                  <c:v>12.212</c:v>
                </c:pt>
                <c:pt idx="1">
                  <c:v>9.6559999999999988</c:v>
                </c:pt>
                <c:pt idx="2">
                  <c:v>5.8219999999999992</c:v>
                </c:pt>
              </c:numCache>
            </c:numRef>
          </c:yVal>
          <c:smooth val="0"/>
          <c:extLst>
            <c:ext xmlns:c16="http://schemas.microsoft.com/office/drawing/2014/chart" uri="{C3380CC4-5D6E-409C-BE32-E72D297353CC}">
              <c16:uniqueId val="{00000002-5F91-49E1-856A-E6E0C6C82298}"/>
            </c:ext>
          </c:extLst>
        </c:ser>
        <c:ser>
          <c:idx val="3"/>
          <c:order val="3"/>
          <c:tx>
            <c:strRef>
              <c:f>'Ecodesign projections'!$D$8</c:f>
              <c:strCache>
                <c:ptCount val="1"/>
                <c:pt idx="0">
                  <c:v>LLCC</c:v>
                </c:pt>
              </c:strCache>
            </c:strRef>
          </c:tx>
          <c:spPr>
            <a:ln w="19050" cap="rnd">
              <a:solidFill>
                <a:schemeClr val="accent4"/>
              </a:solidFill>
              <a:round/>
            </a:ln>
            <a:effectLst/>
          </c:spPr>
          <c:marker>
            <c:symbol val="none"/>
          </c:marker>
          <c:xVal>
            <c:numRef>
              <c:f>'Ecodesign projections'!$A$9:$A$11</c:f>
              <c:numCache>
                <c:formatCode>General</c:formatCode>
                <c:ptCount val="3"/>
                <c:pt idx="0">
                  <c:v>2015</c:v>
                </c:pt>
                <c:pt idx="1">
                  <c:v>2020</c:v>
                </c:pt>
                <c:pt idx="2">
                  <c:v>2030</c:v>
                </c:pt>
              </c:numCache>
            </c:numRef>
          </c:xVal>
          <c:yVal>
            <c:numRef>
              <c:f>'Ecodesign projections'!$D$9:$D$11</c:f>
              <c:numCache>
                <c:formatCode>0.0</c:formatCode>
                <c:ptCount val="3"/>
                <c:pt idx="0">
                  <c:v>12.212</c:v>
                </c:pt>
                <c:pt idx="1">
                  <c:v>9.94</c:v>
                </c:pt>
                <c:pt idx="2">
                  <c:v>6.8159999999999989</c:v>
                </c:pt>
              </c:numCache>
            </c:numRef>
          </c:yVal>
          <c:smooth val="0"/>
          <c:extLst>
            <c:ext xmlns:c16="http://schemas.microsoft.com/office/drawing/2014/chart" uri="{C3380CC4-5D6E-409C-BE32-E72D297353CC}">
              <c16:uniqueId val="{00000003-5F91-49E1-856A-E6E0C6C82298}"/>
            </c:ext>
          </c:extLst>
        </c:ser>
        <c:dLbls>
          <c:showLegendKey val="0"/>
          <c:showVal val="0"/>
          <c:showCatName val="0"/>
          <c:showSerName val="0"/>
          <c:showPercent val="0"/>
          <c:showBubbleSize val="0"/>
        </c:dLbls>
        <c:axId val="585312080"/>
        <c:axId val="585310768"/>
      </c:scatterChart>
      <c:valAx>
        <c:axId val="585312080"/>
        <c:scaling>
          <c:orientation val="minMax"/>
          <c:max val="2050"/>
          <c:min val="20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310768"/>
        <c:crosses val="autoZero"/>
        <c:crossBetween val="midCat"/>
      </c:valAx>
      <c:valAx>
        <c:axId val="585310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annual energy consumption (TWh)</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3120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EPREL!$B$20:$B$26</c:f>
              <c:strCache>
                <c:ptCount val="7"/>
                <c:pt idx="0">
                  <c:v>A</c:v>
                </c:pt>
                <c:pt idx="1">
                  <c:v>B</c:v>
                </c:pt>
                <c:pt idx="2">
                  <c:v>C</c:v>
                </c:pt>
                <c:pt idx="3">
                  <c:v>D</c:v>
                </c:pt>
                <c:pt idx="4">
                  <c:v>E</c:v>
                </c:pt>
                <c:pt idx="5">
                  <c:v>F</c:v>
                </c:pt>
                <c:pt idx="6">
                  <c:v>G</c:v>
                </c:pt>
              </c:strCache>
            </c:strRef>
          </c:cat>
          <c:val>
            <c:numRef>
              <c:f>EPREL!$C$20:$C$26</c:f>
              <c:numCache>
                <c:formatCode>General</c:formatCode>
                <c:ptCount val="7"/>
                <c:pt idx="0">
                  <c:v>0.2</c:v>
                </c:pt>
                <c:pt idx="1">
                  <c:v>0.4</c:v>
                </c:pt>
                <c:pt idx="2">
                  <c:v>2.6</c:v>
                </c:pt>
                <c:pt idx="3">
                  <c:v>7.6</c:v>
                </c:pt>
                <c:pt idx="4">
                  <c:v>30.5</c:v>
                </c:pt>
                <c:pt idx="5">
                  <c:v>50.1</c:v>
                </c:pt>
                <c:pt idx="6">
                  <c:v>8.6</c:v>
                </c:pt>
              </c:numCache>
            </c:numRef>
          </c:val>
          <c:extLst>
            <c:ext xmlns:c16="http://schemas.microsoft.com/office/drawing/2014/chart" uri="{C3380CC4-5D6E-409C-BE32-E72D297353CC}">
              <c16:uniqueId val="{00000000-73D6-4158-B469-D0D87A5BFE3F}"/>
            </c:ext>
          </c:extLst>
        </c:ser>
        <c:dLbls>
          <c:showLegendKey val="0"/>
          <c:showVal val="0"/>
          <c:showCatName val="0"/>
          <c:showSerName val="0"/>
          <c:showPercent val="0"/>
          <c:showBubbleSize val="0"/>
        </c:dLbls>
        <c:gapWidth val="219"/>
        <c:overlap val="-27"/>
        <c:axId val="490391912"/>
        <c:axId val="490392272"/>
      </c:barChart>
      <c:catAx>
        <c:axId val="490391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Label Class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392272"/>
        <c:crosses val="autoZero"/>
        <c:auto val="1"/>
        <c:lblAlgn val="ctr"/>
        <c:lblOffset val="100"/>
        <c:noMultiLvlLbl val="0"/>
      </c:catAx>
      <c:valAx>
        <c:axId val="490392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of models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391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'currrent market'!$N$6</c:f>
              <c:strCache>
                <c:ptCount val="1"/>
                <c:pt idx="0">
                  <c:v>all</c:v>
                </c:pt>
              </c:strCache>
            </c:strRef>
          </c:tx>
          <c:spPr>
            <a:solidFill>
              <a:schemeClr val="accent1"/>
            </a:solidFill>
            <a:ln>
              <a:noFill/>
            </a:ln>
            <a:effectLst/>
          </c:spPr>
          <c:invertIfNegative val="0"/>
          <c:cat>
            <c:strRef>
              <c:f>'currrent market'!$M$7:$M$16</c:f>
              <c:strCache>
                <c:ptCount val="10"/>
                <c:pt idx="0">
                  <c:v>A+++</c:v>
                </c:pt>
                <c:pt idx="1">
                  <c:v>A++</c:v>
                </c:pt>
                <c:pt idx="2">
                  <c:v>A+</c:v>
                </c:pt>
                <c:pt idx="3">
                  <c:v>A</c:v>
                </c:pt>
                <c:pt idx="4">
                  <c:v>B</c:v>
                </c:pt>
                <c:pt idx="5">
                  <c:v>C</c:v>
                </c:pt>
                <c:pt idx="6">
                  <c:v>D</c:v>
                </c:pt>
                <c:pt idx="7">
                  <c:v>E</c:v>
                </c:pt>
                <c:pt idx="8">
                  <c:v>F</c:v>
                </c:pt>
                <c:pt idx="9">
                  <c:v>G</c:v>
                </c:pt>
              </c:strCache>
            </c:strRef>
          </c:cat>
          <c:val>
            <c:numRef>
              <c:f>'currrent market'!$N$7:$N$16</c:f>
              <c:numCache>
                <c:formatCode>General</c:formatCode>
                <c:ptCount val="10"/>
                <c:pt idx="0">
                  <c:v>0</c:v>
                </c:pt>
                <c:pt idx="1">
                  <c:v>0.1</c:v>
                </c:pt>
                <c:pt idx="2">
                  <c:v>0.2</c:v>
                </c:pt>
                <c:pt idx="3">
                  <c:v>6.9</c:v>
                </c:pt>
                <c:pt idx="4">
                  <c:v>17.2</c:v>
                </c:pt>
                <c:pt idx="5">
                  <c:v>30.7</c:v>
                </c:pt>
                <c:pt idx="6">
                  <c:v>31.2</c:v>
                </c:pt>
                <c:pt idx="7">
                  <c:v>8.4</c:v>
                </c:pt>
                <c:pt idx="8">
                  <c:v>4.3</c:v>
                </c:pt>
                <c:pt idx="9">
                  <c:v>1</c:v>
                </c:pt>
              </c:numCache>
            </c:numRef>
          </c:val>
          <c:extLst>
            <c:ext xmlns:c16="http://schemas.microsoft.com/office/drawing/2014/chart" uri="{C3380CC4-5D6E-409C-BE32-E72D297353CC}">
              <c16:uniqueId val="{00000000-89CF-4C52-B63F-8397420E19D0}"/>
            </c:ext>
          </c:extLst>
        </c:ser>
        <c:ser>
          <c:idx val="1"/>
          <c:order val="1"/>
          <c:tx>
            <c:strRef>
              <c:f>'currrent market'!$O$6</c:f>
              <c:strCache>
                <c:ptCount val="1"/>
                <c:pt idx="0">
                  <c:v>freezers</c:v>
                </c:pt>
              </c:strCache>
            </c:strRef>
          </c:tx>
          <c:spPr>
            <a:solidFill>
              <a:schemeClr val="accent2"/>
            </a:solidFill>
            <a:ln>
              <a:noFill/>
            </a:ln>
            <a:effectLst/>
          </c:spPr>
          <c:invertIfNegative val="0"/>
          <c:cat>
            <c:strRef>
              <c:f>'currrent market'!$M$7:$M$16</c:f>
              <c:strCache>
                <c:ptCount val="10"/>
                <c:pt idx="0">
                  <c:v>A+++</c:v>
                </c:pt>
                <c:pt idx="1">
                  <c:v>A++</c:v>
                </c:pt>
                <c:pt idx="2">
                  <c:v>A+</c:v>
                </c:pt>
                <c:pt idx="3">
                  <c:v>A</c:v>
                </c:pt>
                <c:pt idx="4">
                  <c:v>B</c:v>
                </c:pt>
                <c:pt idx="5">
                  <c:v>C</c:v>
                </c:pt>
                <c:pt idx="6">
                  <c:v>D</c:v>
                </c:pt>
                <c:pt idx="7">
                  <c:v>E</c:v>
                </c:pt>
                <c:pt idx="8">
                  <c:v>F</c:v>
                </c:pt>
                <c:pt idx="9">
                  <c:v>G</c:v>
                </c:pt>
              </c:strCache>
            </c:strRef>
          </c:cat>
          <c:val>
            <c:numRef>
              <c:f>'currrent market'!$O$7:$O$16</c:f>
              <c:numCache>
                <c:formatCode>General</c:formatCode>
                <c:ptCount val="10"/>
                <c:pt idx="0">
                  <c:v>0</c:v>
                </c:pt>
                <c:pt idx="1">
                  <c:v>0</c:v>
                </c:pt>
                <c:pt idx="2">
                  <c:v>0.2</c:v>
                </c:pt>
                <c:pt idx="3">
                  <c:v>1.2</c:v>
                </c:pt>
                <c:pt idx="4">
                  <c:v>2.9</c:v>
                </c:pt>
                <c:pt idx="5">
                  <c:v>13.9</c:v>
                </c:pt>
                <c:pt idx="6">
                  <c:v>45.2</c:v>
                </c:pt>
                <c:pt idx="7">
                  <c:v>23.3</c:v>
                </c:pt>
                <c:pt idx="8">
                  <c:v>11.4</c:v>
                </c:pt>
                <c:pt idx="9">
                  <c:v>1.8</c:v>
                </c:pt>
              </c:numCache>
            </c:numRef>
          </c:val>
          <c:extLst>
            <c:ext xmlns:c16="http://schemas.microsoft.com/office/drawing/2014/chart" uri="{C3380CC4-5D6E-409C-BE32-E72D297353CC}">
              <c16:uniqueId val="{00000001-89CF-4C52-B63F-8397420E19D0}"/>
            </c:ext>
          </c:extLst>
        </c:ser>
        <c:ser>
          <c:idx val="2"/>
          <c:order val="2"/>
          <c:tx>
            <c:strRef>
              <c:f>'currrent market'!$P$6</c:f>
              <c:strCache>
                <c:ptCount val="1"/>
                <c:pt idx="0">
                  <c:v>chillers</c:v>
                </c:pt>
              </c:strCache>
            </c:strRef>
          </c:tx>
          <c:spPr>
            <a:solidFill>
              <a:schemeClr val="accent3"/>
            </a:solidFill>
            <a:ln>
              <a:noFill/>
            </a:ln>
            <a:effectLst/>
          </c:spPr>
          <c:invertIfNegative val="0"/>
          <c:cat>
            <c:strRef>
              <c:f>'currrent market'!$M$7:$M$16</c:f>
              <c:strCache>
                <c:ptCount val="10"/>
                <c:pt idx="0">
                  <c:v>A+++</c:v>
                </c:pt>
                <c:pt idx="1">
                  <c:v>A++</c:v>
                </c:pt>
                <c:pt idx="2">
                  <c:v>A+</c:v>
                </c:pt>
                <c:pt idx="3">
                  <c:v>A</c:v>
                </c:pt>
                <c:pt idx="4">
                  <c:v>B</c:v>
                </c:pt>
                <c:pt idx="5">
                  <c:v>C</c:v>
                </c:pt>
                <c:pt idx="6">
                  <c:v>D</c:v>
                </c:pt>
                <c:pt idx="7">
                  <c:v>E</c:v>
                </c:pt>
                <c:pt idx="8">
                  <c:v>F</c:v>
                </c:pt>
                <c:pt idx="9">
                  <c:v>G</c:v>
                </c:pt>
              </c:strCache>
            </c:strRef>
          </c:cat>
          <c:val>
            <c:numRef>
              <c:f>'currrent market'!$P$7:$P$16</c:f>
              <c:numCache>
                <c:formatCode>General</c:formatCode>
                <c:ptCount val="10"/>
                <c:pt idx="0">
                  <c:v>0</c:v>
                </c:pt>
                <c:pt idx="1">
                  <c:v>0.1</c:v>
                </c:pt>
                <c:pt idx="2">
                  <c:v>0.2</c:v>
                </c:pt>
                <c:pt idx="3">
                  <c:v>8.6999999999999993</c:v>
                </c:pt>
                <c:pt idx="4">
                  <c:v>21.7</c:v>
                </c:pt>
                <c:pt idx="5">
                  <c:v>36.1</c:v>
                </c:pt>
                <c:pt idx="6">
                  <c:v>26.3</c:v>
                </c:pt>
                <c:pt idx="7">
                  <c:v>3.8</c:v>
                </c:pt>
                <c:pt idx="8">
                  <c:v>2.4</c:v>
                </c:pt>
                <c:pt idx="9">
                  <c:v>0.7</c:v>
                </c:pt>
              </c:numCache>
            </c:numRef>
          </c:val>
          <c:extLst>
            <c:ext xmlns:c16="http://schemas.microsoft.com/office/drawing/2014/chart" uri="{C3380CC4-5D6E-409C-BE32-E72D297353CC}">
              <c16:uniqueId val="{00000002-89CF-4C52-B63F-8397420E19D0}"/>
            </c:ext>
          </c:extLst>
        </c:ser>
        <c:dLbls>
          <c:showLegendKey val="0"/>
          <c:showVal val="0"/>
          <c:showCatName val="0"/>
          <c:showSerName val="0"/>
          <c:showPercent val="0"/>
          <c:showBubbleSize val="0"/>
        </c:dLbls>
        <c:gapWidth val="219"/>
        <c:overlap val="-27"/>
        <c:axId val="500096216"/>
        <c:axId val="500097296"/>
      </c:barChart>
      <c:catAx>
        <c:axId val="500096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097296"/>
        <c:crosses val="autoZero"/>
        <c:auto val="1"/>
        <c:lblAlgn val="ctr"/>
        <c:lblOffset val="100"/>
        <c:noMultiLvlLbl val="0"/>
      </c:catAx>
      <c:valAx>
        <c:axId val="50009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of models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096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'effet of reducing labels'!$S$7:$AA$7</c:f>
              <c:strCache>
                <c:ptCount val="9"/>
                <c:pt idx="0">
                  <c:v>G</c:v>
                </c:pt>
                <c:pt idx="1">
                  <c:v>F</c:v>
                </c:pt>
                <c:pt idx="2">
                  <c:v>E</c:v>
                </c:pt>
                <c:pt idx="3">
                  <c:v>D</c:v>
                </c:pt>
                <c:pt idx="4">
                  <c:v>C</c:v>
                </c:pt>
                <c:pt idx="5">
                  <c:v>B</c:v>
                </c:pt>
                <c:pt idx="6">
                  <c:v>A</c:v>
                </c:pt>
                <c:pt idx="7">
                  <c:v>A+</c:v>
                </c:pt>
                <c:pt idx="8">
                  <c:v>A++</c:v>
                </c:pt>
              </c:strCache>
            </c:strRef>
          </c:cat>
          <c:val>
            <c:numRef>
              <c:f>'effet of reducing labels'!$S$19:$AA$19</c:f>
              <c:numCache>
                <c:formatCode>0.00%</c:formatCode>
                <c:ptCount val="9"/>
                <c:pt idx="0">
                  <c:v>3.3950093362756784E-3</c:v>
                </c:pt>
                <c:pt idx="1">
                  <c:v>1.2391784077406154E-2</c:v>
                </c:pt>
                <c:pt idx="2">
                  <c:v>3.5647598030894456E-2</c:v>
                </c:pt>
                <c:pt idx="3">
                  <c:v>0.22619249702936695</c:v>
                </c:pt>
                <c:pt idx="4">
                  <c:v>0.41868952639619761</c:v>
                </c:pt>
                <c:pt idx="5">
                  <c:v>0.57621795959938882</c:v>
                </c:pt>
                <c:pt idx="6">
                  <c:v>0.74545917501273129</c:v>
                </c:pt>
                <c:pt idx="7">
                  <c:v>0.8302495331862163</c:v>
                </c:pt>
                <c:pt idx="8">
                  <c:v>0.91512476659310815</c:v>
                </c:pt>
              </c:numCache>
            </c:numRef>
          </c:val>
          <c:extLst>
            <c:ext xmlns:c16="http://schemas.microsoft.com/office/drawing/2014/chart" uri="{C3380CC4-5D6E-409C-BE32-E72D297353CC}">
              <c16:uniqueId val="{00000000-1B0A-4226-8594-CAD8851EECEE}"/>
            </c:ext>
          </c:extLst>
        </c:ser>
        <c:dLbls>
          <c:showLegendKey val="0"/>
          <c:showVal val="0"/>
          <c:showCatName val="0"/>
          <c:showSerName val="0"/>
          <c:showPercent val="0"/>
          <c:showBubbleSize val="0"/>
        </c:dLbls>
        <c:gapWidth val="219"/>
        <c:overlap val="-27"/>
        <c:axId val="491388664"/>
        <c:axId val="491386504"/>
      </c:barChart>
      <c:catAx>
        <c:axId val="491388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Label removed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386504"/>
        <c:crosses val="autoZero"/>
        <c:auto val="1"/>
        <c:lblAlgn val="ctr"/>
        <c:lblOffset val="100"/>
        <c:noMultiLvlLbl val="0"/>
      </c:catAx>
      <c:valAx>
        <c:axId val="491386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Reduction</a:t>
                </a:r>
                <a:r>
                  <a:rPr lang="en-GB" baseline="0"/>
                  <a:t> in energy consumption</a:t>
                </a:r>
                <a:endParaRPr lang="en-GB"/>
              </a:p>
            </c:rich>
          </c:tx>
          <c:layout>
            <c:manualLayout>
              <c:xMode val="edge"/>
              <c:yMode val="edge"/>
              <c:x val="2.7777777777777776E-2"/>
              <c:y val="0.13015419947506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388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00474493148082"/>
          <c:y val="5.2088032876982014E-2"/>
          <c:w val="0.84386111357938987"/>
          <c:h val="0.72974178205949447"/>
        </c:manualLayout>
      </c:layout>
      <c:barChart>
        <c:barDir val="col"/>
        <c:grouping val="clustered"/>
        <c:varyColors val="0"/>
        <c:ser>
          <c:idx val="0"/>
          <c:order val="0"/>
          <c:tx>
            <c:strRef>
              <c:f>supermarket!$B$71</c:f>
              <c:strCache>
                <c:ptCount val="1"/>
                <c:pt idx="0">
                  <c:v>ICV2</c:v>
                </c:pt>
              </c:strCache>
            </c:strRef>
          </c:tx>
          <c:spPr>
            <a:solidFill>
              <a:schemeClr val="accent1"/>
            </a:solidFill>
            <a:ln>
              <a:noFill/>
            </a:ln>
            <a:effectLst/>
          </c:spPr>
          <c:invertIfNegative val="0"/>
          <c:cat>
            <c:strRef>
              <c:f>supermarket!$A$89:$A$95</c:f>
              <c:strCache>
                <c:ptCount val="7"/>
                <c:pt idx="0">
                  <c:v>A</c:v>
                </c:pt>
                <c:pt idx="1">
                  <c:v>B</c:v>
                </c:pt>
                <c:pt idx="2">
                  <c:v>C</c:v>
                </c:pt>
                <c:pt idx="3">
                  <c:v>D</c:v>
                </c:pt>
                <c:pt idx="4">
                  <c:v>E</c:v>
                </c:pt>
                <c:pt idx="5">
                  <c:v>F</c:v>
                </c:pt>
                <c:pt idx="6">
                  <c:v>G</c:v>
                </c:pt>
              </c:strCache>
            </c:strRef>
          </c:cat>
          <c:val>
            <c:numRef>
              <c:f>supermarket!$B$89:$B$95</c:f>
              <c:numCache>
                <c:formatCode>General</c:formatCode>
                <c:ptCount val="7"/>
                <c:pt idx="0">
                  <c:v>0</c:v>
                </c:pt>
                <c:pt idx="1">
                  <c:v>10.199999999999999</c:v>
                </c:pt>
                <c:pt idx="2">
                  <c:v>41.2</c:v>
                </c:pt>
                <c:pt idx="3">
                  <c:v>3.6</c:v>
                </c:pt>
                <c:pt idx="4">
                  <c:v>10.6</c:v>
                </c:pt>
                <c:pt idx="5">
                  <c:v>20.100000000000001</c:v>
                </c:pt>
                <c:pt idx="6">
                  <c:v>14.3</c:v>
                </c:pt>
              </c:numCache>
            </c:numRef>
          </c:val>
          <c:extLst>
            <c:ext xmlns:c16="http://schemas.microsoft.com/office/drawing/2014/chart" uri="{C3380CC4-5D6E-409C-BE32-E72D297353CC}">
              <c16:uniqueId val="{00000000-6564-4043-AC43-6AAE814D640F}"/>
            </c:ext>
          </c:extLst>
        </c:ser>
        <c:ser>
          <c:idx val="1"/>
          <c:order val="1"/>
          <c:tx>
            <c:strRef>
              <c:f>supermarket!$C$71</c:f>
              <c:strCache>
                <c:ptCount val="1"/>
                <c:pt idx="0">
                  <c:v>ICV4</c:v>
                </c:pt>
              </c:strCache>
            </c:strRef>
          </c:tx>
          <c:spPr>
            <a:solidFill>
              <a:schemeClr val="accent2"/>
            </a:solidFill>
            <a:ln>
              <a:noFill/>
            </a:ln>
            <a:effectLst/>
          </c:spPr>
          <c:invertIfNegative val="0"/>
          <c:cat>
            <c:strRef>
              <c:f>supermarket!$A$89:$A$95</c:f>
              <c:strCache>
                <c:ptCount val="7"/>
                <c:pt idx="0">
                  <c:v>A</c:v>
                </c:pt>
                <c:pt idx="1">
                  <c:v>B</c:v>
                </c:pt>
                <c:pt idx="2">
                  <c:v>C</c:v>
                </c:pt>
                <c:pt idx="3">
                  <c:v>D</c:v>
                </c:pt>
                <c:pt idx="4">
                  <c:v>E</c:v>
                </c:pt>
                <c:pt idx="5">
                  <c:v>F</c:v>
                </c:pt>
                <c:pt idx="6">
                  <c:v>G</c:v>
                </c:pt>
              </c:strCache>
            </c:strRef>
          </c:cat>
          <c:val>
            <c:numRef>
              <c:f>supermarket!$C$89:$C$95</c:f>
              <c:numCache>
                <c:formatCode>General</c:formatCode>
                <c:ptCount val="7"/>
                <c:pt idx="0">
                  <c:v>0.3</c:v>
                </c:pt>
                <c:pt idx="1">
                  <c:v>25.4</c:v>
                </c:pt>
                <c:pt idx="2">
                  <c:v>46.4</c:v>
                </c:pt>
                <c:pt idx="3">
                  <c:v>17.2</c:v>
                </c:pt>
                <c:pt idx="4">
                  <c:v>5.2</c:v>
                </c:pt>
                <c:pt idx="5">
                  <c:v>3.2</c:v>
                </c:pt>
                <c:pt idx="6">
                  <c:v>2.2999999999999998</c:v>
                </c:pt>
              </c:numCache>
            </c:numRef>
          </c:val>
          <c:extLst>
            <c:ext xmlns:c16="http://schemas.microsoft.com/office/drawing/2014/chart" uri="{C3380CC4-5D6E-409C-BE32-E72D297353CC}">
              <c16:uniqueId val="{00000001-6564-4043-AC43-6AAE814D640F}"/>
            </c:ext>
          </c:extLst>
        </c:ser>
        <c:ser>
          <c:idx val="2"/>
          <c:order val="2"/>
          <c:tx>
            <c:strRef>
              <c:f>supermarket!$D$71</c:f>
              <c:strCache>
                <c:ptCount val="1"/>
                <c:pt idx="0">
                  <c:v>RCV2</c:v>
                </c:pt>
              </c:strCache>
            </c:strRef>
          </c:tx>
          <c:spPr>
            <a:solidFill>
              <a:schemeClr val="accent1">
                <a:lumMod val="60000"/>
                <a:lumOff val="40000"/>
              </a:schemeClr>
            </a:solidFill>
            <a:ln>
              <a:noFill/>
            </a:ln>
            <a:effectLst/>
          </c:spPr>
          <c:invertIfNegative val="0"/>
          <c:cat>
            <c:strRef>
              <c:f>supermarket!$A$89:$A$95</c:f>
              <c:strCache>
                <c:ptCount val="7"/>
                <c:pt idx="0">
                  <c:v>A</c:v>
                </c:pt>
                <c:pt idx="1">
                  <c:v>B</c:v>
                </c:pt>
                <c:pt idx="2">
                  <c:v>C</c:v>
                </c:pt>
                <c:pt idx="3">
                  <c:v>D</c:v>
                </c:pt>
                <c:pt idx="4">
                  <c:v>E</c:v>
                </c:pt>
                <c:pt idx="5">
                  <c:v>F</c:v>
                </c:pt>
                <c:pt idx="6">
                  <c:v>G</c:v>
                </c:pt>
              </c:strCache>
            </c:strRef>
          </c:cat>
          <c:val>
            <c:numRef>
              <c:f>supermarket!$D$89:$D$95</c:f>
              <c:numCache>
                <c:formatCode>General</c:formatCode>
                <c:ptCount val="7"/>
                <c:pt idx="0">
                  <c:v>0</c:v>
                </c:pt>
                <c:pt idx="1">
                  <c:v>0</c:v>
                </c:pt>
                <c:pt idx="2">
                  <c:v>0.5</c:v>
                </c:pt>
                <c:pt idx="3">
                  <c:v>5.8</c:v>
                </c:pt>
                <c:pt idx="4">
                  <c:v>29</c:v>
                </c:pt>
                <c:pt idx="5">
                  <c:v>44.9</c:v>
                </c:pt>
                <c:pt idx="6">
                  <c:v>19.8</c:v>
                </c:pt>
              </c:numCache>
            </c:numRef>
          </c:val>
          <c:extLst>
            <c:ext xmlns:c16="http://schemas.microsoft.com/office/drawing/2014/chart" uri="{C3380CC4-5D6E-409C-BE32-E72D297353CC}">
              <c16:uniqueId val="{00000002-6564-4043-AC43-6AAE814D640F}"/>
            </c:ext>
          </c:extLst>
        </c:ser>
        <c:ser>
          <c:idx val="3"/>
          <c:order val="3"/>
          <c:tx>
            <c:strRef>
              <c:f>supermarket!$E$71</c:f>
              <c:strCache>
                <c:ptCount val="1"/>
                <c:pt idx="0">
                  <c:v>RCV4</c:v>
                </c:pt>
              </c:strCache>
            </c:strRef>
          </c:tx>
          <c:spPr>
            <a:solidFill>
              <a:schemeClr val="accent4"/>
            </a:solidFill>
            <a:ln>
              <a:noFill/>
            </a:ln>
            <a:effectLst/>
          </c:spPr>
          <c:invertIfNegative val="0"/>
          <c:cat>
            <c:strRef>
              <c:f>supermarket!$A$89:$A$95</c:f>
              <c:strCache>
                <c:ptCount val="7"/>
                <c:pt idx="0">
                  <c:v>A</c:v>
                </c:pt>
                <c:pt idx="1">
                  <c:v>B</c:v>
                </c:pt>
                <c:pt idx="2">
                  <c:v>C</c:v>
                </c:pt>
                <c:pt idx="3">
                  <c:v>D</c:v>
                </c:pt>
                <c:pt idx="4">
                  <c:v>E</c:v>
                </c:pt>
                <c:pt idx="5">
                  <c:v>F</c:v>
                </c:pt>
                <c:pt idx="6">
                  <c:v>G</c:v>
                </c:pt>
              </c:strCache>
            </c:strRef>
          </c:cat>
          <c:val>
            <c:numRef>
              <c:f>supermarket!$E$89:$E$95</c:f>
              <c:numCache>
                <c:formatCode>General</c:formatCode>
                <c:ptCount val="7"/>
                <c:pt idx="0">
                  <c:v>0</c:v>
                </c:pt>
                <c:pt idx="1">
                  <c:v>6.9</c:v>
                </c:pt>
                <c:pt idx="2">
                  <c:v>39.4</c:v>
                </c:pt>
                <c:pt idx="3">
                  <c:v>50.4</c:v>
                </c:pt>
                <c:pt idx="4">
                  <c:v>3</c:v>
                </c:pt>
                <c:pt idx="5">
                  <c:v>0.1</c:v>
                </c:pt>
                <c:pt idx="6">
                  <c:v>0.1</c:v>
                </c:pt>
              </c:numCache>
            </c:numRef>
          </c:val>
          <c:extLst>
            <c:ext xmlns:c16="http://schemas.microsoft.com/office/drawing/2014/chart" uri="{C3380CC4-5D6E-409C-BE32-E72D297353CC}">
              <c16:uniqueId val="{00000003-6564-4043-AC43-6AAE814D640F}"/>
            </c:ext>
          </c:extLst>
        </c:ser>
        <c:dLbls>
          <c:showLegendKey val="0"/>
          <c:showVal val="0"/>
          <c:showCatName val="0"/>
          <c:showSerName val="0"/>
          <c:showPercent val="0"/>
          <c:showBubbleSize val="0"/>
        </c:dLbls>
        <c:gapWidth val="219"/>
        <c:overlap val="-27"/>
        <c:axId val="278850920"/>
        <c:axId val="278851640"/>
      </c:barChart>
      <c:catAx>
        <c:axId val="27885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851640"/>
        <c:crosses val="autoZero"/>
        <c:auto val="1"/>
        <c:lblAlgn val="ctr"/>
        <c:lblOffset val="100"/>
        <c:noMultiLvlLbl val="0"/>
      </c:catAx>
      <c:valAx>
        <c:axId val="278851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of models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850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666A-C073-439A-BB1D-36B47021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4056</Words>
  <Characters>23124</Characters>
  <Application>Microsoft Office Word</Application>
  <DocSecurity>0</DocSecurity>
  <Lines>192</Lines>
  <Paragraphs>54</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Kočí Stanislav</dc:creator>
  <cp:lastModifiedBy>Alan Foster</cp:lastModifiedBy>
  <cp:revision>3</cp:revision>
  <cp:lastPrinted>2020-09-07T14:04:00Z</cp:lastPrinted>
  <dcterms:created xsi:type="dcterms:W3CDTF">2024-05-24T10:05:00Z</dcterms:created>
  <dcterms:modified xsi:type="dcterms:W3CDTF">2024-05-28T09:50:00Z</dcterms:modified>
</cp:coreProperties>
</file>