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63A" w:rsidRDefault="00D8663A" w:rsidP="00D8663A">
      <w:pPr>
        <w:spacing w:after="200" w:line="276" w:lineRule="auto"/>
        <w:jc w:val="left"/>
        <w:rPr>
          <w:rFonts w:ascii="Palatino Linotype" w:eastAsia="SimSun" w:hAnsi="Palatino Linotype" w:cstheme="minorHAnsi"/>
          <w:sz w:val="22"/>
        </w:rPr>
      </w:pPr>
      <w:bookmarkStart w:id="0" w:name="_GoBack"/>
      <w:bookmarkEnd w:id="0"/>
      <w:r w:rsidRPr="00D8663A">
        <w:rPr>
          <w:rFonts w:ascii="Palatino Linotype" w:eastAsia="SimSun" w:hAnsi="Palatino Linotype" w:cstheme="minorHAnsi"/>
          <w:sz w:val="22"/>
        </w:rPr>
        <w:t xml:space="preserve">Effective Housing Supply: Where </w:t>
      </w:r>
      <w:r>
        <w:rPr>
          <w:rFonts w:ascii="Palatino Linotype" w:eastAsia="SimSun" w:hAnsi="Palatino Linotype" w:cstheme="minorHAnsi"/>
          <w:sz w:val="22"/>
        </w:rPr>
        <w:t>a</w:t>
      </w:r>
      <w:r w:rsidRPr="00D8663A">
        <w:rPr>
          <w:rFonts w:ascii="Palatino Linotype" w:eastAsia="SimSun" w:hAnsi="Palatino Linotype" w:cstheme="minorHAnsi"/>
          <w:sz w:val="22"/>
        </w:rPr>
        <w:t xml:space="preserve">nd What </w:t>
      </w:r>
      <w:r>
        <w:rPr>
          <w:rFonts w:ascii="Palatino Linotype" w:eastAsia="SimSun" w:hAnsi="Palatino Linotype" w:cstheme="minorHAnsi"/>
          <w:sz w:val="22"/>
        </w:rPr>
        <w:t>t</w:t>
      </w:r>
      <w:r w:rsidRPr="00D8663A">
        <w:rPr>
          <w:rFonts w:ascii="Palatino Linotype" w:eastAsia="SimSun" w:hAnsi="Palatino Linotype" w:cstheme="minorHAnsi"/>
          <w:sz w:val="22"/>
        </w:rPr>
        <w:t>o Supply?</w:t>
      </w:r>
    </w:p>
    <w:p w:rsidR="003B6204" w:rsidRDefault="003B6204" w:rsidP="00D8663A">
      <w:pPr>
        <w:spacing w:after="200" w:line="276" w:lineRule="auto"/>
        <w:jc w:val="left"/>
        <w:rPr>
          <w:rFonts w:ascii="Palatino Linotype" w:eastAsia="SimSun" w:hAnsi="Palatino Linotype" w:cstheme="minorHAnsi"/>
          <w:sz w:val="22"/>
        </w:rPr>
      </w:pPr>
    </w:p>
    <w:p w:rsidR="003B6204" w:rsidRPr="000A4ACB" w:rsidRDefault="003B6204" w:rsidP="00D8663A">
      <w:pPr>
        <w:spacing w:after="200" w:line="276" w:lineRule="auto"/>
        <w:jc w:val="left"/>
        <w:rPr>
          <w:rFonts w:ascii="Palatino Linotype" w:eastAsia="SimSun" w:hAnsi="Palatino Linotype" w:cstheme="minorHAnsi"/>
          <w:b/>
          <w:sz w:val="22"/>
        </w:rPr>
      </w:pPr>
      <w:r w:rsidRPr="000A4ACB">
        <w:rPr>
          <w:rFonts w:ascii="Palatino Linotype" w:eastAsia="SimSun" w:hAnsi="Palatino Linotype" w:cstheme="minorHAnsi"/>
          <w:b/>
          <w:sz w:val="22"/>
        </w:rPr>
        <w:t>Author details</w:t>
      </w:r>
      <w:r w:rsidR="00D8663A" w:rsidRPr="000A4ACB">
        <w:rPr>
          <w:rFonts w:ascii="Palatino Linotype" w:eastAsia="SimSun" w:hAnsi="Palatino Linotype" w:cstheme="minorHAnsi"/>
          <w:b/>
          <w:sz w:val="22"/>
        </w:rPr>
        <w:t xml:space="preserve"> </w:t>
      </w:r>
    </w:p>
    <w:p w:rsidR="00D8663A" w:rsidRDefault="00D8663A" w:rsidP="00D8663A">
      <w:pPr>
        <w:spacing w:after="200" w:line="276" w:lineRule="auto"/>
        <w:jc w:val="left"/>
        <w:rPr>
          <w:rFonts w:ascii="Palatino Linotype" w:eastAsia="SimSun" w:hAnsi="Palatino Linotype" w:cstheme="minorHAnsi"/>
          <w:sz w:val="22"/>
        </w:rPr>
      </w:pPr>
      <w:r>
        <w:rPr>
          <w:rFonts w:ascii="Palatino Linotype" w:eastAsia="SimSun" w:hAnsi="Palatino Linotype" w:cstheme="minorHAnsi"/>
          <w:sz w:val="22"/>
        </w:rPr>
        <w:t>Guowei Gu</w:t>
      </w:r>
      <w:r w:rsidR="003B6204">
        <w:rPr>
          <w:rFonts w:ascii="Palatino Linotype" w:eastAsia="SimSun" w:hAnsi="Palatino Linotype" w:cstheme="minorHAnsi"/>
          <w:sz w:val="22"/>
        </w:rPr>
        <w:t xml:space="preserve">, senior lecturer, London South Bank University, </w:t>
      </w:r>
      <w:hyperlink r:id="rId8" w:history="1">
        <w:r w:rsidR="003B6204" w:rsidRPr="005A7631">
          <w:rPr>
            <w:rStyle w:val="Hyperlink"/>
            <w:rFonts w:ascii="Palatino Linotype" w:eastAsia="SimSun" w:hAnsi="Palatino Linotype" w:cstheme="minorHAnsi"/>
            <w:sz w:val="22"/>
          </w:rPr>
          <w:t>gug2@lsbu.ac.uk</w:t>
        </w:r>
      </w:hyperlink>
    </w:p>
    <w:p w:rsidR="003B6204" w:rsidRDefault="003B6204" w:rsidP="00D8663A">
      <w:pPr>
        <w:spacing w:after="200" w:line="276" w:lineRule="auto"/>
        <w:jc w:val="left"/>
        <w:rPr>
          <w:rFonts w:ascii="Palatino Linotype" w:eastAsia="SimSun" w:hAnsi="Palatino Linotype" w:cstheme="minorHAnsi"/>
          <w:sz w:val="22"/>
        </w:rPr>
      </w:pPr>
      <w:r>
        <w:rPr>
          <w:rFonts w:ascii="Palatino Linotype" w:eastAsia="SimSun" w:hAnsi="Palatino Linotype" w:cstheme="minorHAnsi"/>
          <w:sz w:val="22"/>
        </w:rPr>
        <w:t xml:space="preserve">Lynne Michael, senior lecturer, London South Bank University, </w:t>
      </w:r>
      <w:hyperlink r:id="rId9" w:history="1">
        <w:r w:rsidRPr="005A7631">
          <w:rPr>
            <w:rStyle w:val="Hyperlink"/>
            <w:rFonts w:ascii="Palatino Linotype" w:eastAsia="SimSun" w:hAnsi="Palatino Linotype" w:cstheme="minorHAnsi"/>
            <w:sz w:val="22"/>
          </w:rPr>
          <w:t>michael4@lsbu.ac.uk</w:t>
        </w:r>
      </w:hyperlink>
    </w:p>
    <w:p w:rsidR="003B6204" w:rsidRDefault="003B6204" w:rsidP="00D8663A">
      <w:pPr>
        <w:spacing w:after="200" w:line="276" w:lineRule="auto"/>
        <w:jc w:val="left"/>
        <w:rPr>
          <w:rFonts w:ascii="Palatino Linotype" w:eastAsia="SimSun" w:hAnsi="Palatino Linotype" w:cstheme="minorHAnsi"/>
          <w:sz w:val="22"/>
        </w:rPr>
      </w:pPr>
    </w:p>
    <w:p w:rsidR="003B6204" w:rsidRPr="000A4ACB" w:rsidRDefault="003B6204" w:rsidP="00D8663A">
      <w:pPr>
        <w:spacing w:after="200" w:line="276" w:lineRule="auto"/>
        <w:jc w:val="left"/>
        <w:rPr>
          <w:rFonts w:ascii="Palatino Linotype" w:eastAsia="SimSun" w:hAnsi="Palatino Linotype" w:cstheme="minorHAnsi"/>
          <w:b/>
          <w:sz w:val="22"/>
        </w:rPr>
      </w:pPr>
      <w:r w:rsidRPr="000A4ACB">
        <w:rPr>
          <w:rFonts w:ascii="Palatino Linotype" w:eastAsia="SimSun" w:hAnsi="Palatino Linotype" w:cstheme="minorHAnsi"/>
          <w:b/>
          <w:sz w:val="22"/>
        </w:rPr>
        <w:t>Structured Abstract</w:t>
      </w:r>
    </w:p>
    <w:p w:rsidR="003B6204" w:rsidRDefault="003B6204" w:rsidP="00D25E72">
      <w:pPr>
        <w:pStyle w:val="ListParagraph"/>
        <w:numPr>
          <w:ilvl w:val="0"/>
          <w:numId w:val="3"/>
        </w:numPr>
        <w:spacing w:after="200" w:line="276" w:lineRule="auto"/>
        <w:ind w:firstLineChars="0"/>
        <w:jc w:val="left"/>
        <w:rPr>
          <w:rFonts w:ascii="Palatino Linotype" w:eastAsia="SimSun" w:hAnsi="Palatino Linotype" w:cstheme="minorHAnsi"/>
          <w:sz w:val="22"/>
        </w:rPr>
      </w:pPr>
      <w:r w:rsidRPr="003B6204">
        <w:rPr>
          <w:rFonts w:ascii="Palatino Linotype" w:eastAsia="SimSun" w:hAnsi="Palatino Linotype" w:cstheme="minorHAnsi"/>
          <w:sz w:val="22"/>
        </w:rPr>
        <w:t>Purpose</w:t>
      </w:r>
      <w:r>
        <w:rPr>
          <w:rFonts w:ascii="Palatino Linotype" w:eastAsia="SimSun" w:hAnsi="Palatino Linotype" w:cstheme="minorHAnsi"/>
          <w:sz w:val="22"/>
        </w:rPr>
        <w:t xml:space="preserve">: </w:t>
      </w:r>
      <w:r w:rsidR="00D25E72" w:rsidRPr="00D25E72">
        <w:rPr>
          <w:rFonts w:ascii="Palatino Linotype" w:eastAsia="SimSun" w:hAnsi="Palatino Linotype" w:cstheme="minorHAnsi"/>
          <w:sz w:val="22"/>
        </w:rPr>
        <w:t>The aim of this paper is to examine the effective housing supply in terms of spatial location and the type of housing in Shanghai, China.</w:t>
      </w:r>
    </w:p>
    <w:p w:rsidR="003B6204" w:rsidRDefault="003B6204" w:rsidP="003B6204">
      <w:pPr>
        <w:pStyle w:val="ListParagraph"/>
        <w:numPr>
          <w:ilvl w:val="0"/>
          <w:numId w:val="3"/>
        </w:numPr>
        <w:spacing w:after="200" w:line="276" w:lineRule="auto"/>
        <w:ind w:firstLineChars="0"/>
        <w:jc w:val="left"/>
        <w:rPr>
          <w:rFonts w:ascii="Palatino Linotype" w:eastAsia="SimSun" w:hAnsi="Palatino Linotype" w:cstheme="minorHAnsi"/>
          <w:sz w:val="22"/>
        </w:rPr>
      </w:pPr>
      <w:r w:rsidRPr="008F6E59">
        <w:rPr>
          <w:rFonts w:ascii="Palatino Linotype" w:eastAsia="SimSun" w:hAnsi="Palatino Linotype" w:cstheme="minorHAnsi"/>
          <w:sz w:val="22"/>
        </w:rPr>
        <w:t>Design/methodology/approach</w:t>
      </w:r>
      <w:r w:rsidR="00D25E72" w:rsidRPr="008F6E59">
        <w:rPr>
          <w:rFonts w:ascii="Palatino Linotype" w:eastAsia="SimSun" w:hAnsi="Palatino Linotype" w:cstheme="minorHAnsi"/>
          <w:sz w:val="22"/>
        </w:rPr>
        <w:t xml:space="preserve">: </w:t>
      </w:r>
      <w:r w:rsidR="008F6E59" w:rsidRPr="008F6E59">
        <w:rPr>
          <w:rFonts w:ascii="Palatino Linotype" w:eastAsia="SimSun" w:hAnsi="Palatino Linotype" w:cstheme="minorHAnsi"/>
          <w:sz w:val="22"/>
        </w:rPr>
        <w:t>official property registration data is used to carry out interactive regression analysis</w:t>
      </w:r>
      <w:r w:rsidR="008F6E59">
        <w:rPr>
          <w:rFonts w:ascii="Palatino Linotype" w:eastAsia="SimSun" w:hAnsi="Palatino Linotype" w:cstheme="minorHAnsi"/>
          <w:sz w:val="22"/>
        </w:rPr>
        <w:t>.</w:t>
      </w:r>
    </w:p>
    <w:p w:rsidR="003B6204" w:rsidRDefault="003B6204" w:rsidP="003B6204">
      <w:pPr>
        <w:pStyle w:val="ListParagraph"/>
        <w:numPr>
          <w:ilvl w:val="0"/>
          <w:numId w:val="3"/>
        </w:numPr>
        <w:spacing w:after="200" w:line="276" w:lineRule="auto"/>
        <w:ind w:firstLineChars="0"/>
        <w:jc w:val="left"/>
        <w:rPr>
          <w:rFonts w:ascii="Palatino Linotype" w:eastAsia="SimSun" w:hAnsi="Palatino Linotype" w:cstheme="minorHAnsi"/>
          <w:sz w:val="22"/>
        </w:rPr>
      </w:pPr>
      <w:r w:rsidRPr="008F6E59">
        <w:rPr>
          <w:rFonts w:ascii="Palatino Linotype" w:eastAsia="SimSun" w:hAnsi="Palatino Linotype" w:cstheme="minorHAnsi"/>
          <w:sz w:val="22"/>
        </w:rPr>
        <w:t>Findings</w:t>
      </w:r>
      <w:r w:rsidR="008F6E59" w:rsidRPr="008F6E59">
        <w:rPr>
          <w:rFonts w:ascii="Palatino Linotype" w:eastAsia="SimSun" w:hAnsi="Palatino Linotype" w:cstheme="minorHAnsi"/>
          <w:sz w:val="22"/>
        </w:rPr>
        <w:t xml:space="preserve">: </w:t>
      </w:r>
      <w:r w:rsidR="0068343D">
        <w:rPr>
          <w:rFonts w:ascii="Palatino Linotype" w:eastAsia="SimSun" w:hAnsi="Palatino Linotype" w:cstheme="minorHAnsi"/>
          <w:sz w:val="22"/>
        </w:rPr>
        <w:t>the study</w:t>
      </w:r>
      <w:r w:rsidR="008F6E59" w:rsidRPr="008F6E59">
        <w:rPr>
          <w:rFonts w:ascii="Palatino Linotype" w:eastAsia="SimSun" w:hAnsi="Palatino Linotype" w:cstheme="minorHAnsi"/>
          <w:sz w:val="22"/>
        </w:rPr>
        <w:t xml:space="preserve"> find</w:t>
      </w:r>
      <w:r w:rsidR="0068343D">
        <w:rPr>
          <w:rFonts w:ascii="Palatino Linotype" w:eastAsia="SimSun" w:hAnsi="Palatino Linotype" w:cstheme="minorHAnsi"/>
          <w:sz w:val="22"/>
        </w:rPr>
        <w:t>s</w:t>
      </w:r>
      <w:r w:rsidR="008F6E59" w:rsidRPr="008F6E59">
        <w:rPr>
          <w:rFonts w:ascii="Palatino Linotype" w:eastAsia="SimSun" w:hAnsi="Palatino Linotype" w:cstheme="minorHAnsi"/>
          <w:sz w:val="22"/>
        </w:rPr>
        <w:t xml:space="preserve"> that low-rise housing projects in the suburbs show distinctive advantages over other categories of housing.</w:t>
      </w:r>
    </w:p>
    <w:p w:rsidR="00D8663A" w:rsidRPr="0068343D" w:rsidRDefault="003B6204" w:rsidP="00D25E72">
      <w:pPr>
        <w:pStyle w:val="ListParagraph"/>
        <w:numPr>
          <w:ilvl w:val="0"/>
          <w:numId w:val="3"/>
        </w:numPr>
        <w:spacing w:after="200" w:line="276" w:lineRule="auto"/>
        <w:ind w:firstLineChars="0"/>
        <w:jc w:val="left"/>
        <w:rPr>
          <w:rFonts w:ascii="Palatino Linotype" w:eastAsia="SimSun" w:hAnsi="Palatino Linotype" w:cstheme="minorHAnsi"/>
          <w:sz w:val="22"/>
        </w:rPr>
      </w:pPr>
      <w:r w:rsidRPr="008F6E59">
        <w:rPr>
          <w:rFonts w:ascii="Palatino Linotype" w:eastAsia="SimSun" w:hAnsi="Palatino Linotype" w:cstheme="minorHAnsi"/>
          <w:sz w:val="22"/>
        </w:rPr>
        <w:t>Discussion</w:t>
      </w:r>
      <w:r w:rsidR="008F6E59">
        <w:rPr>
          <w:rFonts w:ascii="Palatino Linotype" w:eastAsia="SimSun" w:hAnsi="Palatino Linotype" w:cstheme="minorHAnsi"/>
          <w:sz w:val="22"/>
        </w:rPr>
        <w:t xml:space="preserve">: </w:t>
      </w:r>
      <w:r w:rsidRPr="0068343D">
        <w:rPr>
          <w:rFonts w:ascii="Palatino Linotype" w:eastAsia="SimSun" w:hAnsi="Palatino Linotype" w:cstheme="minorHAnsi"/>
          <w:sz w:val="22"/>
        </w:rPr>
        <w:t>The finding warrants the campaign launched in 2003, and strengthened in recent years by the municipal government, aimed at reducing the plot ratio of new property developments. This research contributes to a better understanding of issues surrounding housing supply in the local markets within China and provides the foundation for local governments to manage housing supply more effectively.</w:t>
      </w:r>
    </w:p>
    <w:p w:rsidR="003B6204" w:rsidRDefault="003B6204">
      <w:pPr>
        <w:spacing w:after="200" w:line="276" w:lineRule="auto"/>
        <w:jc w:val="center"/>
        <w:rPr>
          <w:rFonts w:ascii="Palatino Linotype" w:eastAsia="SimSun" w:hAnsi="Palatino Linotype" w:cstheme="minorHAnsi"/>
          <w:b/>
          <w:sz w:val="22"/>
        </w:rPr>
      </w:pPr>
    </w:p>
    <w:p w:rsidR="003B6204" w:rsidRDefault="000A4ACB" w:rsidP="000A4ACB">
      <w:pPr>
        <w:spacing w:after="200" w:line="276" w:lineRule="auto"/>
        <w:jc w:val="left"/>
        <w:rPr>
          <w:rFonts w:ascii="Palatino Linotype" w:eastAsia="SimSun" w:hAnsi="Palatino Linotype" w:cstheme="minorHAnsi"/>
          <w:b/>
          <w:sz w:val="22"/>
        </w:rPr>
      </w:pPr>
      <w:r w:rsidRPr="000A4ACB">
        <w:rPr>
          <w:rFonts w:ascii="Palatino Linotype" w:eastAsia="SimSun" w:hAnsi="Palatino Linotype" w:cstheme="minorHAnsi"/>
          <w:b/>
          <w:sz w:val="22"/>
        </w:rPr>
        <w:t>Keywords</w:t>
      </w:r>
    </w:p>
    <w:p w:rsidR="003B6204" w:rsidRPr="000A4ACB" w:rsidRDefault="000A4ACB" w:rsidP="000A4ACB">
      <w:pPr>
        <w:spacing w:after="200" w:line="276" w:lineRule="auto"/>
        <w:jc w:val="left"/>
        <w:rPr>
          <w:rFonts w:ascii="Palatino Linotype" w:eastAsia="SimSun" w:hAnsi="Palatino Linotype" w:cstheme="minorHAnsi"/>
          <w:sz w:val="22"/>
        </w:rPr>
      </w:pPr>
      <w:r w:rsidRPr="000A4ACB">
        <w:rPr>
          <w:rFonts w:ascii="Palatino Linotype" w:eastAsia="SimSun" w:hAnsi="Palatino Linotype" w:cstheme="minorHAnsi"/>
          <w:sz w:val="22"/>
        </w:rPr>
        <w:t>Housing supply, Shanghai housing market, Supply quantity, Supply time, China</w:t>
      </w:r>
    </w:p>
    <w:p w:rsidR="003B6204" w:rsidRDefault="003B6204">
      <w:pPr>
        <w:spacing w:after="200" w:line="276" w:lineRule="auto"/>
        <w:jc w:val="center"/>
        <w:rPr>
          <w:rFonts w:ascii="Palatino Linotype" w:eastAsia="SimSun" w:hAnsi="Palatino Linotype" w:cstheme="minorHAnsi"/>
          <w:b/>
          <w:sz w:val="22"/>
        </w:rPr>
      </w:pPr>
    </w:p>
    <w:p w:rsidR="003B6204" w:rsidRDefault="000A4ACB" w:rsidP="000A4ACB">
      <w:pPr>
        <w:spacing w:after="200" w:line="276" w:lineRule="auto"/>
        <w:jc w:val="left"/>
        <w:rPr>
          <w:rFonts w:ascii="Palatino Linotype" w:eastAsia="SimSun" w:hAnsi="Palatino Linotype" w:cstheme="minorHAnsi"/>
          <w:b/>
          <w:sz w:val="22"/>
        </w:rPr>
      </w:pPr>
      <w:r w:rsidRPr="000A4ACB">
        <w:rPr>
          <w:rFonts w:ascii="Palatino Linotype" w:eastAsia="SimSun" w:hAnsi="Palatino Linotype" w:cstheme="minorHAnsi"/>
          <w:b/>
          <w:sz w:val="22"/>
        </w:rPr>
        <w:t>Article Classification</w:t>
      </w:r>
    </w:p>
    <w:p w:rsidR="003B6204" w:rsidRDefault="000A4ACB" w:rsidP="000A4ACB">
      <w:pPr>
        <w:spacing w:after="200" w:line="276" w:lineRule="auto"/>
        <w:jc w:val="left"/>
        <w:rPr>
          <w:rFonts w:ascii="Palatino Linotype" w:eastAsia="SimSun" w:hAnsi="Palatino Linotype" w:cstheme="minorHAnsi"/>
          <w:sz w:val="22"/>
        </w:rPr>
      </w:pPr>
      <w:r w:rsidRPr="000A4ACB">
        <w:rPr>
          <w:rFonts w:ascii="Palatino Linotype" w:eastAsia="SimSun" w:hAnsi="Palatino Linotype" w:cstheme="minorHAnsi"/>
          <w:sz w:val="22"/>
        </w:rPr>
        <w:t>Research paper</w:t>
      </w:r>
    </w:p>
    <w:p w:rsidR="00803973" w:rsidRDefault="00803973" w:rsidP="000A4ACB">
      <w:pPr>
        <w:spacing w:after="200" w:line="276" w:lineRule="auto"/>
        <w:jc w:val="left"/>
        <w:rPr>
          <w:rFonts w:ascii="Palatino Linotype" w:eastAsia="SimSun" w:hAnsi="Palatino Linotype" w:cstheme="minorHAnsi"/>
          <w:sz w:val="22"/>
        </w:rPr>
      </w:pPr>
    </w:p>
    <w:p w:rsidR="00803973" w:rsidRDefault="00803973" w:rsidP="000A4ACB">
      <w:pPr>
        <w:spacing w:after="200" w:line="276" w:lineRule="auto"/>
        <w:jc w:val="left"/>
        <w:rPr>
          <w:rFonts w:ascii="Palatino Linotype" w:eastAsia="SimSun" w:hAnsi="Palatino Linotype" w:cstheme="minorHAnsi"/>
          <w:sz w:val="22"/>
        </w:rPr>
      </w:pPr>
    </w:p>
    <w:p w:rsidR="00803973" w:rsidRPr="00803973" w:rsidRDefault="00803973" w:rsidP="000A4ACB">
      <w:pPr>
        <w:spacing w:after="200" w:line="276" w:lineRule="auto"/>
        <w:jc w:val="left"/>
        <w:rPr>
          <w:rFonts w:ascii="Palatino Linotype" w:eastAsia="SimSun" w:hAnsi="Palatino Linotype" w:cstheme="minorHAnsi"/>
          <w:b/>
          <w:sz w:val="22"/>
        </w:rPr>
      </w:pPr>
      <w:r w:rsidRPr="00803973">
        <w:rPr>
          <w:rFonts w:ascii="Palatino Linotype" w:eastAsia="SimSun" w:hAnsi="Palatino Linotype" w:cstheme="minorHAnsi"/>
          <w:b/>
          <w:sz w:val="22"/>
        </w:rPr>
        <w:t>Introduction</w:t>
      </w:r>
    </w:p>
    <w:p w:rsidR="00382ADF" w:rsidRPr="00803973" w:rsidRDefault="009063CD">
      <w:pPr>
        <w:spacing w:after="120" w:line="276" w:lineRule="auto"/>
        <w:jc w:val="left"/>
        <w:rPr>
          <w:rFonts w:ascii="Palatino Linotype" w:eastAsia="Calibri" w:hAnsi="Palatino Linotype" w:cs="Calibri"/>
          <w:sz w:val="22"/>
        </w:rPr>
      </w:pPr>
      <w:r w:rsidRPr="00803973">
        <w:rPr>
          <w:rFonts w:ascii="Palatino Linotype" w:eastAsia="Calibri" w:hAnsi="Palatino Linotype" w:cs="Calibri"/>
          <w:sz w:val="22"/>
        </w:rPr>
        <w:lastRenderedPageBreak/>
        <w:t xml:space="preserve">Given the importance of housing, the attention of scholars </w:t>
      </w:r>
      <w:r w:rsidR="00175474" w:rsidRPr="00803973">
        <w:rPr>
          <w:rFonts w:ascii="Palatino Linotype" w:eastAsia="Calibri" w:hAnsi="Palatino Linotype" w:cs="Calibri"/>
          <w:sz w:val="22"/>
        </w:rPr>
        <w:t xml:space="preserve">has been </w:t>
      </w:r>
      <w:r w:rsidR="006A0793" w:rsidRPr="00803973">
        <w:rPr>
          <w:rFonts w:ascii="Palatino Linotype" w:eastAsia="Calibri" w:hAnsi="Palatino Linotype" w:cs="Calibri"/>
          <w:sz w:val="22"/>
        </w:rPr>
        <w:t>drawn</w:t>
      </w:r>
      <w:r w:rsidRPr="00803973">
        <w:rPr>
          <w:rFonts w:ascii="Palatino Linotype" w:eastAsia="Calibri" w:hAnsi="Palatino Linotype" w:cs="Calibri"/>
          <w:sz w:val="22"/>
        </w:rPr>
        <w:t xml:space="preserve"> to housing studies for </w:t>
      </w:r>
      <w:r w:rsidR="00C000F2" w:rsidRPr="00803973">
        <w:rPr>
          <w:rFonts w:ascii="Palatino Linotype" w:eastAsia="Calibri" w:hAnsi="Palatino Linotype" w:cs="Calibri"/>
          <w:sz w:val="22"/>
        </w:rPr>
        <w:t xml:space="preserve">some time. Yet the focus of </w:t>
      </w:r>
      <w:r w:rsidRPr="00803973">
        <w:rPr>
          <w:rFonts w:ascii="Palatino Linotype" w:eastAsia="Calibri" w:hAnsi="Palatino Linotype" w:cs="Calibri"/>
          <w:sz w:val="22"/>
        </w:rPr>
        <w:t>researchers has been on price and demand side (Gyourko and Saiz, 2006) and the supply of housing is understudied (Green, 2005; Wang et al, 2012).</w:t>
      </w:r>
    </w:p>
    <w:p w:rsidR="00382ADF" w:rsidRPr="00803973" w:rsidRDefault="009063CD">
      <w:pPr>
        <w:spacing w:after="120" w:line="276" w:lineRule="auto"/>
        <w:jc w:val="left"/>
        <w:rPr>
          <w:rFonts w:ascii="Palatino Linotype" w:eastAsia="Calibri" w:hAnsi="Palatino Linotype" w:cs="Calibri"/>
          <w:sz w:val="22"/>
        </w:rPr>
      </w:pPr>
      <w:r w:rsidRPr="00803973">
        <w:rPr>
          <w:rFonts w:ascii="Palatino Linotype" w:eastAsia="Calibri" w:hAnsi="Palatino Linotype" w:cs="Calibri"/>
          <w:sz w:val="22"/>
        </w:rPr>
        <w:t xml:space="preserve">     DiPasqualh (1999) poses the question of ‘</w:t>
      </w:r>
      <w:r w:rsidRPr="00803973">
        <w:rPr>
          <w:rFonts w:ascii="Palatino Linotype" w:eastAsia="Calibri" w:hAnsi="Palatino Linotype" w:cs="Calibri"/>
          <w:i/>
          <w:sz w:val="22"/>
        </w:rPr>
        <w:t>why don’t we know more about housing supply?</w:t>
      </w:r>
      <w:r w:rsidRPr="00803973">
        <w:rPr>
          <w:rFonts w:ascii="Palatino Linotype" w:eastAsia="Calibri" w:hAnsi="Palatino Linotype" w:cs="Calibri"/>
          <w:sz w:val="22"/>
        </w:rPr>
        <w:t xml:space="preserve">’ and </w:t>
      </w:r>
      <w:r w:rsidR="006A0793" w:rsidRPr="00803973">
        <w:rPr>
          <w:rFonts w:ascii="Palatino Linotype" w:eastAsia="Calibri" w:hAnsi="Palatino Linotype" w:cs="Calibri"/>
          <w:sz w:val="22"/>
        </w:rPr>
        <w:t>formulates</w:t>
      </w:r>
      <w:r w:rsidRPr="00803973">
        <w:rPr>
          <w:rFonts w:ascii="Palatino Linotype" w:eastAsia="Calibri" w:hAnsi="Palatino Linotype" w:cs="Calibri"/>
          <w:sz w:val="22"/>
        </w:rPr>
        <w:t xml:space="preserve"> answers including the durable nature of housing, government interventions and the difficulty of </w:t>
      </w:r>
      <w:r w:rsidR="00D4086F" w:rsidRPr="00803973">
        <w:rPr>
          <w:rFonts w:ascii="Palatino Linotype" w:eastAsia="Calibri" w:hAnsi="Palatino Linotype" w:cs="Calibri"/>
          <w:sz w:val="22"/>
        </w:rPr>
        <w:t>modeling</w:t>
      </w:r>
      <w:r w:rsidRPr="00803973">
        <w:rPr>
          <w:rFonts w:ascii="Palatino Linotype" w:eastAsia="Calibri" w:hAnsi="Palatino Linotype" w:cs="Calibri"/>
          <w:sz w:val="22"/>
        </w:rPr>
        <w:t xml:space="preserve"> housing supply. DiPasqualh also highlights the fact that much of the literature employs aggregate data due to a paucity of information available from individual builder</w:t>
      </w:r>
      <w:r w:rsidR="00175474" w:rsidRPr="00803973">
        <w:rPr>
          <w:rFonts w:ascii="Palatino Linotype" w:eastAsia="Calibri" w:hAnsi="Palatino Linotype" w:cs="Calibri"/>
          <w:sz w:val="22"/>
        </w:rPr>
        <w:t>s</w:t>
      </w:r>
      <w:r w:rsidRPr="00803973">
        <w:rPr>
          <w:rFonts w:ascii="Palatino Linotype" w:eastAsia="Calibri" w:hAnsi="Palatino Linotype" w:cs="Calibri"/>
          <w:sz w:val="22"/>
        </w:rPr>
        <w:t>, investor</w:t>
      </w:r>
      <w:r w:rsidR="00175474" w:rsidRPr="00803973">
        <w:rPr>
          <w:rFonts w:ascii="Palatino Linotype" w:eastAsia="Calibri" w:hAnsi="Palatino Linotype" w:cs="Calibri"/>
          <w:sz w:val="22"/>
        </w:rPr>
        <w:t>s</w:t>
      </w:r>
      <w:r w:rsidRPr="00803973">
        <w:rPr>
          <w:rFonts w:ascii="Palatino Linotype" w:eastAsia="Calibri" w:hAnsi="Palatino Linotype" w:cs="Calibri"/>
          <w:sz w:val="22"/>
        </w:rPr>
        <w:t xml:space="preserve"> or landlord</w:t>
      </w:r>
      <w:r w:rsidR="00175474" w:rsidRPr="00803973">
        <w:rPr>
          <w:rFonts w:ascii="Palatino Linotype" w:eastAsia="Calibri" w:hAnsi="Palatino Linotype" w:cs="Calibri"/>
          <w:sz w:val="22"/>
        </w:rPr>
        <w:t>s</w:t>
      </w:r>
      <w:r w:rsidRPr="00803973">
        <w:rPr>
          <w:rFonts w:ascii="Palatino Linotype" w:eastAsia="Calibri" w:hAnsi="Palatino Linotype" w:cs="Calibri"/>
          <w:sz w:val="22"/>
        </w:rPr>
        <w:t xml:space="preserve"> which would help build understanding of the micro foundations of housing supply.  </w:t>
      </w:r>
    </w:p>
    <w:p w:rsidR="00C22ABA" w:rsidRPr="00803973" w:rsidRDefault="009063CD">
      <w:pPr>
        <w:spacing w:after="120" w:line="276" w:lineRule="auto"/>
        <w:jc w:val="left"/>
        <w:rPr>
          <w:rFonts w:ascii="Palatino Linotype" w:eastAsia="Calibri" w:hAnsi="Palatino Linotype" w:cs="Calibri"/>
          <w:sz w:val="22"/>
        </w:rPr>
      </w:pPr>
      <w:r w:rsidRPr="00803973">
        <w:rPr>
          <w:rFonts w:ascii="Palatino Linotype" w:eastAsia="Calibri" w:hAnsi="Palatino Linotype" w:cs="Calibri"/>
          <w:sz w:val="22"/>
        </w:rPr>
        <w:t xml:space="preserve">     Shanghai is an economic powerhouse for China and its hous</w:t>
      </w:r>
      <w:r w:rsidR="000F0C68" w:rsidRPr="00803973">
        <w:rPr>
          <w:rFonts w:ascii="Palatino Linotype" w:eastAsia="Calibri" w:hAnsi="Palatino Linotype" w:cs="Calibri"/>
          <w:sz w:val="22"/>
        </w:rPr>
        <w:t>ing market has widespread impacts</w:t>
      </w:r>
      <w:r w:rsidRPr="00803973">
        <w:rPr>
          <w:rFonts w:ascii="Palatino Linotype" w:eastAsia="Calibri" w:hAnsi="Palatino Linotype" w:cs="Calibri"/>
          <w:sz w:val="22"/>
        </w:rPr>
        <w:t xml:space="preserve"> on the local economy. Since early 2000s, Shanghai has witnessed such a tremendous housing price hike that it threatens the stability and sustainability of the market. One of the primary causes of higher pricing is a shortage of supply. To remedy this problem, </w:t>
      </w:r>
      <w:r w:rsidR="00175474" w:rsidRPr="00803973">
        <w:rPr>
          <w:rFonts w:ascii="Palatino Linotype" w:eastAsia="Calibri" w:hAnsi="Palatino Linotype" w:cs="Calibri"/>
          <w:sz w:val="22"/>
        </w:rPr>
        <w:t>the maximum quantity of housing must be built, the development process facilitated and a</w:t>
      </w:r>
      <w:r w:rsidR="00733FEC" w:rsidRPr="00803973">
        <w:rPr>
          <w:rFonts w:ascii="Palatino Linotype" w:eastAsia="Calibri" w:hAnsi="Palatino Linotype" w:cs="Calibri"/>
          <w:sz w:val="22"/>
        </w:rPr>
        <w:t>dvances made to</w:t>
      </w:r>
      <w:r w:rsidR="00175474" w:rsidRPr="00803973">
        <w:rPr>
          <w:rFonts w:ascii="Palatino Linotype" w:eastAsia="Calibri" w:hAnsi="Palatino Linotype" w:cs="Calibri"/>
          <w:sz w:val="22"/>
        </w:rPr>
        <w:t xml:space="preserve"> improve</w:t>
      </w:r>
      <w:r w:rsidR="009E667D" w:rsidRPr="00803973">
        <w:rPr>
          <w:rFonts w:ascii="Palatino Linotype" w:eastAsia="Calibri" w:hAnsi="Palatino Linotype" w:cs="Calibri"/>
          <w:sz w:val="22"/>
        </w:rPr>
        <w:t xml:space="preserve"> efficiencies in the </w:t>
      </w:r>
      <w:r w:rsidR="00175474" w:rsidRPr="00803973">
        <w:rPr>
          <w:rFonts w:ascii="Palatino Linotype" w:eastAsia="Calibri" w:hAnsi="Palatino Linotype" w:cs="Calibri"/>
          <w:sz w:val="22"/>
        </w:rPr>
        <w:t>supply chain.</w:t>
      </w:r>
    </w:p>
    <w:p w:rsidR="00382ADF" w:rsidRPr="00803973" w:rsidRDefault="00301230" w:rsidP="00803973">
      <w:pPr>
        <w:spacing w:after="120" w:line="276" w:lineRule="auto"/>
        <w:ind w:firstLineChars="100" w:firstLine="220"/>
        <w:jc w:val="left"/>
        <w:rPr>
          <w:rFonts w:ascii="Palatino Linotype" w:eastAsia="Calibri" w:hAnsi="Palatino Linotype" w:cs="Calibri"/>
          <w:sz w:val="22"/>
        </w:rPr>
      </w:pPr>
      <w:r w:rsidRPr="00803973">
        <w:rPr>
          <w:rFonts w:ascii="Palatino Linotype" w:eastAsia="Calibri" w:hAnsi="Palatino Linotype" w:cs="Calibri"/>
          <w:sz w:val="22"/>
        </w:rPr>
        <w:t>This study concerns about</w:t>
      </w:r>
      <w:r w:rsidR="00C22ABA" w:rsidRPr="00803973">
        <w:rPr>
          <w:rFonts w:ascii="Palatino Linotype" w:eastAsia="Calibri" w:hAnsi="Palatino Linotype" w:cs="Calibri"/>
          <w:sz w:val="22"/>
        </w:rPr>
        <w:t xml:space="preserve"> the effectiveness of Shanghai housing</w:t>
      </w:r>
      <w:r w:rsidR="004B41C9" w:rsidRPr="00803973">
        <w:rPr>
          <w:rFonts w:ascii="Palatino Linotype" w:eastAsia="Calibri" w:hAnsi="Palatino Linotype" w:cs="Calibri"/>
          <w:sz w:val="22"/>
        </w:rPr>
        <w:t xml:space="preserve"> supply</w:t>
      </w:r>
      <w:r w:rsidR="00C22ABA" w:rsidRPr="00803973">
        <w:rPr>
          <w:rFonts w:ascii="Palatino Linotype" w:eastAsia="Calibri" w:hAnsi="Palatino Linotype" w:cs="Calibri"/>
          <w:sz w:val="22"/>
        </w:rPr>
        <w:t xml:space="preserve"> in terms of spatial location and housing type. </w:t>
      </w:r>
      <w:r w:rsidR="009063CD" w:rsidRPr="00803973">
        <w:rPr>
          <w:rFonts w:ascii="Palatino Linotype" w:eastAsia="Calibri" w:hAnsi="Palatino Linotype" w:cs="Calibri"/>
          <w:sz w:val="22"/>
        </w:rPr>
        <w:t xml:space="preserve"> </w:t>
      </w:r>
      <w:r w:rsidR="00C22ABA" w:rsidRPr="00803973">
        <w:rPr>
          <w:rFonts w:ascii="Palatino Linotype" w:eastAsia="Calibri" w:hAnsi="Palatino Linotype" w:cs="Calibri"/>
          <w:sz w:val="22"/>
        </w:rPr>
        <w:t>The second s</w:t>
      </w:r>
      <w:r w:rsidR="009063CD" w:rsidRPr="00803973">
        <w:rPr>
          <w:rFonts w:ascii="Palatino Linotype" w:eastAsia="Calibri" w:hAnsi="Palatino Linotype" w:cs="Calibri"/>
          <w:sz w:val="22"/>
        </w:rPr>
        <w:t xml:space="preserve">ection comprises </w:t>
      </w:r>
      <w:r w:rsidR="00C22ABA" w:rsidRPr="00803973">
        <w:rPr>
          <w:rFonts w:ascii="Palatino Linotype" w:eastAsia="Calibri" w:hAnsi="Palatino Linotype" w:cs="Calibri"/>
          <w:sz w:val="22"/>
        </w:rPr>
        <w:t>the</w:t>
      </w:r>
      <w:r w:rsidR="009063CD" w:rsidRPr="00803973">
        <w:rPr>
          <w:rFonts w:ascii="Palatino Linotype" w:eastAsia="Calibri" w:hAnsi="Palatino Linotype" w:cs="Calibri"/>
          <w:sz w:val="22"/>
        </w:rPr>
        <w:t xml:space="preserve"> literature review, section three the data, section f</w:t>
      </w:r>
      <w:r w:rsidR="003E48ED" w:rsidRPr="00803973">
        <w:rPr>
          <w:rFonts w:ascii="Palatino Linotype" w:eastAsia="Calibri" w:hAnsi="Palatino Linotype" w:cs="Calibri"/>
          <w:sz w:val="22"/>
        </w:rPr>
        <w:t>our</w:t>
      </w:r>
      <w:r w:rsidR="009063CD" w:rsidRPr="00803973">
        <w:rPr>
          <w:rFonts w:ascii="Palatino Linotype" w:eastAsia="Calibri" w:hAnsi="Palatino Linotype" w:cs="Calibri"/>
          <w:sz w:val="22"/>
        </w:rPr>
        <w:t xml:space="preserve"> the analysis and the final section addresses conclusions to this study.</w:t>
      </w:r>
    </w:p>
    <w:p w:rsidR="00382ADF" w:rsidRPr="00803973" w:rsidRDefault="00382ADF">
      <w:pPr>
        <w:spacing w:after="120" w:line="276" w:lineRule="auto"/>
        <w:jc w:val="left"/>
        <w:rPr>
          <w:rFonts w:ascii="Palatino Linotype" w:eastAsia="Calibri" w:hAnsi="Palatino Linotype" w:cs="Calibri"/>
          <w:sz w:val="22"/>
        </w:rPr>
      </w:pPr>
    </w:p>
    <w:p w:rsidR="00382ADF" w:rsidRPr="00803973" w:rsidRDefault="00B71D91">
      <w:pPr>
        <w:spacing w:after="120" w:line="276" w:lineRule="auto"/>
        <w:jc w:val="left"/>
        <w:rPr>
          <w:rFonts w:ascii="Palatino Linotype" w:eastAsia="Calibri" w:hAnsi="Palatino Linotype" w:cs="Calibri"/>
          <w:b/>
          <w:sz w:val="22"/>
        </w:rPr>
      </w:pPr>
      <w:r>
        <w:rPr>
          <w:rFonts w:ascii="Palatino Linotype" w:eastAsia="Calibri" w:hAnsi="Palatino Linotype" w:cs="Calibri"/>
          <w:b/>
          <w:sz w:val="22"/>
        </w:rPr>
        <w:t>Literature</w:t>
      </w:r>
      <w:r w:rsidRPr="00803973">
        <w:rPr>
          <w:rFonts w:ascii="Palatino Linotype" w:eastAsia="Calibri" w:hAnsi="Palatino Linotype" w:cs="Calibri"/>
          <w:b/>
          <w:sz w:val="22"/>
        </w:rPr>
        <w:t xml:space="preserve"> </w:t>
      </w:r>
      <w:r w:rsidR="009063CD" w:rsidRPr="00803973">
        <w:rPr>
          <w:rFonts w:ascii="Palatino Linotype" w:eastAsia="Calibri" w:hAnsi="Palatino Linotype" w:cs="Calibri"/>
          <w:b/>
          <w:sz w:val="22"/>
        </w:rPr>
        <w:t>review</w:t>
      </w:r>
      <w:r>
        <w:rPr>
          <w:rFonts w:ascii="Palatino Linotype" w:eastAsia="Calibri" w:hAnsi="Palatino Linotype" w:cs="Calibri"/>
          <w:b/>
          <w:sz w:val="22"/>
        </w:rPr>
        <w:t xml:space="preserve"> </w:t>
      </w:r>
    </w:p>
    <w:p w:rsidR="00382ADF" w:rsidRPr="00803973" w:rsidRDefault="00BA1C85">
      <w:pPr>
        <w:spacing w:after="120" w:line="276" w:lineRule="auto"/>
        <w:jc w:val="left"/>
        <w:rPr>
          <w:rFonts w:ascii="Palatino Linotype" w:eastAsia="Calibri" w:hAnsi="Palatino Linotype" w:cs="Calibri"/>
          <w:sz w:val="22"/>
        </w:rPr>
      </w:pPr>
      <w:r w:rsidRPr="00803973">
        <w:rPr>
          <w:rFonts w:ascii="Palatino Linotype" w:eastAsia="Calibri" w:hAnsi="Palatino Linotype" w:cs="Calibri"/>
          <w:sz w:val="22"/>
        </w:rPr>
        <w:t xml:space="preserve">A considerable amount of literature </w:t>
      </w:r>
      <w:r w:rsidR="00560D7E" w:rsidRPr="00803973">
        <w:rPr>
          <w:rFonts w:ascii="Palatino Linotype" w:eastAsia="Calibri" w:hAnsi="Palatino Linotype" w:cs="Calibri"/>
          <w:sz w:val="22"/>
        </w:rPr>
        <w:t xml:space="preserve">concerning housing </w:t>
      </w:r>
      <w:r w:rsidR="00C22ABA" w:rsidRPr="00803973">
        <w:rPr>
          <w:rFonts w:ascii="Palatino Linotype" w:eastAsia="Calibri" w:hAnsi="Palatino Linotype" w:cs="Calibri"/>
          <w:sz w:val="22"/>
        </w:rPr>
        <w:t>supply focuses</w:t>
      </w:r>
      <w:r w:rsidR="006A0793" w:rsidRPr="00803973">
        <w:rPr>
          <w:rFonts w:ascii="Palatino Linotype" w:eastAsia="Calibri" w:hAnsi="Palatino Linotype" w:cs="Calibri"/>
          <w:sz w:val="22"/>
        </w:rPr>
        <w:t xml:space="preserve"> on</w:t>
      </w:r>
      <w:r w:rsidRPr="00803973">
        <w:rPr>
          <w:rFonts w:ascii="Palatino Linotype" w:eastAsia="Calibri" w:hAnsi="Palatino Linotype" w:cs="Calibri"/>
          <w:sz w:val="22"/>
        </w:rPr>
        <w:t xml:space="preserve"> t</w:t>
      </w:r>
      <w:r w:rsidR="009063CD" w:rsidRPr="00803973">
        <w:rPr>
          <w:rFonts w:ascii="Palatino Linotype" w:eastAsia="Calibri" w:hAnsi="Palatino Linotype" w:cs="Calibri"/>
          <w:sz w:val="22"/>
        </w:rPr>
        <w:t>h</w:t>
      </w:r>
      <w:bookmarkStart w:id="1" w:name="a"/>
      <w:bookmarkEnd w:id="1"/>
      <w:r w:rsidR="00A92694" w:rsidRPr="00803973">
        <w:rPr>
          <w:rFonts w:ascii="Palatino Linotype" w:eastAsia="Calibri" w:hAnsi="Palatino Linotype" w:cs="Calibri"/>
          <w:sz w:val="22"/>
        </w:rPr>
        <w:t xml:space="preserve">e </w:t>
      </w:r>
      <w:r w:rsidR="009063CD" w:rsidRPr="00803973">
        <w:rPr>
          <w:rFonts w:ascii="Palatino Linotype" w:eastAsia="Calibri" w:hAnsi="Palatino Linotype" w:cs="Calibri"/>
          <w:sz w:val="22"/>
        </w:rPr>
        <w:t>de</w:t>
      </w:r>
      <w:r w:rsidR="00A92694" w:rsidRPr="00803973">
        <w:rPr>
          <w:rFonts w:ascii="Palatino Linotype" w:eastAsia="Calibri" w:hAnsi="Palatino Linotype" w:cs="Calibri"/>
          <w:sz w:val="22"/>
        </w:rPr>
        <w:t>t</w:t>
      </w:r>
      <w:r w:rsidRPr="00803973">
        <w:rPr>
          <w:rFonts w:ascii="Palatino Linotype" w:eastAsia="Calibri" w:hAnsi="Palatino Linotype" w:cs="Calibri"/>
          <w:sz w:val="22"/>
        </w:rPr>
        <w:t>erminants of</w:t>
      </w:r>
      <w:r w:rsidR="00560D7E" w:rsidRPr="00803973">
        <w:rPr>
          <w:rFonts w:ascii="Palatino Linotype" w:eastAsia="Calibri" w:hAnsi="Palatino Linotype" w:cs="Calibri"/>
          <w:sz w:val="22"/>
        </w:rPr>
        <w:t xml:space="preserve"> </w:t>
      </w:r>
      <w:r w:rsidR="006A0793" w:rsidRPr="00803973">
        <w:rPr>
          <w:rFonts w:ascii="Palatino Linotype" w:eastAsia="Calibri" w:hAnsi="Palatino Linotype" w:cs="Calibri"/>
          <w:sz w:val="22"/>
        </w:rPr>
        <w:t>supply</w:t>
      </w:r>
      <w:r w:rsidR="009063CD" w:rsidRPr="00803973">
        <w:rPr>
          <w:rFonts w:ascii="Palatino Linotype" w:eastAsia="Calibri" w:hAnsi="Palatino Linotype" w:cs="Calibri"/>
          <w:sz w:val="22"/>
        </w:rPr>
        <w:t xml:space="preserve"> with particular attention paid to </w:t>
      </w:r>
      <w:r w:rsidR="00A92694" w:rsidRPr="00803973">
        <w:rPr>
          <w:rFonts w:ascii="Palatino Linotype" w:eastAsia="Calibri" w:hAnsi="Palatino Linotype" w:cs="Calibri"/>
          <w:sz w:val="22"/>
        </w:rPr>
        <w:t xml:space="preserve">the factor of </w:t>
      </w:r>
      <w:r w:rsidR="009063CD" w:rsidRPr="00803973">
        <w:rPr>
          <w:rFonts w:ascii="Palatino Linotype" w:eastAsia="Calibri" w:hAnsi="Palatino Linotype" w:cs="Calibri"/>
          <w:sz w:val="22"/>
        </w:rPr>
        <w:t xml:space="preserve">housing price. A number of scholars, including Vries and Boelhouwer (2005), investigate the relationships from the angle of market equilibrium. However, </w:t>
      </w:r>
      <w:r w:rsidR="00C22ABA" w:rsidRPr="00803973">
        <w:rPr>
          <w:rFonts w:ascii="Palatino Linotype" w:eastAsia="Calibri" w:hAnsi="Palatino Linotype" w:cs="Calibri"/>
          <w:sz w:val="22"/>
        </w:rPr>
        <w:t xml:space="preserve">most </w:t>
      </w:r>
      <w:r w:rsidR="009063CD" w:rsidRPr="00803973">
        <w:rPr>
          <w:rFonts w:ascii="Palatino Linotype" w:eastAsia="Calibri" w:hAnsi="Palatino Linotype" w:cs="Calibri"/>
          <w:sz w:val="22"/>
        </w:rPr>
        <w:t xml:space="preserve">researchers </w:t>
      </w:r>
      <w:r w:rsidR="00C22ABA" w:rsidRPr="00803973">
        <w:rPr>
          <w:rFonts w:ascii="Palatino Linotype" w:eastAsia="Calibri" w:hAnsi="Palatino Linotype" w:cs="Calibri"/>
          <w:sz w:val="22"/>
        </w:rPr>
        <w:t>use</w:t>
      </w:r>
      <w:r w:rsidR="009063CD" w:rsidRPr="00803973">
        <w:rPr>
          <w:rFonts w:ascii="Palatino Linotype" w:eastAsia="Calibri" w:hAnsi="Palatino Linotype" w:cs="Calibri"/>
          <w:sz w:val="22"/>
        </w:rPr>
        <w:t xml:space="preserve"> regression methods and/or reduced form models to analy</w:t>
      </w:r>
      <w:r w:rsidR="007245E1" w:rsidRPr="00803973">
        <w:rPr>
          <w:rFonts w:ascii="Palatino Linotype" w:eastAsia="Calibri" w:hAnsi="Palatino Linotype" w:cs="Calibri"/>
          <w:sz w:val="22"/>
        </w:rPr>
        <w:t>z</w:t>
      </w:r>
      <w:r w:rsidR="009063CD" w:rsidRPr="00803973">
        <w:rPr>
          <w:rFonts w:ascii="Palatino Linotype" w:eastAsia="Calibri" w:hAnsi="Palatino Linotype" w:cs="Calibri"/>
          <w:sz w:val="22"/>
        </w:rPr>
        <w:t xml:space="preserve">e how housing supply responds to housing price. This is in fact the price elasticity of housing supply. </w:t>
      </w:r>
    </w:p>
    <w:p w:rsidR="00B71D91" w:rsidRDefault="00C22ABA">
      <w:pPr>
        <w:spacing w:after="120" w:line="276" w:lineRule="auto"/>
        <w:jc w:val="left"/>
        <w:rPr>
          <w:rFonts w:ascii="Palatino Linotype" w:eastAsia="Calibri" w:hAnsi="Palatino Linotype" w:cs="Calibri"/>
          <w:sz w:val="22"/>
        </w:rPr>
      </w:pPr>
      <w:r w:rsidRPr="00803973">
        <w:rPr>
          <w:rFonts w:ascii="Palatino Linotype" w:eastAsia="Calibri" w:hAnsi="Palatino Linotype" w:cs="Calibri"/>
          <w:sz w:val="22"/>
        </w:rPr>
        <w:t xml:space="preserve">     A</w:t>
      </w:r>
      <w:r w:rsidR="00D97A07" w:rsidRPr="00803973">
        <w:rPr>
          <w:rFonts w:ascii="Palatino Linotype" w:eastAsia="Calibri" w:hAnsi="Palatino Linotype" w:cs="Calibri"/>
          <w:sz w:val="22"/>
        </w:rPr>
        <w:t>n</w:t>
      </w:r>
      <w:r w:rsidR="009063CD" w:rsidRPr="00803973">
        <w:rPr>
          <w:rFonts w:ascii="Palatino Linotype" w:eastAsia="Calibri" w:hAnsi="Palatino Linotype" w:cs="Calibri"/>
          <w:sz w:val="22"/>
        </w:rPr>
        <w:t xml:space="preserve"> array of elasticities ha</w:t>
      </w:r>
      <w:r w:rsidR="00D97A07" w:rsidRPr="00803973">
        <w:rPr>
          <w:rFonts w:ascii="Palatino Linotype" w:eastAsia="Calibri" w:hAnsi="Palatino Linotype" w:cs="Calibri"/>
          <w:sz w:val="22"/>
        </w:rPr>
        <w:t>ve</w:t>
      </w:r>
      <w:r w:rsidR="009063CD" w:rsidRPr="00803973">
        <w:rPr>
          <w:rFonts w:ascii="Palatino Linotype" w:eastAsia="Calibri" w:hAnsi="Palatino Linotype" w:cs="Calibri"/>
          <w:sz w:val="22"/>
        </w:rPr>
        <w:t xml:space="preserve"> been produced by researchers. Peng and Wheaton (1994) report a price elasticity of 1.1 in Hong Kong. Blackley (1999) states that long-run elasticities range from 1.6 to 3.7 for new housing supply in the US. After comparing two periods of time - boom year (1988) and slump year (1992), Pryce (1999) finds that the average price elasticities of housing supply are 0.58 (boom) and 1.03 (slump)</w:t>
      </w:r>
      <w:r w:rsidR="004B41C9" w:rsidRPr="00803973">
        <w:rPr>
          <w:rFonts w:ascii="Palatino Linotype" w:eastAsia="Calibri" w:hAnsi="Palatino Linotype" w:cs="Calibri"/>
          <w:sz w:val="22"/>
        </w:rPr>
        <w:t xml:space="preserve"> in the UK</w:t>
      </w:r>
      <w:r w:rsidR="009063CD" w:rsidRPr="00803973">
        <w:rPr>
          <w:rFonts w:ascii="Palatino Linotype" w:eastAsia="Calibri" w:hAnsi="Palatino Linotype" w:cs="Calibri"/>
          <w:sz w:val="22"/>
        </w:rPr>
        <w:t xml:space="preserve">. A fairly moderate elasticity of 0.08 is suggested by Mayer and </w:t>
      </w:r>
      <w:r w:rsidR="009063CD" w:rsidRPr="00803973">
        <w:rPr>
          <w:rFonts w:ascii="Palatino Linotype" w:eastAsia="Calibri" w:hAnsi="Palatino Linotype" w:cs="Calibri"/>
          <w:sz w:val="22"/>
        </w:rPr>
        <w:lastRenderedPageBreak/>
        <w:t>Somerville (2000)</w:t>
      </w:r>
      <w:r w:rsidR="00393938" w:rsidRPr="00803973">
        <w:rPr>
          <w:rFonts w:ascii="Palatino Linotype" w:eastAsia="Calibri" w:hAnsi="Palatino Linotype" w:cs="Calibri"/>
          <w:sz w:val="22"/>
        </w:rPr>
        <w:t xml:space="preserve"> in the US</w:t>
      </w:r>
      <w:r w:rsidR="009063CD" w:rsidRPr="00803973">
        <w:rPr>
          <w:rFonts w:ascii="Palatino Linotype" w:eastAsia="Calibri" w:hAnsi="Palatino Linotype" w:cs="Calibri"/>
          <w:sz w:val="22"/>
        </w:rPr>
        <w:t>. Using flow models, Malpezzi and Maclennan (2001) find that the implied price elasticity in the pre</w:t>
      </w:r>
      <w:r w:rsidR="006A0793" w:rsidRPr="00803973">
        <w:rPr>
          <w:rFonts w:ascii="Palatino Linotype" w:eastAsia="Calibri" w:hAnsi="Palatino Linotype" w:cs="Calibri"/>
          <w:sz w:val="22"/>
        </w:rPr>
        <w:t>-WW2</w:t>
      </w:r>
      <w:r w:rsidR="009063CD" w:rsidRPr="00803973">
        <w:rPr>
          <w:rFonts w:ascii="Palatino Linotype" w:eastAsia="Calibri" w:hAnsi="Palatino Linotype" w:cs="Calibri"/>
          <w:sz w:val="22"/>
        </w:rPr>
        <w:t xml:space="preserve"> US is between 4 and 10 and</w:t>
      </w:r>
      <w:r w:rsidR="006A0793" w:rsidRPr="00803973">
        <w:rPr>
          <w:rFonts w:ascii="Palatino Linotype" w:eastAsia="Calibri" w:hAnsi="Palatino Linotype" w:cs="Calibri"/>
          <w:sz w:val="22"/>
        </w:rPr>
        <w:t xml:space="preserve"> between 6 and 13 in the post-WW2</w:t>
      </w:r>
      <w:r w:rsidR="009063CD" w:rsidRPr="00803973">
        <w:rPr>
          <w:rFonts w:ascii="Palatino Linotype" w:eastAsia="Calibri" w:hAnsi="Palatino Linotype" w:cs="Calibri"/>
          <w:sz w:val="22"/>
        </w:rPr>
        <w:t>, while the implied price elasticity in the pre</w:t>
      </w:r>
      <w:r w:rsidR="006A0793" w:rsidRPr="00803973">
        <w:rPr>
          <w:rFonts w:ascii="Palatino Linotype" w:eastAsia="Calibri" w:hAnsi="Palatino Linotype" w:cs="Calibri"/>
          <w:sz w:val="22"/>
        </w:rPr>
        <w:t>-WW2</w:t>
      </w:r>
      <w:r w:rsidR="009063CD" w:rsidRPr="00803973">
        <w:rPr>
          <w:rFonts w:ascii="Palatino Linotype" w:eastAsia="Calibri" w:hAnsi="Palatino Linotype" w:cs="Calibri"/>
          <w:sz w:val="22"/>
        </w:rPr>
        <w:t xml:space="preserve"> UK is between 1 and 4 an</w:t>
      </w:r>
      <w:r w:rsidR="006A0793" w:rsidRPr="00803973">
        <w:rPr>
          <w:rFonts w:ascii="Palatino Linotype" w:eastAsia="Calibri" w:hAnsi="Palatino Linotype" w:cs="Calibri"/>
          <w:sz w:val="22"/>
        </w:rPr>
        <w:t>d between 0 and 1 in the post-WW2</w:t>
      </w:r>
      <w:r w:rsidR="009063CD" w:rsidRPr="00803973">
        <w:rPr>
          <w:rFonts w:ascii="Palatino Linotype" w:eastAsia="Calibri" w:hAnsi="Palatino Linotype" w:cs="Calibri"/>
          <w:sz w:val="22"/>
        </w:rPr>
        <w:t xml:space="preserve">. White and Allmendinger (2003) also compare UK with USA and suggest a value for the long-run elasticity between 0 to 1 in the UK and 6 to 13 in the US. Price elasticities vary substantially from place to place with the lowest of -0.3 and the highest of 29.9 (Green, 2005). A further range of elasticities from -1.37 to 2.98 are presented by </w:t>
      </w:r>
      <w:r w:rsidR="009063CD" w:rsidRPr="00803973">
        <w:rPr>
          <w:rFonts w:ascii="Palatino Linotype" w:eastAsia="Times New Roman" w:hAnsi="Palatino Linotype" w:cs="Times New Roman"/>
          <w:sz w:val="22"/>
        </w:rPr>
        <w:t xml:space="preserve">Goodman and Thibodeau (2008) after examining 133 U.S. MSAs. </w:t>
      </w:r>
      <w:r w:rsidR="009063CD" w:rsidRPr="00803973">
        <w:rPr>
          <w:rFonts w:ascii="Palatino Linotype" w:eastAsia="Calibri" w:hAnsi="Palatino Linotype" w:cs="Calibri"/>
          <w:sz w:val="22"/>
        </w:rPr>
        <w:t>Ball (2010) demonstrates that price elasticities of supply are different at international, national, local and firm level. This claim is buttressed by Caldera Sá</w:t>
      </w:r>
      <w:r w:rsidR="006A0793" w:rsidRPr="00803973">
        <w:rPr>
          <w:rFonts w:ascii="Palatino Linotype" w:eastAsia="Calibri" w:hAnsi="Palatino Linotype" w:cs="Calibri"/>
          <w:sz w:val="22"/>
        </w:rPr>
        <w:t>nchez and Johansson (2011) who</w:t>
      </w:r>
      <w:r w:rsidR="009063CD" w:rsidRPr="00803973">
        <w:rPr>
          <w:rFonts w:ascii="Palatino Linotype" w:eastAsia="Calibri" w:hAnsi="Palatino Linotype" w:cs="Calibri"/>
          <w:sz w:val="22"/>
        </w:rPr>
        <w:t xml:space="preserve"> find that price elasticities vary substantially among 21 OECD countries with the lowest of 0.186 in the Netherlands and the highest of 2.014 in the USA.  </w:t>
      </w:r>
      <w:r w:rsidR="009063CD" w:rsidRPr="00B71D91">
        <w:rPr>
          <w:rFonts w:ascii="Palatino Linotype" w:eastAsia="Calibri" w:hAnsi="Palatino Linotype" w:cs="Calibri"/>
          <w:sz w:val="22"/>
        </w:rPr>
        <w:t>Although there is little research completed on the price elasticity of housing supply in China, Wang, et al (2012) conclude that national price elasticity of housing supply is between 2.8 and 5.6 and the elasticities vary from -7.70 to 37.05 for 35 cities (1.52 for Shanghai).</w:t>
      </w:r>
    </w:p>
    <w:p w:rsidR="00382ADF" w:rsidRPr="00803973" w:rsidRDefault="009063CD">
      <w:pPr>
        <w:spacing w:after="120" w:line="276" w:lineRule="auto"/>
        <w:jc w:val="left"/>
        <w:rPr>
          <w:rFonts w:ascii="Palatino Linotype" w:eastAsia="Calibri" w:hAnsi="Palatino Linotype" w:cs="Calibri"/>
          <w:i/>
          <w:sz w:val="22"/>
        </w:rPr>
      </w:pPr>
      <w:r w:rsidRPr="00803973">
        <w:rPr>
          <w:rFonts w:ascii="Palatino Linotype" w:eastAsia="Calibri" w:hAnsi="Palatino Linotype" w:cs="Calibri"/>
          <w:sz w:val="22"/>
        </w:rPr>
        <w:t xml:space="preserve">     Another important factor is construction cost. Despite t</w:t>
      </w:r>
      <w:r w:rsidR="009B1118" w:rsidRPr="00803973">
        <w:rPr>
          <w:rFonts w:ascii="Palatino Linotype" w:eastAsia="Calibri" w:hAnsi="Palatino Linotype" w:cs="Calibri"/>
          <w:sz w:val="22"/>
        </w:rPr>
        <w:t>his major cost, little research has</w:t>
      </w:r>
      <w:r w:rsidRPr="00803973">
        <w:rPr>
          <w:rFonts w:ascii="Palatino Linotype" w:eastAsia="Calibri" w:hAnsi="Palatino Linotype" w:cs="Calibri"/>
          <w:sz w:val="22"/>
        </w:rPr>
        <w:t xml:space="preserve"> been undertaken and no consensus reached. ‘</w:t>
      </w:r>
      <w:r w:rsidRPr="00803973">
        <w:rPr>
          <w:rFonts w:ascii="Palatino Linotype" w:eastAsia="Calibri" w:hAnsi="Palatino Linotype" w:cs="Calibri"/>
          <w:i/>
          <w:sz w:val="22"/>
        </w:rPr>
        <w:t>Theory teaches that increases in the cost of construction should reduce the supply of new construction</w:t>
      </w:r>
      <w:r w:rsidRPr="00803973">
        <w:rPr>
          <w:rFonts w:ascii="Palatino Linotype" w:eastAsia="Calibri" w:hAnsi="Palatino Linotype" w:cs="Calibri"/>
          <w:sz w:val="22"/>
        </w:rPr>
        <w:t>’ (Somerville, 1999). A number of researches, however, offer alternative viewpoints.</w:t>
      </w:r>
    </w:p>
    <w:p w:rsidR="00382ADF" w:rsidRPr="00803973" w:rsidRDefault="009063CD">
      <w:pPr>
        <w:spacing w:after="120" w:line="276" w:lineRule="auto"/>
        <w:ind w:firstLine="360"/>
        <w:jc w:val="left"/>
        <w:rPr>
          <w:rFonts w:ascii="Palatino Linotype" w:eastAsia="Calibri" w:hAnsi="Palatino Linotype" w:cs="Calibri"/>
          <w:sz w:val="22"/>
        </w:rPr>
      </w:pPr>
      <w:r w:rsidRPr="00803973">
        <w:rPr>
          <w:rFonts w:ascii="Palatino Linotype" w:eastAsia="Calibri" w:hAnsi="Palatino Linotype" w:cs="Calibri"/>
          <w:sz w:val="22"/>
        </w:rPr>
        <w:t xml:space="preserve">Follain (1979) presents a positive relationship between construction </w:t>
      </w:r>
      <w:r w:rsidR="00301230" w:rsidRPr="00803973">
        <w:rPr>
          <w:rFonts w:ascii="Palatino Linotype" w:eastAsia="Calibri" w:hAnsi="Palatino Linotype" w:cs="Calibri"/>
          <w:sz w:val="22"/>
        </w:rPr>
        <w:t>labor</w:t>
      </w:r>
      <w:r w:rsidRPr="00803973">
        <w:rPr>
          <w:rFonts w:ascii="Palatino Linotype" w:eastAsia="Calibri" w:hAnsi="Palatino Linotype" w:cs="Calibri"/>
          <w:sz w:val="22"/>
        </w:rPr>
        <w:t xml:space="preserve"> wage and housing starts. This finding is supported by Topel and Rosen (1988). DiPasquale and Wheaton (1994) study the connection between the construction materials index and wage rates, and single family housing starts. The results are inconclusive. </w:t>
      </w:r>
    </w:p>
    <w:p w:rsidR="00382ADF" w:rsidRPr="00803973" w:rsidRDefault="009063CD">
      <w:pPr>
        <w:spacing w:after="120" w:line="276" w:lineRule="auto"/>
        <w:ind w:firstLine="360"/>
        <w:jc w:val="left"/>
        <w:rPr>
          <w:rFonts w:ascii="Palatino Linotype" w:eastAsia="Calibri" w:hAnsi="Palatino Linotype" w:cs="Calibri"/>
          <w:sz w:val="22"/>
        </w:rPr>
      </w:pPr>
      <w:r w:rsidRPr="00803973">
        <w:rPr>
          <w:rFonts w:ascii="Palatino Linotype" w:eastAsia="Calibri" w:hAnsi="Palatino Linotype" w:cs="Calibri"/>
          <w:sz w:val="22"/>
        </w:rPr>
        <w:t xml:space="preserve">By utilizing an entirely new set of micro-data of housing construction costs, Somerville (1999) argues that higher construction costs do reduce residential construction. This argument is upheld by </w:t>
      </w:r>
      <w:r w:rsidRPr="00803973">
        <w:rPr>
          <w:rFonts w:ascii="Palatino Linotype" w:eastAsia="Times New Roman" w:hAnsi="Palatino Linotype" w:cs="Times New Roman"/>
          <w:sz w:val="22"/>
        </w:rPr>
        <w:t xml:space="preserve">Goodman and Thibodeau (2008). </w:t>
      </w:r>
      <w:r w:rsidRPr="00803973">
        <w:rPr>
          <w:rFonts w:ascii="Palatino Linotype" w:eastAsia="Calibri" w:hAnsi="Palatino Linotype" w:cs="Calibri"/>
          <w:sz w:val="22"/>
        </w:rPr>
        <w:t>Somerville (ibid) further asserts that bias in the commercial cost indices used in existing housing supply studies is a likely cause for poor performance estimates of new single-family housing supply.</w:t>
      </w:r>
    </w:p>
    <w:p w:rsidR="00382ADF" w:rsidRPr="00803973" w:rsidRDefault="009063CD">
      <w:pPr>
        <w:spacing w:after="120" w:line="276" w:lineRule="auto"/>
        <w:jc w:val="left"/>
        <w:rPr>
          <w:rFonts w:ascii="Palatino Linotype" w:eastAsia="Calibri" w:hAnsi="Palatino Linotype" w:cs="Calibri"/>
          <w:sz w:val="22"/>
        </w:rPr>
      </w:pPr>
      <w:r w:rsidRPr="00803973">
        <w:rPr>
          <w:rFonts w:ascii="Palatino Linotype" w:eastAsia="Calibri" w:hAnsi="Palatino Linotype" w:cs="Calibri"/>
          <w:sz w:val="22"/>
        </w:rPr>
        <w:t>The factor of land use planning has been explored relatively extensively. However, a significant portion of existing literature dealing with housing focuses on the impact of planning regulations on housing price</w:t>
      </w:r>
      <w:r w:rsidR="00B71D91">
        <w:rPr>
          <w:rFonts w:ascii="Palatino Linotype" w:eastAsia="Calibri" w:hAnsi="Palatino Linotype" w:cs="Calibri"/>
          <w:sz w:val="22"/>
        </w:rPr>
        <w:t>.</w:t>
      </w:r>
      <w:r w:rsidRPr="00803973">
        <w:rPr>
          <w:rFonts w:ascii="Palatino Linotype" w:eastAsia="Calibri" w:hAnsi="Palatino Linotype" w:cs="Calibri"/>
          <w:sz w:val="22"/>
        </w:rPr>
        <w:t xml:space="preserve"> Peng and Wheaton (1994) maintain ‘</w:t>
      </w:r>
      <w:r w:rsidRPr="00803973">
        <w:rPr>
          <w:rFonts w:ascii="Palatino Linotype" w:eastAsia="Calibri" w:hAnsi="Palatino Linotype" w:cs="Calibri"/>
          <w:i/>
          <w:sz w:val="22"/>
        </w:rPr>
        <w:t>restrictive land policies do not curtail housing production in the short run. Rather, higher prices actually temporarily encourage the production of housing units. In the long run, when the market returns to equilibrium, higher housing and land prices encourage the substitution of capital for land and hence raise the density of development</w:t>
      </w:r>
      <w:r w:rsidRPr="00803973">
        <w:rPr>
          <w:rFonts w:ascii="Palatino Linotype" w:eastAsia="Calibri" w:hAnsi="Palatino Linotype" w:cs="Calibri"/>
          <w:sz w:val="22"/>
        </w:rPr>
        <w:t xml:space="preserve">’. This assertion could be </w:t>
      </w:r>
      <w:r w:rsidRPr="00803973">
        <w:rPr>
          <w:rFonts w:ascii="Palatino Linotype" w:eastAsia="Calibri" w:hAnsi="Palatino Linotype" w:cs="Calibri"/>
          <w:sz w:val="22"/>
        </w:rPr>
        <w:lastRenderedPageBreak/>
        <w:t>partially explained by the substitution effect of capital for land in the long-run and by the housebuilder’s practice of ‘land banking’ in the short-run (this practice is discussed in more detail by White, 1986; Tse, 1998; Lai and Wang, 1999). Moreover, ‘planning gain’ and development profit can cause disruption to housing output (Golland and Boelhouwer, 2002).</w:t>
      </w:r>
    </w:p>
    <w:p w:rsidR="00382ADF" w:rsidRPr="00803973" w:rsidRDefault="009063CD">
      <w:pPr>
        <w:spacing w:after="120" w:line="276" w:lineRule="auto"/>
        <w:jc w:val="left"/>
        <w:rPr>
          <w:rFonts w:ascii="Palatino Linotype" w:eastAsia="Calibri" w:hAnsi="Palatino Linotype" w:cs="Calibri"/>
          <w:sz w:val="22"/>
        </w:rPr>
      </w:pPr>
      <w:r w:rsidRPr="00803973">
        <w:rPr>
          <w:rFonts w:ascii="Palatino Linotype" w:eastAsia="Calibri" w:hAnsi="Palatino Linotype" w:cs="Calibri"/>
          <w:sz w:val="22"/>
        </w:rPr>
        <w:t xml:space="preserve">     Nevertheless, ‘a</w:t>
      </w:r>
      <w:r w:rsidRPr="00803973">
        <w:rPr>
          <w:rFonts w:ascii="Palatino Linotype" w:eastAsia="Calibri" w:hAnsi="Palatino Linotype" w:cs="Calibri"/>
          <w:i/>
          <w:sz w:val="22"/>
        </w:rPr>
        <w:t xml:space="preserve"> great number of studies have concluded that land regulations reduce the quantity of housing supply and therefore increase housing prices</w:t>
      </w:r>
      <w:r w:rsidRPr="00803973">
        <w:rPr>
          <w:rFonts w:ascii="Palatino Linotype" w:eastAsia="Calibri" w:hAnsi="Palatino Linotype" w:cs="Calibri"/>
          <w:sz w:val="22"/>
        </w:rPr>
        <w:t>’ (Hui and Soo, 2002). This conclusion is consistent with the findings of Mayo and Sheppard (2001), Ve</w:t>
      </w:r>
      <w:r w:rsidR="00382DE1" w:rsidRPr="00803973">
        <w:rPr>
          <w:rFonts w:ascii="Palatino Linotype" w:eastAsia="Calibri" w:hAnsi="Palatino Linotype" w:cs="Calibri"/>
          <w:sz w:val="22"/>
        </w:rPr>
        <w:t xml:space="preserve">rmeulen and Rouwenda (2007), </w:t>
      </w:r>
      <w:r w:rsidRPr="00803973">
        <w:rPr>
          <w:rFonts w:ascii="Palatino Linotype" w:eastAsia="Calibri" w:hAnsi="Palatino Linotype" w:cs="Calibri"/>
          <w:sz w:val="22"/>
        </w:rPr>
        <w:t>Barker (2008)</w:t>
      </w:r>
      <w:r w:rsidR="00382DE1" w:rsidRPr="00803973">
        <w:rPr>
          <w:rFonts w:ascii="Palatino Linotype" w:eastAsia="Calibri" w:hAnsi="Palatino Linotype" w:cs="Calibri"/>
          <w:sz w:val="22"/>
        </w:rPr>
        <w:t xml:space="preserve"> and Yan, Ge and Wu (2014)</w:t>
      </w:r>
      <w:r w:rsidRPr="00803973">
        <w:rPr>
          <w:rFonts w:ascii="Palatino Linotype" w:eastAsia="Calibri" w:hAnsi="Palatino Linotype" w:cs="Calibri"/>
          <w:sz w:val="22"/>
        </w:rPr>
        <w:t>. Mayer and Somerville (2000) specifically examine</w:t>
      </w:r>
      <w:r w:rsidR="00613082" w:rsidRPr="00803973">
        <w:rPr>
          <w:rFonts w:ascii="Palatino Linotype" w:eastAsia="Calibri" w:hAnsi="Palatino Linotype" w:cs="Calibri"/>
          <w:sz w:val="22"/>
        </w:rPr>
        <w:t xml:space="preserve"> the</w:t>
      </w:r>
      <w:r w:rsidRPr="00803973">
        <w:rPr>
          <w:rFonts w:ascii="Palatino Linotype" w:eastAsia="Calibri" w:hAnsi="Palatino Linotype" w:cs="Calibri"/>
          <w:sz w:val="22"/>
        </w:rPr>
        <w:t xml:space="preserve"> relationship between land use regulation and new residential construction, concluding that ‘</w:t>
      </w:r>
      <w:r w:rsidRPr="00803973">
        <w:rPr>
          <w:rFonts w:ascii="Palatino Linotype" w:eastAsia="Calibri" w:hAnsi="Palatino Linotype" w:cs="Calibri"/>
          <w:i/>
          <w:sz w:val="22"/>
        </w:rPr>
        <w:t>land use regulations have significant effects in lowering the steady-state level of new construction</w:t>
      </w:r>
      <w:r w:rsidRPr="00803973">
        <w:rPr>
          <w:rFonts w:ascii="Palatino Linotype" w:eastAsia="Calibri" w:hAnsi="Palatino Linotype" w:cs="Calibri"/>
          <w:sz w:val="22"/>
        </w:rPr>
        <w:t>’ and that ‘</w:t>
      </w:r>
      <w:r w:rsidRPr="00803973">
        <w:rPr>
          <w:rFonts w:ascii="Palatino Linotype" w:eastAsia="Calibri" w:hAnsi="Palatino Linotype" w:cs="Calibri"/>
          <w:i/>
          <w:sz w:val="22"/>
        </w:rPr>
        <w:t>metropolitan areas with more extensive regulation can have up to 45 percent fewer starts</w:t>
      </w:r>
      <w:r w:rsidRPr="00803973">
        <w:rPr>
          <w:rFonts w:ascii="Palatino Linotype" w:eastAsia="Calibri" w:hAnsi="Palatino Linotype" w:cs="Calibri"/>
          <w:sz w:val="22"/>
        </w:rPr>
        <w:t xml:space="preserve"> ‘. Logically, ‘</w:t>
      </w:r>
      <w:r w:rsidRPr="00803973">
        <w:rPr>
          <w:rFonts w:ascii="Palatino Linotype" w:eastAsia="Calibri" w:hAnsi="Palatino Linotype" w:cs="Calibri"/>
          <w:i/>
          <w:sz w:val="22"/>
        </w:rPr>
        <w:t>housing production can be increased through relaxation of planning control</w:t>
      </w:r>
      <w:r w:rsidRPr="00803973">
        <w:rPr>
          <w:rFonts w:ascii="Palatino Linotype" w:eastAsia="Calibri" w:hAnsi="Palatino Linotype" w:cs="Calibri"/>
          <w:sz w:val="22"/>
        </w:rPr>
        <w:t xml:space="preserve">’ (Hui, 2004).             </w:t>
      </w:r>
    </w:p>
    <w:p w:rsidR="00382ADF" w:rsidRPr="00803973" w:rsidRDefault="009063CD">
      <w:pPr>
        <w:spacing w:after="120" w:line="276" w:lineRule="auto"/>
        <w:ind w:firstLine="360"/>
        <w:jc w:val="left"/>
        <w:rPr>
          <w:rFonts w:ascii="Palatino Linotype" w:eastAsia="Calibri" w:hAnsi="Palatino Linotype" w:cs="Calibri"/>
          <w:sz w:val="22"/>
        </w:rPr>
      </w:pPr>
      <w:r w:rsidRPr="00803973">
        <w:rPr>
          <w:rFonts w:ascii="Palatino Linotype" w:eastAsia="Calibri" w:hAnsi="Palatino Linotype" w:cs="Calibri"/>
          <w:sz w:val="22"/>
        </w:rPr>
        <w:t xml:space="preserve">Pioneering study into how planning conditions under the lease tenure system impact upon housing provision was conducted by Hui and Soo (2002). This study indicates three lease conditions, i.e. the number of units, maximum gross </w:t>
      </w:r>
      <w:r w:rsidR="004102A7">
        <w:rPr>
          <w:rFonts w:ascii="Palatino Linotype" w:eastAsia="Calibri" w:hAnsi="Palatino Linotype" w:cs="Calibri"/>
          <w:sz w:val="22"/>
        </w:rPr>
        <w:t>floor area and number of storeys</w:t>
      </w:r>
      <w:r w:rsidRPr="00803973">
        <w:rPr>
          <w:rFonts w:ascii="Palatino Linotype" w:eastAsia="Calibri" w:hAnsi="Palatino Linotype" w:cs="Calibri"/>
          <w:sz w:val="22"/>
        </w:rPr>
        <w:t xml:space="preserve">, show a strong positive correlation with housing supply. All analysis performed reveal statistically significant results. </w:t>
      </w:r>
    </w:p>
    <w:p w:rsidR="00613082" w:rsidRPr="00803973" w:rsidRDefault="00CE69A4">
      <w:pPr>
        <w:spacing w:after="120" w:line="276" w:lineRule="auto"/>
        <w:ind w:firstLine="360"/>
        <w:jc w:val="left"/>
        <w:rPr>
          <w:rFonts w:ascii="Palatino Linotype" w:eastAsia="Calibri" w:hAnsi="Palatino Linotype" w:cs="Calibri"/>
          <w:sz w:val="22"/>
        </w:rPr>
      </w:pPr>
      <w:r w:rsidRPr="00803973">
        <w:rPr>
          <w:rFonts w:ascii="Palatino Linotype" w:eastAsia="Calibri" w:hAnsi="Palatino Linotype" w:cs="Calibri"/>
          <w:sz w:val="22"/>
        </w:rPr>
        <w:t>The recognition of the impacts of the</w:t>
      </w:r>
      <w:r w:rsidR="00613082" w:rsidRPr="00803973">
        <w:rPr>
          <w:rFonts w:ascii="Palatino Linotype" w:eastAsia="Calibri" w:hAnsi="Palatino Linotype" w:cs="Calibri"/>
          <w:sz w:val="22"/>
        </w:rPr>
        <w:t>se</w:t>
      </w:r>
      <w:r w:rsidRPr="00803973">
        <w:rPr>
          <w:rFonts w:ascii="Palatino Linotype" w:eastAsia="Calibri" w:hAnsi="Palatino Linotype" w:cs="Calibri"/>
          <w:sz w:val="22"/>
        </w:rPr>
        <w:t xml:space="preserve"> </w:t>
      </w:r>
      <w:r w:rsidR="0044217F" w:rsidRPr="00803973">
        <w:rPr>
          <w:rFonts w:ascii="Palatino Linotype" w:eastAsia="Calibri" w:hAnsi="Palatino Linotype" w:cs="Calibri"/>
          <w:sz w:val="22"/>
        </w:rPr>
        <w:t xml:space="preserve">determinants </w:t>
      </w:r>
      <w:r w:rsidR="00613082" w:rsidRPr="00803973">
        <w:rPr>
          <w:rFonts w:ascii="Palatino Linotype" w:eastAsia="Calibri" w:hAnsi="Palatino Linotype" w:cs="Calibri"/>
          <w:sz w:val="22"/>
        </w:rPr>
        <w:t>enables</w:t>
      </w:r>
      <w:r w:rsidR="0044217F" w:rsidRPr="00803973">
        <w:rPr>
          <w:rFonts w:ascii="Palatino Linotype" w:eastAsia="Calibri" w:hAnsi="Palatino Linotype" w:cs="Calibri"/>
          <w:sz w:val="22"/>
        </w:rPr>
        <w:t xml:space="preserve"> </w:t>
      </w:r>
      <w:r w:rsidR="00613082" w:rsidRPr="00803973">
        <w:rPr>
          <w:rFonts w:ascii="Palatino Linotype" w:eastAsia="Calibri" w:hAnsi="Palatino Linotype" w:cs="Calibri"/>
          <w:sz w:val="22"/>
        </w:rPr>
        <w:t xml:space="preserve">a better understanding of </w:t>
      </w:r>
      <w:r w:rsidR="0044217F" w:rsidRPr="00803973">
        <w:rPr>
          <w:rFonts w:ascii="Palatino Linotype" w:eastAsia="Calibri" w:hAnsi="Palatino Linotype" w:cs="Calibri"/>
          <w:sz w:val="22"/>
        </w:rPr>
        <w:t xml:space="preserve">the </w:t>
      </w:r>
      <w:r w:rsidR="00613082" w:rsidRPr="00803973">
        <w:rPr>
          <w:rFonts w:ascii="Palatino Linotype" w:eastAsia="Calibri" w:hAnsi="Palatino Linotype" w:cs="Calibri"/>
          <w:sz w:val="22"/>
        </w:rPr>
        <w:t xml:space="preserve">housing supply </w:t>
      </w:r>
      <w:r w:rsidR="0044217F" w:rsidRPr="00803973">
        <w:rPr>
          <w:rFonts w:ascii="Palatino Linotype" w:eastAsia="Calibri" w:hAnsi="Palatino Linotype" w:cs="Calibri"/>
          <w:sz w:val="22"/>
        </w:rPr>
        <w:t>mechanism</w:t>
      </w:r>
      <w:r w:rsidR="00613082" w:rsidRPr="00803973">
        <w:rPr>
          <w:rFonts w:ascii="Palatino Linotype" w:eastAsia="Calibri" w:hAnsi="Palatino Linotype" w:cs="Calibri"/>
          <w:sz w:val="22"/>
        </w:rPr>
        <w:t>.</w:t>
      </w:r>
      <w:r w:rsidRPr="00803973">
        <w:rPr>
          <w:rFonts w:ascii="Palatino Linotype" w:eastAsia="Calibri" w:hAnsi="Palatino Linotype" w:cs="Calibri"/>
          <w:sz w:val="22"/>
        </w:rPr>
        <w:t xml:space="preserve"> The macr</w:t>
      </w:r>
      <w:r w:rsidR="00770D80" w:rsidRPr="00803973">
        <w:rPr>
          <w:rFonts w:ascii="Palatino Linotype" w:eastAsia="Calibri" w:hAnsi="Palatino Linotype" w:cs="Calibri"/>
          <w:sz w:val="22"/>
        </w:rPr>
        <w:t>o-management of housing supply w</w:t>
      </w:r>
      <w:r w:rsidRPr="00803973">
        <w:rPr>
          <w:rFonts w:ascii="Palatino Linotype" w:eastAsia="Calibri" w:hAnsi="Palatino Linotype" w:cs="Calibri"/>
          <w:sz w:val="22"/>
        </w:rPr>
        <w:t>ould become more effective</w:t>
      </w:r>
      <w:r w:rsidR="00770D80" w:rsidRPr="00803973">
        <w:rPr>
          <w:rFonts w:ascii="Palatino Linotype" w:eastAsia="Calibri" w:hAnsi="Palatino Linotype" w:cs="Calibri"/>
          <w:sz w:val="22"/>
        </w:rPr>
        <w:t xml:space="preserve"> if the optimal location and type of housing </w:t>
      </w:r>
      <w:r w:rsidR="00613082" w:rsidRPr="00803973">
        <w:rPr>
          <w:rFonts w:ascii="Palatino Linotype" w:eastAsia="Calibri" w:hAnsi="Palatino Linotype" w:cs="Calibri"/>
          <w:sz w:val="22"/>
        </w:rPr>
        <w:t>were</w:t>
      </w:r>
      <w:r w:rsidR="00770D80" w:rsidRPr="00803973">
        <w:rPr>
          <w:rFonts w:ascii="Palatino Linotype" w:eastAsia="Calibri" w:hAnsi="Palatino Linotype" w:cs="Calibri"/>
          <w:sz w:val="22"/>
        </w:rPr>
        <w:t xml:space="preserve"> identifi</w:t>
      </w:r>
      <w:r w:rsidR="00613082" w:rsidRPr="00803973">
        <w:rPr>
          <w:rFonts w:ascii="Palatino Linotype" w:eastAsia="Calibri" w:hAnsi="Palatino Linotype" w:cs="Calibri"/>
          <w:sz w:val="22"/>
        </w:rPr>
        <w:t>able</w:t>
      </w:r>
      <w:r w:rsidR="009063CD" w:rsidRPr="00803973">
        <w:rPr>
          <w:rFonts w:ascii="Palatino Linotype" w:eastAsia="Calibri" w:hAnsi="Palatino Linotype" w:cs="Calibri"/>
          <w:sz w:val="22"/>
        </w:rPr>
        <w:t xml:space="preserve">. </w:t>
      </w:r>
      <w:r w:rsidR="0045050A" w:rsidRPr="00803973">
        <w:rPr>
          <w:rFonts w:ascii="Palatino Linotype" w:eastAsia="Calibri" w:hAnsi="Palatino Linotype" w:cs="Calibri"/>
          <w:sz w:val="22"/>
        </w:rPr>
        <w:t>Unfortunately,</w:t>
      </w:r>
      <w:r w:rsidR="00770D80" w:rsidRPr="00803973">
        <w:rPr>
          <w:rFonts w:ascii="Palatino Linotype" w:eastAsia="Calibri" w:hAnsi="Palatino Linotype" w:cs="Calibri"/>
          <w:sz w:val="22"/>
        </w:rPr>
        <w:t xml:space="preserve"> </w:t>
      </w:r>
      <w:r w:rsidR="008B4113" w:rsidRPr="00803973">
        <w:rPr>
          <w:rFonts w:ascii="Palatino Linotype" w:eastAsia="Calibri" w:hAnsi="Palatino Linotype" w:cs="Calibri"/>
          <w:sz w:val="22"/>
        </w:rPr>
        <w:t>af</w:t>
      </w:r>
      <w:r w:rsidR="00613082" w:rsidRPr="00803973">
        <w:rPr>
          <w:rFonts w:ascii="Palatino Linotype" w:eastAsia="Calibri" w:hAnsi="Palatino Linotype" w:cs="Calibri"/>
          <w:sz w:val="22"/>
        </w:rPr>
        <w:t>ter reviewing the literature available, it is concluded</w:t>
      </w:r>
      <w:r w:rsidR="003E0585" w:rsidRPr="00803973">
        <w:rPr>
          <w:rFonts w:ascii="Palatino Linotype" w:eastAsia="Calibri" w:hAnsi="Palatino Linotype" w:cs="Calibri"/>
          <w:sz w:val="22"/>
        </w:rPr>
        <w:t xml:space="preserve"> that</w:t>
      </w:r>
      <w:r w:rsidR="00613082" w:rsidRPr="00803973">
        <w:rPr>
          <w:rFonts w:ascii="Palatino Linotype" w:eastAsia="Calibri" w:hAnsi="Palatino Linotype" w:cs="Calibri"/>
          <w:sz w:val="22"/>
        </w:rPr>
        <w:t xml:space="preserve"> the macro-management of housing supply </w:t>
      </w:r>
      <w:r w:rsidR="008B4113" w:rsidRPr="00803973">
        <w:rPr>
          <w:rFonts w:ascii="Palatino Linotype" w:eastAsia="Calibri" w:hAnsi="Palatino Linotype" w:cs="Calibri"/>
          <w:sz w:val="22"/>
        </w:rPr>
        <w:t xml:space="preserve">in China </w:t>
      </w:r>
      <w:r w:rsidR="00613082" w:rsidRPr="00803973">
        <w:rPr>
          <w:rFonts w:ascii="Palatino Linotype" w:eastAsia="Calibri" w:hAnsi="Palatino Linotype" w:cs="Calibri"/>
          <w:sz w:val="22"/>
        </w:rPr>
        <w:t xml:space="preserve">remains </w:t>
      </w:r>
      <w:r w:rsidR="00D10584" w:rsidRPr="00803973">
        <w:rPr>
          <w:rFonts w:ascii="Palatino Linotype" w:eastAsia="Calibri" w:hAnsi="Palatino Linotype" w:cs="Calibri"/>
          <w:sz w:val="22"/>
        </w:rPr>
        <w:t xml:space="preserve">largely </w:t>
      </w:r>
      <w:r w:rsidR="00613082" w:rsidRPr="00803973">
        <w:rPr>
          <w:rFonts w:ascii="Palatino Linotype" w:eastAsia="Calibri" w:hAnsi="Palatino Linotype" w:cs="Calibri"/>
          <w:sz w:val="22"/>
        </w:rPr>
        <w:t>unexplored by previous researchers.</w:t>
      </w:r>
      <w:r w:rsidR="008B4113" w:rsidRPr="00803973">
        <w:rPr>
          <w:rFonts w:ascii="Palatino Linotype" w:eastAsia="Calibri" w:hAnsi="Palatino Linotype" w:cs="Calibri"/>
          <w:sz w:val="22"/>
        </w:rPr>
        <w:t xml:space="preserve"> Furthermore, due to lack of research the optimum location and housing type within China remains indeterminate.</w:t>
      </w:r>
    </w:p>
    <w:p w:rsidR="00382ADF" w:rsidRPr="00803973" w:rsidRDefault="00382ADF">
      <w:pPr>
        <w:spacing w:after="120" w:line="276" w:lineRule="auto"/>
        <w:ind w:firstLine="360"/>
        <w:jc w:val="left"/>
        <w:rPr>
          <w:rFonts w:ascii="Palatino Linotype" w:eastAsia="Calibri" w:hAnsi="Palatino Linotype" w:cs="Calibri"/>
          <w:sz w:val="22"/>
        </w:rPr>
      </w:pPr>
    </w:p>
    <w:p w:rsidR="00382ADF" w:rsidRPr="00803973" w:rsidRDefault="00B71D91">
      <w:pPr>
        <w:spacing w:after="120" w:line="276" w:lineRule="auto"/>
        <w:jc w:val="left"/>
        <w:rPr>
          <w:rFonts w:ascii="Palatino Linotype" w:eastAsia="Calibri" w:hAnsi="Palatino Linotype" w:cs="Calibri"/>
          <w:b/>
          <w:sz w:val="22"/>
        </w:rPr>
      </w:pPr>
      <w:r>
        <w:rPr>
          <w:rFonts w:ascii="Palatino Linotype" w:eastAsia="Calibri" w:hAnsi="Palatino Linotype" w:cs="Calibri"/>
          <w:b/>
          <w:sz w:val="22"/>
        </w:rPr>
        <w:t>M</w:t>
      </w:r>
      <w:r w:rsidR="004102A7">
        <w:rPr>
          <w:rFonts w:ascii="Palatino Linotype" w:eastAsia="Calibri" w:hAnsi="Palatino Linotype" w:cs="Calibri"/>
          <w:b/>
          <w:sz w:val="22"/>
        </w:rPr>
        <w:t>e</w:t>
      </w:r>
      <w:r>
        <w:rPr>
          <w:rFonts w:ascii="Palatino Linotype" w:eastAsia="Calibri" w:hAnsi="Palatino Linotype" w:cs="Calibri"/>
          <w:b/>
          <w:sz w:val="22"/>
        </w:rPr>
        <w:t>thod</w:t>
      </w:r>
    </w:p>
    <w:p w:rsidR="00382ADF" w:rsidRPr="00803973" w:rsidRDefault="009063CD">
      <w:pPr>
        <w:spacing w:after="120" w:line="276" w:lineRule="auto"/>
        <w:jc w:val="left"/>
        <w:rPr>
          <w:rFonts w:ascii="Palatino Linotype" w:eastAsia="Calibri" w:hAnsi="Palatino Linotype" w:cs="Calibri"/>
          <w:sz w:val="22"/>
        </w:rPr>
      </w:pPr>
      <w:r w:rsidRPr="00803973">
        <w:rPr>
          <w:rFonts w:ascii="Palatino Linotype" w:eastAsia="Calibri" w:hAnsi="Palatino Linotype" w:cs="Calibri"/>
          <w:sz w:val="22"/>
        </w:rPr>
        <w:t>This re</w:t>
      </w:r>
      <w:r w:rsidR="00BE78EE" w:rsidRPr="00803973">
        <w:rPr>
          <w:rFonts w:ascii="Palatino Linotype" w:eastAsia="Calibri" w:hAnsi="Palatino Linotype" w:cs="Calibri"/>
          <w:sz w:val="22"/>
        </w:rPr>
        <w:t>search collected the data of 8</w:t>
      </w:r>
      <w:r w:rsidR="009959B6" w:rsidRPr="00803973">
        <w:rPr>
          <w:rFonts w:ascii="Palatino Linotype" w:eastAsia="Calibri" w:hAnsi="Palatino Linotype" w:cs="Calibri"/>
          <w:sz w:val="22"/>
        </w:rPr>
        <w:t>33</w:t>
      </w:r>
      <w:r w:rsidR="00BE78EE" w:rsidRPr="00803973">
        <w:rPr>
          <w:rFonts w:ascii="Palatino Linotype" w:eastAsia="Calibri" w:hAnsi="Palatino Linotype" w:cs="Calibri"/>
          <w:sz w:val="22"/>
        </w:rPr>
        <w:t xml:space="preserve"> housing projects to analyz</w:t>
      </w:r>
      <w:r w:rsidRPr="00803973">
        <w:rPr>
          <w:rFonts w:ascii="Palatino Linotype" w:eastAsia="Calibri" w:hAnsi="Palatino Linotype" w:cs="Calibri"/>
          <w:sz w:val="22"/>
        </w:rPr>
        <w:t xml:space="preserve">e </w:t>
      </w:r>
      <w:r w:rsidR="00E66DC7" w:rsidRPr="00803973">
        <w:rPr>
          <w:rFonts w:ascii="Palatino Linotype" w:eastAsia="Calibri" w:hAnsi="Palatino Linotype" w:cs="Calibri"/>
          <w:sz w:val="22"/>
        </w:rPr>
        <w:t>effective</w:t>
      </w:r>
      <w:r w:rsidRPr="00803973">
        <w:rPr>
          <w:rFonts w:ascii="Palatino Linotype" w:eastAsia="Calibri" w:hAnsi="Palatino Linotype" w:cs="Calibri"/>
          <w:sz w:val="22"/>
        </w:rPr>
        <w:t xml:space="preserve"> housing supply in Shanghai. The data set comprises both land and property information.</w:t>
      </w:r>
    </w:p>
    <w:p w:rsidR="00382ADF" w:rsidRPr="00803973" w:rsidRDefault="009063CD">
      <w:pPr>
        <w:spacing w:after="120" w:line="276" w:lineRule="auto"/>
        <w:ind w:firstLine="225"/>
        <w:jc w:val="left"/>
        <w:rPr>
          <w:rFonts w:ascii="Palatino Linotype" w:eastAsia="Calibri" w:hAnsi="Palatino Linotype" w:cs="Calibri"/>
          <w:sz w:val="22"/>
        </w:rPr>
      </w:pPr>
      <w:r w:rsidRPr="00803973">
        <w:rPr>
          <w:rFonts w:ascii="Palatino Linotype" w:eastAsia="Calibri" w:hAnsi="Palatino Linotype" w:cs="Calibri"/>
          <w:sz w:val="22"/>
        </w:rPr>
        <w:t xml:space="preserve">   The land market in mainland China adopted a LLTS (Land Lease Tenure System) in 2003 (Qu and Liu, 2012), which </w:t>
      </w:r>
      <w:r w:rsidR="003E0585" w:rsidRPr="00803973">
        <w:rPr>
          <w:rFonts w:ascii="Palatino Linotype" w:eastAsia="Calibri" w:hAnsi="Palatino Linotype" w:cs="Calibri"/>
          <w:sz w:val="22"/>
        </w:rPr>
        <w:t>basically</w:t>
      </w:r>
      <w:r w:rsidRPr="00803973">
        <w:rPr>
          <w:rFonts w:ascii="Palatino Linotype" w:eastAsia="Calibri" w:hAnsi="Palatino Linotype" w:cs="Calibri"/>
          <w:sz w:val="22"/>
        </w:rPr>
        <w:t xml:space="preserve"> evolves from the HK LLTS (the HK system is elaborated by Peng and Wheaton, 1994 and Hui, 2004). Under the Chinese LLTS, all land is </w:t>
      </w:r>
      <w:r w:rsidR="008B4113" w:rsidRPr="00803973">
        <w:rPr>
          <w:rFonts w:ascii="Palatino Linotype" w:eastAsia="Calibri" w:hAnsi="Palatino Linotype" w:cs="Calibri"/>
          <w:sz w:val="22"/>
        </w:rPr>
        <w:t>state-owned with</w:t>
      </w:r>
      <w:r w:rsidRPr="00803973">
        <w:rPr>
          <w:rFonts w:ascii="Palatino Linotype" w:eastAsia="Calibri" w:hAnsi="Palatino Linotype" w:cs="Calibri"/>
          <w:sz w:val="22"/>
        </w:rPr>
        <w:t xml:space="preserve"> no private land ownership permitted. </w:t>
      </w:r>
      <w:r w:rsidR="00AF5738" w:rsidRPr="00803973">
        <w:rPr>
          <w:rFonts w:ascii="Palatino Linotype" w:eastAsia="Calibri" w:hAnsi="Palatino Linotype" w:cs="Calibri"/>
          <w:sz w:val="22"/>
        </w:rPr>
        <w:t>Property developers [</w:t>
      </w:r>
      <w:r w:rsidR="00523A40" w:rsidRPr="00803973">
        <w:rPr>
          <w:rFonts w:ascii="Palatino Linotype" w:eastAsia="Calibri" w:hAnsi="Palatino Linotype" w:cs="Calibri"/>
          <w:sz w:val="22"/>
        </w:rPr>
        <w:t>1</w:t>
      </w:r>
      <w:r w:rsidR="00AF5738" w:rsidRPr="00803973">
        <w:rPr>
          <w:rFonts w:ascii="Palatino Linotype" w:eastAsia="Calibri" w:hAnsi="Palatino Linotype" w:cs="Calibri"/>
          <w:sz w:val="22"/>
        </w:rPr>
        <w:t>] (the les</w:t>
      </w:r>
      <w:r w:rsidRPr="00803973">
        <w:rPr>
          <w:rFonts w:ascii="Palatino Linotype" w:eastAsia="Calibri" w:hAnsi="Palatino Linotype" w:cs="Calibri"/>
          <w:sz w:val="22"/>
        </w:rPr>
        <w:t>see) access the land through competitive means controlled by the go</w:t>
      </w:r>
      <w:r w:rsidR="00AF5738" w:rsidRPr="00803973">
        <w:rPr>
          <w:rFonts w:ascii="Palatino Linotype" w:eastAsia="Calibri" w:hAnsi="Palatino Linotype" w:cs="Calibri"/>
          <w:sz w:val="22"/>
        </w:rPr>
        <w:t>vernment (the lessor</w:t>
      </w:r>
      <w:r w:rsidRPr="00803973">
        <w:rPr>
          <w:rFonts w:ascii="Palatino Linotype" w:eastAsia="Calibri" w:hAnsi="Palatino Linotype" w:cs="Calibri"/>
          <w:sz w:val="22"/>
        </w:rPr>
        <w:t>) and pay to gain the right of using the land for a</w:t>
      </w:r>
      <w:r w:rsidR="008B4113" w:rsidRPr="00803973">
        <w:rPr>
          <w:rFonts w:ascii="Palatino Linotype" w:eastAsia="Calibri" w:hAnsi="Palatino Linotype" w:cs="Calibri"/>
          <w:sz w:val="22"/>
        </w:rPr>
        <w:t xml:space="preserve"> fixed </w:t>
      </w:r>
      <w:r w:rsidR="008B4113" w:rsidRPr="00803973">
        <w:rPr>
          <w:rFonts w:ascii="Palatino Linotype" w:eastAsia="Calibri" w:hAnsi="Palatino Linotype" w:cs="Calibri"/>
          <w:sz w:val="22"/>
        </w:rPr>
        <w:lastRenderedPageBreak/>
        <w:t>time period.</w:t>
      </w:r>
      <w:r w:rsidRPr="00803973">
        <w:rPr>
          <w:rFonts w:ascii="Palatino Linotype" w:eastAsia="Calibri" w:hAnsi="Palatino Linotype" w:cs="Calibri"/>
          <w:sz w:val="22"/>
        </w:rPr>
        <w:t xml:space="preserve"> The maximum lease term for land exclusive to residential use is 70 years [</w:t>
      </w:r>
      <w:r w:rsidR="00523A40" w:rsidRPr="00803973">
        <w:rPr>
          <w:rFonts w:ascii="Palatino Linotype" w:eastAsia="Calibri" w:hAnsi="Palatino Linotype" w:cs="Calibri"/>
          <w:sz w:val="22"/>
        </w:rPr>
        <w:t>2</w:t>
      </w:r>
      <w:r w:rsidRPr="00803973">
        <w:rPr>
          <w:rFonts w:ascii="Palatino Linotype" w:eastAsia="Calibri" w:hAnsi="Palatino Linotype" w:cs="Calibri"/>
          <w:sz w:val="22"/>
        </w:rPr>
        <w:t xml:space="preserve">]. </w:t>
      </w:r>
    </w:p>
    <w:p w:rsidR="00382ADF" w:rsidRPr="00803973" w:rsidRDefault="009063CD">
      <w:pPr>
        <w:spacing w:after="120" w:line="276" w:lineRule="auto"/>
        <w:ind w:firstLine="225"/>
        <w:jc w:val="left"/>
        <w:rPr>
          <w:rFonts w:ascii="Palatino Linotype" w:eastAsia="Calibri" w:hAnsi="Palatino Linotype" w:cs="Calibri"/>
          <w:sz w:val="22"/>
        </w:rPr>
      </w:pPr>
      <w:r w:rsidRPr="00803973">
        <w:rPr>
          <w:rFonts w:ascii="Palatino Linotype" w:eastAsia="Calibri" w:hAnsi="Palatino Linotype" w:cs="Calibri"/>
          <w:sz w:val="22"/>
        </w:rPr>
        <w:t xml:space="preserve">   Once the right to use land is secured, the developer should possess two certificates: </w:t>
      </w:r>
      <w:r w:rsidR="00EC0B6D" w:rsidRPr="00803973">
        <w:rPr>
          <w:rFonts w:ascii="Palatino Linotype" w:eastAsia="Calibri" w:hAnsi="Palatino Linotype" w:cs="Calibri"/>
          <w:sz w:val="22"/>
        </w:rPr>
        <w:t>L</w:t>
      </w:r>
      <w:r w:rsidRPr="00803973">
        <w:rPr>
          <w:rFonts w:ascii="Palatino Linotype" w:eastAsia="Calibri" w:hAnsi="Palatino Linotype" w:cs="Calibri"/>
          <w:sz w:val="22"/>
        </w:rPr>
        <w:t xml:space="preserve">and </w:t>
      </w:r>
      <w:r w:rsidR="00EC0B6D" w:rsidRPr="00803973">
        <w:rPr>
          <w:rFonts w:ascii="Palatino Linotype" w:eastAsia="Calibri" w:hAnsi="Palatino Linotype" w:cs="Calibri"/>
          <w:sz w:val="22"/>
        </w:rPr>
        <w:t>P</w:t>
      </w:r>
      <w:r w:rsidRPr="00803973">
        <w:rPr>
          <w:rFonts w:ascii="Palatino Linotype" w:eastAsia="Calibri" w:hAnsi="Palatino Linotype" w:cs="Calibri"/>
          <w:sz w:val="22"/>
        </w:rPr>
        <w:t xml:space="preserve">lanning </w:t>
      </w:r>
      <w:r w:rsidR="00EC0B6D" w:rsidRPr="00803973">
        <w:rPr>
          <w:rFonts w:ascii="Palatino Linotype" w:eastAsia="Calibri" w:hAnsi="Palatino Linotype" w:cs="Calibri"/>
          <w:sz w:val="22"/>
        </w:rPr>
        <w:t>P</w:t>
      </w:r>
      <w:r w:rsidRPr="00803973">
        <w:rPr>
          <w:rFonts w:ascii="Palatino Linotype" w:eastAsia="Calibri" w:hAnsi="Palatino Linotype" w:cs="Calibri"/>
          <w:sz w:val="22"/>
        </w:rPr>
        <w:t xml:space="preserve">ermit and </w:t>
      </w:r>
      <w:r w:rsidR="00EC0B6D" w:rsidRPr="00803973">
        <w:rPr>
          <w:rFonts w:ascii="Palatino Linotype" w:eastAsia="Calibri" w:hAnsi="Palatino Linotype" w:cs="Calibri"/>
          <w:sz w:val="22"/>
        </w:rPr>
        <w:t>L</w:t>
      </w:r>
      <w:r w:rsidRPr="00803973">
        <w:rPr>
          <w:rFonts w:ascii="Palatino Linotype" w:eastAsia="Calibri" w:hAnsi="Palatino Linotype" w:cs="Calibri"/>
          <w:sz w:val="22"/>
        </w:rPr>
        <w:t xml:space="preserve">and </w:t>
      </w:r>
      <w:r w:rsidR="00EC0B6D" w:rsidRPr="00803973">
        <w:rPr>
          <w:rFonts w:ascii="Palatino Linotype" w:eastAsia="Calibri" w:hAnsi="Palatino Linotype" w:cs="Calibri"/>
          <w:sz w:val="22"/>
        </w:rPr>
        <w:t>U</w:t>
      </w:r>
      <w:r w:rsidRPr="00803973">
        <w:rPr>
          <w:rFonts w:ascii="Palatino Linotype" w:eastAsia="Calibri" w:hAnsi="Palatino Linotype" w:cs="Calibri"/>
          <w:sz w:val="22"/>
        </w:rPr>
        <w:t xml:space="preserve">se </w:t>
      </w:r>
      <w:r w:rsidR="00EC0B6D" w:rsidRPr="00803973">
        <w:rPr>
          <w:rFonts w:ascii="Palatino Linotype" w:eastAsia="Calibri" w:hAnsi="Palatino Linotype" w:cs="Calibri"/>
          <w:sz w:val="22"/>
        </w:rPr>
        <w:t>C</w:t>
      </w:r>
      <w:r w:rsidRPr="00803973">
        <w:rPr>
          <w:rFonts w:ascii="Palatino Linotype" w:eastAsia="Calibri" w:hAnsi="Palatino Linotype" w:cs="Calibri"/>
          <w:sz w:val="22"/>
        </w:rPr>
        <w:t>ertificate. These two documents detail the approved constructions and set out development control. The</w:t>
      </w:r>
      <w:r w:rsidR="008B4113" w:rsidRPr="00803973">
        <w:rPr>
          <w:rFonts w:ascii="Palatino Linotype" w:eastAsia="Calibri" w:hAnsi="Palatino Linotype" w:cs="Calibri"/>
          <w:sz w:val="22"/>
        </w:rPr>
        <w:t xml:space="preserve">y </w:t>
      </w:r>
      <w:r w:rsidRPr="00803973">
        <w:rPr>
          <w:rFonts w:ascii="Palatino Linotype" w:eastAsia="Calibri" w:hAnsi="Palatino Linotype" w:cs="Calibri"/>
          <w:sz w:val="22"/>
        </w:rPr>
        <w:t>are held by the developer and are</w:t>
      </w:r>
      <w:r w:rsidR="008B4113" w:rsidRPr="00803973">
        <w:rPr>
          <w:rFonts w:ascii="Palatino Linotype" w:eastAsia="Calibri" w:hAnsi="Palatino Linotype" w:cs="Calibri"/>
          <w:sz w:val="22"/>
        </w:rPr>
        <w:t xml:space="preserve"> not</w:t>
      </w:r>
      <w:r w:rsidRPr="00803973">
        <w:rPr>
          <w:rFonts w:ascii="Palatino Linotype" w:eastAsia="Calibri" w:hAnsi="Palatino Linotype" w:cs="Calibri"/>
          <w:sz w:val="22"/>
        </w:rPr>
        <w:t xml:space="preserve"> </w:t>
      </w:r>
      <w:r w:rsidR="008B4113" w:rsidRPr="00803973">
        <w:rPr>
          <w:rFonts w:ascii="Palatino Linotype" w:eastAsia="Calibri" w:hAnsi="Palatino Linotype" w:cs="Calibri"/>
          <w:sz w:val="22"/>
        </w:rPr>
        <w:t>usually</w:t>
      </w:r>
      <w:r w:rsidRPr="00803973">
        <w:rPr>
          <w:rFonts w:ascii="Palatino Linotype" w:eastAsia="Calibri" w:hAnsi="Palatino Linotype" w:cs="Calibri"/>
          <w:sz w:val="22"/>
        </w:rPr>
        <w:t xml:space="preserve"> available to other parties. In Shanghai, the developer is also obliged to acquire a Certificate of Real Estate Ownership (CREO) and Pre-Sale Permit (PSP, only for pre-sale projects), prior to selling the property. CREO and PSP provide certain land information as well as property information.</w:t>
      </w:r>
    </w:p>
    <w:p w:rsidR="00382ADF" w:rsidRPr="00803973" w:rsidRDefault="00BE78EE">
      <w:pPr>
        <w:spacing w:after="120" w:line="276" w:lineRule="auto"/>
        <w:ind w:firstLine="225"/>
        <w:jc w:val="left"/>
        <w:rPr>
          <w:rFonts w:ascii="Palatino Linotype" w:eastAsia="Calibri" w:hAnsi="Palatino Linotype" w:cs="Calibri"/>
          <w:sz w:val="22"/>
        </w:rPr>
      </w:pPr>
      <w:r w:rsidRPr="00803973">
        <w:rPr>
          <w:rFonts w:ascii="Palatino Linotype" w:eastAsia="Calibri" w:hAnsi="Palatino Linotype" w:cs="Calibri"/>
          <w:sz w:val="22"/>
        </w:rPr>
        <w:t xml:space="preserve">  This research examines 8</w:t>
      </w:r>
      <w:r w:rsidR="009959B6" w:rsidRPr="00803973">
        <w:rPr>
          <w:rFonts w:ascii="Palatino Linotype" w:eastAsia="Calibri" w:hAnsi="Palatino Linotype" w:cs="Calibri"/>
          <w:sz w:val="22"/>
        </w:rPr>
        <w:t>33</w:t>
      </w:r>
      <w:r w:rsidR="009063CD" w:rsidRPr="00803973">
        <w:rPr>
          <w:rFonts w:ascii="Palatino Linotype" w:eastAsia="Calibri" w:hAnsi="Palatino Linotype" w:cs="Calibri"/>
          <w:sz w:val="22"/>
        </w:rPr>
        <w:t xml:space="preserve"> new housing projects from the official property platform, Properties Online</w:t>
      </w:r>
      <w:r w:rsidR="00523A40" w:rsidRPr="00803973">
        <w:rPr>
          <w:rFonts w:ascii="Palatino Linotype" w:eastAsia="Calibri" w:hAnsi="Palatino Linotype" w:cs="Calibri"/>
          <w:sz w:val="22"/>
        </w:rPr>
        <w:t xml:space="preserve"> [3]</w:t>
      </w:r>
      <w:r w:rsidR="009063CD" w:rsidRPr="00803973">
        <w:rPr>
          <w:rFonts w:ascii="Palatino Linotype" w:eastAsia="Calibri" w:hAnsi="Palatino Linotype" w:cs="Calibri"/>
          <w:sz w:val="22"/>
        </w:rPr>
        <w:t xml:space="preserve">, managed by Shanghai </w:t>
      </w:r>
      <w:r w:rsidR="00E94844" w:rsidRPr="00803973">
        <w:rPr>
          <w:rFonts w:ascii="Palatino Linotype" w:eastAsia="Calibri" w:hAnsi="Palatino Linotype" w:cs="Calibri"/>
          <w:sz w:val="22"/>
        </w:rPr>
        <w:t xml:space="preserve">Bureau </w:t>
      </w:r>
      <w:r w:rsidR="009063CD" w:rsidRPr="00803973">
        <w:rPr>
          <w:rFonts w:ascii="Palatino Linotype" w:eastAsia="Calibri" w:hAnsi="Palatino Linotype" w:cs="Calibri"/>
          <w:sz w:val="22"/>
        </w:rPr>
        <w:t xml:space="preserve">of </w:t>
      </w:r>
      <w:r w:rsidR="00E94844" w:rsidRPr="00803973">
        <w:rPr>
          <w:rFonts w:ascii="Palatino Linotype" w:eastAsia="Calibri" w:hAnsi="Palatino Linotype" w:cs="Calibri"/>
          <w:sz w:val="22"/>
        </w:rPr>
        <w:t>Plann</w:t>
      </w:r>
      <w:r w:rsidR="009063CD" w:rsidRPr="00803973">
        <w:rPr>
          <w:rFonts w:ascii="Palatino Linotype" w:eastAsia="Calibri" w:hAnsi="Palatino Linotype" w:cs="Calibri"/>
          <w:sz w:val="22"/>
        </w:rPr>
        <w:t xml:space="preserve">ing and Land </w:t>
      </w:r>
      <w:r w:rsidR="00E94844" w:rsidRPr="00803973">
        <w:rPr>
          <w:rFonts w:ascii="Palatino Linotype" w:eastAsia="Calibri" w:hAnsi="Palatino Linotype" w:cs="Calibri"/>
          <w:sz w:val="22"/>
        </w:rPr>
        <w:t xml:space="preserve">Resources </w:t>
      </w:r>
      <w:r w:rsidR="009063CD" w:rsidRPr="00803973">
        <w:rPr>
          <w:rFonts w:ascii="Palatino Linotype" w:eastAsia="Calibri" w:hAnsi="Palatino Linotype" w:cs="Calibri"/>
          <w:sz w:val="22"/>
        </w:rPr>
        <w:t xml:space="preserve">Administration. The time period </w:t>
      </w:r>
      <w:r w:rsidR="008B4113" w:rsidRPr="00803973">
        <w:rPr>
          <w:rFonts w:ascii="Palatino Linotype" w:eastAsia="Calibri" w:hAnsi="Palatino Linotype" w:cs="Calibri"/>
          <w:sz w:val="22"/>
        </w:rPr>
        <w:t xml:space="preserve">studied </w:t>
      </w:r>
      <w:r w:rsidR="009063CD" w:rsidRPr="00803973">
        <w:rPr>
          <w:rFonts w:ascii="Palatino Linotype" w:eastAsia="Calibri" w:hAnsi="Palatino Linotype" w:cs="Calibri"/>
          <w:sz w:val="22"/>
        </w:rPr>
        <w:t>is from 2004 to 201</w:t>
      </w:r>
      <w:r w:rsidR="009959B6" w:rsidRPr="00803973">
        <w:rPr>
          <w:rFonts w:ascii="Palatino Linotype" w:eastAsia="Calibri" w:hAnsi="Palatino Linotype" w:cs="Calibri"/>
          <w:sz w:val="22"/>
        </w:rPr>
        <w:t>5</w:t>
      </w:r>
      <w:r w:rsidR="009063CD" w:rsidRPr="00803973">
        <w:rPr>
          <w:rFonts w:ascii="Palatino Linotype" w:eastAsia="Calibri" w:hAnsi="Palatino Linotype" w:cs="Calibri"/>
          <w:sz w:val="22"/>
        </w:rPr>
        <w:t xml:space="preserve"> [</w:t>
      </w:r>
      <w:r w:rsidR="009F0CC5" w:rsidRPr="00803973">
        <w:rPr>
          <w:rFonts w:ascii="Palatino Linotype" w:eastAsia="Calibri" w:hAnsi="Palatino Linotype" w:cs="Calibri"/>
          <w:sz w:val="22"/>
        </w:rPr>
        <w:t>4</w:t>
      </w:r>
      <w:r w:rsidR="009063CD" w:rsidRPr="00803973">
        <w:rPr>
          <w:rFonts w:ascii="Palatino Linotype" w:eastAsia="Calibri" w:hAnsi="Palatino Linotype" w:cs="Calibri"/>
          <w:sz w:val="22"/>
        </w:rPr>
        <w:t>]. For each property, the information displayed contains CREO, PSP, dates of marketing, number of units to sell, the floor area to sell, marketing status (for sale or sold</w:t>
      </w:r>
      <w:r w:rsidR="00070A90" w:rsidRPr="00803973">
        <w:rPr>
          <w:rFonts w:ascii="Palatino Linotype" w:eastAsia="Calibri" w:hAnsi="Palatino Linotype" w:cs="Calibri"/>
          <w:sz w:val="22"/>
        </w:rPr>
        <w:t xml:space="preserve"> out</w:t>
      </w:r>
      <w:r w:rsidR="009063CD" w:rsidRPr="00803973">
        <w:rPr>
          <w:rFonts w:ascii="Palatino Linotype" w:eastAsia="Calibri" w:hAnsi="Palatino Linotype" w:cs="Calibri"/>
          <w:sz w:val="22"/>
        </w:rPr>
        <w:t xml:space="preserve">), floor plan, sales contract, layout drawing and guarantee. </w:t>
      </w:r>
    </w:p>
    <w:p w:rsidR="00382ADF" w:rsidRPr="00803973" w:rsidRDefault="00F15B3C">
      <w:pPr>
        <w:spacing w:after="120" w:line="276" w:lineRule="auto"/>
        <w:ind w:firstLine="225"/>
        <w:jc w:val="left"/>
        <w:rPr>
          <w:rFonts w:ascii="Palatino Linotype" w:eastAsia="Calibri" w:hAnsi="Palatino Linotype" w:cs="Calibri"/>
          <w:sz w:val="22"/>
        </w:rPr>
      </w:pPr>
      <w:r w:rsidRPr="00803973">
        <w:rPr>
          <w:rFonts w:ascii="Palatino Linotype" w:eastAsia="Calibri" w:hAnsi="Palatino Linotype" w:cs="Calibri"/>
          <w:sz w:val="22"/>
        </w:rPr>
        <w:t xml:space="preserve">   In the following</w:t>
      </w:r>
      <w:r w:rsidR="009063CD" w:rsidRPr="00803973">
        <w:rPr>
          <w:rFonts w:ascii="Palatino Linotype" w:eastAsia="Calibri" w:hAnsi="Palatino Linotype" w:cs="Calibri"/>
          <w:sz w:val="22"/>
        </w:rPr>
        <w:t xml:space="preserve"> empirical studies, we set housing supply quantity and housing supply time as </w:t>
      </w:r>
      <w:r w:rsidR="0011442A" w:rsidRPr="00803973">
        <w:rPr>
          <w:rFonts w:ascii="Palatino Linotype" w:eastAsia="Calibri" w:hAnsi="Palatino Linotype" w:cs="Calibri"/>
          <w:sz w:val="22"/>
        </w:rPr>
        <w:t xml:space="preserve">two </w:t>
      </w:r>
      <w:r w:rsidR="009063CD" w:rsidRPr="00803973">
        <w:rPr>
          <w:rFonts w:ascii="Palatino Linotype" w:eastAsia="Calibri" w:hAnsi="Palatino Linotype" w:cs="Calibri"/>
          <w:sz w:val="22"/>
        </w:rPr>
        <w:t>dependent varia</w:t>
      </w:r>
      <w:r w:rsidR="00BE78EE" w:rsidRPr="00803973">
        <w:rPr>
          <w:rFonts w:ascii="Palatino Linotype" w:eastAsia="Calibri" w:hAnsi="Palatino Linotype" w:cs="Calibri"/>
          <w:sz w:val="22"/>
        </w:rPr>
        <w:t xml:space="preserve">bles and three binary </w:t>
      </w:r>
      <w:r w:rsidR="00354138" w:rsidRPr="00803973">
        <w:rPr>
          <w:rFonts w:ascii="Palatino Linotype" w:eastAsia="Calibri" w:hAnsi="Palatino Linotype" w:cs="Calibri"/>
          <w:sz w:val="22"/>
        </w:rPr>
        <w:t>variables</w:t>
      </w:r>
      <w:r w:rsidR="009063CD" w:rsidRPr="00803973">
        <w:rPr>
          <w:rFonts w:ascii="Palatino Linotype" w:eastAsia="Calibri" w:hAnsi="Palatino Linotype" w:cs="Calibri"/>
          <w:sz w:val="22"/>
        </w:rPr>
        <w:t xml:space="preserve"> </w:t>
      </w:r>
      <w:r w:rsidR="0011442A" w:rsidRPr="00803973">
        <w:rPr>
          <w:rFonts w:ascii="Palatino Linotype" w:eastAsia="Calibri" w:hAnsi="Palatino Linotype" w:cs="Calibri"/>
          <w:sz w:val="22"/>
        </w:rPr>
        <w:t xml:space="preserve">and two interaction terms </w:t>
      </w:r>
      <w:r w:rsidR="009063CD" w:rsidRPr="00803973">
        <w:rPr>
          <w:rFonts w:ascii="Palatino Linotype" w:eastAsia="Calibri" w:hAnsi="Palatino Linotype" w:cs="Calibri"/>
          <w:sz w:val="22"/>
        </w:rPr>
        <w:t>as independent variables</w:t>
      </w:r>
      <w:r w:rsidR="00E80038" w:rsidRPr="00803973">
        <w:rPr>
          <w:rFonts w:ascii="Palatino Linotype" w:eastAsia="Calibri" w:hAnsi="Palatino Linotype" w:cs="Calibri"/>
          <w:sz w:val="22"/>
        </w:rPr>
        <w:t xml:space="preserve"> (the details are specified later)</w:t>
      </w:r>
      <w:r w:rsidR="009063CD" w:rsidRPr="00803973">
        <w:rPr>
          <w:rFonts w:ascii="Palatino Linotype" w:eastAsia="Calibri" w:hAnsi="Palatino Linotype" w:cs="Calibri"/>
          <w:sz w:val="22"/>
        </w:rPr>
        <w:t>. The primary sour</w:t>
      </w:r>
      <w:r w:rsidR="002A5F57" w:rsidRPr="00803973">
        <w:rPr>
          <w:rFonts w:ascii="Palatino Linotype" w:eastAsia="Calibri" w:hAnsi="Palatino Linotype" w:cs="Calibri"/>
          <w:sz w:val="22"/>
        </w:rPr>
        <w:t>ce of data is the platform afore-</w:t>
      </w:r>
      <w:r w:rsidR="009063CD" w:rsidRPr="00803973">
        <w:rPr>
          <w:rFonts w:ascii="Palatino Linotype" w:eastAsia="Calibri" w:hAnsi="Palatino Linotype" w:cs="Calibri"/>
          <w:sz w:val="22"/>
        </w:rPr>
        <w:t xml:space="preserve">mentioned. Plot ratio was obtained from a number of large local estate agents.  </w:t>
      </w:r>
    </w:p>
    <w:p w:rsidR="00E70C6F" w:rsidRPr="00803973" w:rsidRDefault="00E70C6F">
      <w:pPr>
        <w:spacing w:after="120" w:line="276" w:lineRule="auto"/>
        <w:jc w:val="left"/>
        <w:rPr>
          <w:rFonts w:ascii="Palatino Linotype" w:eastAsia="Calibri" w:hAnsi="Palatino Linotype" w:cs="Calibri"/>
          <w:sz w:val="22"/>
          <w:lang w:val="en-GB"/>
        </w:rPr>
      </w:pPr>
    </w:p>
    <w:p w:rsidR="00382ADF" w:rsidRPr="00803973" w:rsidRDefault="00B71D91">
      <w:pPr>
        <w:spacing w:after="120" w:line="276" w:lineRule="auto"/>
        <w:jc w:val="left"/>
        <w:rPr>
          <w:rFonts w:ascii="Palatino Linotype" w:eastAsia="Calibri" w:hAnsi="Palatino Linotype" w:cs="Calibri"/>
          <w:b/>
          <w:sz w:val="22"/>
        </w:rPr>
      </w:pPr>
      <w:r>
        <w:rPr>
          <w:rFonts w:ascii="Palatino Linotype" w:eastAsia="Calibri" w:hAnsi="Palatino Linotype" w:cs="Calibri"/>
          <w:b/>
          <w:sz w:val="22"/>
        </w:rPr>
        <w:t>Findings</w:t>
      </w:r>
    </w:p>
    <w:p w:rsidR="00480776" w:rsidRPr="00803973" w:rsidRDefault="009063CD" w:rsidP="009A3DE1">
      <w:pPr>
        <w:spacing w:after="120" w:line="276" w:lineRule="auto"/>
        <w:jc w:val="left"/>
        <w:rPr>
          <w:rFonts w:ascii="Palatino Linotype" w:eastAsia="Calibri" w:hAnsi="Palatino Linotype" w:cs="Calibri"/>
          <w:sz w:val="22"/>
        </w:rPr>
      </w:pPr>
      <w:r w:rsidRPr="00803973">
        <w:rPr>
          <w:rFonts w:ascii="Palatino Linotype" w:eastAsia="Calibri" w:hAnsi="Palatino Linotype" w:cs="Calibri"/>
          <w:sz w:val="22"/>
        </w:rPr>
        <w:t xml:space="preserve">Housing supply incorporates both quantity and time. In this </w:t>
      </w:r>
      <w:r w:rsidR="009A3DE1" w:rsidRPr="00803973">
        <w:rPr>
          <w:rFonts w:ascii="Palatino Linotype" w:eastAsia="Calibri" w:hAnsi="Palatino Linotype" w:cs="Calibri"/>
          <w:sz w:val="22"/>
        </w:rPr>
        <w:t xml:space="preserve">empirical </w:t>
      </w:r>
      <w:r w:rsidRPr="00803973">
        <w:rPr>
          <w:rFonts w:ascii="Palatino Linotype" w:eastAsia="Calibri" w:hAnsi="Palatino Linotype" w:cs="Calibri"/>
          <w:sz w:val="22"/>
        </w:rPr>
        <w:t>study, we</w:t>
      </w:r>
      <w:r w:rsidR="00305D63" w:rsidRPr="00803973">
        <w:rPr>
          <w:rFonts w:ascii="Palatino Linotype" w:eastAsia="Calibri" w:hAnsi="Palatino Linotype" w:cs="Calibri"/>
          <w:sz w:val="22"/>
        </w:rPr>
        <w:t xml:space="preserve"> </w:t>
      </w:r>
      <w:r w:rsidR="00406DEC" w:rsidRPr="00803973">
        <w:rPr>
          <w:rFonts w:ascii="Palatino Linotype" w:eastAsia="Calibri" w:hAnsi="Palatino Linotype" w:cs="Calibri"/>
          <w:sz w:val="22"/>
        </w:rPr>
        <w:t>use each of the tw</w:t>
      </w:r>
      <w:r w:rsidR="000D1545" w:rsidRPr="00803973">
        <w:rPr>
          <w:rFonts w:ascii="Palatino Linotype" w:eastAsia="Calibri" w:hAnsi="Palatino Linotype" w:cs="Calibri"/>
          <w:sz w:val="22"/>
        </w:rPr>
        <w:t xml:space="preserve">o as one dependent variable and </w:t>
      </w:r>
      <w:r w:rsidR="004B6C83" w:rsidRPr="00803973">
        <w:rPr>
          <w:rFonts w:ascii="Palatino Linotype" w:eastAsia="Calibri" w:hAnsi="Palatino Linotype" w:cs="Calibri"/>
          <w:sz w:val="22"/>
        </w:rPr>
        <w:t>estimate the differen</w:t>
      </w:r>
      <w:r w:rsidR="00201CC6" w:rsidRPr="00803973">
        <w:rPr>
          <w:rFonts w:ascii="Palatino Linotype" w:eastAsia="Calibri" w:hAnsi="Palatino Linotype" w:cs="Calibri"/>
          <w:sz w:val="22"/>
        </w:rPr>
        <w:t>tial effects</w:t>
      </w:r>
      <w:r w:rsidR="004B6C83" w:rsidRPr="00803973">
        <w:rPr>
          <w:rFonts w:ascii="Palatino Linotype" w:eastAsia="Calibri" w:hAnsi="Palatino Linotype" w:cs="Calibri"/>
          <w:sz w:val="22"/>
        </w:rPr>
        <w:t xml:space="preserve"> of </w:t>
      </w:r>
      <w:r w:rsidR="00305D63" w:rsidRPr="00803973">
        <w:rPr>
          <w:rFonts w:ascii="Palatino Linotype" w:eastAsia="Calibri" w:hAnsi="Palatino Linotype" w:cs="Calibri"/>
          <w:sz w:val="22"/>
        </w:rPr>
        <w:t xml:space="preserve">location and type of housing </w:t>
      </w:r>
      <w:r w:rsidR="00201CC6" w:rsidRPr="00803973">
        <w:rPr>
          <w:rFonts w:ascii="Palatino Linotype" w:eastAsia="Calibri" w:hAnsi="Palatino Linotype" w:cs="Calibri"/>
          <w:sz w:val="22"/>
        </w:rPr>
        <w:t xml:space="preserve">on supply quantity and </w:t>
      </w:r>
      <w:r w:rsidR="00AE20A7" w:rsidRPr="00803973">
        <w:rPr>
          <w:rFonts w:ascii="Palatino Linotype" w:eastAsia="Calibri" w:hAnsi="Palatino Linotype" w:cs="Calibri"/>
          <w:sz w:val="22"/>
        </w:rPr>
        <w:t xml:space="preserve">on supply </w:t>
      </w:r>
      <w:r w:rsidR="00201CC6" w:rsidRPr="00803973">
        <w:rPr>
          <w:rFonts w:ascii="Palatino Linotype" w:eastAsia="Calibri" w:hAnsi="Palatino Linotype" w:cs="Calibri"/>
          <w:sz w:val="22"/>
        </w:rPr>
        <w:t>time</w:t>
      </w:r>
      <w:r w:rsidR="007570A2" w:rsidRPr="00803973">
        <w:rPr>
          <w:rFonts w:ascii="Palatino Linotype" w:eastAsia="Calibri" w:hAnsi="Palatino Linotype" w:cs="Calibri"/>
          <w:sz w:val="22"/>
        </w:rPr>
        <w:t>. Based on the results delivered from th</w:t>
      </w:r>
      <w:r w:rsidR="0014439A" w:rsidRPr="00803973">
        <w:rPr>
          <w:rFonts w:ascii="Palatino Linotype" w:eastAsia="Calibri" w:hAnsi="Palatino Linotype" w:cs="Calibri"/>
          <w:sz w:val="22"/>
        </w:rPr>
        <w:t>e interacti</w:t>
      </w:r>
      <w:r w:rsidR="003858B0" w:rsidRPr="00803973">
        <w:rPr>
          <w:rFonts w:ascii="Palatino Linotype" w:eastAsia="Calibri" w:hAnsi="Palatino Linotype" w:cs="Calibri"/>
          <w:sz w:val="22"/>
        </w:rPr>
        <w:t>on regression models</w:t>
      </w:r>
      <w:r w:rsidR="007570A2" w:rsidRPr="00803973">
        <w:rPr>
          <w:rFonts w:ascii="Palatino Linotype" w:eastAsia="Calibri" w:hAnsi="Palatino Linotype" w:cs="Calibri"/>
          <w:sz w:val="22"/>
        </w:rPr>
        <w:t>, we</w:t>
      </w:r>
      <w:r w:rsidR="004B6C83" w:rsidRPr="00803973">
        <w:rPr>
          <w:rFonts w:ascii="Palatino Linotype" w:eastAsia="Calibri" w:hAnsi="Palatino Linotype" w:cs="Calibri"/>
          <w:sz w:val="22"/>
        </w:rPr>
        <w:t xml:space="preserve"> then </w:t>
      </w:r>
      <w:r w:rsidR="00AE20A7" w:rsidRPr="00803973">
        <w:rPr>
          <w:rFonts w:ascii="Palatino Linotype" w:eastAsia="Calibri" w:hAnsi="Palatino Linotype" w:cs="Calibri"/>
          <w:sz w:val="22"/>
        </w:rPr>
        <w:t xml:space="preserve">further </w:t>
      </w:r>
      <w:r w:rsidR="00480D53" w:rsidRPr="00803973">
        <w:rPr>
          <w:rFonts w:ascii="Palatino Linotype" w:eastAsia="Calibri" w:hAnsi="Palatino Linotype" w:cs="Calibri"/>
          <w:sz w:val="22"/>
        </w:rPr>
        <w:t>test</w:t>
      </w:r>
      <w:r w:rsidR="00305D63" w:rsidRPr="00803973">
        <w:rPr>
          <w:rFonts w:ascii="Palatino Linotype" w:eastAsia="Calibri" w:hAnsi="Palatino Linotype" w:cs="Calibri"/>
          <w:sz w:val="22"/>
        </w:rPr>
        <w:t xml:space="preserve"> the </w:t>
      </w:r>
      <w:r w:rsidR="0034227C" w:rsidRPr="00803973">
        <w:rPr>
          <w:rFonts w:ascii="Palatino Linotype" w:eastAsia="Calibri" w:hAnsi="Palatino Linotype" w:cs="Calibri"/>
          <w:sz w:val="22"/>
        </w:rPr>
        <w:t>optimal supply of different type</w:t>
      </w:r>
      <w:r w:rsidR="00480D53" w:rsidRPr="00803973">
        <w:rPr>
          <w:rFonts w:ascii="Palatino Linotype" w:eastAsia="Calibri" w:hAnsi="Palatino Linotype" w:cs="Calibri"/>
          <w:sz w:val="22"/>
        </w:rPr>
        <w:t>s</w:t>
      </w:r>
      <w:r w:rsidR="0034227C" w:rsidRPr="00803973">
        <w:rPr>
          <w:rFonts w:ascii="Palatino Linotype" w:eastAsia="Calibri" w:hAnsi="Palatino Linotype" w:cs="Calibri"/>
          <w:sz w:val="22"/>
        </w:rPr>
        <w:t xml:space="preserve"> of housing in different location</w:t>
      </w:r>
      <w:r w:rsidR="00480D53" w:rsidRPr="00803973">
        <w:rPr>
          <w:rFonts w:ascii="Palatino Linotype" w:eastAsia="Calibri" w:hAnsi="Palatino Linotype" w:cs="Calibri"/>
          <w:sz w:val="22"/>
        </w:rPr>
        <w:t>s</w:t>
      </w:r>
      <w:r w:rsidRPr="00803973">
        <w:rPr>
          <w:rFonts w:ascii="Palatino Linotype" w:eastAsia="Calibri" w:hAnsi="Palatino Linotype" w:cs="Calibri"/>
          <w:sz w:val="22"/>
        </w:rPr>
        <w:t xml:space="preserve">. </w:t>
      </w:r>
      <w:r w:rsidR="009A3DE1" w:rsidRPr="00803973">
        <w:rPr>
          <w:rFonts w:ascii="Palatino Linotype" w:eastAsia="Calibri" w:hAnsi="Palatino Linotype" w:cs="Calibri"/>
          <w:sz w:val="22"/>
        </w:rPr>
        <w:t xml:space="preserve">Before we proceed, it is necessary to </w:t>
      </w:r>
      <w:r w:rsidR="005F5035" w:rsidRPr="00803973">
        <w:rPr>
          <w:rFonts w:ascii="Palatino Linotype" w:eastAsia="Calibri" w:hAnsi="Palatino Linotype" w:cs="Calibri"/>
          <w:sz w:val="22"/>
        </w:rPr>
        <w:t>elaborate</w:t>
      </w:r>
      <w:r w:rsidR="009A3DE1" w:rsidRPr="00803973">
        <w:rPr>
          <w:rFonts w:ascii="Palatino Linotype" w:eastAsia="Calibri" w:hAnsi="Palatino Linotype" w:cs="Calibri"/>
          <w:sz w:val="22"/>
        </w:rPr>
        <w:t xml:space="preserve"> </w:t>
      </w:r>
      <w:r w:rsidR="00480776" w:rsidRPr="00803973">
        <w:rPr>
          <w:rFonts w:ascii="Palatino Linotype" w:eastAsia="Calibri" w:hAnsi="Palatino Linotype" w:cs="Calibri"/>
          <w:sz w:val="22"/>
        </w:rPr>
        <w:t xml:space="preserve">the </w:t>
      </w:r>
      <w:r w:rsidR="009A3DE1" w:rsidRPr="00803973">
        <w:rPr>
          <w:rFonts w:ascii="Palatino Linotype" w:eastAsia="Calibri" w:hAnsi="Palatino Linotype" w:cs="Calibri"/>
          <w:sz w:val="22"/>
        </w:rPr>
        <w:t xml:space="preserve">two </w:t>
      </w:r>
      <w:r w:rsidR="00480776" w:rsidRPr="00803973">
        <w:rPr>
          <w:rFonts w:ascii="Palatino Linotype" w:eastAsia="Calibri" w:hAnsi="Palatino Linotype" w:cs="Calibri"/>
          <w:sz w:val="22"/>
        </w:rPr>
        <w:t>dependent variable</w:t>
      </w:r>
      <w:r w:rsidR="009A3DE1" w:rsidRPr="00803973">
        <w:rPr>
          <w:rFonts w:ascii="Palatino Linotype" w:eastAsia="Calibri" w:hAnsi="Palatino Linotype" w:cs="Calibri"/>
          <w:sz w:val="22"/>
        </w:rPr>
        <w:t>s.</w:t>
      </w:r>
    </w:p>
    <w:p w:rsidR="00480776" w:rsidRPr="00803973" w:rsidRDefault="009218BB" w:rsidP="00480776">
      <w:pPr>
        <w:spacing w:after="120" w:line="276" w:lineRule="auto"/>
        <w:ind w:firstLine="600"/>
        <w:jc w:val="left"/>
        <w:rPr>
          <w:rFonts w:ascii="Palatino Linotype" w:eastAsia="Calibri" w:hAnsi="Palatino Linotype" w:cs="Calibri"/>
          <w:sz w:val="22"/>
        </w:rPr>
      </w:pPr>
      <w:r w:rsidRPr="00803973">
        <w:rPr>
          <w:rFonts w:ascii="Palatino Linotype" w:eastAsia="Calibri" w:hAnsi="Palatino Linotype" w:cs="Calibri"/>
          <w:sz w:val="22"/>
        </w:rPr>
        <w:t>H</w:t>
      </w:r>
      <w:r w:rsidR="00480776" w:rsidRPr="00803973">
        <w:rPr>
          <w:rFonts w:ascii="Palatino Linotype" w:eastAsia="Calibri" w:hAnsi="Palatino Linotype" w:cs="Calibri"/>
          <w:sz w:val="22"/>
        </w:rPr>
        <w:t xml:space="preserve">ousing supply quantity is the </w:t>
      </w:r>
      <w:r w:rsidR="009A3DE1" w:rsidRPr="00803973">
        <w:rPr>
          <w:rFonts w:ascii="Palatino Linotype" w:eastAsia="Calibri" w:hAnsi="Palatino Linotype" w:cs="Calibri"/>
          <w:sz w:val="22"/>
        </w:rPr>
        <w:t xml:space="preserve">total floor areas for sale recorded on the </w:t>
      </w:r>
      <w:r w:rsidR="000F5C2A" w:rsidRPr="00803973">
        <w:rPr>
          <w:rFonts w:ascii="Palatino Linotype" w:eastAsia="Calibri" w:hAnsi="Palatino Linotype" w:cs="Calibri"/>
          <w:sz w:val="22"/>
        </w:rPr>
        <w:t xml:space="preserve">official </w:t>
      </w:r>
      <w:r w:rsidR="00305D63" w:rsidRPr="00803973">
        <w:rPr>
          <w:rFonts w:ascii="Palatino Linotype" w:eastAsia="Calibri" w:hAnsi="Palatino Linotype" w:cs="Calibri"/>
          <w:sz w:val="22"/>
        </w:rPr>
        <w:t>platform for each project up to</w:t>
      </w:r>
      <w:r w:rsidR="009A3DE1" w:rsidRPr="00803973">
        <w:rPr>
          <w:rFonts w:ascii="Palatino Linotype" w:eastAsia="Calibri" w:hAnsi="Palatino Linotype" w:cs="Calibri"/>
          <w:sz w:val="22"/>
        </w:rPr>
        <w:t xml:space="preserve"> the end of 201</w:t>
      </w:r>
      <w:r w:rsidR="0034227C" w:rsidRPr="00803973">
        <w:rPr>
          <w:rFonts w:ascii="Palatino Linotype" w:eastAsia="Calibri" w:hAnsi="Palatino Linotype" w:cs="Calibri"/>
          <w:sz w:val="22"/>
        </w:rPr>
        <w:t>5</w:t>
      </w:r>
      <w:r w:rsidR="009A3DE1" w:rsidRPr="00803973">
        <w:rPr>
          <w:rFonts w:ascii="Palatino Linotype" w:eastAsia="Calibri" w:hAnsi="Palatino Linotype" w:cs="Calibri"/>
          <w:sz w:val="22"/>
        </w:rPr>
        <w:t xml:space="preserve">. </w:t>
      </w:r>
      <w:r w:rsidR="00A6600A" w:rsidRPr="00803973">
        <w:rPr>
          <w:rFonts w:ascii="Palatino Linotype" w:eastAsia="Calibri" w:hAnsi="Palatino Linotype" w:cs="Calibri"/>
          <w:sz w:val="22"/>
        </w:rPr>
        <w:t>Given that most of the housing projects are marketed by means of</w:t>
      </w:r>
      <w:r w:rsidR="00305D63" w:rsidRPr="00803973">
        <w:rPr>
          <w:rFonts w:ascii="Palatino Linotype" w:eastAsia="Calibri" w:hAnsi="Palatino Linotype" w:cs="Calibri"/>
          <w:sz w:val="22"/>
        </w:rPr>
        <w:t xml:space="preserve"> pre-sale (selling the property</w:t>
      </w:r>
      <w:r w:rsidR="00D73B43" w:rsidRPr="00803973">
        <w:rPr>
          <w:rFonts w:ascii="Palatino Linotype" w:eastAsia="Calibri" w:hAnsi="Palatino Linotype" w:cs="Calibri"/>
          <w:sz w:val="22"/>
        </w:rPr>
        <w:t xml:space="preserve"> before completion</w:t>
      </w:r>
      <w:r w:rsidR="00C014BC" w:rsidRPr="00803973">
        <w:rPr>
          <w:rFonts w:ascii="Palatino Linotype" w:eastAsia="Calibri" w:hAnsi="Palatino Linotype" w:cs="Calibri"/>
          <w:sz w:val="22"/>
        </w:rPr>
        <w:t>, see Leung and Ma, 2013</w:t>
      </w:r>
      <w:r w:rsidR="00D73B43" w:rsidRPr="00803973">
        <w:rPr>
          <w:rFonts w:ascii="Palatino Linotype" w:eastAsia="Calibri" w:hAnsi="Palatino Linotype" w:cs="Calibri"/>
          <w:sz w:val="22"/>
        </w:rPr>
        <w:t>) and multi-tranche sale (sell</w:t>
      </w:r>
      <w:r w:rsidR="00305D63" w:rsidRPr="00803973">
        <w:rPr>
          <w:rFonts w:ascii="Palatino Linotype" w:eastAsia="Calibri" w:hAnsi="Palatino Linotype" w:cs="Calibri"/>
          <w:sz w:val="22"/>
        </w:rPr>
        <w:t>ing the property</w:t>
      </w:r>
      <w:r w:rsidR="000F5C2A" w:rsidRPr="00803973">
        <w:rPr>
          <w:rFonts w:ascii="Palatino Linotype" w:eastAsia="Calibri" w:hAnsi="Palatino Linotype" w:cs="Calibri"/>
          <w:sz w:val="22"/>
        </w:rPr>
        <w:t xml:space="preserve"> multiple</w:t>
      </w:r>
      <w:r w:rsidR="00D73B43" w:rsidRPr="00803973">
        <w:rPr>
          <w:rFonts w:ascii="Palatino Linotype" w:eastAsia="Calibri" w:hAnsi="Palatino Linotype" w:cs="Calibri"/>
          <w:sz w:val="22"/>
        </w:rPr>
        <w:t xml:space="preserve"> times), the amount of quant</w:t>
      </w:r>
      <w:r w:rsidR="00305D63" w:rsidRPr="00803973">
        <w:rPr>
          <w:rFonts w:ascii="Palatino Linotype" w:eastAsia="Calibri" w:hAnsi="Palatino Linotype" w:cs="Calibri"/>
          <w:sz w:val="22"/>
        </w:rPr>
        <w:t>ity</w:t>
      </w:r>
      <w:r w:rsidR="00895A9D" w:rsidRPr="00803973">
        <w:rPr>
          <w:rFonts w:ascii="Palatino Linotype" w:eastAsia="Calibri" w:hAnsi="Palatino Linotype" w:cs="Calibri"/>
          <w:sz w:val="22"/>
        </w:rPr>
        <w:t xml:space="preserve"> this research exploit</w:t>
      </w:r>
      <w:r w:rsidR="00294A56" w:rsidRPr="00803973">
        <w:rPr>
          <w:rFonts w:ascii="Palatino Linotype" w:eastAsia="Calibri" w:hAnsi="Palatino Linotype" w:cs="Calibri"/>
          <w:sz w:val="22"/>
        </w:rPr>
        <w:t>s</w:t>
      </w:r>
      <w:r w:rsidR="00305D63" w:rsidRPr="00803973">
        <w:rPr>
          <w:rFonts w:ascii="Palatino Linotype" w:eastAsia="Calibri" w:hAnsi="Palatino Linotype" w:cs="Calibri"/>
          <w:sz w:val="22"/>
        </w:rPr>
        <w:t xml:space="preserve"> is the sum of floor areas of each tranche</w:t>
      </w:r>
      <w:r w:rsidR="00D73B43" w:rsidRPr="00803973">
        <w:rPr>
          <w:rFonts w:ascii="Palatino Linotype" w:eastAsia="Calibri" w:hAnsi="Palatino Linotype" w:cs="Calibri"/>
          <w:sz w:val="22"/>
        </w:rPr>
        <w:t xml:space="preserve">. </w:t>
      </w:r>
      <w:r w:rsidR="00895A9D" w:rsidRPr="00803973">
        <w:rPr>
          <w:rFonts w:ascii="Palatino Linotype" w:eastAsia="Calibri" w:hAnsi="Palatino Linotype" w:cs="Calibri"/>
          <w:sz w:val="22"/>
        </w:rPr>
        <w:t>T</w:t>
      </w:r>
      <w:r w:rsidR="00BE3695" w:rsidRPr="00803973">
        <w:rPr>
          <w:rFonts w:ascii="Palatino Linotype" w:eastAsia="Calibri" w:hAnsi="Palatino Linotype" w:cs="Calibri"/>
          <w:sz w:val="22"/>
        </w:rPr>
        <w:t>he sum</w:t>
      </w:r>
      <w:r w:rsidR="00712316" w:rsidRPr="00803973">
        <w:rPr>
          <w:rFonts w:ascii="Palatino Linotype" w:eastAsia="Calibri" w:hAnsi="Palatino Linotype" w:cs="Calibri"/>
          <w:sz w:val="22"/>
        </w:rPr>
        <w:t xml:space="preserve"> may not</w:t>
      </w:r>
      <w:r w:rsidR="00895A9D" w:rsidRPr="00803973">
        <w:rPr>
          <w:rFonts w:ascii="Palatino Linotype" w:eastAsia="Calibri" w:hAnsi="Palatino Linotype" w:cs="Calibri"/>
          <w:sz w:val="22"/>
        </w:rPr>
        <w:t xml:space="preserve"> necessarily equal</w:t>
      </w:r>
      <w:r w:rsidR="00712316" w:rsidRPr="00803973">
        <w:rPr>
          <w:rFonts w:ascii="Palatino Linotype" w:eastAsia="Calibri" w:hAnsi="Palatino Linotype" w:cs="Calibri"/>
          <w:sz w:val="22"/>
        </w:rPr>
        <w:t xml:space="preserve"> the grand total </w:t>
      </w:r>
      <w:r w:rsidR="000D64E1" w:rsidRPr="00803973">
        <w:rPr>
          <w:rFonts w:ascii="Palatino Linotype" w:eastAsia="Calibri" w:hAnsi="Palatino Linotype" w:cs="Calibri"/>
          <w:sz w:val="22"/>
        </w:rPr>
        <w:t xml:space="preserve">floor </w:t>
      </w:r>
      <w:r w:rsidR="00BE3695" w:rsidRPr="00803973">
        <w:rPr>
          <w:rFonts w:ascii="Palatino Linotype" w:eastAsia="Calibri" w:hAnsi="Palatino Linotype" w:cs="Calibri"/>
          <w:sz w:val="22"/>
        </w:rPr>
        <w:t>areas for</w:t>
      </w:r>
      <w:r w:rsidR="00712316" w:rsidRPr="00803973">
        <w:rPr>
          <w:rFonts w:ascii="Palatino Linotype" w:eastAsia="Calibri" w:hAnsi="Palatino Linotype" w:cs="Calibri"/>
          <w:sz w:val="22"/>
        </w:rPr>
        <w:t xml:space="preserve"> each project </w:t>
      </w:r>
      <w:r w:rsidR="000D64E1" w:rsidRPr="00803973">
        <w:rPr>
          <w:rFonts w:ascii="Palatino Linotype" w:eastAsia="Calibri" w:hAnsi="Palatino Linotype" w:cs="Calibri"/>
          <w:sz w:val="22"/>
        </w:rPr>
        <w:t>because not all</w:t>
      </w:r>
      <w:r w:rsidR="0090042E" w:rsidRPr="00803973">
        <w:rPr>
          <w:rFonts w:ascii="Palatino Linotype" w:eastAsia="Calibri" w:hAnsi="Palatino Linotype" w:cs="Calibri"/>
          <w:sz w:val="22"/>
        </w:rPr>
        <w:t xml:space="preserve"> </w:t>
      </w:r>
      <w:r w:rsidR="00533D86" w:rsidRPr="00803973">
        <w:rPr>
          <w:rFonts w:ascii="Palatino Linotype" w:eastAsia="Calibri" w:hAnsi="Palatino Linotype" w:cs="Calibri"/>
          <w:sz w:val="22"/>
        </w:rPr>
        <w:t xml:space="preserve">had </w:t>
      </w:r>
      <w:r w:rsidR="00712316" w:rsidRPr="00803973">
        <w:rPr>
          <w:rFonts w:ascii="Palatino Linotype" w:eastAsia="Calibri" w:hAnsi="Palatino Linotype" w:cs="Calibri"/>
          <w:sz w:val="22"/>
        </w:rPr>
        <w:t>finish</w:t>
      </w:r>
      <w:r w:rsidR="00895A9D" w:rsidRPr="00803973">
        <w:rPr>
          <w:rFonts w:ascii="Palatino Linotype" w:eastAsia="Calibri" w:hAnsi="Palatino Linotype" w:cs="Calibri"/>
          <w:sz w:val="22"/>
        </w:rPr>
        <w:t xml:space="preserve">ed the </w:t>
      </w:r>
      <w:r w:rsidR="000D1545" w:rsidRPr="00803973">
        <w:rPr>
          <w:rFonts w:ascii="Palatino Linotype" w:eastAsia="Calibri" w:hAnsi="Palatino Linotype" w:cs="Calibri"/>
          <w:sz w:val="22"/>
        </w:rPr>
        <w:t xml:space="preserve">construction and the </w:t>
      </w:r>
      <w:r w:rsidR="00895A9D" w:rsidRPr="00803973">
        <w:rPr>
          <w:rFonts w:ascii="Palatino Linotype" w:eastAsia="Calibri" w:hAnsi="Palatino Linotype" w:cs="Calibri"/>
          <w:sz w:val="22"/>
        </w:rPr>
        <w:t>sales at the end of 201</w:t>
      </w:r>
      <w:r w:rsidR="0034227C" w:rsidRPr="00803973">
        <w:rPr>
          <w:rFonts w:ascii="Palatino Linotype" w:eastAsia="Calibri" w:hAnsi="Palatino Linotype" w:cs="Calibri"/>
          <w:sz w:val="22"/>
        </w:rPr>
        <w:t>5</w:t>
      </w:r>
      <w:r w:rsidR="000D1545" w:rsidRPr="00803973">
        <w:rPr>
          <w:rFonts w:ascii="Palatino Linotype" w:eastAsia="Calibri" w:hAnsi="Palatino Linotype" w:cs="Calibri"/>
          <w:sz w:val="22"/>
        </w:rPr>
        <w:t xml:space="preserve"> (which we may never know)</w:t>
      </w:r>
      <w:r w:rsidR="00895A9D" w:rsidRPr="00803973">
        <w:rPr>
          <w:rFonts w:ascii="Palatino Linotype" w:eastAsia="Calibri" w:hAnsi="Palatino Linotype" w:cs="Calibri"/>
          <w:sz w:val="22"/>
        </w:rPr>
        <w:t>.</w:t>
      </w:r>
      <w:r w:rsidR="0090042E" w:rsidRPr="00803973">
        <w:rPr>
          <w:rFonts w:ascii="Palatino Linotype" w:eastAsia="Calibri" w:hAnsi="Palatino Linotype" w:cs="Calibri"/>
          <w:sz w:val="22"/>
        </w:rPr>
        <w:t xml:space="preserve"> </w:t>
      </w:r>
      <w:r w:rsidR="00895A9D" w:rsidRPr="00803973">
        <w:rPr>
          <w:rFonts w:ascii="Palatino Linotype" w:eastAsia="Calibri" w:hAnsi="Palatino Linotype" w:cs="Calibri"/>
          <w:sz w:val="22"/>
        </w:rPr>
        <w:t>W</w:t>
      </w:r>
      <w:r w:rsidR="0090042E" w:rsidRPr="00803973">
        <w:rPr>
          <w:rFonts w:ascii="Palatino Linotype" w:eastAsia="Calibri" w:hAnsi="Palatino Linotype" w:cs="Calibri"/>
          <w:sz w:val="22"/>
        </w:rPr>
        <w:t>e believe most had</w:t>
      </w:r>
      <w:r w:rsidR="00C474C6" w:rsidRPr="00803973">
        <w:rPr>
          <w:rFonts w:ascii="Palatino Linotype" w:eastAsia="Calibri" w:hAnsi="Palatino Linotype" w:cs="Calibri"/>
          <w:sz w:val="22"/>
        </w:rPr>
        <w:t xml:space="preserve"> completed. T</w:t>
      </w:r>
      <w:r w:rsidR="0090042E" w:rsidRPr="00803973">
        <w:rPr>
          <w:rFonts w:ascii="Palatino Linotype" w:eastAsia="Calibri" w:hAnsi="Palatino Linotype" w:cs="Calibri"/>
          <w:sz w:val="22"/>
        </w:rPr>
        <w:t>he av</w:t>
      </w:r>
      <w:r w:rsidR="000D1545" w:rsidRPr="00803973">
        <w:rPr>
          <w:rFonts w:ascii="Palatino Linotype" w:eastAsia="Calibri" w:hAnsi="Palatino Linotype" w:cs="Calibri"/>
          <w:sz w:val="22"/>
        </w:rPr>
        <w:t xml:space="preserve">erage rate of supply </w:t>
      </w:r>
      <w:r w:rsidR="000D1545" w:rsidRPr="00803973">
        <w:rPr>
          <w:rFonts w:ascii="Palatino Linotype" w:eastAsia="Calibri" w:hAnsi="Palatino Linotype" w:cs="Calibri"/>
          <w:sz w:val="22"/>
        </w:rPr>
        <w:lastRenderedPageBreak/>
        <w:t xml:space="preserve">(defined </w:t>
      </w:r>
      <w:r w:rsidR="0090042E" w:rsidRPr="00803973">
        <w:rPr>
          <w:rFonts w:ascii="Palatino Linotype" w:eastAsia="Calibri" w:hAnsi="Palatino Linotype" w:cs="Calibri"/>
          <w:sz w:val="22"/>
        </w:rPr>
        <w:t xml:space="preserve">as </w:t>
      </w:r>
      <w:r w:rsidR="00294A56" w:rsidRPr="00803973">
        <w:rPr>
          <w:rFonts w:ascii="Palatino Linotype" w:eastAsia="Calibri" w:hAnsi="Palatino Linotype" w:cs="Calibri"/>
          <w:sz w:val="22"/>
        </w:rPr>
        <w:t>actual supply area</w:t>
      </w:r>
      <w:r w:rsidR="00314144" w:rsidRPr="00803973">
        <w:rPr>
          <w:rFonts w:ascii="Palatino Linotype" w:eastAsia="Calibri" w:hAnsi="Palatino Linotype" w:cs="Calibri"/>
          <w:sz w:val="22"/>
        </w:rPr>
        <w:t xml:space="preserve"> divided by maximum allowable area </w:t>
      </w:r>
      <w:r w:rsidR="00C474C6" w:rsidRPr="00803973">
        <w:rPr>
          <w:rFonts w:ascii="Palatino Linotype" w:eastAsia="Calibri" w:hAnsi="Palatino Linotype" w:cs="Calibri"/>
          <w:sz w:val="22"/>
        </w:rPr>
        <w:t>comprising</w:t>
      </w:r>
      <w:r w:rsidR="00314144" w:rsidRPr="00803973">
        <w:rPr>
          <w:rFonts w:ascii="Palatino Linotype" w:eastAsia="Calibri" w:hAnsi="Palatino Linotype" w:cs="Calibri"/>
          <w:sz w:val="22"/>
        </w:rPr>
        <w:t xml:space="preserve"> plot area multipl</w:t>
      </w:r>
      <w:r w:rsidR="00C474C6" w:rsidRPr="00803973">
        <w:rPr>
          <w:rFonts w:ascii="Palatino Linotype" w:eastAsia="Calibri" w:hAnsi="Palatino Linotype" w:cs="Calibri"/>
          <w:sz w:val="22"/>
        </w:rPr>
        <w:t>ied</w:t>
      </w:r>
      <w:r w:rsidR="00314144" w:rsidRPr="00803973">
        <w:rPr>
          <w:rFonts w:ascii="Palatino Linotype" w:eastAsia="Calibri" w:hAnsi="Palatino Linotype" w:cs="Calibri"/>
          <w:sz w:val="22"/>
        </w:rPr>
        <w:t xml:space="preserve"> by plot ratio) is </w:t>
      </w:r>
      <w:r w:rsidR="0034227C" w:rsidRPr="00803973">
        <w:rPr>
          <w:rFonts w:ascii="Palatino Linotype" w:eastAsia="Calibri" w:hAnsi="Palatino Linotype" w:cs="Calibri"/>
          <w:sz w:val="22"/>
        </w:rPr>
        <w:t>90.</w:t>
      </w:r>
      <w:r w:rsidR="00BB3688" w:rsidRPr="00803973">
        <w:rPr>
          <w:rFonts w:ascii="Palatino Linotype" w:eastAsia="Calibri" w:hAnsi="Palatino Linotype" w:cs="Calibri"/>
          <w:sz w:val="22"/>
        </w:rPr>
        <w:t>2</w:t>
      </w:r>
      <w:r w:rsidR="00314144" w:rsidRPr="00803973">
        <w:rPr>
          <w:rFonts w:ascii="Palatino Linotype" w:eastAsia="Calibri" w:hAnsi="Palatino Linotype" w:cs="Calibri"/>
          <w:sz w:val="22"/>
        </w:rPr>
        <w:t>%.</w:t>
      </w:r>
      <w:r w:rsidR="00712316" w:rsidRPr="00803973">
        <w:rPr>
          <w:rFonts w:ascii="Palatino Linotype" w:eastAsia="Calibri" w:hAnsi="Palatino Linotype" w:cs="Calibri"/>
          <w:sz w:val="22"/>
        </w:rPr>
        <w:t xml:space="preserve"> </w:t>
      </w:r>
    </w:p>
    <w:p w:rsidR="00480776" w:rsidRPr="00803973" w:rsidRDefault="00480776" w:rsidP="00D73B43">
      <w:pPr>
        <w:spacing w:after="120" w:line="276" w:lineRule="auto"/>
        <w:ind w:firstLine="600"/>
        <w:jc w:val="left"/>
        <w:rPr>
          <w:rFonts w:ascii="Palatino Linotype" w:eastAsia="Calibri" w:hAnsi="Palatino Linotype" w:cs="Calibri"/>
          <w:sz w:val="22"/>
        </w:rPr>
      </w:pPr>
      <w:r w:rsidRPr="00803973">
        <w:rPr>
          <w:rFonts w:ascii="Palatino Linotype" w:eastAsia="Calibri" w:hAnsi="Palatino Linotype" w:cs="Calibri"/>
          <w:sz w:val="22"/>
        </w:rPr>
        <w:t>Under a staged development and sales process, the housing</w:t>
      </w:r>
      <w:r w:rsidR="00BC07FA" w:rsidRPr="00803973">
        <w:rPr>
          <w:rFonts w:ascii="Palatino Linotype" w:eastAsia="Calibri" w:hAnsi="Palatino Linotype" w:cs="Calibri"/>
          <w:sz w:val="22"/>
        </w:rPr>
        <w:t xml:space="preserve"> supply time period </w:t>
      </w:r>
      <w:r w:rsidRPr="00803973">
        <w:rPr>
          <w:rFonts w:ascii="Palatino Linotype" w:eastAsia="Calibri" w:hAnsi="Palatino Linotype" w:cs="Calibri"/>
          <w:sz w:val="22"/>
        </w:rPr>
        <w:t>refers to the duration from obtaining</w:t>
      </w:r>
      <w:r w:rsidR="00BE3695" w:rsidRPr="00803973">
        <w:rPr>
          <w:rFonts w:ascii="Palatino Linotype" w:eastAsia="Calibri" w:hAnsi="Palatino Linotype" w:cs="Calibri"/>
          <w:sz w:val="22"/>
        </w:rPr>
        <w:t xml:space="preserve"> (leasing)</w:t>
      </w:r>
      <w:r w:rsidRPr="00803973">
        <w:rPr>
          <w:rFonts w:ascii="Palatino Linotype" w:eastAsia="Calibri" w:hAnsi="Palatino Linotype" w:cs="Calibri"/>
          <w:sz w:val="22"/>
        </w:rPr>
        <w:t xml:space="preserve"> the land to the first tranche of sal</w:t>
      </w:r>
      <w:r w:rsidR="00A6600A" w:rsidRPr="00803973">
        <w:rPr>
          <w:rFonts w:ascii="Palatino Linotype" w:eastAsia="Calibri" w:hAnsi="Palatino Linotype" w:cs="Calibri"/>
          <w:sz w:val="22"/>
        </w:rPr>
        <w:t>e</w:t>
      </w:r>
      <w:r w:rsidRPr="00803973">
        <w:rPr>
          <w:rFonts w:ascii="Palatino Linotype" w:eastAsia="Calibri" w:hAnsi="Palatino Linotype" w:cs="Calibri"/>
          <w:sz w:val="22"/>
        </w:rPr>
        <w:t>, plus the intervals of each sale afterwards until marketing is closed.</w:t>
      </w:r>
      <w:r w:rsidR="00A6600A" w:rsidRPr="00803973">
        <w:rPr>
          <w:rFonts w:ascii="Palatino Linotype" w:eastAsia="Calibri" w:hAnsi="Palatino Linotype" w:cs="Calibri"/>
          <w:sz w:val="22"/>
        </w:rPr>
        <w:t xml:space="preserve"> In this research, </w:t>
      </w:r>
      <w:r w:rsidR="009218BB" w:rsidRPr="00803973">
        <w:rPr>
          <w:rFonts w:ascii="Palatino Linotype" w:eastAsia="Calibri" w:hAnsi="Palatino Linotype" w:cs="Calibri"/>
          <w:sz w:val="22"/>
        </w:rPr>
        <w:t>we use two time periods. The first is the</w:t>
      </w:r>
      <w:r w:rsidR="00533D86" w:rsidRPr="00803973">
        <w:rPr>
          <w:rFonts w:ascii="Palatino Linotype" w:eastAsia="Calibri" w:hAnsi="Palatino Linotype" w:cs="Calibri"/>
          <w:sz w:val="22"/>
        </w:rPr>
        <w:t xml:space="preserve"> </w:t>
      </w:r>
      <w:r w:rsidR="00A6600A" w:rsidRPr="00803973">
        <w:rPr>
          <w:rFonts w:ascii="Palatino Linotype" w:eastAsia="Calibri" w:hAnsi="Palatino Linotype" w:cs="Calibri"/>
          <w:sz w:val="22"/>
        </w:rPr>
        <w:t xml:space="preserve">period from acquiring the land to the </w:t>
      </w:r>
      <w:r w:rsidR="00160018" w:rsidRPr="00803973">
        <w:rPr>
          <w:rFonts w:ascii="Palatino Linotype" w:eastAsia="Calibri" w:hAnsi="Palatino Linotype" w:cs="Calibri"/>
          <w:sz w:val="22"/>
        </w:rPr>
        <w:t>last tranche of sale up</w:t>
      </w:r>
      <w:r w:rsidR="00BE3695" w:rsidRPr="00803973">
        <w:rPr>
          <w:rFonts w:ascii="Palatino Linotype" w:eastAsia="Calibri" w:hAnsi="Palatino Linotype" w:cs="Calibri"/>
          <w:sz w:val="22"/>
        </w:rPr>
        <w:t xml:space="preserve"> to</w:t>
      </w:r>
      <w:r w:rsidR="00A6600A" w:rsidRPr="00803973">
        <w:rPr>
          <w:rFonts w:ascii="Palatino Linotype" w:eastAsia="Calibri" w:hAnsi="Palatino Linotype" w:cs="Calibri"/>
          <w:sz w:val="22"/>
        </w:rPr>
        <w:t xml:space="preserve"> the end of 201</w:t>
      </w:r>
      <w:r w:rsidR="00070168" w:rsidRPr="00803973">
        <w:rPr>
          <w:rFonts w:ascii="Palatino Linotype" w:eastAsia="Calibri" w:hAnsi="Palatino Linotype" w:cs="Calibri"/>
          <w:sz w:val="22"/>
        </w:rPr>
        <w:t>5</w:t>
      </w:r>
      <w:r w:rsidR="009218BB" w:rsidRPr="00803973">
        <w:rPr>
          <w:rFonts w:ascii="Palatino Linotype" w:eastAsia="Calibri" w:hAnsi="Palatino Linotype" w:cs="Calibri"/>
          <w:sz w:val="22"/>
        </w:rPr>
        <w:t xml:space="preserve"> (“total period” for short</w:t>
      </w:r>
      <w:r w:rsidR="001035DF" w:rsidRPr="00803973">
        <w:rPr>
          <w:rFonts w:ascii="Palatino Linotype" w:eastAsia="Calibri" w:hAnsi="Palatino Linotype" w:cs="Calibri"/>
          <w:sz w:val="22"/>
        </w:rPr>
        <w:t xml:space="preserve"> and used for supply time in the following analysis if not stated otherwise</w:t>
      </w:r>
      <w:r w:rsidR="009218BB" w:rsidRPr="00803973">
        <w:rPr>
          <w:rFonts w:ascii="Palatino Linotype" w:eastAsia="Calibri" w:hAnsi="Palatino Linotype" w:cs="Calibri"/>
          <w:sz w:val="22"/>
        </w:rPr>
        <w:t>). The second</w:t>
      </w:r>
      <w:r w:rsidR="00CF131D" w:rsidRPr="00803973">
        <w:rPr>
          <w:rFonts w:ascii="Palatino Linotype" w:eastAsia="Calibri" w:hAnsi="Palatino Linotype" w:cs="Calibri"/>
          <w:sz w:val="22"/>
        </w:rPr>
        <w:t xml:space="preserve"> is the</w:t>
      </w:r>
      <w:r w:rsidR="00533D86" w:rsidRPr="00803973">
        <w:rPr>
          <w:rFonts w:ascii="Palatino Linotype" w:eastAsia="Calibri" w:hAnsi="Palatino Linotype" w:cs="Calibri"/>
          <w:sz w:val="22"/>
        </w:rPr>
        <w:t xml:space="preserve"> </w:t>
      </w:r>
      <w:r w:rsidR="00CF131D" w:rsidRPr="00803973">
        <w:rPr>
          <w:rFonts w:ascii="Palatino Linotype" w:eastAsia="Calibri" w:hAnsi="Palatino Linotype" w:cs="Calibri"/>
          <w:sz w:val="22"/>
        </w:rPr>
        <w:t>period from acquiring the land to the first tranche of sale (“first period” for short)</w:t>
      </w:r>
      <w:r w:rsidR="00A6600A" w:rsidRPr="00803973">
        <w:rPr>
          <w:rFonts w:ascii="Palatino Linotype" w:eastAsia="Calibri" w:hAnsi="Palatino Linotype" w:cs="Calibri"/>
          <w:sz w:val="22"/>
        </w:rPr>
        <w:t xml:space="preserve">. </w:t>
      </w:r>
    </w:p>
    <w:p w:rsidR="0089363C" w:rsidRPr="00803973" w:rsidRDefault="00712876" w:rsidP="002A0C11">
      <w:pPr>
        <w:spacing w:after="120" w:line="276" w:lineRule="auto"/>
        <w:ind w:firstLine="600"/>
        <w:jc w:val="left"/>
        <w:rPr>
          <w:rFonts w:ascii="Palatino Linotype" w:eastAsia="Calibri" w:hAnsi="Palatino Linotype" w:cs="Calibri"/>
          <w:sz w:val="22"/>
          <w:lang w:val="en-GB"/>
        </w:rPr>
      </w:pPr>
      <w:r w:rsidRPr="00803973">
        <w:rPr>
          <w:rFonts w:ascii="Palatino Linotype" w:eastAsia="Calibri" w:hAnsi="Palatino Linotype" w:cs="Calibri"/>
          <w:sz w:val="22"/>
          <w:lang w:val="en-GB"/>
        </w:rPr>
        <w:t xml:space="preserve">We begin with the estimation of </w:t>
      </w:r>
      <w:r w:rsidR="00BE3695" w:rsidRPr="00803973">
        <w:rPr>
          <w:rFonts w:ascii="Palatino Linotype" w:eastAsia="Calibri" w:hAnsi="Palatino Linotype" w:cs="Calibri"/>
          <w:sz w:val="22"/>
          <w:lang w:val="en-GB"/>
        </w:rPr>
        <w:t xml:space="preserve">the </w:t>
      </w:r>
      <w:r w:rsidR="00BE3695" w:rsidRPr="00803973">
        <w:rPr>
          <w:rFonts w:ascii="Palatino Linotype" w:eastAsia="Calibri" w:hAnsi="Palatino Linotype" w:cs="Calibri"/>
          <w:sz w:val="22"/>
        </w:rPr>
        <w:t xml:space="preserve">differences of mean supply quantity and supply time by </w:t>
      </w:r>
      <w:r w:rsidR="009964FC" w:rsidRPr="00803973">
        <w:rPr>
          <w:rFonts w:ascii="Palatino Linotype" w:eastAsia="Calibri" w:hAnsi="Palatino Linotype" w:cs="Calibri"/>
          <w:sz w:val="22"/>
        </w:rPr>
        <w:t>u</w:t>
      </w:r>
      <w:r w:rsidR="00533D86" w:rsidRPr="00803973">
        <w:rPr>
          <w:rFonts w:ascii="Palatino Linotype" w:eastAsia="Calibri" w:hAnsi="Palatino Linotype" w:cs="Calibri"/>
          <w:sz w:val="22"/>
        </w:rPr>
        <w:t>tiliz</w:t>
      </w:r>
      <w:r w:rsidR="009964FC" w:rsidRPr="00803973">
        <w:rPr>
          <w:rFonts w:ascii="Palatino Linotype" w:eastAsia="Calibri" w:hAnsi="Palatino Linotype" w:cs="Calibri"/>
          <w:sz w:val="22"/>
        </w:rPr>
        <w:t xml:space="preserve">ing the </w:t>
      </w:r>
      <w:r w:rsidR="00BC07FA" w:rsidRPr="00803973">
        <w:rPr>
          <w:rFonts w:ascii="Palatino Linotype" w:eastAsia="Calibri" w:hAnsi="Palatino Linotype" w:cs="Calibri"/>
          <w:sz w:val="22"/>
        </w:rPr>
        <w:t>qualitative regressor</w:t>
      </w:r>
      <w:r w:rsidR="009964FC" w:rsidRPr="00803973">
        <w:rPr>
          <w:rFonts w:ascii="Palatino Linotype" w:eastAsia="Calibri" w:hAnsi="Palatino Linotype" w:cs="Calibri"/>
          <w:sz w:val="22"/>
        </w:rPr>
        <w:t xml:space="preserve"> of location</w:t>
      </w:r>
      <w:r w:rsidR="0020259C" w:rsidRPr="00803973">
        <w:rPr>
          <w:rFonts w:ascii="Palatino Linotype" w:eastAsia="Calibri" w:hAnsi="Palatino Linotype" w:cs="Calibri"/>
          <w:sz w:val="22"/>
          <w:lang w:val="en-GB"/>
        </w:rPr>
        <w:t xml:space="preserve">. </w:t>
      </w:r>
      <w:r w:rsidR="0089363C" w:rsidRPr="00803973">
        <w:rPr>
          <w:rFonts w:ascii="Palatino Linotype" w:eastAsia="Calibri" w:hAnsi="Palatino Linotype" w:cs="Calibri"/>
          <w:sz w:val="22"/>
          <w:lang w:val="en-GB"/>
        </w:rPr>
        <w:t>For si</w:t>
      </w:r>
      <w:r w:rsidR="00533D86" w:rsidRPr="00803973">
        <w:rPr>
          <w:rFonts w:ascii="Palatino Linotype" w:eastAsia="Calibri" w:hAnsi="Palatino Linotype" w:cs="Calibri"/>
          <w:sz w:val="22"/>
          <w:lang w:val="en-GB"/>
        </w:rPr>
        <w:t>mplicity, location is divided into</w:t>
      </w:r>
      <w:r w:rsidR="00C862F6" w:rsidRPr="00803973">
        <w:rPr>
          <w:rFonts w:ascii="Palatino Linotype" w:eastAsia="Calibri" w:hAnsi="Palatino Linotype" w:cs="Calibri"/>
          <w:sz w:val="22"/>
          <w:lang w:val="en-GB"/>
        </w:rPr>
        <w:t xml:space="preserve"> </w:t>
      </w:r>
      <w:r w:rsidR="00CB3377" w:rsidRPr="00803973">
        <w:rPr>
          <w:rFonts w:ascii="Palatino Linotype" w:eastAsia="Calibri" w:hAnsi="Palatino Linotype" w:cs="Calibri"/>
          <w:sz w:val="22"/>
          <w:lang w:val="en-GB"/>
        </w:rPr>
        <w:t>central area</w:t>
      </w:r>
      <w:r w:rsidR="009A044F" w:rsidRPr="00803973">
        <w:rPr>
          <w:rFonts w:ascii="Palatino Linotype" w:eastAsia="Calibri" w:hAnsi="Palatino Linotype" w:cs="Calibri"/>
          <w:sz w:val="22"/>
          <w:lang w:val="en-GB"/>
        </w:rPr>
        <w:t>s</w:t>
      </w:r>
      <w:r w:rsidR="00CB3377" w:rsidRPr="00803973">
        <w:rPr>
          <w:rFonts w:ascii="Palatino Linotype" w:eastAsia="Calibri" w:hAnsi="Palatino Linotype" w:cs="Calibri"/>
          <w:sz w:val="22"/>
          <w:lang w:val="en-GB"/>
        </w:rPr>
        <w:t xml:space="preserve"> and suburb</w:t>
      </w:r>
      <w:r w:rsidR="009A044F" w:rsidRPr="00803973">
        <w:rPr>
          <w:rFonts w:ascii="Palatino Linotype" w:eastAsia="Calibri" w:hAnsi="Palatino Linotype" w:cs="Calibri"/>
          <w:sz w:val="22"/>
          <w:lang w:val="en-GB"/>
        </w:rPr>
        <w:t>s</w:t>
      </w:r>
      <w:r w:rsidR="0089363C" w:rsidRPr="00803973">
        <w:rPr>
          <w:rFonts w:ascii="Palatino Linotype" w:eastAsia="Calibri" w:hAnsi="Palatino Linotype" w:cs="Calibri"/>
          <w:sz w:val="22"/>
          <w:lang w:val="en-GB"/>
        </w:rPr>
        <w:t xml:space="preserve">. The former refers </w:t>
      </w:r>
      <w:r w:rsidR="009A044F" w:rsidRPr="00803973">
        <w:rPr>
          <w:rFonts w:ascii="Palatino Linotype" w:eastAsia="Calibri" w:hAnsi="Palatino Linotype" w:cs="Calibri"/>
          <w:sz w:val="22"/>
          <w:lang w:val="en-GB"/>
        </w:rPr>
        <w:t xml:space="preserve">specifically </w:t>
      </w:r>
      <w:r w:rsidR="0089363C" w:rsidRPr="00803973">
        <w:rPr>
          <w:rFonts w:ascii="Palatino Linotype" w:eastAsia="Calibri" w:hAnsi="Palatino Linotype" w:cs="Calibri"/>
          <w:sz w:val="22"/>
          <w:lang w:val="en-GB"/>
        </w:rPr>
        <w:t>to</w:t>
      </w:r>
      <w:r w:rsidR="00C862F6" w:rsidRPr="00803973">
        <w:rPr>
          <w:rFonts w:ascii="Palatino Linotype" w:eastAsia="Calibri" w:hAnsi="Palatino Linotype" w:cs="Calibri"/>
          <w:sz w:val="22"/>
          <w:lang w:val="en-GB"/>
        </w:rPr>
        <w:t xml:space="preserve"> </w:t>
      </w:r>
      <w:r w:rsidR="00C552D6" w:rsidRPr="00803973">
        <w:rPr>
          <w:rFonts w:ascii="Palatino Linotype" w:eastAsia="Calibri" w:hAnsi="Palatino Linotype" w:cs="Calibri"/>
          <w:sz w:val="22"/>
          <w:lang w:val="en-GB"/>
        </w:rPr>
        <w:t>the areas with</w:t>
      </w:r>
      <w:r w:rsidR="00510D85" w:rsidRPr="00803973">
        <w:rPr>
          <w:rFonts w:ascii="Palatino Linotype" w:eastAsia="Calibri" w:hAnsi="Palatino Linotype" w:cs="Calibri"/>
          <w:sz w:val="22"/>
          <w:lang w:val="en-GB"/>
        </w:rPr>
        <w:t>in Inner-Ring r</w:t>
      </w:r>
      <w:r w:rsidR="00C552D6" w:rsidRPr="00803973">
        <w:rPr>
          <w:rFonts w:ascii="Palatino Linotype" w:eastAsia="Calibri" w:hAnsi="Palatino Linotype" w:cs="Calibri"/>
          <w:sz w:val="22"/>
          <w:lang w:val="en-GB"/>
        </w:rPr>
        <w:t>oad</w:t>
      </w:r>
      <w:r w:rsidR="00C57C41" w:rsidRPr="00803973">
        <w:rPr>
          <w:rFonts w:ascii="Palatino Linotype" w:eastAsia="Calibri" w:hAnsi="Palatino Linotype" w:cs="Calibri"/>
          <w:sz w:val="22"/>
          <w:lang w:val="en-GB"/>
        </w:rPr>
        <w:t xml:space="preserve"> (see</w:t>
      </w:r>
      <w:r w:rsidR="00A83AC7" w:rsidRPr="00803973">
        <w:rPr>
          <w:rFonts w:ascii="Palatino Linotype" w:eastAsia="Calibri" w:hAnsi="Palatino Linotype" w:cs="Calibri"/>
          <w:sz w:val="22"/>
          <w:lang w:val="en-GB"/>
        </w:rPr>
        <w:t xml:space="preserve"> Figure 1</w:t>
      </w:r>
      <w:r w:rsidR="00C57C41" w:rsidRPr="00803973">
        <w:rPr>
          <w:rFonts w:ascii="Palatino Linotype" w:eastAsia="Calibri" w:hAnsi="Palatino Linotype" w:cs="Calibri"/>
          <w:sz w:val="22"/>
          <w:lang w:val="en-GB"/>
        </w:rPr>
        <w:t>)</w:t>
      </w:r>
      <w:r w:rsidR="00C862F6" w:rsidRPr="00803973">
        <w:rPr>
          <w:rFonts w:ascii="Palatino Linotype" w:eastAsia="Calibri" w:hAnsi="Palatino Linotype" w:cs="Calibri"/>
          <w:sz w:val="22"/>
          <w:lang w:val="en-GB"/>
        </w:rPr>
        <w:t>, while the latter</w:t>
      </w:r>
      <w:r w:rsidR="000C1CBA" w:rsidRPr="00803973">
        <w:rPr>
          <w:rFonts w:ascii="Palatino Linotype" w:eastAsia="Calibri" w:hAnsi="Palatino Linotype" w:cs="Calibri"/>
          <w:sz w:val="22"/>
          <w:lang w:val="en-GB"/>
        </w:rPr>
        <w:t xml:space="preserve"> </w:t>
      </w:r>
      <w:r w:rsidR="00CB3377" w:rsidRPr="00803973">
        <w:rPr>
          <w:rFonts w:ascii="Palatino Linotype" w:eastAsia="Calibri" w:hAnsi="Palatino Linotype" w:cs="Calibri"/>
          <w:sz w:val="22"/>
          <w:lang w:val="en-GB"/>
        </w:rPr>
        <w:t xml:space="preserve">the </w:t>
      </w:r>
      <w:r w:rsidR="009A044F" w:rsidRPr="00803973">
        <w:rPr>
          <w:rFonts w:ascii="Palatino Linotype" w:eastAsia="Calibri" w:hAnsi="Palatino Linotype" w:cs="Calibri"/>
          <w:sz w:val="22"/>
          <w:lang w:val="en-GB"/>
        </w:rPr>
        <w:t xml:space="preserve">large </w:t>
      </w:r>
      <w:r w:rsidR="00C552D6" w:rsidRPr="00803973">
        <w:rPr>
          <w:rFonts w:ascii="Palatino Linotype" w:eastAsia="Calibri" w:hAnsi="Palatino Linotype" w:cs="Calibri"/>
          <w:sz w:val="22"/>
          <w:lang w:val="en-GB"/>
        </w:rPr>
        <w:t xml:space="preserve">areas outside of the </w:t>
      </w:r>
      <w:r w:rsidR="00510D85" w:rsidRPr="00803973">
        <w:rPr>
          <w:rFonts w:ascii="Palatino Linotype" w:eastAsia="Calibri" w:hAnsi="Palatino Linotype" w:cs="Calibri"/>
          <w:sz w:val="22"/>
          <w:lang w:val="en-GB"/>
        </w:rPr>
        <w:t>Inner-Ring r</w:t>
      </w:r>
      <w:r w:rsidR="00C552D6" w:rsidRPr="00803973">
        <w:rPr>
          <w:rFonts w:ascii="Palatino Linotype" w:eastAsia="Calibri" w:hAnsi="Palatino Linotype" w:cs="Calibri"/>
          <w:sz w:val="22"/>
          <w:lang w:val="en-GB"/>
        </w:rPr>
        <w:t>oad</w:t>
      </w:r>
      <w:r w:rsidR="00190BAF" w:rsidRPr="00803973">
        <w:rPr>
          <w:rFonts w:ascii="Palatino Linotype" w:eastAsia="Calibri" w:hAnsi="Palatino Linotype" w:cs="Calibri"/>
          <w:sz w:val="22"/>
          <w:lang w:val="en-GB"/>
        </w:rPr>
        <w:t xml:space="preserve"> (</w:t>
      </w:r>
      <w:r w:rsidR="00540089" w:rsidRPr="00803973">
        <w:rPr>
          <w:rFonts w:ascii="Palatino Linotype" w:eastAsia="Calibri" w:hAnsi="Palatino Linotype" w:cs="Calibri"/>
          <w:sz w:val="22"/>
          <w:lang w:val="en-GB"/>
        </w:rPr>
        <w:t>similar</w:t>
      </w:r>
      <w:r w:rsidR="009A044F" w:rsidRPr="00803973">
        <w:rPr>
          <w:rFonts w:ascii="Palatino Linotype" w:eastAsia="Calibri" w:hAnsi="Palatino Linotype" w:cs="Calibri"/>
          <w:sz w:val="22"/>
          <w:lang w:val="en-GB"/>
        </w:rPr>
        <w:t xml:space="preserve"> definition favoured by Forsyth, 2012)</w:t>
      </w:r>
      <w:r w:rsidR="00CB3377" w:rsidRPr="00803973">
        <w:rPr>
          <w:rFonts w:ascii="Palatino Linotype" w:eastAsia="Calibri" w:hAnsi="Palatino Linotype" w:cs="Calibri"/>
          <w:sz w:val="22"/>
          <w:lang w:val="en-GB"/>
        </w:rPr>
        <w:t xml:space="preserve">. </w:t>
      </w:r>
      <w:r w:rsidR="0089363C" w:rsidRPr="00803973">
        <w:rPr>
          <w:rFonts w:ascii="Palatino Linotype" w:eastAsia="Calibri" w:hAnsi="Palatino Linotype" w:cs="Calibri"/>
          <w:sz w:val="22"/>
          <w:lang w:val="en-GB"/>
        </w:rPr>
        <w:t>We use binary variable D</w:t>
      </w:r>
      <w:r w:rsidR="0089363C" w:rsidRPr="00803973">
        <w:rPr>
          <w:rFonts w:ascii="Palatino Linotype" w:eastAsia="Calibri" w:hAnsi="Palatino Linotype" w:cs="Calibri"/>
          <w:sz w:val="22"/>
          <w:vertAlign w:val="subscript"/>
          <w:lang w:val="en-GB"/>
        </w:rPr>
        <w:t>c</w:t>
      </w:r>
      <w:r w:rsidR="0089363C" w:rsidRPr="00803973">
        <w:rPr>
          <w:rFonts w:ascii="Palatino Linotype" w:eastAsia="Calibri" w:hAnsi="Palatino Linotype" w:cs="Calibri"/>
          <w:sz w:val="22"/>
          <w:lang w:val="en-GB"/>
        </w:rPr>
        <w:t xml:space="preserve"> to represent central location.</w:t>
      </w:r>
    </w:p>
    <w:p w:rsidR="001F76A7" w:rsidRPr="00803973" w:rsidRDefault="001F76A7" w:rsidP="001F76A7">
      <w:pPr>
        <w:spacing w:before="100" w:after="100" w:line="336" w:lineRule="auto"/>
        <w:jc w:val="left"/>
        <w:rPr>
          <w:rFonts w:ascii="Palatino Linotype" w:eastAsia="Times New Roman" w:hAnsi="Palatino Linotype" w:cs="Times New Roman"/>
          <w:b/>
          <w:color w:val="000000"/>
          <w:sz w:val="22"/>
        </w:rPr>
      </w:pPr>
      <w:r w:rsidRPr="00803973">
        <w:rPr>
          <w:rFonts w:ascii="Palatino Linotype" w:eastAsia="Times New Roman" w:hAnsi="Palatino Linotype" w:cs="Times New Roman"/>
          <w:b/>
          <w:noProof/>
          <w:color w:val="000000"/>
          <w:sz w:val="22"/>
          <w:lang w:val="en-GB" w:eastAsia="en-GB"/>
        </w:rPr>
        <w:drawing>
          <wp:inline distT="0" distB="0" distL="0" distR="0" wp14:anchorId="0CF2F1CB" wp14:editId="5F32A481">
            <wp:extent cx="5264611" cy="4305300"/>
            <wp:effectExtent l="0" t="0" r="0" b="0"/>
            <wp:docPr id="2" name="图片 11" descr="C:\Users\wangjing\Desktop\QQ截图20160124170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angjing\Desktop\QQ截图20160124170237.png"/>
                    <pic:cNvPicPr>
                      <a:picLocks noChangeAspect="1" noChangeArrowheads="1"/>
                    </pic:cNvPicPr>
                  </pic:nvPicPr>
                  <pic:blipFill>
                    <a:blip r:embed="rId10" cstate="print"/>
                    <a:srcRect/>
                    <a:stretch>
                      <a:fillRect/>
                    </a:stretch>
                  </pic:blipFill>
                  <pic:spPr bwMode="auto">
                    <a:xfrm>
                      <a:off x="0" y="0"/>
                      <a:ext cx="5266447" cy="4306801"/>
                    </a:xfrm>
                    <a:prstGeom prst="rect">
                      <a:avLst/>
                    </a:prstGeom>
                    <a:noFill/>
                    <a:ln w="9525">
                      <a:noFill/>
                      <a:miter lim="800000"/>
                      <a:headEnd/>
                      <a:tailEnd/>
                    </a:ln>
                  </pic:spPr>
                </pic:pic>
              </a:graphicData>
            </a:graphic>
          </wp:inline>
        </w:drawing>
      </w:r>
    </w:p>
    <w:p w:rsidR="000A4ACB" w:rsidRPr="00E95614" w:rsidRDefault="000A4ACB" w:rsidP="000A4ACB">
      <w:pPr>
        <w:spacing w:before="100" w:after="100" w:line="336" w:lineRule="auto"/>
        <w:jc w:val="center"/>
        <w:rPr>
          <w:rFonts w:ascii="Palatino Linotype" w:eastAsia="Times New Roman" w:hAnsi="Palatino Linotype" w:cs="Times New Roman"/>
          <w:b/>
          <w:color w:val="000000"/>
          <w:sz w:val="20"/>
          <w:szCs w:val="20"/>
        </w:rPr>
      </w:pPr>
      <w:r w:rsidRPr="00E95614">
        <w:rPr>
          <w:rFonts w:ascii="Palatino Linotype" w:eastAsia="Times New Roman" w:hAnsi="Palatino Linotype" w:cs="Times New Roman"/>
          <w:b/>
          <w:sz w:val="20"/>
          <w:szCs w:val="20"/>
        </w:rPr>
        <w:t xml:space="preserve">Figure 1 </w:t>
      </w:r>
      <w:r w:rsidRPr="00E95614">
        <w:rPr>
          <w:rFonts w:ascii="Palatino Linotype" w:eastAsia="Times New Roman" w:hAnsi="Palatino Linotype" w:cs="Times New Roman"/>
          <w:b/>
          <w:color w:val="000000"/>
          <w:sz w:val="20"/>
          <w:szCs w:val="20"/>
        </w:rPr>
        <w:t>Shanghai Ring-Road Map</w:t>
      </w:r>
    </w:p>
    <w:p w:rsidR="000A4ACB" w:rsidRPr="00803973" w:rsidRDefault="000A4ACB" w:rsidP="001F76A7">
      <w:pPr>
        <w:spacing w:after="200" w:line="276" w:lineRule="auto"/>
        <w:jc w:val="left"/>
        <w:rPr>
          <w:rFonts w:ascii="Palatino Linotype" w:eastAsia="Times New Roman" w:hAnsi="Palatino Linotype" w:cs="Times New Roman"/>
          <w:sz w:val="22"/>
          <w:lang w:val="en-GB"/>
        </w:rPr>
      </w:pPr>
    </w:p>
    <w:p w:rsidR="001F76A7" w:rsidRPr="00803973" w:rsidRDefault="001F76A7" w:rsidP="001F76A7">
      <w:pPr>
        <w:spacing w:after="200" w:line="276" w:lineRule="auto"/>
        <w:jc w:val="left"/>
        <w:rPr>
          <w:rFonts w:ascii="Palatino Linotype" w:eastAsia="Times New Roman" w:hAnsi="Palatino Linotype" w:cs="Times New Roman"/>
          <w:sz w:val="22"/>
        </w:rPr>
      </w:pPr>
      <w:r w:rsidRPr="00803973">
        <w:rPr>
          <w:rFonts w:ascii="Palatino Linotype" w:eastAsia="Times New Roman" w:hAnsi="Palatino Linotype" w:cs="Times New Roman"/>
          <w:sz w:val="22"/>
          <w:lang w:val="en-GB"/>
        </w:rPr>
        <w:lastRenderedPageBreak/>
        <w:t xml:space="preserve">Notes: up to the end of year 2015 Shanghai metropolitan region can be spatially divided by four ring roads, i.e. the Inner Ring (IR), the Middle Ring (MR), the Outer Ring (OR) and the Suburban Ring (SR). The above Google Map of Shanghai illustrates the four rings. IR is the urban core in the centre while MR is the ring outside of IR. OR is designated as the road S20 and SR is G1501. </w:t>
      </w:r>
    </w:p>
    <w:p w:rsidR="007E068A" w:rsidRPr="00803973" w:rsidRDefault="00031320" w:rsidP="007E068A">
      <w:pPr>
        <w:spacing w:after="120" w:line="276" w:lineRule="auto"/>
        <w:ind w:firstLine="600"/>
        <w:jc w:val="left"/>
        <w:rPr>
          <w:rFonts w:ascii="Palatino Linotype" w:eastAsia="Calibri" w:hAnsi="Palatino Linotype" w:cs="Calibri"/>
          <w:sz w:val="22"/>
          <w:lang w:val="en-GB"/>
        </w:rPr>
      </w:pPr>
      <w:r w:rsidRPr="00803973">
        <w:rPr>
          <w:rFonts w:ascii="Palatino Linotype" w:eastAsia="Calibri" w:hAnsi="Palatino Linotype" w:cs="Calibri"/>
          <w:sz w:val="22"/>
          <w:lang w:val="en-GB"/>
        </w:rPr>
        <w:t>T</w:t>
      </w:r>
      <w:r w:rsidR="001C4057" w:rsidRPr="00803973">
        <w:rPr>
          <w:rFonts w:ascii="Palatino Linotype" w:eastAsia="Calibri" w:hAnsi="Palatino Linotype" w:cs="Calibri"/>
          <w:sz w:val="22"/>
          <w:lang w:val="en-GB"/>
        </w:rPr>
        <w:t>he housing</w:t>
      </w:r>
      <w:r w:rsidR="00870615" w:rsidRPr="00803973">
        <w:rPr>
          <w:rFonts w:ascii="Palatino Linotype" w:eastAsia="Calibri" w:hAnsi="Palatino Linotype" w:cs="Calibri"/>
          <w:sz w:val="22"/>
          <w:lang w:val="en-GB"/>
        </w:rPr>
        <w:t>s</w:t>
      </w:r>
      <w:r w:rsidR="00870615" w:rsidRPr="00803973">
        <w:rPr>
          <w:rFonts w:ascii="Palatino Linotype" w:eastAsia="Calibri" w:hAnsi="Palatino Linotype" w:cs="Calibri"/>
          <w:color w:val="FF0000"/>
          <w:sz w:val="22"/>
          <w:lang w:val="en-GB"/>
        </w:rPr>
        <w:t xml:space="preserve"> </w:t>
      </w:r>
      <w:r w:rsidR="001C4057" w:rsidRPr="00803973">
        <w:rPr>
          <w:rFonts w:ascii="Palatino Linotype" w:eastAsia="Calibri" w:hAnsi="Palatino Linotype" w:cs="Calibri"/>
          <w:sz w:val="22"/>
          <w:lang w:val="en-GB"/>
        </w:rPr>
        <w:t>supplied in downtown areas differ</w:t>
      </w:r>
      <w:r w:rsidR="008242E7" w:rsidRPr="00803973">
        <w:rPr>
          <w:rFonts w:ascii="Palatino Linotype" w:eastAsia="Calibri" w:hAnsi="Palatino Linotype" w:cs="Calibri"/>
          <w:sz w:val="22"/>
          <w:lang w:val="en-GB"/>
        </w:rPr>
        <w:t xml:space="preserve"> from that in</w:t>
      </w:r>
      <w:r w:rsidR="001C4057" w:rsidRPr="00803973">
        <w:rPr>
          <w:rFonts w:ascii="Palatino Linotype" w:eastAsia="Calibri" w:hAnsi="Palatino Linotype" w:cs="Calibri"/>
          <w:sz w:val="22"/>
          <w:lang w:val="en-GB"/>
        </w:rPr>
        <w:t xml:space="preserve"> the suburbs</w:t>
      </w:r>
      <w:r w:rsidRPr="00803973">
        <w:rPr>
          <w:rFonts w:ascii="Palatino Linotype" w:eastAsia="Calibri" w:hAnsi="Palatino Linotype" w:cs="Calibri"/>
          <w:sz w:val="22"/>
          <w:lang w:val="en-GB"/>
        </w:rPr>
        <w:t xml:space="preserve">. In China </w:t>
      </w:r>
      <w:r w:rsidR="007E068A" w:rsidRPr="00803973">
        <w:rPr>
          <w:rFonts w:ascii="Palatino Linotype" w:eastAsia="Calibri" w:hAnsi="Palatino Linotype" w:cs="Calibri"/>
          <w:sz w:val="22"/>
          <w:lang w:val="en-GB"/>
        </w:rPr>
        <w:t>m</w:t>
      </w:r>
      <w:r w:rsidR="00107553" w:rsidRPr="00803973">
        <w:rPr>
          <w:rFonts w:ascii="Palatino Linotype" w:eastAsia="Calibri" w:hAnsi="Palatino Linotype" w:cs="Calibri"/>
          <w:sz w:val="22"/>
          <w:lang w:val="en-GB"/>
        </w:rPr>
        <w:t>any</w:t>
      </w:r>
      <w:r w:rsidR="007E068A" w:rsidRPr="00803973">
        <w:rPr>
          <w:rFonts w:ascii="Palatino Linotype" w:eastAsia="Calibri" w:hAnsi="Palatino Linotype" w:cs="Calibri"/>
          <w:sz w:val="22"/>
          <w:lang w:val="en-GB"/>
        </w:rPr>
        <w:t xml:space="preserve"> people st</w:t>
      </w:r>
      <w:r w:rsidR="00107553" w:rsidRPr="00803973">
        <w:rPr>
          <w:rFonts w:ascii="Palatino Linotype" w:eastAsia="Calibri" w:hAnsi="Palatino Linotype" w:cs="Calibri"/>
          <w:sz w:val="22"/>
          <w:lang w:val="en-GB"/>
        </w:rPr>
        <w:t xml:space="preserve">ill prefer to live in </w:t>
      </w:r>
      <w:r w:rsidR="00AE20A7" w:rsidRPr="00803973">
        <w:rPr>
          <w:rFonts w:ascii="Palatino Linotype" w:eastAsia="Calibri" w:hAnsi="Palatino Linotype" w:cs="Calibri"/>
          <w:sz w:val="22"/>
          <w:lang w:val="en-GB"/>
        </w:rPr>
        <w:t xml:space="preserve">well-developed </w:t>
      </w:r>
      <w:r w:rsidR="001C4057" w:rsidRPr="00803973">
        <w:rPr>
          <w:rFonts w:ascii="Palatino Linotype" w:eastAsia="Calibri" w:hAnsi="Palatino Linotype" w:cs="Calibri"/>
          <w:sz w:val="22"/>
          <w:lang w:val="en-GB"/>
        </w:rPr>
        <w:t>central</w:t>
      </w:r>
      <w:r w:rsidR="00107553" w:rsidRPr="00803973">
        <w:rPr>
          <w:rFonts w:ascii="Palatino Linotype" w:eastAsia="Calibri" w:hAnsi="Palatino Linotype" w:cs="Calibri"/>
          <w:sz w:val="22"/>
          <w:lang w:val="en-GB"/>
        </w:rPr>
        <w:t xml:space="preserve"> area</w:t>
      </w:r>
      <w:r w:rsidR="00113ADB" w:rsidRPr="00803973">
        <w:rPr>
          <w:rFonts w:ascii="Palatino Linotype" w:eastAsia="Calibri" w:hAnsi="Palatino Linotype" w:cs="Calibri"/>
          <w:sz w:val="22"/>
          <w:lang w:val="en-GB"/>
        </w:rPr>
        <w:t xml:space="preserve">s </w:t>
      </w:r>
      <w:r w:rsidR="001C4057" w:rsidRPr="00803973">
        <w:rPr>
          <w:rFonts w:ascii="Palatino Linotype" w:eastAsia="Calibri" w:hAnsi="Palatino Linotype" w:cs="Calibri"/>
          <w:sz w:val="22"/>
          <w:lang w:val="en-GB"/>
        </w:rPr>
        <w:t>which offer</w:t>
      </w:r>
      <w:r w:rsidR="00113ADB" w:rsidRPr="00803973">
        <w:rPr>
          <w:rFonts w:ascii="Palatino Linotype" w:eastAsia="Calibri" w:hAnsi="Palatino Linotype" w:cs="Calibri"/>
          <w:sz w:val="22"/>
          <w:lang w:val="en-GB"/>
        </w:rPr>
        <w:t xml:space="preserve"> </w:t>
      </w:r>
      <w:r w:rsidR="001C4057" w:rsidRPr="00803973">
        <w:rPr>
          <w:rFonts w:ascii="Palatino Linotype" w:eastAsia="Calibri" w:hAnsi="Palatino Linotype" w:cs="Calibri"/>
          <w:sz w:val="22"/>
          <w:lang w:val="en-GB"/>
        </w:rPr>
        <w:t>better job opportunities</w:t>
      </w:r>
      <w:r w:rsidR="007E068A" w:rsidRPr="00803973">
        <w:rPr>
          <w:rFonts w:ascii="Palatino Linotype" w:eastAsia="Calibri" w:hAnsi="Palatino Linotype" w:cs="Calibri"/>
          <w:sz w:val="22"/>
          <w:lang w:val="en-GB"/>
        </w:rPr>
        <w:t xml:space="preserve">, education, health care, transportation, etc. </w:t>
      </w:r>
      <w:r w:rsidR="00870615" w:rsidRPr="00803973">
        <w:rPr>
          <w:rFonts w:ascii="Palatino Linotype" w:eastAsia="Calibri" w:hAnsi="Palatino Linotype" w:cs="Calibri"/>
          <w:sz w:val="22"/>
          <w:lang w:val="en-GB"/>
        </w:rPr>
        <w:t>T</w:t>
      </w:r>
      <w:r w:rsidR="001C4057" w:rsidRPr="00803973">
        <w:rPr>
          <w:rFonts w:ascii="Palatino Linotype" w:eastAsia="Calibri" w:hAnsi="Palatino Linotype" w:cs="Calibri"/>
          <w:sz w:val="22"/>
          <w:lang w:val="en-GB"/>
        </w:rPr>
        <w:t>he majority</w:t>
      </w:r>
      <w:r w:rsidR="007E5ACB" w:rsidRPr="00803973">
        <w:rPr>
          <w:rFonts w:ascii="Palatino Linotype" w:eastAsia="Calibri" w:hAnsi="Palatino Linotype" w:cs="Calibri"/>
          <w:sz w:val="22"/>
          <w:lang w:val="en-GB"/>
        </w:rPr>
        <w:t>, however,</w:t>
      </w:r>
      <w:r w:rsidR="001C4057" w:rsidRPr="00803973">
        <w:rPr>
          <w:rFonts w:ascii="Palatino Linotype" w:eastAsia="Calibri" w:hAnsi="Palatino Linotype" w:cs="Calibri"/>
          <w:sz w:val="22"/>
          <w:lang w:val="en-GB"/>
        </w:rPr>
        <w:t xml:space="preserve"> eventuate</w:t>
      </w:r>
      <w:r w:rsidR="00470F27" w:rsidRPr="00803973">
        <w:rPr>
          <w:rFonts w:ascii="Palatino Linotype" w:eastAsia="Calibri" w:hAnsi="Palatino Linotype" w:cs="Calibri"/>
          <w:sz w:val="22"/>
          <w:lang w:val="en-GB"/>
        </w:rPr>
        <w:t xml:space="preserve"> residing in newly-developed suburb</w:t>
      </w:r>
      <w:r w:rsidR="00E3423E" w:rsidRPr="00803973">
        <w:rPr>
          <w:rFonts w:ascii="Palatino Linotype" w:eastAsia="Calibri" w:hAnsi="Palatino Linotype" w:cs="Calibri"/>
          <w:sz w:val="22"/>
          <w:lang w:val="en-GB"/>
        </w:rPr>
        <w:t>an</w:t>
      </w:r>
      <w:r w:rsidR="00470F27" w:rsidRPr="00803973">
        <w:rPr>
          <w:rFonts w:ascii="Palatino Linotype" w:eastAsia="Calibri" w:hAnsi="Palatino Linotype" w:cs="Calibri"/>
          <w:sz w:val="22"/>
          <w:lang w:val="en-GB"/>
        </w:rPr>
        <w:t xml:space="preserve"> areas </w:t>
      </w:r>
      <w:r w:rsidR="00E9679E" w:rsidRPr="00803973">
        <w:rPr>
          <w:rFonts w:ascii="Palatino Linotype" w:eastAsia="Calibri" w:hAnsi="Palatino Linotype" w:cs="Calibri"/>
          <w:sz w:val="22"/>
          <w:lang w:val="en-GB"/>
        </w:rPr>
        <w:t>on account of affordability, more spacious dwelling and better environment</w:t>
      </w:r>
      <w:r w:rsidR="000A7EC9" w:rsidRPr="00803973">
        <w:rPr>
          <w:rFonts w:ascii="Palatino Linotype" w:eastAsia="Calibri" w:hAnsi="Palatino Linotype" w:cs="Calibri"/>
          <w:sz w:val="22"/>
          <w:lang w:val="en-GB"/>
        </w:rPr>
        <w:t>.</w:t>
      </w:r>
      <w:r w:rsidR="00113ADB" w:rsidRPr="00803973">
        <w:rPr>
          <w:rFonts w:ascii="Palatino Linotype" w:eastAsia="Calibri" w:hAnsi="Palatino Linotype" w:cs="Calibri"/>
          <w:sz w:val="22"/>
          <w:lang w:val="en-GB"/>
        </w:rPr>
        <w:t xml:space="preserve"> </w:t>
      </w:r>
      <w:r w:rsidR="007E068A" w:rsidRPr="00803973">
        <w:rPr>
          <w:rFonts w:ascii="Palatino Linotype" w:eastAsia="Calibri" w:hAnsi="Palatino Linotype" w:cs="Calibri"/>
          <w:sz w:val="22"/>
          <w:lang w:val="en-GB"/>
        </w:rPr>
        <w:t xml:space="preserve">Thus the differences in demand </w:t>
      </w:r>
      <w:r w:rsidR="000A7EC9" w:rsidRPr="00803973">
        <w:rPr>
          <w:rFonts w:ascii="Palatino Linotype" w:eastAsia="Calibri" w:hAnsi="Palatino Linotype" w:cs="Calibri"/>
          <w:sz w:val="22"/>
          <w:lang w:val="en-GB"/>
        </w:rPr>
        <w:t xml:space="preserve">and urbanization </w:t>
      </w:r>
      <w:r w:rsidR="007E068A" w:rsidRPr="00803973">
        <w:rPr>
          <w:rFonts w:ascii="Palatino Linotype" w:eastAsia="Calibri" w:hAnsi="Palatino Linotype" w:cs="Calibri"/>
          <w:sz w:val="22"/>
          <w:lang w:val="en-GB"/>
        </w:rPr>
        <w:t xml:space="preserve">could be reflected in supply quantity. More conspicuous may be the difference of supply time for the two locations, given that </w:t>
      </w:r>
      <w:r w:rsidR="001C4057" w:rsidRPr="00803973">
        <w:rPr>
          <w:rFonts w:ascii="Palatino Linotype" w:eastAsia="Calibri" w:hAnsi="Palatino Linotype" w:cs="Calibri"/>
          <w:sz w:val="22"/>
          <w:lang w:val="en-GB"/>
        </w:rPr>
        <w:t xml:space="preserve">centrally located </w:t>
      </w:r>
      <w:r w:rsidR="007E068A" w:rsidRPr="00803973">
        <w:rPr>
          <w:rFonts w:ascii="Palatino Linotype" w:eastAsia="Calibri" w:hAnsi="Palatino Linotype" w:cs="Calibri"/>
          <w:sz w:val="22"/>
          <w:lang w:val="en-GB"/>
        </w:rPr>
        <w:t>projects are more complex and time consuming to develop.</w:t>
      </w:r>
      <w:r w:rsidR="00C5044D" w:rsidRPr="00803973">
        <w:rPr>
          <w:rFonts w:ascii="Palatino Linotype" w:eastAsia="Calibri" w:hAnsi="Palatino Linotype" w:cs="Calibri"/>
          <w:sz w:val="22"/>
          <w:lang w:val="en-GB"/>
        </w:rPr>
        <w:t xml:space="preserve"> We use </w:t>
      </w:r>
      <w:r w:rsidR="00D85AAA" w:rsidRPr="00803973">
        <w:rPr>
          <w:rFonts w:ascii="Palatino Linotype" w:hAnsi="Palatino Linotype" w:cs="Calibri"/>
          <w:sz w:val="22"/>
          <w:lang w:val="en-GB"/>
        </w:rPr>
        <w:t>Equation 1a and Equation 1b</w:t>
      </w:r>
      <w:r w:rsidR="00C5044D" w:rsidRPr="00803973">
        <w:rPr>
          <w:rFonts w:ascii="Palatino Linotype" w:eastAsia="Calibri" w:hAnsi="Palatino Linotype" w:cs="Calibri"/>
          <w:sz w:val="22"/>
          <w:lang w:val="en-GB"/>
        </w:rPr>
        <w:t xml:space="preserve"> to estimate the mean supply differences resulted from</w:t>
      </w:r>
      <w:r w:rsidR="005667DA" w:rsidRPr="00803973">
        <w:rPr>
          <w:rFonts w:ascii="Palatino Linotype" w:eastAsia="Calibri" w:hAnsi="Palatino Linotype" w:cs="Calibri"/>
          <w:sz w:val="22"/>
          <w:lang w:val="en-GB"/>
        </w:rPr>
        <w:t xml:space="preserve"> different</w:t>
      </w:r>
      <w:r w:rsidR="00C5044D" w:rsidRPr="00803973">
        <w:rPr>
          <w:rFonts w:ascii="Palatino Linotype" w:eastAsia="Calibri" w:hAnsi="Palatino Linotype" w:cs="Calibri"/>
          <w:sz w:val="22"/>
          <w:lang w:val="en-GB"/>
        </w:rPr>
        <w:t xml:space="preserve"> location</w:t>
      </w:r>
      <w:r w:rsidR="00870615" w:rsidRPr="00803973">
        <w:rPr>
          <w:rFonts w:ascii="Palatino Linotype" w:eastAsia="Calibri" w:hAnsi="Palatino Linotype" w:cs="Calibri"/>
          <w:sz w:val="22"/>
          <w:lang w:val="en-GB"/>
        </w:rPr>
        <w:t>s</w:t>
      </w:r>
      <w:r w:rsidR="00C5044D" w:rsidRPr="00803973">
        <w:rPr>
          <w:rFonts w:ascii="Palatino Linotype" w:eastAsia="Calibri" w:hAnsi="Palatino Linotype" w:cs="Calibri"/>
          <w:sz w:val="22"/>
          <w:lang w:val="en-GB"/>
        </w:rPr>
        <w:t>.</w:t>
      </w:r>
    </w:p>
    <w:p w:rsidR="00C5044D" w:rsidRPr="00803973" w:rsidRDefault="00CD6B02" w:rsidP="00C917F4">
      <w:pPr>
        <w:spacing w:after="120" w:line="276" w:lineRule="auto"/>
        <w:jc w:val="center"/>
        <w:rPr>
          <w:rFonts w:ascii="Palatino Linotype" w:eastAsia="Calibri" w:hAnsi="Palatino Linotype" w:cs="Calibri"/>
          <w:sz w:val="22"/>
          <w:lang w:val="en-GB"/>
        </w:rPr>
      </w:pPr>
      <m:oMath>
        <m:sSubSup>
          <m:sSubSupPr>
            <m:ctrlPr>
              <w:rPr>
                <w:rFonts w:ascii="Cambria Math" w:eastAsia="Calibri" w:hAnsi="Cambria Math" w:cs="Calibri"/>
                <w:i/>
                <w:sz w:val="22"/>
                <w:lang w:val="en-GB"/>
              </w:rPr>
            </m:ctrlPr>
          </m:sSubSupPr>
          <m:e>
            <m:r>
              <w:rPr>
                <w:rFonts w:ascii="Cambria Math" w:eastAsia="Calibri" w:hAnsi="Cambria Math" w:cs="Calibri"/>
                <w:sz w:val="22"/>
                <w:lang w:val="en-GB"/>
              </w:rPr>
              <m:t>Y</m:t>
            </m:r>
          </m:e>
          <m:sub>
            <m:r>
              <w:rPr>
                <w:rFonts w:ascii="Cambria Math" w:eastAsia="Calibri" w:hAnsi="Cambria Math" w:cs="Calibri"/>
                <w:sz w:val="22"/>
                <w:lang w:val="en-GB"/>
              </w:rPr>
              <m:t>1i</m:t>
            </m:r>
          </m:sub>
          <m:sup>
            <m:r>
              <w:rPr>
                <w:rFonts w:ascii="Cambria Math" w:eastAsia="Calibri" w:hAnsi="Cambria Math" w:cs="Calibri"/>
                <w:sz w:val="22"/>
                <w:lang w:val="en-GB"/>
              </w:rPr>
              <m:t>α</m:t>
            </m:r>
          </m:sup>
        </m:sSubSup>
        <m:r>
          <w:rPr>
            <w:rFonts w:ascii="Cambria Math" w:eastAsia="Calibri" w:hAnsi="Cambria Math" w:cs="Calibri"/>
            <w:sz w:val="22"/>
            <w:lang w:val="en-GB"/>
          </w:rPr>
          <m:t xml:space="preserve">= </m:t>
        </m:r>
        <m:sSub>
          <m:sSubPr>
            <m:ctrlPr>
              <w:rPr>
                <w:rFonts w:ascii="Cambria Math" w:eastAsia="Calibri" w:hAnsi="Cambria Math" w:cs="Calibri"/>
                <w:i/>
                <w:sz w:val="22"/>
                <w:lang w:val="en-GB"/>
              </w:rPr>
            </m:ctrlPr>
          </m:sSubPr>
          <m:e>
            <m:r>
              <w:rPr>
                <w:rFonts w:ascii="Cambria Math" w:eastAsia="Calibri" w:hAnsi="Cambria Math" w:cs="Calibri"/>
                <w:sz w:val="22"/>
                <w:lang w:val="en-GB"/>
              </w:rPr>
              <m:t>α</m:t>
            </m:r>
          </m:e>
          <m:sub>
            <m:r>
              <w:rPr>
                <w:rFonts w:ascii="Cambria Math" w:eastAsia="Calibri" w:hAnsi="Cambria Math" w:cs="Calibri"/>
                <w:sz w:val="22"/>
                <w:lang w:val="en-GB"/>
              </w:rPr>
              <m:t>10</m:t>
            </m:r>
          </m:sub>
        </m:sSub>
        <m:r>
          <w:rPr>
            <w:rFonts w:ascii="Cambria Math" w:eastAsia="Calibri" w:hAnsi="Cambria Math" w:cs="Calibri"/>
            <w:sz w:val="22"/>
            <w:lang w:val="en-GB"/>
          </w:rPr>
          <m:t xml:space="preserve"> + </m:t>
        </m:r>
        <m:sSub>
          <m:sSubPr>
            <m:ctrlPr>
              <w:rPr>
                <w:rFonts w:ascii="Cambria Math" w:eastAsia="Calibri" w:hAnsi="Cambria Math" w:cs="Calibri"/>
                <w:i/>
                <w:sz w:val="22"/>
                <w:lang w:val="en-GB"/>
              </w:rPr>
            </m:ctrlPr>
          </m:sSubPr>
          <m:e>
            <m:sSub>
              <m:sSubPr>
                <m:ctrlPr>
                  <w:rPr>
                    <w:rFonts w:ascii="Cambria Math" w:eastAsia="Calibri" w:hAnsi="Cambria Math" w:cs="Calibri"/>
                    <w:i/>
                    <w:sz w:val="22"/>
                    <w:lang w:val="en-GB"/>
                  </w:rPr>
                </m:ctrlPr>
              </m:sSubPr>
              <m:e>
                <m:r>
                  <w:rPr>
                    <w:rFonts w:ascii="Cambria Math" w:eastAsia="Calibri" w:hAnsi="Cambria Math" w:cs="Calibri"/>
                    <w:sz w:val="22"/>
                    <w:lang w:val="en-GB"/>
                  </w:rPr>
                  <m:t>α</m:t>
                </m:r>
              </m:e>
              <m:sub>
                <m:r>
                  <w:rPr>
                    <w:rFonts w:ascii="Cambria Math" w:eastAsia="Calibri" w:hAnsi="Cambria Math" w:cs="Calibri"/>
                    <w:sz w:val="22"/>
                    <w:lang w:val="en-GB"/>
                  </w:rPr>
                  <m:t>11</m:t>
                </m:r>
              </m:sub>
            </m:sSub>
            <m:r>
              <w:rPr>
                <w:rFonts w:ascii="Cambria Math" w:eastAsia="Calibri" w:hAnsi="Cambria Math" w:cs="Calibri"/>
                <w:sz w:val="22"/>
                <w:lang w:val="en-GB"/>
              </w:rPr>
              <m:t>D</m:t>
            </m:r>
          </m:e>
          <m:sub>
            <m:r>
              <w:rPr>
                <w:rFonts w:ascii="Cambria Math" w:eastAsia="Calibri" w:hAnsi="Cambria Math" w:cs="Calibri"/>
                <w:sz w:val="22"/>
                <w:lang w:val="en-GB"/>
              </w:rPr>
              <m:t>ci</m:t>
            </m:r>
          </m:sub>
        </m:sSub>
        <m:r>
          <w:rPr>
            <w:rFonts w:ascii="Cambria Math" w:eastAsia="Calibri" w:hAnsi="Cambria Math" w:cs="Calibri"/>
            <w:sz w:val="22"/>
            <w:lang w:val="en-GB"/>
          </w:rPr>
          <m:t xml:space="preserve"> + </m:t>
        </m:r>
        <m:sSubSup>
          <m:sSubSupPr>
            <m:ctrlPr>
              <w:rPr>
                <w:rFonts w:ascii="Cambria Math" w:eastAsia="Calibri" w:hAnsi="Cambria Math" w:cs="Calibri"/>
                <w:i/>
                <w:sz w:val="22"/>
                <w:lang w:val="en-GB"/>
              </w:rPr>
            </m:ctrlPr>
          </m:sSubSupPr>
          <m:e>
            <m:r>
              <w:rPr>
                <w:rFonts w:ascii="Cambria Math" w:eastAsia="Calibri" w:hAnsi="Cambria Math" w:cs="Calibri"/>
                <w:sz w:val="22"/>
                <w:lang w:val="en-GB"/>
              </w:rPr>
              <m:t>μ</m:t>
            </m:r>
          </m:e>
          <m:sub>
            <m:r>
              <w:rPr>
                <w:rFonts w:ascii="Cambria Math" w:eastAsia="Calibri" w:hAnsi="Cambria Math" w:cs="Calibri"/>
                <w:sz w:val="22"/>
                <w:lang w:val="en-GB"/>
              </w:rPr>
              <m:t>1i</m:t>
            </m:r>
          </m:sub>
          <m:sup>
            <m:r>
              <w:rPr>
                <w:rFonts w:ascii="Cambria Math" w:eastAsia="Calibri" w:hAnsi="Cambria Math" w:cs="Calibri"/>
                <w:sz w:val="22"/>
                <w:lang w:val="en-GB"/>
              </w:rPr>
              <m:t>α</m:t>
            </m:r>
          </m:sup>
        </m:sSubSup>
        <m:r>
          <w:rPr>
            <w:rFonts w:ascii="Cambria Math" w:eastAsia="Calibri" w:hAnsi="Cambria Math" w:cs="Calibri"/>
            <w:sz w:val="22"/>
            <w:lang w:val="en-GB"/>
          </w:rPr>
          <m:t>;   i =1,2,…,833</m:t>
        </m:r>
      </m:oMath>
      <w:r w:rsidR="00C5044D" w:rsidRPr="00803973">
        <w:rPr>
          <w:rFonts w:ascii="Palatino Linotype" w:eastAsia="Calibri" w:hAnsi="Palatino Linotype" w:cs="Calibri"/>
          <w:sz w:val="22"/>
          <w:lang w:val="en-GB"/>
        </w:rPr>
        <w:t xml:space="preserve">              </w:t>
      </w:r>
      <w:r w:rsidR="00C5044D" w:rsidRPr="00803973">
        <w:rPr>
          <w:rFonts w:ascii="Palatino Linotype" w:eastAsia="Calibri" w:hAnsi="Palatino Linotype" w:cs="Calibri"/>
          <w:b/>
          <w:sz w:val="22"/>
          <w:lang w:val="en-GB"/>
        </w:rPr>
        <w:t>1a</w:t>
      </w:r>
    </w:p>
    <w:p w:rsidR="00C5044D" w:rsidRPr="00803973" w:rsidRDefault="00CD6B02" w:rsidP="00031320">
      <w:pPr>
        <w:spacing w:after="120" w:line="276" w:lineRule="auto"/>
        <w:jc w:val="center"/>
        <w:rPr>
          <w:rFonts w:ascii="Palatino Linotype" w:eastAsia="Calibri" w:hAnsi="Palatino Linotype" w:cs="Calibri"/>
          <w:sz w:val="22"/>
          <w:lang w:val="en-GB"/>
        </w:rPr>
      </w:pPr>
      <m:oMathPara>
        <m:oMathParaPr>
          <m:jc m:val="center"/>
        </m:oMathParaPr>
        <m:oMath>
          <m:sSubSup>
            <m:sSubSupPr>
              <m:ctrlPr>
                <w:rPr>
                  <w:rFonts w:ascii="Cambria Math" w:eastAsia="Calibri" w:hAnsi="Cambria Math" w:cs="Calibri"/>
                  <w:i/>
                  <w:sz w:val="22"/>
                  <w:lang w:val="en-GB"/>
                </w:rPr>
              </m:ctrlPr>
            </m:sSubSupPr>
            <m:e>
              <m:r>
                <w:rPr>
                  <w:rFonts w:ascii="Cambria Math" w:eastAsia="Calibri" w:hAnsi="Cambria Math" w:cs="Calibri"/>
                  <w:sz w:val="22"/>
                  <w:lang w:val="en-GB"/>
                </w:rPr>
                <m:t>Y</m:t>
              </m:r>
            </m:e>
            <m:sub>
              <m:r>
                <w:rPr>
                  <w:rFonts w:ascii="Cambria Math" w:eastAsia="Calibri" w:hAnsi="Cambria Math" w:cs="Calibri"/>
                  <w:sz w:val="22"/>
                  <w:lang w:val="en-GB"/>
                </w:rPr>
                <m:t>2i</m:t>
              </m:r>
            </m:sub>
            <m:sup>
              <m:r>
                <w:rPr>
                  <w:rFonts w:ascii="Cambria Math" w:eastAsia="Calibri" w:hAnsi="Cambria Math" w:cs="Calibri"/>
                  <w:sz w:val="22"/>
                  <w:lang w:val="en-GB"/>
                </w:rPr>
                <m:t>α</m:t>
              </m:r>
            </m:sup>
          </m:sSubSup>
          <m:r>
            <w:rPr>
              <w:rFonts w:ascii="Cambria Math" w:eastAsia="Calibri" w:hAnsi="Cambria Math" w:cs="Calibri"/>
              <w:sz w:val="22"/>
              <w:lang w:val="en-GB"/>
            </w:rPr>
            <m:t xml:space="preserve">= </m:t>
          </m:r>
          <m:sSub>
            <m:sSubPr>
              <m:ctrlPr>
                <w:rPr>
                  <w:rFonts w:ascii="Cambria Math" w:eastAsia="Calibri" w:hAnsi="Cambria Math" w:cs="Calibri"/>
                  <w:i/>
                  <w:sz w:val="22"/>
                  <w:lang w:val="en-GB"/>
                </w:rPr>
              </m:ctrlPr>
            </m:sSubPr>
            <m:e>
              <m:r>
                <w:rPr>
                  <w:rFonts w:ascii="Cambria Math" w:eastAsia="Calibri" w:hAnsi="Cambria Math" w:cs="Calibri"/>
                  <w:sz w:val="22"/>
                  <w:lang w:val="en-GB"/>
                </w:rPr>
                <m:t>α</m:t>
              </m:r>
            </m:e>
            <m:sub>
              <m:r>
                <w:rPr>
                  <w:rFonts w:ascii="Cambria Math" w:eastAsia="Calibri" w:hAnsi="Cambria Math" w:cs="Calibri"/>
                  <w:sz w:val="22"/>
                  <w:lang w:val="en-GB"/>
                </w:rPr>
                <m:t>20</m:t>
              </m:r>
            </m:sub>
          </m:sSub>
          <m:r>
            <w:rPr>
              <w:rFonts w:ascii="Cambria Math" w:eastAsia="Calibri" w:hAnsi="Cambria Math" w:cs="Calibri"/>
              <w:sz w:val="22"/>
              <w:lang w:val="en-GB"/>
            </w:rPr>
            <m:t xml:space="preserve"> + </m:t>
          </m:r>
          <m:sSub>
            <m:sSubPr>
              <m:ctrlPr>
                <w:rPr>
                  <w:rFonts w:ascii="Cambria Math" w:eastAsia="Calibri" w:hAnsi="Cambria Math" w:cs="Calibri"/>
                  <w:i/>
                  <w:sz w:val="22"/>
                  <w:lang w:val="en-GB"/>
                </w:rPr>
              </m:ctrlPr>
            </m:sSubPr>
            <m:e>
              <m:sSub>
                <m:sSubPr>
                  <m:ctrlPr>
                    <w:rPr>
                      <w:rFonts w:ascii="Cambria Math" w:eastAsia="Calibri" w:hAnsi="Cambria Math" w:cs="Calibri"/>
                      <w:i/>
                      <w:sz w:val="22"/>
                      <w:lang w:val="en-GB"/>
                    </w:rPr>
                  </m:ctrlPr>
                </m:sSubPr>
                <m:e>
                  <m:r>
                    <w:rPr>
                      <w:rFonts w:ascii="Cambria Math" w:eastAsia="Calibri" w:hAnsi="Cambria Math" w:cs="Calibri"/>
                      <w:sz w:val="22"/>
                      <w:lang w:val="en-GB"/>
                    </w:rPr>
                    <m:t>α</m:t>
                  </m:r>
                </m:e>
                <m:sub>
                  <m:r>
                    <w:rPr>
                      <w:rFonts w:ascii="Cambria Math" w:eastAsia="Calibri" w:hAnsi="Cambria Math" w:cs="Calibri"/>
                      <w:sz w:val="22"/>
                      <w:lang w:val="en-GB"/>
                    </w:rPr>
                    <m:t>21</m:t>
                  </m:r>
                </m:sub>
              </m:sSub>
              <m:r>
                <w:rPr>
                  <w:rFonts w:ascii="Cambria Math" w:eastAsia="Calibri" w:hAnsi="Cambria Math" w:cs="Calibri"/>
                  <w:sz w:val="22"/>
                  <w:lang w:val="en-GB"/>
                </w:rPr>
                <m:t>D</m:t>
              </m:r>
            </m:e>
            <m:sub>
              <m:r>
                <w:rPr>
                  <w:rFonts w:ascii="Cambria Math" w:eastAsia="Calibri" w:hAnsi="Cambria Math" w:cs="Calibri"/>
                  <w:sz w:val="22"/>
                  <w:lang w:val="en-GB"/>
                </w:rPr>
                <m:t>ci</m:t>
              </m:r>
            </m:sub>
          </m:sSub>
          <m:r>
            <w:rPr>
              <w:rFonts w:ascii="Cambria Math" w:eastAsia="Calibri" w:hAnsi="Cambria Math" w:cs="Calibri"/>
              <w:sz w:val="22"/>
              <w:lang w:val="en-GB"/>
            </w:rPr>
            <m:t xml:space="preserve"> + </m:t>
          </m:r>
          <m:sSubSup>
            <m:sSubSupPr>
              <m:ctrlPr>
                <w:rPr>
                  <w:rFonts w:ascii="Cambria Math" w:eastAsia="Calibri" w:hAnsi="Cambria Math" w:cs="Calibri"/>
                  <w:i/>
                  <w:sz w:val="22"/>
                  <w:lang w:val="en-GB"/>
                </w:rPr>
              </m:ctrlPr>
            </m:sSubSupPr>
            <m:e>
              <m:r>
                <w:rPr>
                  <w:rFonts w:ascii="Cambria Math" w:eastAsia="Calibri" w:hAnsi="Cambria Math" w:cs="Calibri"/>
                  <w:sz w:val="22"/>
                  <w:lang w:val="en-GB"/>
                </w:rPr>
                <m:t>μ</m:t>
              </m:r>
            </m:e>
            <m:sub>
              <m:r>
                <w:rPr>
                  <w:rFonts w:ascii="Cambria Math" w:eastAsia="Calibri" w:hAnsi="Cambria Math" w:cs="Calibri"/>
                  <w:sz w:val="22"/>
                  <w:lang w:val="en-GB"/>
                </w:rPr>
                <m:t>2i</m:t>
              </m:r>
            </m:sub>
            <m:sup>
              <m:r>
                <w:rPr>
                  <w:rFonts w:ascii="Cambria Math" w:eastAsia="Calibri" w:hAnsi="Cambria Math" w:cs="Calibri"/>
                  <w:sz w:val="22"/>
                  <w:lang w:val="en-GB"/>
                </w:rPr>
                <m:t>α</m:t>
              </m:r>
            </m:sup>
          </m:sSubSup>
          <m:r>
            <w:rPr>
              <w:rFonts w:ascii="Cambria Math" w:eastAsia="Calibri" w:hAnsi="Cambria Math" w:cs="Calibri"/>
              <w:sz w:val="22"/>
              <w:lang w:val="en-GB"/>
            </w:rPr>
            <m:t xml:space="preserve">;   i =1,2,…,833               </m:t>
          </m:r>
          <m:r>
            <m:rPr>
              <m:sty m:val="b"/>
            </m:rPr>
            <w:rPr>
              <w:rFonts w:ascii="Cambria Math" w:eastAsia="Calibri" w:hAnsi="Cambria Math" w:cs="Calibri"/>
              <w:sz w:val="22"/>
              <w:lang w:val="en-GB"/>
            </w:rPr>
            <m:t>1b</m:t>
          </m:r>
        </m:oMath>
      </m:oMathPara>
    </w:p>
    <w:p w:rsidR="00C5044D" w:rsidRPr="00803973" w:rsidRDefault="00C5044D" w:rsidP="00C5044D">
      <w:pPr>
        <w:spacing w:after="120" w:line="276" w:lineRule="auto"/>
        <w:jc w:val="left"/>
        <w:rPr>
          <w:rFonts w:ascii="Palatino Linotype" w:eastAsia="Calibri" w:hAnsi="Palatino Linotype" w:cs="Calibri"/>
          <w:sz w:val="22"/>
          <w:lang w:val="en-GB"/>
        </w:rPr>
      </w:pPr>
      <w:r w:rsidRPr="00803973">
        <w:rPr>
          <w:rFonts w:ascii="Palatino Linotype" w:eastAsia="Calibri" w:hAnsi="Palatino Linotype" w:cs="Calibri"/>
          <w:sz w:val="22"/>
          <w:lang w:val="en-GB"/>
        </w:rPr>
        <w:t xml:space="preserve">Where: </w:t>
      </w:r>
    </w:p>
    <w:p w:rsidR="00C5044D" w:rsidRPr="00803973" w:rsidRDefault="00CD6B02" w:rsidP="00C5044D">
      <w:pPr>
        <w:spacing w:after="120" w:line="276" w:lineRule="auto"/>
        <w:jc w:val="left"/>
        <w:rPr>
          <w:rFonts w:ascii="Palatino Linotype" w:eastAsia="Calibri" w:hAnsi="Palatino Linotype" w:cs="Calibri"/>
          <w:sz w:val="22"/>
          <w:lang w:val="en-GB"/>
        </w:rPr>
      </w:pPr>
      <m:oMathPara>
        <m:oMathParaPr>
          <m:jc m:val="left"/>
        </m:oMathParaPr>
        <m:oMath>
          <m:sSubSup>
            <m:sSubSupPr>
              <m:ctrlPr>
                <w:rPr>
                  <w:rFonts w:ascii="Cambria Math" w:eastAsia="Calibri" w:hAnsi="Cambria Math" w:cs="Calibri"/>
                  <w:i/>
                  <w:sz w:val="22"/>
                </w:rPr>
              </m:ctrlPr>
            </m:sSubSupPr>
            <m:e>
              <m:r>
                <w:rPr>
                  <w:rFonts w:ascii="Cambria Math" w:eastAsia="Calibri" w:hAnsi="Cambria Math" w:cs="Calibri"/>
                  <w:sz w:val="22"/>
                </w:rPr>
                <m:t>Y</m:t>
              </m:r>
            </m:e>
            <m:sub>
              <m:r>
                <w:rPr>
                  <w:rFonts w:ascii="Cambria Math" w:eastAsia="Calibri" w:hAnsi="Cambria Math" w:cs="Calibri"/>
                  <w:sz w:val="22"/>
                </w:rPr>
                <m:t>1</m:t>
              </m:r>
            </m:sub>
            <m:sup>
              <m:r>
                <w:rPr>
                  <w:rFonts w:ascii="Cambria Math" w:eastAsia="Calibri" w:hAnsi="Cambria Math" w:cs="Calibri"/>
                  <w:sz w:val="22"/>
                </w:rPr>
                <m:t>α</m:t>
              </m:r>
            </m:sup>
          </m:sSubSup>
          <m:r>
            <m:rPr>
              <m:sty m:val="p"/>
            </m:rPr>
            <w:rPr>
              <w:rFonts w:ascii="Cambria Math" w:hAnsi="Cambria Math" w:cs="Calibri"/>
              <w:kern w:val="0"/>
              <w:sz w:val="22"/>
            </w:rPr>
            <m:t xml:space="preserve"> =</m:t>
          </m:r>
          <m:r>
            <w:rPr>
              <w:rFonts w:ascii="Cambria Math" w:hAnsi="Cambria Math" w:cs="Cambria Math"/>
              <w:color w:val="000000"/>
              <w:sz w:val="22"/>
            </w:rPr>
            <m:t>housing</m:t>
          </m:r>
          <m:r>
            <w:rPr>
              <w:rFonts w:ascii="Cambria Math" w:hAnsi="Cambria Math" w:cs="Times New Roman"/>
              <w:color w:val="000000"/>
              <w:sz w:val="22"/>
            </w:rPr>
            <m:t xml:space="preserve"> </m:t>
          </m:r>
          <m:r>
            <w:rPr>
              <w:rFonts w:ascii="Cambria Math" w:hAnsi="Cambria Math" w:cs="Cambria Math"/>
              <w:color w:val="000000"/>
              <w:sz w:val="22"/>
            </w:rPr>
            <m:t>supply quantity for location</m:t>
          </m:r>
          <m:r>
            <w:rPr>
              <w:rFonts w:ascii="Cambria Math" w:hAnsi="Cambria Math" w:cs="Calibri"/>
              <w:kern w:val="0"/>
              <w:sz w:val="22"/>
            </w:rPr>
            <m:t xml:space="preserve"> </m:t>
          </m:r>
        </m:oMath>
      </m:oMathPara>
    </w:p>
    <w:p w:rsidR="00C5044D" w:rsidRPr="00803973" w:rsidRDefault="00CD6B02" w:rsidP="00C5044D">
      <w:pPr>
        <w:spacing w:after="120" w:line="276" w:lineRule="auto"/>
        <w:jc w:val="left"/>
        <w:rPr>
          <w:rFonts w:ascii="Palatino Linotype" w:eastAsia="Calibri" w:hAnsi="Palatino Linotype" w:cs="Calibri"/>
          <w:i/>
          <w:sz w:val="22"/>
        </w:rPr>
      </w:pPr>
      <m:oMathPara>
        <m:oMathParaPr>
          <m:jc m:val="left"/>
        </m:oMathParaPr>
        <m:oMath>
          <m:sSubSup>
            <m:sSubSupPr>
              <m:ctrlPr>
                <w:rPr>
                  <w:rFonts w:ascii="Cambria Math" w:eastAsia="SimSun" w:hAnsi="Cambria Math" w:cs="Calibri"/>
                  <w:i/>
                  <w:sz w:val="22"/>
                </w:rPr>
              </m:ctrlPr>
            </m:sSubSupPr>
            <m:e>
              <m:r>
                <w:rPr>
                  <w:rFonts w:ascii="Cambria Math" w:eastAsia="SimSun" w:hAnsi="Cambria Math" w:cs="Calibri"/>
                  <w:sz w:val="22"/>
                </w:rPr>
                <m:t>Y</m:t>
              </m:r>
            </m:e>
            <m:sub>
              <m:r>
                <w:rPr>
                  <w:rFonts w:ascii="Cambria Math" w:eastAsia="SimSun" w:hAnsi="Cambria Math" w:cs="Calibri"/>
                  <w:sz w:val="22"/>
                </w:rPr>
                <m:t>2</m:t>
              </m:r>
            </m:sub>
            <m:sup>
              <m:r>
                <w:rPr>
                  <w:rFonts w:ascii="Cambria Math" w:eastAsia="SimSun" w:hAnsi="Cambria Math" w:cs="Calibri"/>
                  <w:sz w:val="22"/>
                </w:rPr>
                <m:t>α</m:t>
              </m:r>
            </m:sup>
          </m:sSubSup>
          <m:r>
            <m:rPr>
              <m:sty m:val="p"/>
            </m:rPr>
            <w:rPr>
              <w:rFonts w:ascii="Cambria Math" w:hAnsi="Cambria Math" w:cs="Calibri"/>
              <w:kern w:val="0"/>
              <w:sz w:val="22"/>
            </w:rPr>
            <m:t>=</m:t>
          </m:r>
          <m:r>
            <w:rPr>
              <w:rFonts w:ascii="Cambria Math" w:hAnsi="Cambria Math" w:cs="Cambria Math"/>
              <w:color w:val="000000"/>
              <w:sz w:val="22"/>
            </w:rPr>
            <m:t>housing</m:t>
          </m:r>
          <m:r>
            <w:rPr>
              <w:rFonts w:ascii="Cambria Math" w:hAnsi="Cambria Math" w:cs="Times New Roman"/>
              <w:color w:val="000000"/>
              <w:sz w:val="22"/>
            </w:rPr>
            <m:t xml:space="preserve"> </m:t>
          </m:r>
          <m:r>
            <w:rPr>
              <w:rFonts w:ascii="Cambria Math" w:hAnsi="Cambria Math" w:cs="Cambria Math"/>
              <w:color w:val="000000"/>
              <w:sz w:val="22"/>
            </w:rPr>
            <m:t>supply time for location</m:t>
          </m:r>
        </m:oMath>
      </m:oMathPara>
    </w:p>
    <w:p w:rsidR="00C5044D" w:rsidRPr="00803973" w:rsidRDefault="00CD6B02" w:rsidP="00803973">
      <w:pPr>
        <w:spacing w:after="120" w:line="276" w:lineRule="auto"/>
        <w:ind w:firstLineChars="150" w:firstLine="330"/>
        <w:jc w:val="left"/>
        <w:rPr>
          <w:rFonts w:ascii="Palatino Linotype" w:eastAsia="Calibri" w:hAnsi="Palatino Linotype" w:cs="Calibri"/>
          <w:i/>
          <w:color w:val="000000"/>
          <w:sz w:val="22"/>
        </w:rPr>
      </w:pPr>
      <m:oMathPara>
        <m:oMathParaPr>
          <m:jc m:val="left"/>
        </m:oMathParaPr>
        <m:oMath>
          <m:sSub>
            <m:sSubPr>
              <m:ctrlPr>
                <w:rPr>
                  <w:rFonts w:ascii="Cambria Math" w:eastAsia="SimSun" w:hAnsi="Cambria Math" w:cs="Calibri"/>
                  <w:i/>
                  <w:sz w:val="22"/>
                </w:rPr>
              </m:ctrlPr>
            </m:sSubPr>
            <m:e>
              <m:r>
                <w:rPr>
                  <w:rFonts w:ascii="Cambria Math" w:eastAsia="SimSun" w:hAnsi="Cambria Math" w:cs="Calibri"/>
                  <w:sz w:val="22"/>
                </w:rPr>
                <m:t>D</m:t>
              </m:r>
            </m:e>
            <m:sub>
              <m:r>
                <w:rPr>
                  <w:rFonts w:ascii="Cambria Math" w:eastAsia="SimSun" w:hAnsi="Cambria Math" w:cs="Calibri"/>
                  <w:sz w:val="22"/>
                </w:rPr>
                <m:t>c</m:t>
              </m:r>
            </m:sub>
          </m:sSub>
          <m:r>
            <m:rPr>
              <m:sty m:val="p"/>
            </m:rPr>
            <w:rPr>
              <w:rFonts w:ascii="Cambria Math" w:hAnsi="Cambria Math" w:cs="Calibri"/>
              <w:kern w:val="0"/>
              <w:sz w:val="22"/>
            </w:rPr>
            <m:t>=</m:t>
          </m:r>
          <m:r>
            <w:rPr>
              <w:rFonts w:ascii="Cambria Math" w:hAnsi="Cambria Math" w:cs="Cambria Math"/>
              <w:color w:val="000000"/>
              <w:sz w:val="22"/>
            </w:rPr>
            <m:t>1 if project locates inside the Inner-Ring road, 0 otherwise</m:t>
          </m:r>
        </m:oMath>
      </m:oMathPara>
    </w:p>
    <w:p w:rsidR="00C917F4" w:rsidRPr="00803973" w:rsidRDefault="00CD6B02" w:rsidP="00C917F4">
      <w:pPr>
        <w:spacing w:after="120" w:line="276" w:lineRule="auto"/>
        <w:jc w:val="left"/>
        <w:rPr>
          <w:rFonts w:ascii="Palatino Linotype" w:eastAsia="Calibri" w:hAnsi="Palatino Linotype" w:cs="Calibri"/>
          <w:kern w:val="0"/>
          <w:sz w:val="22"/>
          <w:lang w:val="en-GB"/>
        </w:rPr>
      </w:pPr>
      <m:oMathPara>
        <m:oMathParaPr>
          <m:jc m:val="left"/>
        </m:oMathParaPr>
        <m:oMath>
          <m:sSub>
            <m:sSubPr>
              <m:ctrlPr>
                <w:rPr>
                  <w:rFonts w:ascii="Cambria Math" w:eastAsia="SimSun" w:hAnsi="Cambria Math" w:cs="Calibri"/>
                  <w:i/>
                  <w:sz w:val="22"/>
                </w:rPr>
              </m:ctrlPr>
            </m:sSubPr>
            <m:e>
              <m:r>
                <w:rPr>
                  <w:rFonts w:ascii="Cambria Math" w:eastAsia="SimSun" w:hAnsi="Cambria Math" w:cs="Calibri"/>
                  <w:sz w:val="22"/>
                </w:rPr>
                <m:t>α</m:t>
              </m:r>
            </m:e>
            <m:sub>
              <m:r>
                <w:rPr>
                  <w:rFonts w:ascii="Cambria Math" w:eastAsia="SimSun" w:hAnsi="Cambria Math" w:cs="Calibri"/>
                  <w:sz w:val="22"/>
                </w:rPr>
                <m:t>10</m:t>
              </m:r>
            </m:sub>
          </m:sSub>
          <m:r>
            <m:rPr>
              <m:sty m:val="p"/>
            </m:rPr>
            <w:rPr>
              <w:rFonts w:ascii="Cambria Math" w:hAnsi="Cambria Math" w:cs="Calibri"/>
              <w:kern w:val="0"/>
              <w:sz w:val="22"/>
            </w:rPr>
            <m:t>=</m:t>
          </m:r>
          <m:r>
            <w:rPr>
              <w:rFonts w:ascii="Cambria Math" w:hAnsi="Cambria Math" w:cs="Calibri"/>
              <w:kern w:val="0"/>
              <w:sz w:val="22"/>
            </w:rPr>
            <m:t xml:space="preserve">the </m:t>
          </m:r>
          <m:r>
            <w:rPr>
              <w:rFonts w:ascii="Cambria Math" w:hAnsi="Cambria Math" w:cs="Cambria Math"/>
              <w:color w:val="000000"/>
              <w:sz w:val="22"/>
            </w:rPr>
            <m:t>mean supply quantity of being in suburb</m:t>
          </m:r>
          <m:r>
            <m:rPr>
              <m:sty m:val="p"/>
            </m:rPr>
            <w:rPr>
              <w:rFonts w:ascii="Cambria Math" w:hAnsi="Cambria Math" w:cs="Calibri"/>
              <w:kern w:val="0"/>
              <w:sz w:val="22"/>
            </w:rPr>
            <m:t xml:space="preserve"> </m:t>
          </m:r>
        </m:oMath>
      </m:oMathPara>
    </w:p>
    <w:p w:rsidR="00284307" w:rsidRPr="00803973" w:rsidRDefault="00CD6B02" w:rsidP="00C917F4">
      <w:pPr>
        <w:spacing w:after="120" w:line="276" w:lineRule="auto"/>
        <w:jc w:val="left"/>
        <w:rPr>
          <w:rFonts w:ascii="Palatino Linotype" w:hAnsi="Palatino Linotype" w:cs="Calibri"/>
          <w:sz w:val="22"/>
        </w:rPr>
      </w:pPr>
      <m:oMathPara>
        <m:oMathParaPr>
          <m:jc m:val="left"/>
        </m:oMathParaPr>
        <m:oMath>
          <m:sSub>
            <m:sSubPr>
              <m:ctrlPr>
                <w:rPr>
                  <w:rFonts w:ascii="Cambria Math" w:eastAsia="SimSun" w:hAnsi="Cambria Math" w:cs="Calibri"/>
                  <w:i/>
                  <w:sz w:val="22"/>
                </w:rPr>
              </m:ctrlPr>
            </m:sSubPr>
            <m:e>
              <m:r>
                <w:rPr>
                  <w:rFonts w:ascii="Cambria Math" w:eastAsia="SimSun" w:hAnsi="Cambria Math" w:cs="Calibri"/>
                  <w:sz w:val="22"/>
                </w:rPr>
                <m:t>α</m:t>
              </m:r>
            </m:e>
            <m:sub>
              <m:r>
                <w:rPr>
                  <w:rFonts w:ascii="Cambria Math" w:eastAsia="SimSun" w:hAnsi="Cambria Math" w:cs="Calibri"/>
                  <w:sz w:val="22"/>
                </w:rPr>
                <m:t>20</m:t>
              </m:r>
            </m:sub>
          </m:sSub>
          <m:r>
            <m:rPr>
              <m:sty m:val="p"/>
            </m:rPr>
            <w:rPr>
              <w:rFonts w:ascii="Cambria Math" w:hAnsi="Cambria Math" w:cs="Calibri"/>
              <w:kern w:val="0"/>
              <w:sz w:val="22"/>
            </w:rPr>
            <m:t>=</m:t>
          </m:r>
          <m:r>
            <w:rPr>
              <w:rFonts w:ascii="Cambria Math" w:hAnsi="Cambria Math" w:cs="Calibri"/>
              <w:kern w:val="0"/>
              <w:sz w:val="22"/>
            </w:rPr>
            <m:t xml:space="preserve">the </m:t>
          </m:r>
          <m:r>
            <w:rPr>
              <w:rFonts w:ascii="Cambria Math" w:hAnsi="Cambria Math" w:cs="Cambria Math"/>
              <w:color w:val="000000"/>
              <w:sz w:val="22"/>
            </w:rPr>
            <m:t>mean supply time of being in suburb</m:t>
          </m:r>
        </m:oMath>
      </m:oMathPara>
    </w:p>
    <w:p w:rsidR="00620E8B" w:rsidRPr="00803973" w:rsidRDefault="00CD6B02" w:rsidP="00620E8B">
      <w:pPr>
        <w:spacing w:after="120" w:line="276" w:lineRule="auto"/>
        <w:jc w:val="left"/>
        <w:rPr>
          <w:rFonts w:ascii="Palatino Linotype" w:eastAsia="Calibri" w:hAnsi="Palatino Linotype" w:cs="Calibri"/>
          <w:sz w:val="22"/>
          <w:lang w:val="en-GB"/>
        </w:rPr>
      </w:pPr>
      <m:oMathPara>
        <m:oMathParaPr>
          <m:jc m:val="left"/>
        </m:oMathParaPr>
        <m:oMath>
          <m:sSub>
            <m:sSubPr>
              <m:ctrlPr>
                <w:rPr>
                  <w:rFonts w:ascii="Cambria Math" w:eastAsia="SimSun" w:hAnsi="Cambria Math" w:cs="Calibri"/>
                  <w:i/>
                  <w:sz w:val="22"/>
                </w:rPr>
              </m:ctrlPr>
            </m:sSubPr>
            <m:e>
              <m:r>
                <w:rPr>
                  <w:rFonts w:ascii="Cambria Math" w:eastAsia="SimSun" w:hAnsi="Cambria Math" w:cs="Calibri"/>
                  <w:sz w:val="22"/>
                </w:rPr>
                <m:t>α</m:t>
              </m:r>
            </m:e>
            <m:sub>
              <m:r>
                <w:rPr>
                  <w:rFonts w:ascii="Cambria Math" w:eastAsia="SimSun" w:hAnsi="Cambria Math" w:cs="Calibri"/>
                  <w:sz w:val="22"/>
                </w:rPr>
                <m:t>11</m:t>
              </m:r>
            </m:sub>
          </m:sSub>
          <m:r>
            <m:rPr>
              <m:sty m:val="p"/>
            </m:rPr>
            <w:rPr>
              <w:rFonts w:ascii="Cambria Math" w:hAnsi="Cambria Math" w:cs="Calibri"/>
              <w:kern w:val="0"/>
              <w:sz w:val="22"/>
            </w:rPr>
            <m:t xml:space="preserve"> =</m:t>
          </m:r>
          <m:r>
            <w:rPr>
              <w:rFonts w:ascii="Cambria Math" w:hAnsi="Cambria Math" w:cs="Calibri"/>
              <w:kern w:val="0"/>
              <w:sz w:val="22"/>
            </w:rPr>
            <m:t xml:space="preserve">the </m:t>
          </m:r>
          <m:r>
            <w:rPr>
              <w:rFonts w:ascii="Cambria Math" w:hAnsi="Cambria Math" w:cs="Cambria Math"/>
              <w:color w:val="000000"/>
              <w:sz w:val="22"/>
            </w:rPr>
            <m:t>differential quantity effect of being in centre</m:t>
          </m:r>
        </m:oMath>
      </m:oMathPara>
    </w:p>
    <w:p w:rsidR="00284307" w:rsidRPr="00803973" w:rsidRDefault="00CD6B02" w:rsidP="00C917F4">
      <w:pPr>
        <w:spacing w:after="120" w:line="276" w:lineRule="auto"/>
        <w:jc w:val="left"/>
        <w:rPr>
          <w:rFonts w:ascii="Palatino Linotype" w:hAnsi="Palatino Linotype" w:cs="Calibri"/>
          <w:sz w:val="22"/>
          <w:lang w:val="en-GB"/>
        </w:rPr>
      </w:pPr>
      <m:oMathPara>
        <m:oMathParaPr>
          <m:jc m:val="left"/>
        </m:oMathParaPr>
        <m:oMath>
          <m:sSub>
            <m:sSubPr>
              <m:ctrlPr>
                <w:rPr>
                  <w:rFonts w:ascii="Cambria Math" w:eastAsia="SimSun" w:hAnsi="Cambria Math" w:cs="Calibri"/>
                  <w:i/>
                  <w:sz w:val="22"/>
                </w:rPr>
              </m:ctrlPr>
            </m:sSubPr>
            <m:e>
              <m:r>
                <w:rPr>
                  <w:rFonts w:ascii="Cambria Math" w:eastAsia="SimSun" w:hAnsi="Cambria Math" w:cs="Calibri"/>
                  <w:sz w:val="22"/>
                </w:rPr>
                <m:t>α</m:t>
              </m:r>
            </m:e>
            <m:sub>
              <m:r>
                <w:rPr>
                  <w:rFonts w:ascii="Cambria Math" w:eastAsia="SimSun" w:hAnsi="Cambria Math" w:cs="Calibri"/>
                  <w:sz w:val="22"/>
                </w:rPr>
                <m:t>21</m:t>
              </m:r>
            </m:sub>
          </m:sSub>
          <m:r>
            <m:rPr>
              <m:sty m:val="p"/>
            </m:rPr>
            <w:rPr>
              <w:rFonts w:ascii="Cambria Math" w:hAnsi="Cambria Math" w:cs="Calibri"/>
              <w:kern w:val="0"/>
              <w:sz w:val="22"/>
            </w:rPr>
            <m:t xml:space="preserve"> =</m:t>
          </m:r>
          <m:r>
            <w:rPr>
              <w:rFonts w:ascii="Cambria Math" w:hAnsi="Cambria Math" w:cs="Calibri"/>
              <w:kern w:val="0"/>
              <w:sz w:val="22"/>
            </w:rPr>
            <m:t xml:space="preserve">the </m:t>
          </m:r>
          <m:r>
            <w:rPr>
              <w:rFonts w:ascii="Cambria Math" w:hAnsi="Cambria Math" w:cs="Cambria Math"/>
              <w:color w:val="000000"/>
              <w:sz w:val="22"/>
            </w:rPr>
            <m:t>differential time effect of being in centre</m:t>
          </m:r>
        </m:oMath>
      </m:oMathPara>
    </w:p>
    <w:p w:rsidR="00C917F4" w:rsidRPr="00803973" w:rsidRDefault="00CD6B02" w:rsidP="00C917F4">
      <w:pPr>
        <w:spacing w:after="120" w:line="276" w:lineRule="auto"/>
        <w:jc w:val="left"/>
        <w:rPr>
          <w:rFonts w:ascii="Palatino Linotype" w:eastAsia="Calibri" w:hAnsi="Palatino Linotype" w:cs="Calibri"/>
          <w:sz w:val="22"/>
        </w:rPr>
      </w:pPr>
      <m:oMathPara>
        <m:oMathParaPr>
          <m:jc m:val="left"/>
        </m:oMathParaPr>
        <m:oMath>
          <m:sSubSup>
            <m:sSubSupPr>
              <m:ctrlPr>
                <w:rPr>
                  <w:rFonts w:ascii="Cambria Math" w:hAnsi="Cambria Math" w:cs="Calibri"/>
                  <w:i/>
                  <w:sz w:val="22"/>
                </w:rPr>
              </m:ctrlPr>
            </m:sSubSupPr>
            <m:e>
              <m:r>
                <w:rPr>
                  <w:rFonts w:ascii="Cambria Math" w:eastAsia="Calibri" w:hAnsi="Cambria Math" w:cs="Calibri"/>
                  <w:sz w:val="22"/>
                </w:rPr>
                <m:t>μ</m:t>
              </m:r>
            </m:e>
            <m:sub>
              <m:r>
                <w:rPr>
                  <w:rFonts w:ascii="Cambria Math" w:hAnsi="Cambria Math" w:cs="Calibri"/>
                  <w:sz w:val="22"/>
                </w:rPr>
                <m:t>1</m:t>
              </m:r>
            </m:sub>
            <m:sup>
              <m:r>
                <w:rPr>
                  <w:rFonts w:ascii="Cambria Math" w:hAnsi="Cambria Math" w:cs="Calibri"/>
                  <w:sz w:val="22"/>
                </w:rPr>
                <m:t>α</m:t>
              </m:r>
            </m:sup>
          </m:sSubSup>
          <m:r>
            <w:rPr>
              <w:rFonts w:ascii="Cambria Math" w:eastAsia="Calibri" w:hAnsi="Cambria Math" w:cs="Calibri"/>
              <w:sz w:val="22"/>
            </w:rPr>
            <m:t xml:space="preserve"> =error term of supply quantity regression</m:t>
          </m:r>
        </m:oMath>
      </m:oMathPara>
    </w:p>
    <w:p w:rsidR="00C5044D" w:rsidRPr="00803973" w:rsidRDefault="00CD6B02" w:rsidP="00D85AAA">
      <w:pPr>
        <w:spacing w:after="120" w:line="276" w:lineRule="auto"/>
        <w:jc w:val="left"/>
        <w:rPr>
          <w:rFonts w:ascii="Palatino Linotype" w:eastAsia="Calibri" w:hAnsi="Palatino Linotype" w:cs="Calibri"/>
          <w:sz w:val="22"/>
          <w:lang w:val="en-GB"/>
        </w:rPr>
      </w:pPr>
      <m:oMathPara>
        <m:oMathParaPr>
          <m:jc m:val="left"/>
        </m:oMathParaPr>
        <m:oMath>
          <m:sSubSup>
            <m:sSubSupPr>
              <m:ctrlPr>
                <w:rPr>
                  <w:rFonts w:ascii="Cambria Math" w:eastAsia="Calibri" w:hAnsi="Cambria Math" w:cs="Calibri"/>
                  <w:i/>
                  <w:sz w:val="22"/>
                </w:rPr>
              </m:ctrlPr>
            </m:sSubSupPr>
            <m:e>
              <m:r>
                <w:rPr>
                  <w:rFonts w:ascii="Cambria Math" w:eastAsia="Calibri" w:hAnsi="Cambria Math" w:cs="Calibri"/>
                  <w:sz w:val="22"/>
                </w:rPr>
                <m:t>μ</m:t>
              </m:r>
            </m:e>
            <m:sub>
              <m:r>
                <w:rPr>
                  <w:rFonts w:ascii="Cambria Math" w:eastAsia="Calibri" w:hAnsi="Cambria Math" w:cs="Calibri"/>
                  <w:sz w:val="22"/>
                </w:rPr>
                <m:t>2</m:t>
              </m:r>
            </m:sub>
            <m:sup>
              <m:r>
                <w:rPr>
                  <w:rFonts w:ascii="Cambria Math" w:eastAsia="Calibri" w:hAnsi="Cambria Math" w:cs="Calibri"/>
                  <w:sz w:val="22"/>
                </w:rPr>
                <m:t>α</m:t>
              </m:r>
            </m:sup>
          </m:sSubSup>
          <m:r>
            <w:rPr>
              <w:rFonts w:ascii="Cambria Math" w:eastAsia="Calibri" w:hAnsi="Cambria Math" w:cs="Calibri"/>
              <w:sz w:val="22"/>
            </w:rPr>
            <m:t xml:space="preserve"> =error term of supply time regression</m:t>
          </m:r>
        </m:oMath>
      </m:oMathPara>
    </w:p>
    <w:p w:rsidR="00E42D66" w:rsidRPr="00803973" w:rsidRDefault="00E42D66" w:rsidP="00E42D66">
      <w:pPr>
        <w:spacing w:after="120" w:line="276" w:lineRule="auto"/>
        <w:ind w:firstLine="600"/>
        <w:jc w:val="left"/>
        <w:rPr>
          <w:rFonts w:ascii="Palatino Linotype" w:hAnsi="Palatino Linotype" w:cs="Calibri"/>
          <w:sz w:val="22"/>
          <w:lang w:val="en-GB"/>
        </w:rPr>
      </w:pPr>
      <w:r w:rsidRPr="00803973">
        <w:rPr>
          <w:rFonts w:ascii="Palatino Linotype" w:eastAsia="Calibri" w:hAnsi="Palatino Linotype" w:cs="Calibri"/>
          <w:sz w:val="22"/>
        </w:rPr>
        <w:t xml:space="preserve">The regression results from </w:t>
      </w:r>
      <w:r w:rsidR="00D85AAA" w:rsidRPr="00803973">
        <w:rPr>
          <w:rFonts w:ascii="Palatino Linotype" w:hAnsi="Palatino Linotype" w:cs="Calibri"/>
          <w:sz w:val="22"/>
          <w:lang w:val="en-GB"/>
        </w:rPr>
        <w:t>Equation 1a and Equation 1b</w:t>
      </w:r>
      <w:r w:rsidR="00EC2028" w:rsidRPr="00803973">
        <w:rPr>
          <w:rFonts w:ascii="Palatino Linotype" w:eastAsia="Calibri" w:hAnsi="Palatino Linotype" w:cs="Calibri"/>
          <w:sz w:val="22"/>
        </w:rPr>
        <w:t xml:space="preserve"> are shown in T</w:t>
      </w:r>
      <w:r w:rsidRPr="00803973">
        <w:rPr>
          <w:rFonts w:ascii="Palatino Linotype" w:eastAsia="Calibri" w:hAnsi="Palatino Linotype" w:cs="Calibri"/>
          <w:sz w:val="22"/>
        </w:rPr>
        <w:t xml:space="preserve">able </w:t>
      </w:r>
      <w:r w:rsidR="00BB2C43" w:rsidRPr="00803973">
        <w:rPr>
          <w:rFonts w:ascii="Palatino Linotype" w:eastAsia="Calibri" w:hAnsi="Palatino Linotype" w:cs="Calibri"/>
          <w:sz w:val="22"/>
        </w:rPr>
        <w:t>1</w:t>
      </w:r>
      <w:r w:rsidRPr="00803973">
        <w:rPr>
          <w:rFonts w:ascii="Palatino Linotype" w:eastAsia="Calibri" w:hAnsi="Palatino Linotype" w:cs="Calibri"/>
          <w:sz w:val="22"/>
        </w:rPr>
        <w:t>. The coefficient of D</w:t>
      </w:r>
      <w:r w:rsidRPr="00803973">
        <w:rPr>
          <w:rFonts w:ascii="Palatino Linotype" w:eastAsia="Calibri" w:hAnsi="Palatino Linotype" w:cs="Calibri"/>
          <w:sz w:val="22"/>
          <w:vertAlign w:val="subscript"/>
        </w:rPr>
        <w:t>c</w:t>
      </w:r>
      <w:r w:rsidRPr="00803973">
        <w:rPr>
          <w:rFonts w:ascii="Palatino Linotype" w:eastAsia="Calibri" w:hAnsi="Palatino Linotype" w:cs="Calibri"/>
          <w:sz w:val="22"/>
        </w:rPr>
        <w:t xml:space="preserve"> in supply quantity regression is negative, indicating that the quantity of supply in central districts is o</w:t>
      </w:r>
      <w:r w:rsidR="0035489D" w:rsidRPr="00803973">
        <w:rPr>
          <w:rFonts w:ascii="Palatino Linotype" w:eastAsia="Calibri" w:hAnsi="Palatino Linotype" w:cs="Calibri"/>
          <w:sz w:val="22"/>
        </w:rPr>
        <w:t>n average nearly fifteen</w:t>
      </w:r>
      <w:r w:rsidRPr="00803973">
        <w:rPr>
          <w:rFonts w:ascii="Palatino Linotype" w:eastAsia="Calibri" w:hAnsi="Palatino Linotype" w:cs="Calibri"/>
          <w:sz w:val="22"/>
        </w:rPr>
        <w:t xml:space="preserve"> thousand square meters lower than that in </w:t>
      </w:r>
      <w:r w:rsidR="001C4057" w:rsidRPr="00803973">
        <w:rPr>
          <w:rFonts w:ascii="Palatino Linotype" w:eastAsia="Calibri" w:hAnsi="Palatino Linotype" w:cs="Calibri"/>
          <w:sz w:val="22"/>
        </w:rPr>
        <w:t xml:space="preserve">the </w:t>
      </w:r>
      <w:r w:rsidRPr="00803973">
        <w:rPr>
          <w:rFonts w:ascii="Palatino Linotype" w:eastAsia="Calibri" w:hAnsi="Palatino Linotype" w:cs="Calibri"/>
          <w:sz w:val="22"/>
        </w:rPr>
        <w:t>suburb</w:t>
      </w:r>
      <w:r w:rsidR="001C4057" w:rsidRPr="00803973">
        <w:rPr>
          <w:rFonts w:ascii="Palatino Linotype" w:eastAsia="Calibri" w:hAnsi="Palatino Linotype" w:cs="Calibri"/>
          <w:sz w:val="22"/>
        </w:rPr>
        <w:t>s</w:t>
      </w:r>
      <w:r w:rsidRPr="00803973">
        <w:rPr>
          <w:rFonts w:ascii="Palatino Linotype" w:eastAsia="Calibri" w:hAnsi="Palatino Linotype" w:cs="Calibri"/>
          <w:sz w:val="22"/>
        </w:rPr>
        <w:t xml:space="preserve">. </w:t>
      </w:r>
      <w:r w:rsidR="00727E9D" w:rsidRPr="00803973">
        <w:rPr>
          <w:rFonts w:ascii="Palatino Linotype" w:eastAsia="Calibri" w:hAnsi="Palatino Linotype" w:cs="Calibri"/>
          <w:sz w:val="22"/>
        </w:rPr>
        <w:t>Moreover,</w:t>
      </w:r>
      <w:r w:rsidR="0097127B" w:rsidRPr="00803973">
        <w:rPr>
          <w:rFonts w:ascii="Palatino Linotype" w:eastAsia="Calibri" w:hAnsi="Palatino Linotype" w:cs="Calibri"/>
          <w:sz w:val="22"/>
        </w:rPr>
        <w:t xml:space="preserve"> it</w:t>
      </w:r>
      <w:r w:rsidRPr="00803973">
        <w:rPr>
          <w:rFonts w:ascii="Palatino Linotype" w:eastAsia="Calibri" w:hAnsi="Palatino Linotype" w:cs="Calibri"/>
          <w:sz w:val="22"/>
        </w:rPr>
        <w:t xml:space="preserve"> is</w:t>
      </w:r>
      <w:r w:rsidR="0035489D" w:rsidRPr="00803973">
        <w:rPr>
          <w:rFonts w:ascii="Palatino Linotype" w:eastAsia="Calibri" w:hAnsi="Palatino Linotype" w:cs="Calibri"/>
          <w:sz w:val="22"/>
        </w:rPr>
        <w:t xml:space="preserve"> </w:t>
      </w:r>
      <w:r w:rsidRPr="00803973">
        <w:rPr>
          <w:rFonts w:ascii="Palatino Linotype" w:eastAsia="Calibri" w:hAnsi="Palatino Linotype" w:cs="Calibri"/>
          <w:sz w:val="22"/>
        </w:rPr>
        <w:t>s</w:t>
      </w:r>
      <w:r w:rsidR="0035489D" w:rsidRPr="00803973">
        <w:rPr>
          <w:rFonts w:ascii="Palatino Linotype" w:eastAsia="Calibri" w:hAnsi="Palatino Linotype" w:cs="Calibri"/>
          <w:sz w:val="22"/>
        </w:rPr>
        <w:t>ignificant at 1%</w:t>
      </w:r>
      <w:r w:rsidR="00727E9D" w:rsidRPr="00803973">
        <w:rPr>
          <w:rFonts w:ascii="Palatino Linotype" w:eastAsia="Calibri" w:hAnsi="Palatino Linotype" w:cs="Calibri"/>
          <w:sz w:val="22"/>
        </w:rPr>
        <w:t xml:space="preserve"> (t-statistics -2.</w:t>
      </w:r>
      <w:r w:rsidR="009E64DC" w:rsidRPr="00803973">
        <w:rPr>
          <w:rFonts w:ascii="Palatino Linotype" w:eastAsia="Calibri" w:hAnsi="Palatino Linotype" w:cs="Calibri"/>
          <w:sz w:val="22"/>
        </w:rPr>
        <w:t>59</w:t>
      </w:r>
      <w:r w:rsidR="00611DA2" w:rsidRPr="00803973">
        <w:rPr>
          <w:rFonts w:ascii="Palatino Linotype" w:eastAsia="Calibri" w:hAnsi="Palatino Linotype" w:cs="Calibri"/>
          <w:sz w:val="22"/>
        </w:rPr>
        <w:t>). From</w:t>
      </w:r>
      <w:r w:rsidR="003C11E7" w:rsidRPr="00803973">
        <w:rPr>
          <w:rFonts w:ascii="Palatino Linotype" w:eastAsia="Calibri" w:hAnsi="Palatino Linotype" w:cs="Calibri"/>
          <w:sz w:val="22"/>
        </w:rPr>
        <w:t xml:space="preserve"> A</w:t>
      </w:r>
      <w:r w:rsidRPr="00803973">
        <w:rPr>
          <w:rFonts w:ascii="Palatino Linotype" w:eastAsia="Calibri" w:hAnsi="Palatino Linotype" w:cs="Calibri"/>
          <w:sz w:val="22"/>
        </w:rPr>
        <w:t>ppendix 1 we can see that the mean site area in suburb</w:t>
      </w:r>
      <w:r w:rsidR="0097127B" w:rsidRPr="00803973">
        <w:rPr>
          <w:rFonts w:ascii="Palatino Linotype" w:eastAsia="Calibri" w:hAnsi="Palatino Linotype" w:cs="Calibri"/>
          <w:sz w:val="22"/>
        </w:rPr>
        <w:t xml:space="preserve"> (6</w:t>
      </w:r>
      <w:r w:rsidR="002B7A87" w:rsidRPr="00803973">
        <w:rPr>
          <w:rFonts w:ascii="Palatino Linotype" w:eastAsia="Calibri" w:hAnsi="Palatino Linotype" w:cs="Calibri"/>
          <w:sz w:val="22"/>
        </w:rPr>
        <w:t>8105</w:t>
      </w:r>
      <w:r w:rsidR="0097127B" w:rsidRPr="00803973">
        <w:rPr>
          <w:rFonts w:ascii="Palatino Linotype" w:eastAsia="Calibri" w:hAnsi="Palatino Linotype" w:cs="Calibri"/>
          <w:sz w:val="22"/>
        </w:rPr>
        <w:t xml:space="preserve"> m</w:t>
      </w:r>
      <w:r w:rsidR="0097127B" w:rsidRPr="00803973">
        <w:rPr>
          <w:rFonts w:ascii="Palatino Linotype" w:eastAsia="Calibri" w:hAnsi="Palatino Linotype" w:cs="Calibri"/>
          <w:sz w:val="22"/>
          <w:vertAlign w:val="superscript"/>
        </w:rPr>
        <w:t>2</w:t>
      </w:r>
      <w:r w:rsidR="0097127B" w:rsidRPr="00803973">
        <w:rPr>
          <w:rFonts w:ascii="Palatino Linotype" w:eastAsia="Calibri" w:hAnsi="Palatino Linotype" w:cs="Calibri"/>
          <w:sz w:val="22"/>
        </w:rPr>
        <w:t>)</w:t>
      </w:r>
      <w:r w:rsidRPr="00803973">
        <w:rPr>
          <w:rFonts w:ascii="Palatino Linotype" w:eastAsia="Calibri" w:hAnsi="Palatino Linotype" w:cs="Calibri"/>
          <w:sz w:val="22"/>
        </w:rPr>
        <w:t xml:space="preserve"> is larger than that in centre</w:t>
      </w:r>
      <w:r w:rsidR="0097127B" w:rsidRPr="00803973">
        <w:rPr>
          <w:rFonts w:ascii="Palatino Linotype" w:eastAsia="Calibri" w:hAnsi="Palatino Linotype" w:cs="Calibri"/>
          <w:sz w:val="22"/>
        </w:rPr>
        <w:t xml:space="preserve"> (2</w:t>
      </w:r>
      <w:r w:rsidR="009E64DC" w:rsidRPr="00803973">
        <w:rPr>
          <w:rFonts w:ascii="Palatino Linotype" w:eastAsia="Calibri" w:hAnsi="Palatino Linotype" w:cs="Calibri"/>
          <w:sz w:val="22"/>
        </w:rPr>
        <w:t>8488</w:t>
      </w:r>
      <w:r w:rsidR="0097127B" w:rsidRPr="00803973">
        <w:rPr>
          <w:rFonts w:ascii="Palatino Linotype" w:eastAsia="Calibri" w:hAnsi="Palatino Linotype" w:cs="Calibri"/>
          <w:sz w:val="22"/>
        </w:rPr>
        <w:t xml:space="preserve"> m</w:t>
      </w:r>
      <w:r w:rsidR="0097127B" w:rsidRPr="00803973">
        <w:rPr>
          <w:rFonts w:ascii="Palatino Linotype" w:eastAsia="Calibri" w:hAnsi="Palatino Linotype" w:cs="Calibri"/>
          <w:sz w:val="22"/>
          <w:vertAlign w:val="superscript"/>
        </w:rPr>
        <w:t>2</w:t>
      </w:r>
      <w:r w:rsidR="0097127B" w:rsidRPr="00803973">
        <w:rPr>
          <w:rFonts w:ascii="Palatino Linotype" w:eastAsia="Calibri" w:hAnsi="Palatino Linotype" w:cs="Calibri"/>
          <w:sz w:val="22"/>
        </w:rPr>
        <w:t>)</w:t>
      </w:r>
      <w:r w:rsidRPr="00803973">
        <w:rPr>
          <w:rFonts w:ascii="Palatino Linotype" w:eastAsia="Calibri" w:hAnsi="Palatino Linotype" w:cs="Calibri"/>
          <w:sz w:val="22"/>
        </w:rPr>
        <w:t xml:space="preserve"> and the mean plot ratio lower in suburb</w:t>
      </w:r>
      <w:r w:rsidR="004B0D2F" w:rsidRPr="00803973">
        <w:rPr>
          <w:rFonts w:ascii="Palatino Linotype" w:eastAsia="Calibri" w:hAnsi="Palatino Linotype" w:cs="Calibri"/>
          <w:sz w:val="22"/>
        </w:rPr>
        <w:t xml:space="preserve"> (1.42)</w:t>
      </w:r>
      <w:r w:rsidR="0097127B" w:rsidRPr="00803973">
        <w:rPr>
          <w:rFonts w:ascii="Palatino Linotype" w:eastAsia="Calibri" w:hAnsi="Palatino Linotype" w:cs="Calibri"/>
          <w:sz w:val="22"/>
        </w:rPr>
        <w:t xml:space="preserve"> </w:t>
      </w:r>
      <w:r w:rsidR="004475BD" w:rsidRPr="00803973">
        <w:rPr>
          <w:rFonts w:ascii="Palatino Linotype" w:eastAsia="Calibri" w:hAnsi="Palatino Linotype" w:cs="Calibri"/>
          <w:sz w:val="22"/>
        </w:rPr>
        <w:t xml:space="preserve">is lower </w:t>
      </w:r>
      <w:r w:rsidR="0097127B" w:rsidRPr="00803973">
        <w:rPr>
          <w:rFonts w:ascii="Palatino Linotype" w:eastAsia="Calibri" w:hAnsi="Palatino Linotype" w:cs="Calibri"/>
          <w:sz w:val="22"/>
        </w:rPr>
        <w:t>than that in centre (2.</w:t>
      </w:r>
      <w:r w:rsidR="009E64DC" w:rsidRPr="00803973">
        <w:rPr>
          <w:rFonts w:ascii="Palatino Linotype" w:eastAsia="Calibri" w:hAnsi="Palatino Linotype" w:cs="Calibri"/>
          <w:sz w:val="22"/>
        </w:rPr>
        <w:t>89</w:t>
      </w:r>
      <w:r w:rsidR="0097127B" w:rsidRPr="00803973">
        <w:rPr>
          <w:rFonts w:ascii="Palatino Linotype" w:eastAsia="Calibri" w:hAnsi="Palatino Linotype" w:cs="Calibri"/>
          <w:sz w:val="22"/>
        </w:rPr>
        <w:t>)</w:t>
      </w:r>
      <w:r w:rsidRPr="00803973">
        <w:rPr>
          <w:rFonts w:ascii="Palatino Linotype" w:eastAsia="Calibri" w:hAnsi="Palatino Linotype" w:cs="Calibri"/>
          <w:sz w:val="22"/>
        </w:rPr>
        <w:t xml:space="preserve">. Multiplying site area by plot ratio, we get a larger </w:t>
      </w:r>
      <w:r w:rsidRPr="00803973">
        <w:rPr>
          <w:rFonts w:ascii="Palatino Linotype" w:eastAsia="Calibri" w:hAnsi="Palatino Linotype" w:cs="Calibri"/>
          <w:sz w:val="22"/>
        </w:rPr>
        <w:lastRenderedPageBreak/>
        <w:t>allowed area in suburb</w:t>
      </w:r>
      <w:r w:rsidR="002B7A87" w:rsidRPr="00803973">
        <w:rPr>
          <w:rFonts w:ascii="Palatino Linotype" w:eastAsia="Calibri" w:hAnsi="Palatino Linotype" w:cs="Calibri"/>
          <w:sz w:val="22"/>
        </w:rPr>
        <w:t xml:space="preserve"> (96709m</w:t>
      </w:r>
      <w:r w:rsidR="002B7A87" w:rsidRPr="00803973">
        <w:rPr>
          <w:rFonts w:ascii="Palatino Linotype" w:eastAsia="Calibri" w:hAnsi="Palatino Linotype" w:cs="Calibri"/>
          <w:sz w:val="22"/>
          <w:vertAlign w:val="superscript"/>
        </w:rPr>
        <w:t>2</w:t>
      </w:r>
      <w:r w:rsidR="002B7A87" w:rsidRPr="00803973">
        <w:rPr>
          <w:rFonts w:ascii="Palatino Linotype" w:eastAsia="Calibri" w:hAnsi="Palatino Linotype" w:cs="Calibri"/>
          <w:sz w:val="22"/>
        </w:rPr>
        <w:t xml:space="preserve"> Vs. </w:t>
      </w:r>
      <w:r w:rsidR="009E64DC" w:rsidRPr="00803973">
        <w:rPr>
          <w:rFonts w:ascii="Palatino Linotype" w:eastAsia="Calibri" w:hAnsi="Palatino Linotype" w:cs="Calibri"/>
          <w:sz w:val="22"/>
        </w:rPr>
        <w:t>82330</w:t>
      </w:r>
      <w:r w:rsidR="002B7A87" w:rsidRPr="00803973">
        <w:rPr>
          <w:rFonts w:ascii="Palatino Linotype" w:eastAsia="Calibri" w:hAnsi="Palatino Linotype" w:cs="Calibri"/>
          <w:sz w:val="22"/>
        </w:rPr>
        <w:t>m</w:t>
      </w:r>
      <w:r w:rsidR="002B7A87" w:rsidRPr="00803973">
        <w:rPr>
          <w:rFonts w:ascii="Palatino Linotype" w:eastAsia="Calibri" w:hAnsi="Palatino Linotype" w:cs="Calibri"/>
          <w:sz w:val="22"/>
          <w:vertAlign w:val="superscript"/>
        </w:rPr>
        <w:t>2</w:t>
      </w:r>
      <w:r w:rsidR="002B7A87" w:rsidRPr="00803973">
        <w:rPr>
          <w:rFonts w:ascii="Palatino Linotype" w:eastAsia="Calibri" w:hAnsi="Palatino Linotype" w:cs="Calibri"/>
          <w:sz w:val="22"/>
        </w:rPr>
        <w:t>)</w:t>
      </w:r>
      <w:r w:rsidRPr="00803973">
        <w:rPr>
          <w:rFonts w:ascii="Palatino Linotype" w:eastAsia="Calibri" w:hAnsi="Palatino Linotype" w:cs="Calibri"/>
          <w:sz w:val="22"/>
        </w:rPr>
        <w:t xml:space="preserve">. </w:t>
      </w:r>
      <w:r w:rsidR="00CA2FE2" w:rsidRPr="00803973">
        <w:rPr>
          <w:rFonts w:ascii="Palatino Linotype" w:eastAsia="Calibri" w:hAnsi="Palatino Linotype" w:cs="Calibri"/>
          <w:sz w:val="22"/>
        </w:rPr>
        <w:t xml:space="preserve">Given that the </w:t>
      </w:r>
      <w:r w:rsidR="009E64DC" w:rsidRPr="00803973">
        <w:rPr>
          <w:rFonts w:ascii="Palatino Linotype" w:eastAsia="Calibri" w:hAnsi="Palatino Linotype" w:cs="Calibri"/>
          <w:sz w:val="22"/>
        </w:rPr>
        <w:t>allowed area is the maximum floor space</w:t>
      </w:r>
      <w:r w:rsidR="00CA2FE2" w:rsidRPr="00803973">
        <w:rPr>
          <w:rFonts w:ascii="Palatino Linotype" w:eastAsia="Calibri" w:hAnsi="Palatino Linotype" w:cs="Calibri"/>
          <w:sz w:val="22"/>
        </w:rPr>
        <w:t xml:space="preserve"> a developer is able to build legally, the larger the allowed area is, the larger </w:t>
      </w:r>
      <w:r w:rsidR="00287C57" w:rsidRPr="00803973">
        <w:rPr>
          <w:rFonts w:ascii="Palatino Linotype" w:eastAsia="Calibri" w:hAnsi="Palatino Linotype" w:cs="Calibri"/>
          <w:sz w:val="22"/>
        </w:rPr>
        <w:t>potential</w:t>
      </w:r>
      <w:r w:rsidR="00CA2FE2" w:rsidRPr="00803973">
        <w:rPr>
          <w:rFonts w:ascii="Palatino Linotype" w:eastAsia="Calibri" w:hAnsi="Palatino Linotype" w:cs="Calibri"/>
          <w:sz w:val="22"/>
        </w:rPr>
        <w:t xml:space="preserve"> supply quantity</w:t>
      </w:r>
      <w:r w:rsidR="003C11E7" w:rsidRPr="00803973">
        <w:rPr>
          <w:rFonts w:ascii="Palatino Linotype" w:eastAsia="Calibri" w:hAnsi="Palatino Linotype" w:cs="Calibri"/>
          <w:sz w:val="22"/>
        </w:rPr>
        <w:t xml:space="preserve"> becomes</w:t>
      </w:r>
      <w:r w:rsidR="00B51EB1" w:rsidRPr="00803973">
        <w:rPr>
          <w:rFonts w:ascii="Palatino Linotype" w:eastAsia="Calibri" w:hAnsi="Palatino Linotype" w:cs="Calibri"/>
          <w:sz w:val="22"/>
        </w:rPr>
        <w:t xml:space="preserve"> (proved by Hui and Soo, 2002).</w:t>
      </w:r>
    </w:p>
    <w:p w:rsidR="00E42D66" w:rsidRPr="00E95614" w:rsidRDefault="00E42D66" w:rsidP="00E42D66">
      <w:pPr>
        <w:spacing w:after="120" w:line="276" w:lineRule="auto"/>
        <w:ind w:firstLine="360"/>
        <w:jc w:val="center"/>
        <w:rPr>
          <w:rFonts w:ascii="Palatino Linotype" w:hAnsi="Palatino Linotype" w:cs="Calibri"/>
          <w:b/>
          <w:sz w:val="20"/>
          <w:szCs w:val="20"/>
        </w:rPr>
      </w:pPr>
      <w:r w:rsidRPr="00E95614">
        <w:rPr>
          <w:rFonts w:ascii="Palatino Linotype" w:eastAsia="Calibri" w:hAnsi="Palatino Linotype" w:cs="Calibri"/>
          <w:b/>
          <w:sz w:val="20"/>
          <w:szCs w:val="20"/>
        </w:rPr>
        <w:t xml:space="preserve">Table </w:t>
      </w:r>
      <w:r w:rsidR="00BB2C43" w:rsidRPr="00E95614">
        <w:rPr>
          <w:rFonts w:ascii="Palatino Linotype" w:hAnsi="Palatino Linotype" w:cs="Calibri"/>
          <w:b/>
          <w:sz w:val="20"/>
          <w:szCs w:val="20"/>
        </w:rPr>
        <w:t>1</w:t>
      </w:r>
      <w:r w:rsidRPr="00E95614">
        <w:rPr>
          <w:rFonts w:ascii="Palatino Linotype" w:eastAsia="Calibri" w:hAnsi="Palatino Linotype" w:cs="Calibri"/>
          <w:b/>
          <w:sz w:val="20"/>
          <w:szCs w:val="20"/>
        </w:rPr>
        <w:t xml:space="preserve"> </w:t>
      </w:r>
      <w:r w:rsidRPr="00E95614">
        <w:rPr>
          <w:rFonts w:ascii="Palatino Linotype" w:hAnsi="Palatino Linotype" w:cs="Calibri"/>
          <w:b/>
          <w:sz w:val="20"/>
          <w:szCs w:val="20"/>
        </w:rPr>
        <w:t>Differential effects of</w:t>
      </w:r>
      <w:r w:rsidRPr="00E95614">
        <w:rPr>
          <w:rFonts w:ascii="Palatino Linotype" w:eastAsia="Calibri" w:hAnsi="Palatino Linotype" w:cs="Calibri"/>
          <w:b/>
          <w:sz w:val="20"/>
          <w:szCs w:val="20"/>
        </w:rPr>
        <w:t xml:space="preserve"> project location on housing supply </w:t>
      </w:r>
    </w:p>
    <w:tbl>
      <w:tblPr>
        <w:tblW w:w="8427" w:type="dxa"/>
        <w:tblInd w:w="95" w:type="dxa"/>
        <w:tblLook w:val="04A0" w:firstRow="1" w:lastRow="0" w:firstColumn="1" w:lastColumn="0" w:noHBand="0" w:noVBand="1"/>
      </w:tblPr>
      <w:tblGrid>
        <w:gridCol w:w="1147"/>
        <w:gridCol w:w="1219"/>
        <w:gridCol w:w="634"/>
        <w:gridCol w:w="703"/>
        <w:gridCol w:w="491"/>
        <w:gridCol w:w="1334"/>
        <w:gridCol w:w="1122"/>
        <w:gridCol w:w="285"/>
        <w:gridCol w:w="1122"/>
        <w:gridCol w:w="370"/>
      </w:tblGrid>
      <w:tr w:rsidR="00E42D66" w:rsidRPr="00E95614" w:rsidTr="00E42D66">
        <w:trPr>
          <w:trHeight w:val="325"/>
        </w:trPr>
        <w:tc>
          <w:tcPr>
            <w:tcW w:w="4194" w:type="dxa"/>
            <w:gridSpan w:val="5"/>
            <w:tcBorders>
              <w:top w:val="single" w:sz="8" w:space="0" w:color="auto"/>
              <w:left w:val="nil"/>
              <w:bottom w:val="nil"/>
              <w:right w:val="double" w:sz="6" w:space="0" w:color="000000"/>
            </w:tcBorders>
            <w:shd w:val="clear" w:color="auto" w:fill="auto"/>
            <w:noWrap/>
            <w:vAlign w:val="bottom"/>
            <w:hideMark/>
          </w:tcPr>
          <w:p w:rsidR="00E42D66" w:rsidRPr="00E95614" w:rsidRDefault="00E42D66" w:rsidP="000222B8">
            <w:pPr>
              <w:widowControl/>
              <w:jc w:val="left"/>
              <w:rPr>
                <w:rFonts w:ascii="Palatino Linotype" w:eastAsia="SimSun" w:hAnsi="Palatino Linotype" w:cs="SimSun"/>
                <w:b/>
                <w:color w:val="000000"/>
                <w:kern w:val="0"/>
                <w:sz w:val="20"/>
                <w:szCs w:val="20"/>
              </w:rPr>
            </w:pPr>
            <w:r w:rsidRPr="00E95614">
              <w:rPr>
                <w:rFonts w:ascii="Palatino Linotype" w:eastAsia="SimSun" w:hAnsi="Palatino Linotype" w:cs="SimSun"/>
                <w:b/>
                <w:color w:val="000000"/>
                <w:kern w:val="0"/>
                <w:sz w:val="20"/>
                <w:szCs w:val="20"/>
              </w:rPr>
              <w:t xml:space="preserve">Dependent Variable: </w:t>
            </w:r>
            <m:oMath>
              <m:sSubSup>
                <m:sSubSupPr>
                  <m:ctrlPr>
                    <w:rPr>
                      <w:rFonts w:ascii="Cambria Math" w:eastAsia="SimSun" w:hAnsi="Cambria Math" w:cs="SimSun"/>
                      <w:b/>
                      <w:i/>
                      <w:color w:val="000000"/>
                      <w:kern w:val="0"/>
                      <w:sz w:val="20"/>
                      <w:szCs w:val="20"/>
                    </w:rPr>
                  </m:ctrlPr>
                </m:sSubSupPr>
                <m:e>
                  <m:r>
                    <m:rPr>
                      <m:sty m:val="bi"/>
                    </m:rPr>
                    <w:rPr>
                      <w:rFonts w:ascii="Cambria Math" w:eastAsia="SimSun" w:hAnsi="Cambria Math" w:cs="SimSun"/>
                      <w:color w:val="000000"/>
                      <w:kern w:val="0"/>
                      <w:sz w:val="20"/>
                      <w:szCs w:val="20"/>
                    </w:rPr>
                    <m:t>Y</m:t>
                  </m:r>
                </m:e>
                <m:sub>
                  <m:r>
                    <m:rPr>
                      <m:sty m:val="bi"/>
                    </m:rPr>
                    <w:rPr>
                      <w:rFonts w:ascii="Cambria Math" w:eastAsia="SimSun" w:hAnsi="Cambria Math" w:cs="SimSun"/>
                      <w:color w:val="000000"/>
                      <w:kern w:val="0"/>
                      <w:sz w:val="20"/>
                      <w:szCs w:val="20"/>
                    </w:rPr>
                    <m:t>1</m:t>
                  </m:r>
                </m:sub>
                <m:sup>
                  <m:r>
                    <m:rPr>
                      <m:sty m:val="bi"/>
                    </m:rPr>
                    <w:rPr>
                      <w:rFonts w:ascii="Cambria Math" w:eastAsia="SimSun" w:hAnsi="Cambria Math" w:cs="SimSun"/>
                      <w:color w:val="000000"/>
                      <w:kern w:val="0"/>
                      <w:sz w:val="20"/>
                      <w:szCs w:val="20"/>
                    </w:rPr>
                    <m:t>α</m:t>
                  </m:r>
                </m:sup>
              </m:sSubSup>
            </m:oMath>
          </w:p>
        </w:tc>
        <w:tc>
          <w:tcPr>
            <w:tcW w:w="4233" w:type="dxa"/>
            <w:gridSpan w:val="5"/>
            <w:tcBorders>
              <w:top w:val="single" w:sz="8" w:space="0" w:color="auto"/>
              <w:left w:val="nil"/>
              <w:bottom w:val="nil"/>
              <w:right w:val="nil"/>
            </w:tcBorders>
            <w:shd w:val="clear" w:color="auto" w:fill="auto"/>
            <w:noWrap/>
            <w:vAlign w:val="bottom"/>
            <w:hideMark/>
          </w:tcPr>
          <w:p w:rsidR="00E42D66" w:rsidRPr="00E95614" w:rsidRDefault="00E42D66" w:rsidP="000222B8">
            <w:pPr>
              <w:widowControl/>
              <w:jc w:val="left"/>
              <w:rPr>
                <w:rFonts w:ascii="Palatino Linotype" w:eastAsia="SimSun" w:hAnsi="Palatino Linotype" w:cs="SimSun"/>
                <w:b/>
                <w:color w:val="000000"/>
                <w:kern w:val="0"/>
                <w:sz w:val="20"/>
                <w:szCs w:val="20"/>
              </w:rPr>
            </w:pPr>
            <w:r w:rsidRPr="00E95614">
              <w:rPr>
                <w:rFonts w:ascii="Palatino Linotype" w:eastAsia="SimSun" w:hAnsi="Palatino Linotype" w:cs="SimSun"/>
                <w:b/>
                <w:color w:val="000000"/>
                <w:kern w:val="0"/>
                <w:sz w:val="20"/>
                <w:szCs w:val="20"/>
              </w:rPr>
              <w:t xml:space="preserve">Dependent Variable: </w:t>
            </w:r>
            <m:oMath>
              <m:sSubSup>
                <m:sSubSupPr>
                  <m:ctrlPr>
                    <w:rPr>
                      <w:rFonts w:ascii="Cambria Math" w:eastAsia="SimSun" w:hAnsi="Cambria Math" w:cs="SimSun"/>
                      <w:b/>
                      <w:i/>
                      <w:color w:val="000000"/>
                      <w:kern w:val="0"/>
                      <w:sz w:val="20"/>
                      <w:szCs w:val="20"/>
                    </w:rPr>
                  </m:ctrlPr>
                </m:sSubSupPr>
                <m:e>
                  <m:r>
                    <m:rPr>
                      <m:sty m:val="bi"/>
                    </m:rPr>
                    <w:rPr>
                      <w:rFonts w:ascii="Cambria Math" w:eastAsia="SimSun" w:hAnsi="Cambria Math" w:cs="SimSun"/>
                      <w:color w:val="000000"/>
                      <w:kern w:val="0"/>
                      <w:sz w:val="20"/>
                      <w:szCs w:val="20"/>
                    </w:rPr>
                    <m:t>Y</m:t>
                  </m:r>
                </m:e>
                <m:sub>
                  <m:r>
                    <m:rPr>
                      <m:sty m:val="bi"/>
                    </m:rPr>
                    <w:rPr>
                      <w:rFonts w:ascii="Cambria Math" w:eastAsia="SimSun" w:hAnsi="Cambria Math" w:cs="SimSun"/>
                      <w:color w:val="000000"/>
                      <w:kern w:val="0"/>
                      <w:sz w:val="20"/>
                      <w:szCs w:val="20"/>
                    </w:rPr>
                    <m:t>2</m:t>
                  </m:r>
                </m:sub>
                <m:sup>
                  <m:r>
                    <m:rPr>
                      <m:sty m:val="bi"/>
                    </m:rPr>
                    <w:rPr>
                      <w:rFonts w:ascii="Cambria Math" w:eastAsia="SimSun" w:hAnsi="Cambria Math" w:cs="SimSun"/>
                      <w:color w:val="000000"/>
                      <w:kern w:val="0"/>
                      <w:sz w:val="20"/>
                      <w:szCs w:val="20"/>
                    </w:rPr>
                    <m:t>α</m:t>
                  </m:r>
                </m:sup>
              </m:sSubSup>
            </m:oMath>
          </w:p>
        </w:tc>
      </w:tr>
      <w:tr w:rsidR="00E42D66" w:rsidRPr="00E95614" w:rsidTr="00E42D66">
        <w:trPr>
          <w:trHeight w:val="339"/>
        </w:trPr>
        <w:tc>
          <w:tcPr>
            <w:tcW w:w="4194" w:type="dxa"/>
            <w:gridSpan w:val="5"/>
            <w:tcBorders>
              <w:top w:val="nil"/>
              <w:left w:val="nil"/>
              <w:bottom w:val="single" w:sz="8" w:space="0" w:color="auto"/>
              <w:right w:val="double" w:sz="6" w:space="0" w:color="000000"/>
            </w:tcBorders>
            <w:shd w:val="clear" w:color="auto" w:fill="auto"/>
            <w:noWrap/>
            <w:vAlign w:val="bottom"/>
            <w:hideMark/>
          </w:tcPr>
          <w:p w:rsidR="00E42D66" w:rsidRPr="00E95614" w:rsidRDefault="00E42D66" w:rsidP="00D40747">
            <w:pPr>
              <w:widowControl/>
              <w:jc w:val="left"/>
              <w:rPr>
                <w:rFonts w:ascii="Palatino Linotype" w:eastAsia="SimSun" w:hAnsi="Palatino Linotype" w:cs="SimSun"/>
                <w:b/>
                <w:color w:val="000000"/>
                <w:kern w:val="0"/>
                <w:sz w:val="20"/>
                <w:szCs w:val="20"/>
              </w:rPr>
            </w:pPr>
            <w:r w:rsidRPr="00E95614">
              <w:rPr>
                <w:rFonts w:ascii="Palatino Linotype" w:eastAsia="SimSun" w:hAnsi="Palatino Linotype" w:cs="SimSun"/>
                <w:b/>
                <w:color w:val="000000"/>
                <w:kern w:val="0"/>
                <w:sz w:val="20"/>
                <w:szCs w:val="20"/>
              </w:rPr>
              <w:t>Included observations: 83</w:t>
            </w:r>
            <w:r w:rsidR="00D40747" w:rsidRPr="00E95614">
              <w:rPr>
                <w:rFonts w:ascii="Palatino Linotype" w:eastAsia="SimSun" w:hAnsi="Palatino Linotype" w:cs="SimSun"/>
                <w:b/>
                <w:color w:val="000000"/>
                <w:kern w:val="0"/>
                <w:sz w:val="20"/>
                <w:szCs w:val="20"/>
              </w:rPr>
              <w:t>3</w:t>
            </w:r>
          </w:p>
        </w:tc>
        <w:tc>
          <w:tcPr>
            <w:tcW w:w="4233" w:type="dxa"/>
            <w:gridSpan w:val="5"/>
            <w:tcBorders>
              <w:top w:val="nil"/>
              <w:left w:val="nil"/>
              <w:bottom w:val="single" w:sz="8" w:space="0" w:color="auto"/>
              <w:right w:val="nil"/>
            </w:tcBorders>
            <w:shd w:val="clear" w:color="auto" w:fill="auto"/>
            <w:noWrap/>
            <w:vAlign w:val="bottom"/>
            <w:hideMark/>
          </w:tcPr>
          <w:p w:rsidR="00E42D66" w:rsidRPr="00E95614" w:rsidRDefault="00E42D66" w:rsidP="00D40747">
            <w:pPr>
              <w:widowControl/>
              <w:jc w:val="left"/>
              <w:rPr>
                <w:rFonts w:ascii="Palatino Linotype" w:eastAsia="SimSun" w:hAnsi="Palatino Linotype" w:cs="SimSun"/>
                <w:b/>
                <w:color w:val="000000"/>
                <w:kern w:val="0"/>
                <w:sz w:val="20"/>
                <w:szCs w:val="20"/>
              </w:rPr>
            </w:pPr>
            <w:r w:rsidRPr="00E95614">
              <w:rPr>
                <w:rFonts w:ascii="Palatino Linotype" w:eastAsia="SimSun" w:hAnsi="Palatino Linotype" w:cs="SimSun"/>
                <w:b/>
                <w:color w:val="000000"/>
                <w:kern w:val="0"/>
                <w:sz w:val="20"/>
                <w:szCs w:val="20"/>
              </w:rPr>
              <w:t>Included observations: 83</w:t>
            </w:r>
            <w:r w:rsidR="00D40747" w:rsidRPr="00E95614">
              <w:rPr>
                <w:rFonts w:ascii="Palatino Linotype" w:eastAsia="SimSun" w:hAnsi="Palatino Linotype" w:cs="SimSun"/>
                <w:b/>
                <w:color w:val="000000"/>
                <w:kern w:val="0"/>
                <w:sz w:val="20"/>
                <w:szCs w:val="20"/>
              </w:rPr>
              <w:t>3</w:t>
            </w:r>
          </w:p>
        </w:tc>
      </w:tr>
      <w:tr w:rsidR="00E42D66" w:rsidRPr="00E95614" w:rsidTr="00E42D66">
        <w:trPr>
          <w:trHeight w:val="339"/>
        </w:trPr>
        <w:tc>
          <w:tcPr>
            <w:tcW w:w="1147" w:type="dxa"/>
            <w:tcBorders>
              <w:top w:val="nil"/>
              <w:left w:val="nil"/>
              <w:bottom w:val="single" w:sz="8" w:space="0" w:color="auto"/>
              <w:right w:val="nil"/>
            </w:tcBorders>
            <w:shd w:val="clear" w:color="auto" w:fill="auto"/>
            <w:noWrap/>
            <w:vAlign w:val="bottom"/>
            <w:hideMark/>
          </w:tcPr>
          <w:p w:rsidR="00E42D66" w:rsidRPr="00E95614" w:rsidRDefault="00E42D66" w:rsidP="000222B8">
            <w:pPr>
              <w:widowControl/>
              <w:jc w:val="left"/>
              <w:rPr>
                <w:rFonts w:ascii="Palatino Linotype" w:eastAsia="SimSun" w:hAnsi="Palatino Linotype" w:cs="SimSun"/>
                <w:b/>
                <w:color w:val="000000"/>
                <w:kern w:val="0"/>
                <w:sz w:val="20"/>
                <w:szCs w:val="20"/>
              </w:rPr>
            </w:pPr>
            <w:r w:rsidRPr="00E95614">
              <w:rPr>
                <w:rFonts w:ascii="Palatino Linotype" w:eastAsia="SimSun" w:hAnsi="Palatino Linotype" w:cs="SimSun"/>
                <w:b/>
                <w:color w:val="000000"/>
                <w:kern w:val="0"/>
                <w:sz w:val="20"/>
                <w:szCs w:val="20"/>
              </w:rPr>
              <w:t>Variable</w:t>
            </w:r>
          </w:p>
        </w:tc>
        <w:tc>
          <w:tcPr>
            <w:tcW w:w="1853" w:type="dxa"/>
            <w:gridSpan w:val="2"/>
            <w:tcBorders>
              <w:top w:val="nil"/>
              <w:left w:val="nil"/>
              <w:bottom w:val="single" w:sz="8" w:space="0" w:color="auto"/>
              <w:right w:val="nil"/>
            </w:tcBorders>
            <w:shd w:val="clear" w:color="auto" w:fill="auto"/>
            <w:noWrap/>
            <w:vAlign w:val="bottom"/>
            <w:hideMark/>
          </w:tcPr>
          <w:p w:rsidR="00E42D66" w:rsidRPr="00E95614" w:rsidRDefault="00E42D66" w:rsidP="000222B8">
            <w:pPr>
              <w:widowControl/>
              <w:jc w:val="left"/>
              <w:rPr>
                <w:rFonts w:ascii="Palatino Linotype" w:eastAsia="SimSun" w:hAnsi="Palatino Linotype" w:cs="SimSun"/>
                <w:b/>
                <w:color w:val="000000"/>
                <w:kern w:val="0"/>
                <w:sz w:val="20"/>
                <w:szCs w:val="20"/>
              </w:rPr>
            </w:pPr>
            <w:r w:rsidRPr="00E95614">
              <w:rPr>
                <w:rFonts w:ascii="Palatino Linotype" w:eastAsia="SimSun" w:hAnsi="Palatino Linotype" w:cs="SimSun"/>
                <w:b/>
                <w:color w:val="000000"/>
                <w:kern w:val="0"/>
                <w:sz w:val="20"/>
                <w:szCs w:val="20"/>
              </w:rPr>
              <w:t>Coefficient</w:t>
            </w:r>
          </w:p>
        </w:tc>
        <w:tc>
          <w:tcPr>
            <w:tcW w:w="1194" w:type="dxa"/>
            <w:gridSpan w:val="2"/>
            <w:tcBorders>
              <w:top w:val="nil"/>
              <w:left w:val="nil"/>
              <w:bottom w:val="single" w:sz="8" w:space="0" w:color="auto"/>
              <w:right w:val="double" w:sz="6" w:space="0" w:color="auto"/>
            </w:tcBorders>
            <w:shd w:val="clear" w:color="auto" w:fill="auto"/>
            <w:noWrap/>
            <w:vAlign w:val="bottom"/>
            <w:hideMark/>
          </w:tcPr>
          <w:p w:rsidR="00E42D66" w:rsidRPr="00E95614" w:rsidRDefault="00E42D66" w:rsidP="000222B8">
            <w:pPr>
              <w:widowControl/>
              <w:jc w:val="left"/>
              <w:rPr>
                <w:rFonts w:ascii="Palatino Linotype" w:eastAsia="SimSun" w:hAnsi="Palatino Linotype" w:cs="SimSun"/>
                <w:b/>
                <w:color w:val="000000"/>
                <w:kern w:val="0"/>
                <w:sz w:val="20"/>
                <w:szCs w:val="20"/>
              </w:rPr>
            </w:pPr>
            <w:r w:rsidRPr="00E95614">
              <w:rPr>
                <w:rFonts w:ascii="Palatino Linotype" w:eastAsia="SimSun" w:hAnsi="Palatino Linotype" w:cs="SimSun"/>
                <w:b/>
                <w:color w:val="000000"/>
                <w:kern w:val="0"/>
                <w:sz w:val="20"/>
                <w:szCs w:val="20"/>
              </w:rPr>
              <w:t>Std. Error</w:t>
            </w:r>
          </w:p>
        </w:tc>
        <w:tc>
          <w:tcPr>
            <w:tcW w:w="1334" w:type="dxa"/>
            <w:tcBorders>
              <w:top w:val="nil"/>
              <w:left w:val="nil"/>
              <w:bottom w:val="single" w:sz="8" w:space="0" w:color="auto"/>
              <w:right w:val="nil"/>
            </w:tcBorders>
            <w:shd w:val="clear" w:color="auto" w:fill="auto"/>
            <w:noWrap/>
            <w:vAlign w:val="bottom"/>
            <w:hideMark/>
          </w:tcPr>
          <w:p w:rsidR="00E42D66" w:rsidRPr="00E95614" w:rsidRDefault="00E42D66" w:rsidP="000222B8">
            <w:pPr>
              <w:widowControl/>
              <w:jc w:val="left"/>
              <w:rPr>
                <w:rFonts w:ascii="Palatino Linotype" w:eastAsia="SimSun" w:hAnsi="Palatino Linotype" w:cs="SimSun"/>
                <w:b/>
                <w:color w:val="000000"/>
                <w:kern w:val="0"/>
                <w:sz w:val="20"/>
                <w:szCs w:val="20"/>
              </w:rPr>
            </w:pPr>
            <w:r w:rsidRPr="00E95614">
              <w:rPr>
                <w:rFonts w:ascii="Palatino Linotype" w:eastAsia="SimSun" w:hAnsi="Palatino Linotype" w:cs="SimSun"/>
                <w:b/>
                <w:color w:val="000000"/>
                <w:kern w:val="0"/>
                <w:sz w:val="20"/>
                <w:szCs w:val="20"/>
              </w:rPr>
              <w:t>Variable</w:t>
            </w:r>
          </w:p>
        </w:tc>
        <w:tc>
          <w:tcPr>
            <w:tcW w:w="1407" w:type="dxa"/>
            <w:gridSpan w:val="2"/>
            <w:tcBorders>
              <w:top w:val="nil"/>
              <w:left w:val="nil"/>
              <w:bottom w:val="single" w:sz="8" w:space="0" w:color="auto"/>
              <w:right w:val="nil"/>
            </w:tcBorders>
            <w:shd w:val="clear" w:color="auto" w:fill="auto"/>
            <w:noWrap/>
            <w:vAlign w:val="bottom"/>
            <w:hideMark/>
          </w:tcPr>
          <w:p w:rsidR="00E42D66" w:rsidRPr="00E95614" w:rsidRDefault="00E42D66" w:rsidP="000222B8">
            <w:pPr>
              <w:widowControl/>
              <w:jc w:val="left"/>
              <w:rPr>
                <w:rFonts w:ascii="Palatino Linotype" w:eastAsia="SimSun" w:hAnsi="Palatino Linotype" w:cs="SimSun"/>
                <w:b/>
                <w:color w:val="000000"/>
                <w:kern w:val="0"/>
                <w:sz w:val="20"/>
                <w:szCs w:val="20"/>
              </w:rPr>
            </w:pPr>
            <w:r w:rsidRPr="00E95614">
              <w:rPr>
                <w:rFonts w:ascii="Palatino Linotype" w:eastAsia="SimSun" w:hAnsi="Palatino Linotype" w:cs="SimSun"/>
                <w:b/>
                <w:color w:val="000000"/>
                <w:kern w:val="0"/>
                <w:sz w:val="20"/>
                <w:szCs w:val="20"/>
              </w:rPr>
              <w:t>Coefficient</w:t>
            </w:r>
          </w:p>
        </w:tc>
        <w:tc>
          <w:tcPr>
            <w:tcW w:w="1492" w:type="dxa"/>
            <w:gridSpan w:val="2"/>
            <w:tcBorders>
              <w:top w:val="nil"/>
              <w:left w:val="nil"/>
              <w:bottom w:val="single" w:sz="8" w:space="0" w:color="auto"/>
              <w:right w:val="nil"/>
            </w:tcBorders>
            <w:shd w:val="clear" w:color="auto" w:fill="auto"/>
            <w:noWrap/>
            <w:vAlign w:val="bottom"/>
            <w:hideMark/>
          </w:tcPr>
          <w:p w:rsidR="00E42D66" w:rsidRPr="00E95614" w:rsidRDefault="00E42D66" w:rsidP="000222B8">
            <w:pPr>
              <w:widowControl/>
              <w:jc w:val="left"/>
              <w:rPr>
                <w:rFonts w:ascii="Palatino Linotype" w:eastAsia="SimSun" w:hAnsi="Palatino Linotype" w:cs="SimSun"/>
                <w:b/>
                <w:color w:val="000000"/>
                <w:kern w:val="0"/>
                <w:sz w:val="20"/>
                <w:szCs w:val="20"/>
              </w:rPr>
            </w:pPr>
            <w:r w:rsidRPr="00E95614">
              <w:rPr>
                <w:rFonts w:ascii="Palatino Linotype" w:eastAsia="SimSun" w:hAnsi="Palatino Linotype" w:cs="SimSun"/>
                <w:b/>
                <w:color w:val="000000"/>
                <w:kern w:val="0"/>
                <w:sz w:val="20"/>
                <w:szCs w:val="20"/>
              </w:rPr>
              <w:t>Std. Error</w:t>
            </w:r>
          </w:p>
        </w:tc>
      </w:tr>
      <w:tr w:rsidR="00D40747" w:rsidRPr="00E95614" w:rsidTr="009E64DC">
        <w:trPr>
          <w:trHeight w:val="325"/>
        </w:trPr>
        <w:tc>
          <w:tcPr>
            <w:tcW w:w="1147" w:type="dxa"/>
            <w:tcBorders>
              <w:top w:val="nil"/>
              <w:left w:val="nil"/>
              <w:bottom w:val="nil"/>
              <w:right w:val="nil"/>
            </w:tcBorders>
            <w:shd w:val="clear" w:color="auto" w:fill="auto"/>
            <w:noWrap/>
            <w:vAlign w:val="bottom"/>
            <w:hideMark/>
          </w:tcPr>
          <w:p w:rsidR="00D40747" w:rsidRPr="00E95614" w:rsidRDefault="00D40747" w:rsidP="000222B8">
            <w:pPr>
              <w:widowControl/>
              <w:jc w:val="left"/>
              <w:rPr>
                <w:rFonts w:ascii="Palatino Linotype" w:eastAsia="SimSun" w:hAnsi="Palatino Linotype" w:cs="SimSun"/>
                <w:b/>
                <w:color w:val="000000"/>
                <w:kern w:val="0"/>
                <w:sz w:val="20"/>
                <w:szCs w:val="20"/>
              </w:rPr>
            </w:pPr>
            <w:r w:rsidRPr="00E95614">
              <w:rPr>
                <w:rFonts w:ascii="Palatino Linotype" w:eastAsia="SimSun" w:hAnsi="Palatino Linotype" w:cs="SimSun"/>
                <w:b/>
                <w:color w:val="000000"/>
                <w:kern w:val="0"/>
                <w:sz w:val="20"/>
                <w:szCs w:val="20"/>
              </w:rPr>
              <w:t>D</w:t>
            </w:r>
            <w:r w:rsidRPr="00E95614">
              <w:rPr>
                <w:rFonts w:ascii="Palatino Linotype" w:eastAsia="SimSun" w:hAnsi="Palatino Linotype" w:cs="SimSun"/>
                <w:b/>
                <w:color w:val="000000"/>
                <w:kern w:val="0"/>
                <w:sz w:val="20"/>
                <w:szCs w:val="20"/>
                <w:vertAlign w:val="subscript"/>
              </w:rPr>
              <w:t>C</w:t>
            </w:r>
          </w:p>
        </w:tc>
        <w:tc>
          <w:tcPr>
            <w:tcW w:w="1853" w:type="dxa"/>
            <w:gridSpan w:val="2"/>
            <w:tcBorders>
              <w:top w:val="nil"/>
              <w:left w:val="nil"/>
              <w:bottom w:val="nil"/>
              <w:right w:val="nil"/>
            </w:tcBorders>
            <w:shd w:val="clear" w:color="auto" w:fill="auto"/>
            <w:noWrap/>
            <w:hideMark/>
          </w:tcPr>
          <w:p w:rsidR="00D40747" w:rsidRPr="00E95614" w:rsidRDefault="00D40747" w:rsidP="004E1D07">
            <w:pPr>
              <w:rPr>
                <w:rFonts w:ascii="Palatino Linotype" w:hAnsi="Palatino Linotype"/>
                <w:sz w:val="20"/>
                <w:szCs w:val="20"/>
              </w:rPr>
            </w:pPr>
            <w:r w:rsidRPr="00E95614">
              <w:rPr>
                <w:rFonts w:ascii="Palatino Linotype" w:hAnsi="Palatino Linotype"/>
                <w:sz w:val="20"/>
                <w:szCs w:val="20"/>
              </w:rPr>
              <w:t>-14.9</w:t>
            </w:r>
            <w:r w:rsidR="004E1D07" w:rsidRPr="00E95614">
              <w:rPr>
                <w:rFonts w:ascii="Palatino Linotype" w:hAnsi="Palatino Linotype"/>
                <w:sz w:val="20"/>
                <w:szCs w:val="20"/>
              </w:rPr>
              <w:t>79</w:t>
            </w:r>
            <w:r w:rsidRPr="00E95614">
              <w:rPr>
                <w:rFonts w:ascii="Palatino Linotype" w:hAnsi="Palatino Linotype"/>
                <w:sz w:val="20"/>
                <w:szCs w:val="20"/>
              </w:rPr>
              <w:t>***</w:t>
            </w:r>
          </w:p>
        </w:tc>
        <w:tc>
          <w:tcPr>
            <w:tcW w:w="1194" w:type="dxa"/>
            <w:gridSpan w:val="2"/>
            <w:tcBorders>
              <w:top w:val="nil"/>
              <w:left w:val="nil"/>
              <w:bottom w:val="nil"/>
              <w:right w:val="double" w:sz="6" w:space="0" w:color="auto"/>
            </w:tcBorders>
            <w:shd w:val="clear" w:color="auto" w:fill="auto"/>
            <w:noWrap/>
            <w:hideMark/>
          </w:tcPr>
          <w:p w:rsidR="00D40747" w:rsidRPr="00E95614" w:rsidRDefault="00D40747" w:rsidP="004E1D07">
            <w:pPr>
              <w:rPr>
                <w:rFonts w:ascii="Palatino Linotype" w:hAnsi="Palatino Linotype"/>
                <w:sz w:val="20"/>
                <w:szCs w:val="20"/>
              </w:rPr>
            </w:pPr>
            <w:r w:rsidRPr="00E95614">
              <w:rPr>
                <w:rFonts w:ascii="Palatino Linotype" w:hAnsi="Palatino Linotype"/>
                <w:sz w:val="20"/>
                <w:szCs w:val="20"/>
              </w:rPr>
              <w:t>5.76</w:t>
            </w:r>
            <w:r w:rsidR="004E1D07" w:rsidRPr="00E95614">
              <w:rPr>
                <w:rFonts w:ascii="Palatino Linotype" w:hAnsi="Palatino Linotype"/>
                <w:sz w:val="20"/>
                <w:szCs w:val="20"/>
              </w:rPr>
              <w:t>6</w:t>
            </w:r>
          </w:p>
        </w:tc>
        <w:tc>
          <w:tcPr>
            <w:tcW w:w="1334" w:type="dxa"/>
            <w:tcBorders>
              <w:top w:val="nil"/>
              <w:left w:val="nil"/>
              <w:bottom w:val="nil"/>
              <w:right w:val="nil"/>
            </w:tcBorders>
            <w:shd w:val="clear" w:color="auto" w:fill="auto"/>
            <w:noWrap/>
            <w:vAlign w:val="bottom"/>
            <w:hideMark/>
          </w:tcPr>
          <w:p w:rsidR="00D40747" w:rsidRPr="00E95614" w:rsidRDefault="00D40747" w:rsidP="000222B8">
            <w:pPr>
              <w:widowControl/>
              <w:jc w:val="left"/>
              <w:rPr>
                <w:rFonts w:ascii="Palatino Linotype" w:eastAsia="SimSun" w:hAnsi="Palatino Linotype" w:cs="SimSun"/>
                <w:b/>
                <w:color w:val="000000"/>
                <w:kern w:val="0"/>
                <w:sz w:val="20"/>
                <w:szCs w:val="20"/>
              </w:rPr>
            </w:pPr>
            <w:r w:rsidRPr="00E95614">
              <w:rPr>
                <w:rFonts w:ascii="Palatino Linotype" w:eastAsia="SimSun" w:hAnsi="Palatino Linotype" w:cs="SimSun"/>
                <w:b/>
                <w:color w:val="000000"/>
                <w:kern w:val="0"/>
                <w:sz w:val="20"/>
                <w:szCs w:val="20"/>
              </w:rPr>
              <w:t>D</w:t>
            </w:r>
            <w:r w:rsidRPr="00E95614">
              <w:rPr>
                <w:rFonts w:ascii="Palatino Linotype" w:eastAsia="SimSun" w:hAnsi="Palatino Linotype" w:cs="SimSun"/>
                <w:b/>
                <w:color w:val="000000"/>
                <w:kern w:val="0"/>
                <w:sz w:val="20"/>
                <w:szCs w:val="20"/>
                <w:vertAlign w:val="subscript"/>
              </w:rPr>
              <w:t>C</w:t>
            </w:r>
          </w:p>
        </w:tc>
        <w:tc>
          <w:tcPr>
            <w:tcW w:w="1407" w:type="dxa"/>
            <w:gridSpan w:val="2"/>
            <w:tcBorders>
              <w:top w:val="nil"/>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15.074***</w:t>
            </w:r>
          </w:p>
        </w:tc>
        <w:tc>
          <w:tcPr>
            <w:tcW w:w="1492" w:type="dxa"/>
            <w:gridSpan w:val="2"/>
            <w:tcBorders>
              <w:top w:val="nil"/>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3.280</w:t>
            </w:r>
          </w:p>
        </w:tc>
      </w:tr>
      <w:tr w:rsidR="00D40747" w:rsidRPr="00E95614" w:rsidTr="009E64DC">
        <w:trPr>
          <w:trHeight w:val="325"/>
        </w:trPr>
        <w:tc>
          <w:tcPr>
            <w:tcW w:w="1147" w:type="dxa"/>
            <w:tcBorders>
              <w:top w:val="nil"/>
              <w:left w:val="nil"/>
              <w:bottom w:val="nil"/>
              <w:right w:val="nil"/>
            </w:tcBorders>
            <w:shd w:val="clear" w:color="auto" w:fill="auto"/>
            <w:noWrap/>
            <w:vAlign w:val="bottom"/>
            <w:hideMark/>
          </w:tcPr>
          <w:p w:rsidR="00D40747" w:rsidRPr="00E95614" w:rsidRDefault="00CD6B02" w:rsidP="000222B8">
            <w:pPr>
              <w:widowControl/>
              <w:jc w:val="left"/>
              <w:rPr>
                <w:rFonts w:ascii="Palatino Linotype" w:eastAsia="SimSun" w:hAnsi="Palatino Linotype" w:cs="SimSun"/>
                <w:b/>
                <w:color w:val="000000"/>
                <w:kern w:val="0"/>
                <w:sz w:val="20"/>
                <w:szCs w:val="20"/>
              </w:rPr>
            </w:pPr>
            <m:oMathPara>
              <m:oMathParaPr>
                <m:jc m:val="left"/>
              </m:oMathParaPr>
              <m:oMath>
                <m:sSub>
                  <m:sSubPr>
                    <m:ctrlPr>
                      <w:rPr>
                        <w:rFonts w:ascii="Cambria Math" w:eastAsia="SimSun" w:hAnsi="Cambria Math" w:cs="SimSun"/>
                        <w:b/>
                        <w:color w:val="000000"/>
                        <w:kern w:val="0"/>
                        <w:sz w:val="20"/>
                        <w:szCs w:val="20"/>
                      </w:rPr>
                    </m:ctrlPr>
                  </m:sSubPr>
                  <m:e>
                    <m:r>
                      <m:rPr>
                        <m:sty m:val="b"/>
                      </m:rPr>
                      <w:rPr>
                        <w:rFonts w:ascii="Cambria Math" w:eastAsia="SimSun" w:hAnsi="Cambria Math" w:cs="SimSun"/>
                        <w:color w:val="000000"/>
                        <w:kern w:val="0"/>
                        <w:sz w:val="20"/>
                        <w:szCs w:val="20"/>
                      </w:rPr>
                      <m:t>α</m:t>
                    </m:r>
                  </m:e>
                  <m:sub>
                    <m:r>
                      <m:rPr>
                        <m:sty m:val="b"/>
                      </m:rPr>
                      <w:rPr>
                        <w:rFonts w:ascii="Cambria Math" w:eastAsia="SimSun" w:hAnsi="Cambria Math" w:cs="SimSun"/>
                        <w:color w:val="000000"/>
                        <w:kern w:val="0"/>
                        <w:sz w:val="20"/>
                        <w:szCs w:val="20"/>
                      </w:rPr>
                      <m:t>10</m:t>
                    </m:r>
                  </m:sub>
                </m:sSub>
              </m:oMath>
            </m:oMathPara>
          </w:p>
        </w:tc>
        <w:tc>
          <w:tcPr>
            <w:tcW w:w="1853" w:type="dxa"/>
            <w:gridSpan w:val="2"/>
            <w:tcBorders>
              <w:top w:val="nil"/>
              <w:left w:val="nil"/>
              <w:bottom w:val="nil"/>
              <w:right w:val="nil"/>
            </w:tcBorders>
            <w:shd w:val="clear" w:color="auto" w:fill="auto"/>
            <w:noWrap/>
            <w:hideMark/>
          </w:tcPr>
          <w:p w:rsidR="00D40747" w:rsidRPr="00E95614" w:rsidRDefault="00D40747" w:rsidP="009E64DC">
            <w:pPr>
              <w:rPr>
                <w:rFonts w:ascii="Palatino Linotype" w:hAnsi="Palatino Linotype"/>
                <w:sz w:val="20"/>
                <w:szCs w:val="20"/>
              </w:rPr>
            </w:pPr>
            <w:r w:rsidRPr="00E95614">
              <w:rPr>
                <w:rFonts w:ascii="Palatino Linotype" w:hAnsi="Palatino Linotype"/>
                <w:sz w:val="20"/>
                <w:szCs w:val="20"/>
              </w:rPr>
              <w:t>69.246***</w:t>
            </w:r>
          </w:p>
        </w:tc>
        <w:tc>
          <w:tcPr>
            <w:tcW w:w="1194" w:type="dxa"/>
            <w:gridSpan w:val="2"/>
            <w:tcBorders>
              <w:top w:val="nil"/>
              <w:left w:val="nil"/>
              <w:bottom w:val="nil"/>
              <w:right w:val="double" w:sz="6" w:space="0" w:color="auto"/>
            </w:tcBorders>
            <w:shd w:val="clear" w:color="auto" w:fill="auto"/>
            <w:noWrap/>
            <w:hideMark/>
          </w:tcPr>
          <w:p w:rsidR="00D40747" w:rsidRPr="00E95614" w:rsidRDefault="00D40747" w:rsidP="009E64DC">
            <w:pPr>
              <w:rPr>
                <w:rFonts w:ascii="Palatino Linotype" w:hAnsi="Palatino Linotype"/>
                <w:sz w:val="20"/>
                <w:szCs w:val="20"/>
              </w:rPr>
            </w:pPr>
            <w:r w:rsidRPr="00E95614">
              <w:rPr>
                <w:rFonts w:ascii="Palatino Linotype" w:hAnsi="Palatino Linotype"/>
                <w:sz w:val="20"/>
                <w:szCs w:val="20"/>
              </w:rPr>
              <w:t>2.047</w:t>
            </w:r>
          </w:p>
        </w:tc>
        <w:tc>
          <w:tcPr>
            <w:tcW w:w="1334" w:type="dxa"/>
            <w:tcBorders>
              <w:top w:val="nil"/>
              <w:left w:val="nil"/>
              <w:bottom w:val="nil"/>
              <w:right w:val="nil"/>
            </w:tcBorders>
            <w:shd w:val="clear" w:color="auto" w:fill="auto"/>
            <w:noWrap/>
            <w:vAlign w:val="bottom"/>
            <w:hideMark/>
          </w:tcPr>
          <w:p w:rsidR="00D40747" w:rsidRPr="00E95614" w:rsidRDefault="00CD6B02" w:rsidP="000222B8">
            <w:pPr>
              <w:widowControl/>
              <w:jc w:val="left"/>
              <w:rPr>
                <w:rFonts w:ascii="Palatino Linotype" w:eastAsia="SimSun" w:hAnsi="Palatino Linotype" w:cs="SimSun"/>
                <w:b/>
                <w:color w:val="000000"/>
                <w:kern w:val="0"/>
                <w:sz w:val="20"/>
                <w:szCs w:val="20"/>
              </w:rPr>
            </w:pPr>
            <m:oMathPara>
              <m:oMathParaPr>
                <m:jc m:val="left"/>
              </m:oMathParaPr>
              <m:oMath>
                <m:sSub>
                  <m:sSubPr>
                    <m:ctrlPr>
                      <w:rPr>
                        <w:rFonts w:ascii="Cambria Math" w:eastAsia="SimSun" w:hAnsi="Cambria Math" w:cs="SimSun"/>
                        <w:b/>
                        <w:color w:val="000000"/>
                        <w:kern w:val="0"/>
                        <w:sz w:val="20"/>
                        <w:szCs w:val="20"/>
                      </w:rPr>
                    </m:ctrlPr>
                  </m:sSubPr>
                  <m:e>
                    <m:r>
                      <m:rPr>
                        <m:sty m:val="b"/>
                      </m:rPr>
                      <w:rPr>
                        <w:rFonts w:ascii="Cambria Math" w:eastAsia="SimSun" w:hAnsi="Cambria Math" w:cs="SimSun"/>
                        <w:color w:val="000000"/>
                        <w:kern w:val="0"/>
                        <w:sz w:val="20"/>
                        <w:szCs w:val="20"/>
                      </w:rPr>
                      <m:t>α</m:t>
                    </m:r>
                  </m:e>
                  <m:sub>
                    <m:r>
                      <m:rPr>
                        <m:sty m:val="b"/>
                      </m:rPr>
                      <w:rPr>
                        <w:rFonts w:ascii="Cambria Math" w:eastAsia="SimSun" w:hAnsi="Cambria Math" w:cs="SimSun"/>
                        <w:color w:val="000000"/>
                        <w:kern w:val="0"/>
                        <w:sz w:val="20"/>
                        <w:szCs w:val="20"/>
                      </w:rPr>
                      <m:t>20</m:t>
                    </m:r>
                  </m:sub>
                </m:sSub>
              </m:oMath>
            </m:oMathPara>
          </w:p>
        </w:tc>
        <w:tc>
          <w:tcPr>
            <w:tcW w:w="1407" w:type="dxa"/>
            <w:gridSpan w:val="2"/>
            <w:tcBorders>
              <w:top w:val="nil"/>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45.707***</w:t>
            </w:r>
          </w:p>
        </w:tc>
        <w:tc>
          <w:tcPr>
            <w:tcW w:w="1492" w:type="dxa"/>
            <w:gridSpan w:val="2"/>
            <w:tcBorders>
              <w:top w:val="nil"/>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1.164</w:t>
            </w:r>
          </w:p>
        </w:tc>
      </w:tr>
      <w:tr w:rsidR="00D40747" w:rsidRPr="00E95614" w:rsidTr="00E42D66">
        <w:trPr>
          <w:trHeight w:val="325"/>
        </w:trPr>
        <w:tc>
          <w:tcPr>
            <w:tcW w:w="2366" w:type="dxa"/>
            <w:gridSpan w:val="2"/>
            <w:tcBorders>
              <w:top w:val="single" w:sz="8" w:space="0" w:color="auto"/>
              <w:left w:val="nil"/>
              <w:bottom w:val="nil"/>
              <w:right w:val="nil"/>
            </w:tcBorders>
            <w:shd w:val="clear" w:color="auto" w:fill="auto"/>
            <w:noWrap/>
            <w:vAlign w:val="bottom"/>
            <w:hideMark/>
          </w:tcPr>
          <w:p w:rsidR="00D40747" w:rsidRPr="00E95614" w:rsidRDefault="00D40747" w:rsidP="000222B8">
            <w:pPr>
              <w:widowControl/>
              <w:jc w:val="left"/>
              <w:rPr>
                <w:rFonts w:ascii="Palatino Linotype" w:eastAsia="SimSun" w:hAnsi="Palatino Linotype" w:cs="SimSun"/>
                <w:b/>
                <w:color w:val="000000"/>
                <w:kern w:val="0"/>
                <w:sz w:val="20"/>
                <w:szCs w:val="20"/>
              </w:rPr>
            </w:pPr>
            <w:r w:rsidRPr="00E95614">
              <w:rPr>
                <w:rFonts w:ascii="Palatino Linotype" w:eastAsia="SimSun" w:hAnsi="Palatino Linotype" w:cs="SimSun"/>
                <w:b/>
                <w:color w:val="000000"/>
                <w:kern w:val="0"/>
                <w:sz w:val="20"/>
                <w:szCs w:val="20"/>
              </w:rPr>
              <w:t>R-squared</w:t>
            </w:r>
          </w:p>
        </w:tc>
        <w:tc>
          <w:tcPr>
            <w:tcW w:w="1337" w:type="dxa"/>
            <w:gridSpan w:val="2"/>
            <w:tcBorders>
              <w:top w:val="single" w:sz="8" w:space="0" w:color="auto"/>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0.008</w:t>
            </w:r>
          </w:p>
        </w:tc>
        <w:tc>
          <w:tcPr>
            <w:tcW w:w="491" w:type="dxa"/>
            <w:tcBorders>
              <w:top w:val="single" w:sz="8" w:space="0" w:color="auto"/>
              <w:left w:val="nil"/>
              <w:bottom w:val="nil"/>
              <w:right w:val="double" w:sz="6" w:space="0" w:color="auto"/>
            </w:tcBorders>
            <w:shd w:val="clear" w:color="auto" w:fill="auto"/>
            <w:noWrap/>
            <w:vAlign w:val="bottom"/>
            <w:hideMark/>
          </w:tcPr>
          <w:p w:rsidR="00D40747" w:rsidRPr="00E95614" w:rsidRDefault="00D40747" w:rsidP="000222B8">
            <w:pPr>
              <w:widowControl/>
              <w:jc w:val="left"/>
              <w:rPr>
                <w:rFonts w:ascii="Palatino Linotype" w:eastAsia="SimSun" w:hAnsi="Palatino Linotype" w:cs="SimSun"/>
                <w:color w:val="000000"/>
                <w:kern w:val="0"/>
                <w:sz w:val="20"/>
                <w:szCs w:val="20"/>
              </w:rPr>
            </w:pPr>
            <w:r w:rsidRPr="00E95614">
              <w:rPr>
                <w:rFonts w:ascii="Palatino Linotype" w:eastAsia="SimSun" w:hAnsi="Palatino Linotype" w:cs="SimSun"/>
                <w:color w:val="000000"/>
                <w:kern w:val="0"/>
                <w:sz w:val="20"/>
                <w:szCs w:val="20"/>
              </w:rPr>
              <w:t xml:space="preserve">　</w:t>
            </w:r>
          </w:p>
        </w:tc>
        <w:tc>
          <w:tcPr>
            <w:tcW w:w="2456" w:type="dxa"/>
            <w:gridSpan w:val="2"/>
            <w:tcBorders>
              <w:top w:val="single" w:sz="8" w:space="0" w:color="auto"/>
              <w:left w:val="nil"/>
              <w:bottom w:val="nil"/>
              <w:right w:val="nil"/>
            </w:tcBorders>
            <w:shd w:val="clear" w:color="auto" w:fill="auto"/>
            <w:noWrap/>
            <w:vAlign w:val="bottom"/>
            <w:hideMark/>
          </w:tcPr>
          <w:p w:rsidR="00D40747" w:rsidRPr="00E95614" w:rsidRDefault="00D40747" w:rsidP="000222B8">
            <w:pPr>
              <w:widowControl/>
              <w:jc w:val="left"/>
              <w:rPr>
                <w:rFonts w:ascii="Palatino Linotype" w:eastAsia="SimSun" w:hAnsi="Palatino Linotype" w:cs="SimSun"/>
                <w:b/>
                <w:color w:val="000000"/>
                <w:kern w:val="0"/>
                <w:sz w:val="20"/>
                <w:szCs w:val="20"/>
              </w:rPr>
            </w:pPr>
            <w:r w:rsidRPr="00E95614">
              <w:rPr>
                <w:rFonts w:ascii="Palatino Linotype" w:eastAsia="SimSun" w:hAnsi="Palatino Linotype" w:cs="SimSun"/>
                <w:b/>
                <w:color w:val="000000"/>
                <w:kern w:val="0"/>
                <w:sz w:val="20"/>
                <w:szCs w:val="20"/>
              </w:rPr>
              <w:t>R-squared</w:t>
            </w:r>
          </w:p>
        </w:tc>
        <w:tc>
          <w:tcPr>
            <w:tcW w:w="1407" w:type="dxa"/>
            <w:gridSpan w:val="2"/>
            <w:tcBorders>
              <w:top w:val="single" w:sz="8" w:space="0" w:color="auto"/>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0.025</w:t>
            </w:r>
          </w:p>
        </w:tc>
        <w:tc>
          <w:tcPr>
            <w:tcW w:w="370" w:type="dxa"/>
            <w:tcBorders>
              <w:top w:val="single" w:sz="8" w:space="0" w:color="auto"/>
              <w:left w:val="nil"/>
              <w:bottom w:val="nil"/>
              <w:right w:val="nil"/>
            </w:tcBorders>
            <w:shd w:val="clear" w:color="auto" w:fill="auto"/>
            <w:noWrap/>
            <w:vAlign w:val="bottom"/>
            <w:hideMark/>
          </w:tcPr>
          <w:p w:rsidR="00D40747" w:rsidRPr="00E95614" w:rsidRDefault="00D40747" w:rsidP="000222B8">
            <w:pPr>
              <w:widowControl/>
              <w:jc w:val="left"/>
              <w:rPr>
                <w:rFonts w:ascii="Palatino Linotype" w:eastAsia="SimSun" w:hAnsi="Palatino Linotype" w:cs="SimSun"/>
                <w:color w:val="000000"/>
                <w:kern w:val="0"/>
                <w:sz w:val="20"/>
                <w:szCs w:val="20"/>
              </w:rPr>
            </w:pPr>
            <w:r w:rsidRPr="00E95614">
              <w:rPr>
                <w:rFonts w:ascii="Palatino Linotype" w:eastAsia="SimSun" w:hAnsi="Palatino Linotype" w:cs="SimSun"/>
                <w:color w:val="000000"/>
                <w:kern w:val="0"/>
                <w:sz w:val="20"/>
                <w:szCs w:val="20"/>
              </w:rPr>
              <w:t xml:space="preserve">　</w:t>
            </w:r>
          </w:p>
        </w:tc>
      </w:tr>
      <w:tr w:rsidR="00D40747" w:rsidRPr="00E95614" w:rsidTr="00E42D66">
        <w:trPr>
          <w:trHeight w:val="325"/>
        </w:trPr>
        <w:tc>
          <w:tcPr>
            <w:tcW w:w="2366" w:type="dxa"/>
            <w:gridSpan w:val="2"/>
            <w:tcBorders>
              <w:top w:val="nil"/>
              <w:left w:val="nil"/>
              <w:bottom w:val="nil"/>
              <w:right w:val="nil"/>
            </w:tcBorders>
            <w:shd w:val="clear" w:color="auto" w:fill="auto"/>
            <w:noWrap/>
            <w:vAlign w:val="bottom"/>
            <w:hideMark/>
          </w:tcPr>
          <w:p w:rsidR="00D40747" w:rsidRPr="00E95614" w:rsidRDefault="00D40747" w:rsidP="000222B8">
            <w:pPr>
              <w:widowControl/>
              <w:jc w:val="left"/>
              <w:rPr>
                <w:rFonts w:ascii="Palatino Linotype" w:eastAsia="SimSun" w:hAnsi="Palatino Linotype" w:cs="SimSun"/>
                <w:b/>
                <w:color w:val="000000"/>
                <w:kern w:val="0"/>
                <w:sz w:val="20"/>
                <w:szCs w:val="20"/>
              </w:rPr>
            </w:pPr>
            <w:r w:rsidRPr="00E95614">
              <w:rPr>
                <w:rFonts w:ascii="Palatino Linotype" w:eastAsia="SimSun" w:hAnsi="Palatino Linotype" w:cs="SimSun"/>
                <w:b/>
                <w:color w:val="000000"/>
                <w:kern w:val="0"/>
                <w:sz w:val="20"/>
                <w:szCs w:val="20"/>
              </w:rPr>
              <w:t>Adjusted R-squared</w:t>
            </w:r>
          </w:p>
        </w:tc>
        <w:tc>
          <w:tcPr>
            <w:tcW w:w="1337" w:type="dxa"/>
            <w:gridSpan w:val="2"/>
            <w:tcBorders>
              <w:top w:val="nil"/>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0.007</w:t>
            </w:r>
          </w:p>
        </w:tc>
        <w:tc>
          <w:tcPr>
            <w:tcW w:w="491" w:type="dxa"/>
            <w:tcBorders>
              <w:top w:val="nil"/>
              <w:left w:val="nil"/>
              <w:bottom w:val="nil"/>
              <w:right w:val="double" w:sz="6" w:space="0" w:color="auto"/>
            </w:tcBorders>
            <w:shd w:val="clear" w:color="auto" w:fill="auto"/>
            <w:noWrap/>
            <w:vAlign w:val="bottom"/>
            <w:hideMark/>
          </w:tcPr>
          <w:p w:rsidR="00D40747" w:rsidRPr="00E95614" w:rsidRDefault="00D40747" w:rsidP="000222B8">
            <w:pPr>
              <w:widowControl/>
              <w:jc w:val="left"/>
              <w:rPr>
                <w:rFonts w:ascii="Palatino Linotype" w:eastAsia="SimSun" w:hAnsi="Palatino Linotype" w:cs="SimSun"/>
                <w:color w:val="000000"/>
                <w:kern w:val="0"/>
                <w:sz w:val="20"/>
                <w:szCs w:val="20"/>
              </w:rPr>
            </w:pPr>
            <w:r w:rsidRPr="00E95614">
              <w:rPr>
                <w:rFonts w:ascii="Palatino Linotype" w:eastAsia="SimSun" w:hAnsi="Palatino Linotype" w:cs="SimSun"/>
                <w:color w:val="000000"/>
                <w:kern w:val="0"/>
                <w:sz w:val="20"/>
                <w:szCs w:val="20"/>
              </w:rPr>
              <w:t xml:space="preserve">　</w:t>
            </w:r>
          </w:p>
        </w:tc>
        <w:tc>
          <w:tcPr>
            <w:tcW w:w="2456" w:type="dxa"/>
            <w:gridSpan w:val="2"/>
            <w:tcBorders>
              <w:top w:val="nil"/>
              <w:left w:val="nil"/>
              <w:bottom w:val="nil"/>
              <w:right w:val="nil"/>
            </w:tcBorders>
            <w:shd w:val="clear" w:color="auto" w:fill="auto"/>
            <w:noWrap/>
            <w:vAlign w:val="bottom"/>
            <w:hideMark/>
          </w:tcPr>
          <w:p w:rsidR="00D40747" w:rsidRPr="00E95614" w:rsidRDefault="00D40747" w:rsidP="000222B8">
            <w:pPr>
              <w:widowControl/>
              <w:jc w:val="left"/>
              <w:rPr>
                <w:rFonts w:ascii="Palatino Linotype" w:eastAsia="SimSun" w:hAnsi="Palatino Linotype" w:cs="SimSun"/>
                <w:b/>
                <w:color w:val="000000"/>
                <w:kern w:val="0"/>
                <w:sz w:val="20"/>
                <w:szCs w:val="20"/>
              </w:rPr>
            </w:pPr>
            <w:r w:rsidRPr="00E95614">
              <w:rPr>
                <w:rFonts w:ascii="Palatino Linotype" w:eastAsia="SimSun" w:hAnsi="Palatino Linotype" w:cs="SimSun"/>
                <w:b/>
                <w:color w:val="000000"/>
                <w:kern w:val="0"/>
                <w:sz w:val="20"/>
                <w:szCs w:val="20"/>
              </w:rPr>
              <w:t>Adjusted R-squared</w:t>
            </w:r>
          </w:p>
        </w:tc>
        <w:tc>
          <w:tcPr>
            <w:tcW w:w="1407" w:type="dxa"/>
            <w:gridSpan w:val="2"/>
            <w:tcBorders>
              <w:top w:val="nil"/>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0.024</w:t>
            </w:r>
          </w:p>
        </w:tc>
        <w:tc>
          <w:tcPr>
            <w:tcW w:w="370" w:type="dxa"/>
            <w:tcBorders>
              <w:top w:val="nil"/>
              <w:left w:val="nil"/>
              <w:bottom w:val="nil"/>
              <w:right w:val="nil"/>
            </w:tcBorders>
            <w:shd w:val="clear" w:color="auto" w:fill="auto"/>
            <w:noWrap/>
            <w:vAlign w:val="bottom"/>
            <w:hideMark/>
          </w:tcPr>
          <w:p w:rsidR="00D40747" w:rsidRPr="00E95614" w:rsidRDefault="00D40747" w:rsidP="000222B8">
            <w:pPr>
              <w:widowControl/>
              <w:jc w:val="left"/>
              <w:rPr>
                <w:rFonts w:ascii="Palatino Linotype" w:eastAsia="SimSun" w:hAnsi="Palatino Linotype" w:cs="SimSun"/>
                <w:color w:val="000000"/>
                <w:kern w:val="0"/>
                <w:sz w:val="20"/>
                <w:szCs w:val="20"/>
              </w:rPr>
            </w:pPr>
          </w:p>
        </w:tc>
      </w:tr>
      <w:tr w:rsidR="00D40747" w:rsidRPr="00E95614" w:rsidTr="00E42D66">
        <w:trPr>
          <w:trHeight w:val="339"/>
        </w:trPr>
        <w:tc>
          <w:tcPr>
            <w:tcW w:w="2366" w:type="dxa"/>
            <w:gridSpan w:val="2"/>
            <w:tcBorders>
              <w:top w:val="nil"/>
              <w:left w:val="nil"/>
              <w:bottom w:val="single" w:sz="8" w:space="0" w:color="auto"/>
              <w:right w:val="nil"/>
            </w:tcBorders>
            <w:shd w:val="clear" w:color="auto" w:fill="auto"/>
            <w:noWrap/>
            <w:vAlign w:val="bottom"/>
            <w:hideMark/>
          </w:tcPr>
          <w:p w:rsidR="00D40747" w:rsidRPr="00E95614" w:rsidRDefault="00D40747" w:rsidP="000222B8">
            <w:pPr>
              <w:widowControl/>
              <w:jc w:val="left"/>
              <w:rPr>
                <w:rFonts w:ascii="Palatino Linotype" w:eastAsia="SimSun" w:hAnsi="Palatino Linotype" w:cs="SimSun"/>
                <w:b/>
                <w:color w:val="000000"/>
                <w:kern w:val="0"/>
                <w:sz w:val="20"/>
                <w:szCs w:val="20"/>
              </w:rPr>
            </w:pPr>
            <w:r w:rsidRPr="00E95614">
              <w:rPr>
                <w:rFonts w:ascii="Palatino Linotype" w:eastAsia="SimSun" w:hAnsi="Palatino Linotype" w:cs="SimSun"/>
                <w:b/>
                <w:color w:val="000000"/>
                <w:kern w:val="0"/>
                <w:sz w:val="20"/>
                <w:szCs w:val="20"/>
              </w:rPr>
              <w:t>F-statistic</w:t>
            </w:r>
          </w:p>
        </w:tc>
        <w:tc>
          <w:tcPr>
            <w:tcW w:w="1337" w:type="dxa"/>
            <w:gridSpan w:val="2"/>
            <w:tcBorders>
              <w:top w:val="nil"/>
              <w:left w:val="nil"/>
              <w:bottom w:val="single" w:sz="8" w:space="0" w:color="auto"/>
              <w:right w:val="nil"/>
            </w:tcBorders>
            <w:shd w:val="clear" w:color="auto" w:fill="auto"/>
            <w:noWrap/>
            <w:vAlign w:val="bottom"/>
            <w:hideMark/>
          </w:tcPr>
          <w:p w:rsidR="00D40747" w:rsidRPr="00E95614" w:rsidRDefault="00D40747" w:rsidP="004E1D07">
            <w:pPr>
              <w:rPr>
                <w:rFonts w:ascii="Palatino Linotype" w:hAnsi="Palatino Linotype" w:cs="Calibri"/>
                <w:color w:val="000000"/>
                <w:sz w:val="20"/>
                <w:szCs w:val="20"/>
              </w:rPr>
            </w:pPr>
            <w:r w:rsidRPr="00E95614">
              <w:rPr>
                <w:rFonts w:ascii="Palatino Linotype" w:hAnsi="Palatino Linotype" w:cs="Calibri"/>
                <w:color w:val="000000"/>
                <w:sz w:val="20"/>
                <w:szCs w:val="20"/>
              </w:rPr>
              <w:t>6.</w:t>
            </w:r>
            <w:r w:rsidR="004E1D07" w:rsidRPr="00E95614">
              <w:rPr>
                <w:rFonts w:ascii="Palatino Linotype" w:hAnsi="Palatino Linotype" w:cs="Calibri"/>
                <w:color w:val="000000"/>
                <w:sz w:val="20"/>
                <w:szCs w:val="20"/>
              </w:rPr>
              <w:t>659</w:t>
            </w:r>
          </w:p>
        </w:tc>
        <w:tc>
          <w:tcPr>
            <w:tcW w:w="491" w:type="dxa"/>
            <w:tcBorders>
              <w:top w:val="nil"/>
              <w:left w:val="nil"/>
              <w:bottom w:val="single" w:sz="8" w:space="0" w:color="auto"/>
              <w:right w:val="double" w:sz="6" w:space="0" w:color="auto"/>
            </w:tcBorders>
            <w:shd w:val="clear" w:color="auto" w:fill="auto"/>
            <w:noWrap/>
            <w:vAlign w:val="bottom"/>
            <w:hideMark/>
          </w:tcPr>
          <w:p w:rsidR="00D40747" w:rsidRPr="00E95614" w:rsidRDefault="00D40747" w:rsidP="000222B8">
            <w:pPr>
              <w:widowControl/>
              <w:jc w:val="left"/>
              <w:rPr>
                <w:rFonts w:ascii="Palatino Linotype" w:eastAsia="SimSun" w:hAnsi="Palatino Linotype" w:cs="SimSun"/>
                <w:color w:val="000000"/>
                <w:kern w:val="0"/>
                <w:sz w:val="20"/>
                <w:szCs w:val="20"/>
              </w:rPr>
            </w:pPr>
            <w:r w:rsidRPr="00E95614">
              <w:rPr>
                <w:rFonts w:ascii="Palatino Linotype" w:eastAsia="SimSun" w:hAnsi="Palatino Linotype" w:cs="SimSun"/>
                <w:color w:val="000000"/>
                <w:kern w:val="0"/>
                <w:sz w:val="20"/>
                <w:szCs w:val="20"/>
              </w:rPr>
              <w:t xml:space="preserve">　</w:t>
            </w:r>
          </w:p>
        </w:tc>
        <w:tc>
          <w:tcPr>
            <w:tcW w:w="2456" w:type="dxa"/>
            <w:gridSpan w:val="2"/>
            <w:tcBorders>
              <w:top w:val="nil"/>
              <w:left w:val="nil"/>
              <w:bottom w:val="single" w:sz="8" w:space="0" w:color="auto"/>
              <w:right w:val="nil"/>
            </w:tcBorders>
            <w:shd w:val="clear" w:color="auto" w:fill="auto"/>
            <w:noWrap/>
            <w:vAlign w:val="bottom"/>
            <w:hideMark/>
          </w:tcPr>
          <w:p w:rsidR="00D40747" w:rsidRPr="00E95614" w:rsidRDefault="00D40747" w:rsidP="000222B8">
            <w:pPr>
              <w:widowControl/>
              <w:jc w:val="left"/>
              <w:rPr>
                <w:rFonts w:ascii="Palatino Linotype" w:eastAsia="SimSun" w:hAnsi="Palatino Linotype" w:cs="SimSun"/>
                <w:b/>
                <w:color w:val="000000"/>
                <w:kern w:val="0"/>
                <w:sz w:val="20"/>
                <w:szCs w:val="20"/>
              </w:rPr>
            </w:pPr>
            <w:r w:rsidRPr="00E95614">
              <w:rPr>
                <w:rFonts w:ascii="Palatino Linotype" w:eastAsia="SimSun" w:hAnsi="Palatino Linotype" w:cs="SimSun"/>
                <w:b/>
                <w:color w:val="000000"/>
                <w:kern w:val="0"/>
                <w:sz w:val="20"/>
                <w:szCs w:val="20"/>
              </w:rPr>
              <w:t>F-statistic</w:t>
            </w:r>
          </w:p>
        </w:tc>
        <w:tc>
          <w:tcPr>
            <w:tcW w:w="1407" w:type="dxa"/>
            <w:gridSpan w:val="2"/>
            <w:tcBorders>
              <w:top w:val="nil"/>
              <w:left w:val="nil"/>
              <w:bottom w:val="single" w:sz="8" w:space="0" w:color="auto"/>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21.125</w:t>
            </w:r>
          </w:p>
        </w:tc>
        <w:tc>
          <w:tcPr>
            <w:tcW w:w="370" w:type="dxa"/>
            <w:tcBorders>
              <w:top w:val="nil"/>
              <w:left w:val="nil"/>
              <w:bottom w:val="single" w:sz="8" w:space="0" w:color="auto"/>
              <w:right w:val="nil"/>
            </w:tcBorders>
            <w:shd w:val="clear" w:color="auto" w:fill="auto"/>
            <w:noWrap/>
            <w:vAlign w:val="bottom"/>
            <w:hideMark/>
          </w:tcPr>
          <w:p w:rsidR="00D40747" w:rsidRPr="00E95614" w:rsidRDefault="00D40747" w:rsidP="000222B8">
            <w:pPr>
              <w:widowControl/>
              <w:jc w:val="left"/>
              <w:rPr>
                <w:rFonts w:ascii="Palatino Linotype" w:eastAsia="SimSun" w:hAnsi="Palatino Linotype" w:cs="SimSun"/>
                <w:color w:val="000000"/>
                <w:kern w:val="0"/>
                <w:sz w:val="20"/>
                <w:szCs w:val="20"/>
              </w:rPr>
            </w:pPr>
            <w:r w:rsidRPr="00E95614">
              <w:rPr>
                <w:rFonts w:ascii="Palatino Linotype" w:eastAsia="SimSun" w:hAnsi="Palatino Linotype" w:cs="SimSun"/>
                <w:color w:val="000000"/>
                <w:kern w:val="0"/>
                <w:sz w:val="20"/>
                <w:szCs w:val="20"/>
              </w:rPr>
              <w:t xml:space="preserve">　</w:t>
            </w:r>
          </w:p>
        </w:tc>
      </w:tr>
    </w:tbl>
    <w:p w:rsidR="00E42D66" w:rsidRPr="00E95614" w:rsidRDefault="00E42D66" w:rsidP="00E42D66">
      <w:pPr>
        <w:spacing w:after="120"/>
        <w:jc w:val="left"/>
        <w:rPr>
          <w:rFonts w:ascii="Palatino Linotype" w:hAnsi="Palatino Linotype" w:cs="Calibri"/>
          <w:sz w:val="20"/>
          <w:szCs w:val="20"/>
          <w:lang w:val="en-GB"/>
        </w:rPr>
      </w:pPr>
      <w:r w:rsidRPr="00E95614">
        <w:rPr>
          <w:rFonts w:ascii="Palatino Linotype" w:hAnsi="Palatino Linotype" w:cs="Calibri"/>
          <w:sz w:val="20"/>
          <w:szCs w:val="20"/>
          <w:lang w:val="en-GB"/>
        </w:rPr>
        <w:t xml:space="preserve">Note: </w:t>
      </w:r>
      <w:r w:rsidR="00562A6B" w:rsidRPr="00E95614">
        <w:rPr>
          <w:rFonts w:ascii="Palatino Linotype" w:hAnsi="Palatino Linotype" w:cs="Calibri"/>
          <w:sz w:val="20"/>
          <w:szCs w:val="20"/>
          <w:lang w:val="en-GB"/>
        </w:rPr>
        <w:t>“*” denotes statistical significance at 10% confidence,</w:t>
      </w:r>
      <w:r w:rsidRPr="00E95614">
        <w:rPr>
          <w:rFonts w:ascii="Palatino Linotype" w:hAnsi="Palatino Linotype" w:cs="Calibri"/>
          <w:sz w:val="20"/>
          <w:szCs w:val="20"/>
          <w:lang w:val="en-GB"/>
        </w:rPr>
        <w:t xml:space="preserve"> “**” </w:t>
      </w:r>
      <w:r w:rsidR="00562A6B" w:rsidRPr="00E95614">
        <w:rPr>
          <w:rFonts w:ascii="Palatino Linotype" w:hAnsi="Palatino Linotype" w:cs="Calibri"/>
          <w:sz w:val="20"/>
          <w:szCs w:val="20"/>
          <w:lang w:val="en-GB"/>
        </w:rPr>
        <w:t>at 5%</w:t>
      </w:r>
      <w:r w:rsidRPr="00E95614">
        <w:rPr>
          <w:rFonts w:ascii="Palatino Linotype" w:hAnsi="Palatino Linotype" w:cs="Calibri"/>
          <w:sz w:val="20"/>
          <w:szCs w:val="20"/>
          <w:lang w:val="en-GB"/>
        </w:rPr>
        <w:t xml:space="preserve"> and “***” </w:t>
      </w:r>
      <w:r w:rsidR="00562A6B" w:rsidRPr="00E95614">
        <w:rPr>
          <w:rFonts w:ascii="Palatino Linotype" w:hAnsi="Palatino Linotype" w:cs="Calibri"/>
          <w:sz w:val="20"/>
          <w:szCs w:val="20"/>
          <w:lang w:val="en-GB"/>
        </w:rPr>
        <w:t>at 1%</w:t>
      </w:r>
      <w:r w:rsidRPr="00E95614">
        <w:rPr>
          <w:rFonts w:ascii="Palatino Linotype" w:hAnsi="Palatino Linotype" w:cs="Calibri"/>
          <w:sz w:val="20"/>
          <w:szCs w:val="20"/>
          <w:lang w:val="en-GB"/>
        </w:rPr>
        <w:t>.</w:t>
      </w:r>
    </w:p>
    <w:p w:rsidR="000D415B" w:rsidRPr="00803973" w:rsidRDefault="00E97B59" w:rsidP="00E97B59">
      <w:pPr>
        <w:spacing w:after="120" w:line="276" w:lineRule="auto"/>
        <w:ind w:firstLine="360"/>
        <w:jc w:val="left"/>
        <w:rPr>
          <w:rFonts w:ascii="Palatino Linotype" w:hAnsi="Palatino Linotype" w:cs="Calibri"/>
          <w:sz w:val="22"/>
          <w:lang w:val="en-GB"/>
        </w:rPr>
      </w:pPr>
      <w:r w:rsidRPr="00803973">
        <w:rPr>
          <w:rFonts w:ascii="Palatino Linotype" w:hAnsi="Palatino Linotype" w:cs="Calibri"/>
          <w:sz w:val="22"/>
          <w:lang w:val="en-GB"/>
        </w:rPr>
        <w:t>Shanghai has been enjoying a booming economy for more than two decades. The continual prosperity acts like a magnet attracting millions of migrants from other parts of China and powers the large scale urbanization campaign. Given that the old central areas are severely short of development space, new construction</w:t>
      </w:r>
      <w:r w:rsidR="00287C57" w:rsidRPr="00803973">
        <w:rPr>
          <w:rFonts w:ascii="Palatino Linotype" w:hAnsi="Palatino Linotype" w:cs="Calibri"/>
          <w:sz w:val="22"/>
          <w:lang w:val="en-GB"/>
        </w:rPr>
        <w:t xml:space="preserve"> must be </w:t>
      </w:r>
      <w:r w:rsidRPr="00803973">
        <w:rPr>
          <w:rFonts w:ascii="Palatino Linotype" w:hAnsi="Palatino Linotype" w:cs="Calibri"/>
          <w:sz w:val="22"/>
          <w:lang w:val="en-GB"/>
        </w:rPr>
        <w:t xml:space="preserve"> carried out in the suburbs and countryside. </w:t>
      </w:r>
      <w:r w:rsidR="001C4057" w:rsidRPr="00803973">
        <w:rPr>
          <w:rFonts w:ascii="Palatino Linotype" w:hAnsi="Palatino Linotype" w:cs="Calibri"/>
          <w:sz w:val="22"/>
          <w:lang w:val="en-GB"/>
        </w:rPr>
        <w:t>Assist</w:t>
      </w:r>
      <w:r w:rsidRPr="00803973">
        <w:rPr>
          <w:rFonts w:ascii="Palatino Linotype" w:hAnsi="Palatino Linotype" w:cs="Calibri"/>
          <w:sz w:val="22"/>
          <w:lang w:val="en-GB"/>
        </w:rPr>
        <w:t xml:space="preserve">ed by </w:t>
      </w:r>
      <w:r w:rsidR="001C4057" w:rsidRPr="00803973">
        <w:rPr>
          <w:rFonts w:ascii="Palatino Linotype" w:hAnsi="Palatino Linotype" w:cs="Calibri"/>
          <w:sz w:val="22"/>
          <w:lang w:val="en-GB"/>
        </w:rPr>
        <w:t xml:space="preserve">the </w:t>
      </w:r>
      <w:r w:rsidRPr="00803973">
        <w:rPr>
          <w:rFonts w:ascii="Palatino Linotype" w:hAnsi="Palatino Linotype" w:cs="Calibri"/>
          <w:sz w:val="22"/>
          <w:lang w:val="en-GB"/>
        </w:rPr>
        <w:t xml:space="preserve">favourable geographical condition in Shanghai, which sits almost entirely on </w:t>
      </w:r>
      <w:r w:rsidR="00287C57" w:rsidRPr="00803973">
        <w:rPr>
          <w:rFonts w:ascii="Palatino Linotype" w:hAnsi="Palatino Linotype" w:cs="Calibri"/>
          <w:sz w:val="22"/>
          <w:lang w:val="en-GB"/>
        </w:rPr>
        <w:t xml:space="preserve">an </w:t>
      </w:r>
      <w:r w:rsidRPr="00803973">
        <w:rPr>
          <w:rFonts w:ascii="Palatino Linotype" w:hAnsi="Palatino Linotype" w:cs="Calibri"/>
          <w:sz w:val="22"/>
          <w:lang w:val="en-GB"/>
        </w:rPr>
        <w:t xml:space="preserve">alluvial plain, </w:t>
      </w:r>
      <w:r w:rsidR="00571914" w:rsidRPr="00803973">
        <w:rPr>
          <w:rFonts w:ascii="Palatino Linotype" w:hAnsi="Palatino Linotype" w:cs="Calibri"/>
          <w:sz w:val="22"/>
          <w:lang w:val="en-GB"/>
        </w:rPr>
        <w:t>projects</w:t>
      </w:r>
      <w:r w:rsidRPr="00803973">
        <w:rPr>
          <w:rFonts w:ascii="Palatino Linotype" w:hAnsi="Palatino Linotype" w:cs="Calibri"/>
          <w:sz w:val="22"/>
          <w:lang w:val="en-GB"/>
        </w:rPr>
        <w:t xml:space="preserve"> in the </w:t>
      </w:r>
      <w:r w:rsidR="00571914" w:rsidRPr="00803973">
        <w:rPr>
          <w:rFonts w:ascii="Palatino Linotype" w:hAnsi="Palatino Linotype" w:cs="Calibri"/>
          <w:sz w:val="22"/>
          <w:lang w:val="en-GB"/>
        </w:rPr>
        <w:t>fringe</w:t>
      </w:r>
      <w:r w:rsidRPr="00803973">
        <w:rPr>
          <w:rFonts w:ascii="Palatino Linotype" w:hAnsi="Palatino Linotype" w:cs="Calibri"/>
          <w:sz w:val="22"/>
          <w:lang w:val="en-GB"/>
        </w:rPr>
        <w:t xml:space="preserve"> and newly converted farmland </w:t>
      </w:r>
      <w:r w:rsidR="00571914" w:rsidRPr="00803973">
        <w:rPr>
          <w:rFonts w:ascii="Palatino Linotype" w:hAnsi="Palatino Linotype" w:cs="Calibri"/>
          <w:sz w:val="22"/>
          <w:lang w:val="en-GB"/>
        </w:rPr>
        <w:t xml:space="preserve">are </w:t>
      </w:r>
      <w:r w:rsidR="00003D47" w:rsidRPr="00803973">
        <w:rPr>
          <w:rFonts w:ascii="Palatino Linotype" w:hAnsi="Palatino Linotype" w:cs="Calibri"/>
          <w:sz w:val="22"/>
          <w:lang w:val="en-GB"/>
        </w:rPr>
        <w:t>ca</w:t>
      </w:r>
      <w:r w:rsidR="00571914" w:rsidRPr="00803973">
        <w:rPr>
          <w:rFonts w:ascii="Palatino Linotype" w:hAnsi="Palatino Linotype" w:cs="Calibri"/>
          <w:sz w:val="22"/>
          <w:lang w:val="en-GB"/>
        </w:rPr>
        <w:t>pacious and</w:t>
      </w:r>
      <w:r w:rsidRPr="00803973">
        <w:rPr>
          <w:rFonts w:ascii="Palatino Linotype" w:hAnsi="Palatino Linotype" w:cs="Calibri"/>
          <w:sz w:val="22"/>
          <w:lang w:val="en-GB"/>
        </w:rPr>
        <w:t xml:space="preserve"> relatively quick</w:t>
      </w:r>
      <w:r w:rsidR="00287C57" w:rsidRPr="00803973">
        <w:rPr>
          <w:rFonts w:ascii="Palatino Linotype" w:hAnsi="Palatino Linotype"/>
          <w:sz w:val="22"/>
        </w:rPr>
        <w:t xml:space="preserve"> </w:t>
      </w:r>
      <w:r w:rsidR="00287C57" w:rsidRPr="00803973">
        <w:rPr>
          <w:rFonts w:ascii="Palatino Linotype" w:hAnsi="Palatino Linotype" w:cs="Calibri"/>
          <w:sz w:val="22"/>
          <w:lang w:val="en-GB"/>
        </w:rPr>
        <w:t>and</w:t>
      </w:r>
      <w:r w:rsidR="00571914" w:rsidRPr="00803973">
        <w:rPr>
          <w:rFonts w:ascii="Palatino Linotype" w:hAnsi="Palatino Linotype" w:cs="Calibri"/>
          <w:sz w:val="22"/>
          <w:lang w:val="en-GB"/>
        </w:rPr>
        <w:t xml:space="preserve"> </w:t>
      </w:r>
      <w:r w:rsidR="00287C57" w:rsidRPr="00803973">
        <w:rPr>
          <w:rFonts w:ascii="Palatino Linotype" w:hAnsi="Palatino Linotype" w:cs="Calibri"/>
          <w:sz w:val="22"/>
          <w:lang w:val="en-GB"/>
        </w:rPr>
        <w:t xml:space="preserve">easy </w:t>
      </w:r>
      <w:r w:rsidR="00571914" w:rsidRPr="00803973">
        <w:rPr>
          <w:rFonts w:ascii="Palatino Linotype" w:hAnsi="Palatino Linotype" w:cs="Calibri"/>
          <w:sz w:val="22"/>
          <w:lang w:val="en-GB"/>
        </w:rPr>
        <w:t>to develop</w:t>
      </w:r>
      <w:r w:rsidRPr="00803973">
        <w:rPr>
          <w:rFonts w:ascii="Palatino Linotype" w:hAnsi="Palatino Linotype" w:cs="Calibri"/>
          <w:sz w:val="22"/>
          <w:lang w:val="en-GB"/>
        </w:rPr>
        <w:t xml:space="preserve">. </w:t>
      </w:r>
    </w:p>
    <w:p w:rsidR="00E42D66" w:rsidRPr="00803973" w:rsidRDefault="00E42D66" w:rsidP="00E42D66">
      <w:pPr>
        <w:spacing w:after="120" w:line="276" w:lineRule="auto"/>
        <w:ind w:firstLine="360"/>
        <w:jc w:val="left"/>
        <w:rPr>
          <w:rFonts w:ascii="Palatino Linotype" w:hAnsi="Palatino Linotype" w:cs="Calibri"/>
          <w:sz w:val="22"/>
          <w:lang w:val="en-GB"/>
        </w:rPr>
      </w:pPr>
      <w:r w:rsidRPr="00803973">
        <w:rPr>
          <w:rFonts w:ascii="Palatino Linotype" w:hAnsi="Palatino Linotype" w:cs="Calibri"/>
          <w:sz w:val="22"/>
          <w:lang w:val="en-GB"/>
        </w:rPr>
        <w:t>The differential supply time effect of location is statistically significant with a p-value less than 1%. The mean supply time is more than 1</w:t>
      </w:r>
      <w:r w:rsidR="00FE698F" w:rsidRPr="00803973">
        <w:rPr>
          <w:rFonts w:ascii="Palatino Linotype" w:hAnsi="Palatino Linotype" w:cs="Calibri"/>
          <w:sz w:val="22"/>
          <w:lang w:val="en-GB"/>
        </w:rPr>
        <w:t>5</w:t>
      </w:r>
      <w:r w:rsidRPr="00803973">
        <w:rPr>
          <w:rFonts w:ascii="Palatino Linotype" w:hAnsi="Palatino Linotype" w:cs="Calibri"/>
          <w:sz w:val="22"/>
          <w:lang w:val="en-GB"/>
        </w:rPr>
        <w:t xml:space="preserve"> weeks longe</w:t>
      </w:r>
      <w:r w:rsidR="00FE698F" w:rsidRPr="00803973">
        <w:rPr>
          <w:rFonts w:ascii="Palatino Linotype" w:hAnsi="Palatino Linotype" w:cs="Calibri"/>
          <w:sz w:val="22"/>
          <w:lang w:val="en-GB"/>
        </w:rPr>
        <w:t>r in centre</w:t>
      </w:r>
      <w:r w:rsidRPr="00803973">
        <w:rPr>
          <w:rFonts w:ascii="Palatino Linotype" w:hAnsi="Palatino Linotype" w:cs="Calibri"/>
          <w:sz w:val="22"/>
          <w:lang w:val="en-GB"/>
        </w:rPr>
        <w:t>s. This probably stems from urban resettlement.</w:t>
      </w:r>
    </w:p>
    <w:p w:rsidR="00E42D66" w:rsidRPr="00803973" w:rsidRDefault="00E42D66" w:rsidP="005306BB">
      <w:pPr>
        <w:spacing w:after="120" w:line="276" w:lineRule="auto"/>
        <w:ind w:firstLine="360"/>
        <w:jc w:val="left"/>
        <w:rPr>
          <w:rFonts w:ascii="Palatino Linotype" w:hAnsi="Palatino Linotype" w:cs="Calibri"/>
          <w:sz w:val="22"/>
          <w:lang w:val="en-GB"/>
        </w:rPr>
      </w:pPr>
      <w:r w:rsidRPr="00803973">
        <w:rPr>
          <w:rFonts w:ascii="Palatino Linotype" w:hAnsi="Palatino Linotype" w:cs="Calibri"/>
          <w:sz w:val="22"/>
          <w:lang w:val="en-GB"/>
        </w:rPr>
        <w:t xml:space="preserve"> </w:t>
      </w:r>
      <w:r w:rsidRPr="00803973">
        <w:rPr>
          <w:rFonts w:ascii="Palatino Linotype" w:eastAsia="Calibri" w:hAnsi="Palatino Linotype" w:cs="Calibri"/>
          <w:sz w:val="22"/>
        </w:rPr>
        <w:t>Real estate development is a complicated enterprise in China. For residential project</w:t>
      </w:r>
      <w:r w:rsidR="001C4057" w:rsidRPr="00803973">
        <w:rPr>
          <w:rFonts w:ascii="Palatino Linotype" w:eastAsia="Calibri" w:hAnsi="Palatino Linotype" w:cs="Calibri"/>
          <w:sz w:val="22"/>
        </w:rPr>
        <w:t>s</w:t>
      </w:r>
      <w:r w:rsidRPr="00803973">
        <w:rPr>
          <w:rFonts w:ascii="Palatino Linotype" w:eastAsia="Calibri" w:hAnsi="Palatino Linotype" w:cs="Calibri"/>
          <w:sz w:val="22"/>
        </w:rPr>
        <w:t xml:space="preserve">, normally, the development process can </w:t>
      </w:r>
      <w:r w:rsidR="001C4057" w:rsidRPr="00803973">
        <w:rPr>
          <w:rFonts w:ascii="Palatino Linotype" w:eastAsia="Calibri" w:hAnsi="Palatino Linotype" w:cs="Calibri"/>
          <w:sz w:val="22"/>
        </w:rPr>
        <w:t xml:space="preserve">generally </w:t>
      </w:r>
      <w:r w:rsidRPr="00803973">
        <w:rPr>
          <w:rFonts w:ascii="Palatino Linotype" w:eastAsia="Calibri" w:hAnsi="Palatino Linotype" w:cs="Calibri"/>
          <w:sz w:val="22"/>
        </w:rPr>
        <w:t xml:space="preserve">be subdivided into segments subject to differing land development circumstances. </w:t>
      </w:r>
      <w:r w:rsidR="001C4057" w:rsidRPr="00803973">
        <w:rPr>
          <w:rFonts w:ascii="Palatino Linotype" w:eastAsia="Calibri" w:hAnsi="Palatino Linotype" w:cs="Calibri"/>
          <w:sz w:val="22"/>
        </w:rPr>
        <w:t>Where</w:t>
      </w:r>
      <w:r w:rsidR="000222B8" w:rsidRPr="00803973">
        <w:rPr>
          <w:rFonts w:ascii="Palatino Linotype" w:eastAsia="Calibri" w:hAnsi="Palatino Linotype" w:cs="Calibri"/>
          <w:sz w:val="22"/>
        </w:rPr>
        <w:t xml:space="preserve"> </w:t>
      </w:r>
      <w:r w:rsidRPr="00803973">
        <w:rPr>
          <w:rFonts w:ascii="Palatino Linotype" w:eastAsia="Calibri" w:hAnsi="Palatino Linotype" w:cs="Calibri"/>
          <w:sz w:val="22"/>
        </w:rPr>
        <w:t>the plot is</w:t>
      </w:r>
      <w:r w:rsidR="000222B8" w:rsidRPr="00803973">
        <w:rPr>
          <w:rFonts w:ascii="Palatino Linotype" w:eastAsia="Calibri" w:hAnsi="Palatino Linotype" w:cs="Calibri"/>
          <w:sz w:val="22"/>
        </w:rPr>
        <w:t xml:space="preserve"> “ripe land” (being</w:t>
      </w:r>
      <w:r w:rsidRPr="00803973">
        <w:rPr>
          <w:rFonts w:ascii="Palatino Linotype" w:eastAsia="Calibri" w:hAnsi="Palatino Linotype" w:cs="Calibri"/>
          <w:sz w:val="22"/>
        </w:rPr>
        <w:t xml:space="preserve"> shovel-ready for construction), development time is </w:t>
      </w:r>
      <w:r w:rsidR="00BD3FCA" w:rsidRPr="00803973">
        <w:rPr>
          <w:rFonts w:ascii="Palatino Linotype" w:eastAsia="Calibri" w:hAnsi="Palatino Linotype" w:cs="Calibri"/>
          <w:sz w:val="22"/>
        </w:rPr>
        <w:t>principally</w:t>
      </w:r>
      <w:r w:rsidRPr="00803973">
        <w:rPr>
          <w:rFonts w:ascii="Palatino Linotype" w:eastAsia="Calibri" w:hAnsi="Palatino Linotype" w:cs="Calibri"/>
          <w:sz w:val="22"/>
        </w:rPr>
        <w:t xml:space="preserve"> determined by the process </w:t>
      </w:r>
      <w:r w:rsidR="00287C57" w:rsidRPr="00803973">
        <w:rPr>
          <w:rFonts w:ascii="Palatino Linotype" w:eastAsia="Calibri" w:hAnsi="Palatino Linotype" w:cs="Calibri"/>
          <w:sz w:val="22"/>
        </w:rPr>
        <w:t xml:space="preserve">of  gaining </w:t>
      </w:r>
      <w:r w:rsidRPr="00803973">
        <w:rPr>
          <w:rFonts w:ascii="Palatino Linotype" w:eastAsia="Calibri" w:hAnsi="Palatino Linotype" w:cs="Calibri"/>
          <w:sz w:val="22"/>
        </w:rPr>
        <w:t xml:space="preserve">government consents in </w:t>
      </w:r>
      <w:r w:rsidR="000222B8" w:rsidRPr="00803973">
        <w:rPr>
          <w:rFonts w:ascii="Palatino Linotype" w:eastAsia="Calibri" w:hAnsi="Palatino Linotype" w:cs="Calibri"/>
          <w:sz w:val="22"/>
        </w:rPr>
        <w:t xml:space="preserve">terms of </w:t>
      </w:r>
      <w:r w:rsidRPr="00803973">
        <w:rPr>
          <w:rFonts w:ascii="Palatino Linotype" w:eastAsia="Calibri" w:hAnsi="Palatino Linotype" w:cs="Calibri"/>
          <w:sz w:val="22"/>
        </w:rPr>
        <w:t>utility and facility usage, planning approval, construction permit</w:t>
      </w:r>
      <w:r w:rsidR="00287C57" w:rsidRPr="00803973">
        <w:rPr>
          <w:rFonts w:ascii="Palatino Linotype" w:eastAsia="Calibri" w:hAnsi="Palatino Linotype" w:cs="Calibri"/>
          <w:sz w:val="22"/>
        </w:rPr>
        <w:t xml:space="preserve">s </w:t>
      </w:r>
      <w:r w:rsidRPr="00803973">
        <w:rPr>
          <w:rFonts w:ascii="Palatino Linotype" w:eastAsia="Calibri" w:hAnsi="Palatino Linotype" w:cs="Calibri"/>
          <w:sz w:val="22"/>
        </w:rPr>
        <w:t>etc</w:t>
      </w:r>
      <w:r w:rsidR="00287C57" w:rsidRPr="00803973">
        <w:rPr>
          <w:rFonts w:ascii="Palatino Linotype" w:eastAsia="Calibri" w:hAnsi="Palatino Linotype" w:cs="Calibri"/>
          <w:sz w:val="22"/>
        </w:rPr>
        <w:t>etera,</w:t>
      </w:r>
      <w:r w:rsidRPr="00803973">
        <w:rPr>
          <w:rFonts w:ascii="Palatino Linotype" w:eastAsia="Calibri" w:hAnsi="Palatino Linotype" w:cs="Calibri"/>
          <w:sz w:val="22"/>
        </w:rPr>
        <w:t xml:space="preserve"> and to undertake project design and </w:t>
      </w:r>
      <w:r w:rsidR="009120BE" w:rsidRPr="00803973">
        <w:rPr>
          <w:rFonts w:ascii="Palatino Linotype" w:eastAsia="Calibri" w:hAnsi="Palatino Linotype" w:cs="Calibri"/>
          <w:sz w:val="22"/>
        </w:rPr>
        <w:t>site develop</w:t>
      </w:r>
      <w:r w:rsidR="00287C57" w:rsidRPr="00803973">
        <w:rPr>
          <w:rFonts w:ascii="Palatino Linotype" w:eastAsia="Calibri" w:hAnsi="Palatino Linotype" w:cs="Calibri"/>
          <w:sz w:val="22"/>
        </w:rPr>
        <w:t>ment to the stage requir</w:t>
      </w:r>
      <w:r w:rsidRPr="00803973">
        <w:rPr>
          <w:rFonts w:ascii="Palatino Linotype" w:eastAsia="Calibri" w:hAnsi="Palatino Linotype" w:cs="Calibri"/>
          <w:sz w:val="22"/>
        </w:rPr>
        <w:t xml:space="preserve">ed for pre-sale (including any hoarding time </w:t>
      </w:r>
      <w:r w:rsidR="003B4394" w:rsidRPr="00803973">
        <w:rPr>
          <w:rFonts w:ascii="Palatino Linotype" w:eastAsia="Calibri" w:hAnsi="Palatino Linotype" w:cs="Calibri"/>
          <w:sz w:val="22"/>
        </w:rPr>
        <w:t>if</w:t>
      </w:r>
      <w:r w:rsidRPr="00803973">
        <w:rPr>
          <w:rFonts w:ascii="Palatino Linotype" w:eastAsia="Calibri" w:hAnsi="Palatino Linotype" w:cs="Calibri"/>
          <w:sz w:val="22"/>
        </w:rPr>
        <w:t xml:space="preserve"> land </w:t>
      </w:r>
      <w:r w:rsidR="003B4394" w:rsidRPr="00803973">
        <w:rPr>
          <w:rFonts w:ascii="Palatino Linotype" w:eastAsia="Calibri" w:hAnsi="Palatino Linotype" w:cs="Calibri"/>
          <w:sz w:val="22"/>
        </w:rPr>
        <w:t>is</w:t>
      </w:r>
      <w:r w:rsidRPr="00803973">
        <w:rPr>
          <w:rFonts w:ascii="Palatino Linotype" w:eastAsia="Calibri" w:hAnsi="Palatino Linotype" w:cs="Calibri"/>
          <w:sz w:val="22"/>
        </w:rPr>
        <w:t xml:space="preserve"> held until  development</w:t>
      </w:r>
      <w:r w:rsidR="003B4394" w:rsidRPr="00803973">
        <w:rPr>
          <w:rFonts w:ascii="Palatino Linotype" w:eastAsia="Calibri" w:hAnsi="Palatino Linotype" w:cs="Calibri"/>
          <w:sz w:val="22"/>
        </w:rPr>
        <w:t xml:space="preserve"> conditions</w:t>
      </w:r>
      <w:r w:rsidRPr="00803973">
        <w:rPr>
          <w:rFonts w:ascii="Palatino Linotype" w:eastAsia="Calibri" w:hAnsi="Palatino Linotype" w:cs="Calibri"/>
          <w:sz w:val="22"/>
        </w:rPr>
        <w:t xml:space="preserve"> improve). When the plot is ‘raw land’ (agricultural land or brown field or urban resettled land), additional time may be required for land development or for resettlement. Agricultural land or brown field is relatively easy and quick to develop.  However,</w:t>
      </w:r>
      <w:r w:rsidR="00C22DB7" w:rsidRPr="00803973">
        <w:rPr>
          <w:rFonts w:ascii="Palatino Linotype" w:eastAsia="Calibri" w:hAnsi="Palatino Linotype" w:cs="Calibri"/>
          <w:sz w:val="22"/>
        </w:rPr>
        <w:t xml:space="preserve"> </w:t>
      </w:r>
      <w:r w:rsidRPr="00803973">
        <w:rPr>
          <w:rFonts w:ascii="Palatino Linotype" w:eastAsia="Calibri" w:hAnsi="Palatino Linotype" w:cs="Calibri"/>
          <w:sz w:val="22"/>
        </w:rPr>
        <w:t xml:space="preserve">urban land development involving resettlement </w:t>
      </w:r>
      <w:r w:rsidR="00C22DB7" w:rsidRPr="00803973">
        <w:rPr>
          <w:rFonts w:ascii="Palatino Linotype" w:eastAsia="Calibri" w:hAnsi="Palatino Linotype" w:cs="Calibri"/>
          <w:sz w:val="22"/>
        </w:rPr>
        <w:t xml:space="preserve">in the central areas with a high density of old buildings </w:t>
      </w:r>
      <w:r w:rsidRPr="00803973">
        <w:rPr>
          <w:rFonts w:ascii="Palatino Linotype" w:eastAsia="Calibri" w:hAnsi="Palatino Linotype" w:cs="Calibri"/>
          <w:sz w:val="22"/>
        </w:rPr>
        <w:t xml:space="preserve">is typically very arduous, a matter of the tug-of-war between developer </w:t>
      </w:r>
      <w:r w:rsidRPr="00803973">
        <w:rPr>
          <w:rFonts w:ascii="Palatino Linotype" w:eastAsia="Calibri" w:hAnsi="Palatino Linotype" w:cs="Calibri"/>
          <w:sz w:val="22"/>
        </w:rPr>
        <w:lastRenderedPageBreak/>
        <w:t>and residents or business entities</w:t>
      </w:r>
      <w:r w:rsidR="009177FB" w:rsidRPr="00803973">
        <w:rPr>
          <w:rFonts w:ascii="Palatino Linotype" w:eastAsia="Calibri" w:hAnsi="Palatino Linotype" w:cs="Calibri"/>
          <w:sz w:val="22"/>
        </w:rPr>
        <w:t xml:space="preserve"> over the issue of cost/compensation (see Chen and Lai, 2013)</w:t>
      </w:r>
      <w:r w:rsidRPr="00803973">
        <w:rPr>
          <w:rFonts w:ascii="Palatino Linotype" w:eastAsia="Calibri" w:hAnsi="Palatino Linotype" w:cs="Calibri"/>
          <w:sz w:val="22"/>
        </w:rPr>
        <w:t xml:space="preserve">. The long and difficult resettlement process is the most likely reason why housing developments in central districts take </w:t>
      </w:r>
      <w:r w:rsidR="001C4057" w:rsidRPr="00803973">
        <w:rPr>
          <w:rFonts w:ascii="Palatino Linotype" w:eastAsia="Calibri" w:hAnsi="Palatino Linotype" w:cs="Calibri"/>
          <w:sz w:val="22"/>
        </w:rPr>
        <w:t xml:space="preserve">a </w:t>
      </w:r>
      <w:r w:rsidRPr="00803973">
        <w:rPr>
          <w:rFonts w:ascii="Palatino Linotype" w:eastAsia="Calibri" w:hAnsi="Palatino Linotype" w:cs="Calibri"/>
          <w:sz w:val="22"/>
        </w:rPr>
        <w:t xml:space="preserve">longer time. </w:t>
      </w:r>
    </w:p>
    <w:p w:rsidR="007E068A" w:rsidRPr="00803973" w:rsidRDefault="0098569B" w:rsidP="007E068A">
      <w:pPr>
        <w:spacing w:after="120" w:line="276" w:lineRule="auto"/>
        <w:ind w:firstLine="600"/>
        <w:jc w:val="left"/>
        <w:rPr>
          <w:rFonts w:ascii="Palatino Linotype" w:eastAsia="Calibri" w:hAnsi="Palatino Linotype" w:cs="Calibri"/>
          <w:sz w:val="22"/>
          <w:lang w:val="en-GB"/>
        </w:rPr>
      </w:pPr>
      <w:r w:rsidRPr="00803973">
        <w:rPr>
          <w:rFonts w:ascii="Palatino Linotype" w:eastAsia="Calibri" w:hAnsi="Palatino Linotype" w:cs="Calibri"/>
          <w:sz w:val="22"/>
          <w:lang w:val="en-GB"/>
        </w:rPr>
        <w:t xml:space="preserve"> </w:t>
      </w:r>
      <w:r w:rsidR="00AE3684" w:rsidRPr="00803973">
        <w:rPr>
          <w:rFonts w:ascii="Palatino Linotype" w:eastAsia="Calibri" w:hAnsi="Palatino Linotype" w:cs="Calibri"/>
          <w:sz w:val="22"/>
          <w:lang w:val="en-GB"/>
        </w:rPr>
        <w:t>The second</w:t>
      </w:r>
      <w:r w:rsidR="009964FC" w:rsidRPr="00803973">
        <w:rPr>
          <w:rFonts w:ascii="Palatino Linotype" w:eastAsia="Calibri" w:hAnsi="Palatino Linotype" w:cs="Calibri"/>
          <w:sz w:val="22"/>
          <w:lang w:val="en-GB"/>
        </w:rPr>
        <w:t xml:space="preserve"> qualitative regressor is type of housing. </w:t>
      </w:r>
      <w:r w:rsidRPr="00803973">
        <w:rPr>
          <w:rFonts w:ascii="Palatino Linotype" w:eastAsia="Calibri" w:hAnsi="Palatino Linotype" w:cs="Calibri"/>
          <w:sz w:val="22"/>
          <w:lang w:val="en-GB"/>
        </w:rPr>
        <w:t>We divide 8</w:t>
      </w:r>
      <w:r w:rsidR="00510D85" w:rsidRPr="00803973">
        <w:rPr>
          <w:rFonts w:ascii="Palatino Linotype" w:eastAsia="Calibri" w:hAnsi="Palatino Linotype" w:cs="Calibri"/>
          <w:sz w:val="22"/>
          <w:lang w:val="en-GB"/>
        </w:rPr>
        <w:t>33</w:t>
      </w:r>
      <w:r w:rsidRPr="00803973">
        <w:rPr>
          <w:rFonts w:ascii="Palatino Linotype" w:eastAsia="Calibri" w:hAnsi="Palatino Linotype" w:cs="Calibri"/>
          <w:sz w:val="22"/>
          <w:lang w:val="en-GB"/>
        </w:rPr>
        <w:t xml:space="preserve"> housing projects</w:t>
      </w:r>
      <w:r w:rsidR="007E068A" w:rsidRPr="00803973">
        <w:rPr>
          <w:rFonts w:ascii="Palatino Linotype" w:eastAsia="Calibri" w:hAnsi="Palatino Linotype" w:cs="Calibri"/>
          <w:sz w:val="22"/>
          <w:lang w:val="en-GB"/>
        </w:rPr>
        <w:t xml:space="preserve"> into three </w:t>
      </w:r>
      <w:r w:rsidR="009A5CD0" w:rsidRPr="00803973">
        <w:rPr>
          <w:rFonts w:ascii="Palatino Linotype" w:eastAsia="Calibri" w:hAnsi="Palatino Linotype" w:cs="Calibri"/>
          <w:sz w:val="22"/>
          <w:lang w:val="en-GB"/>
        </w:rPr>
        <w:t>housing classe</w:t>
      </w:r>
      <w:r w:rsidR="007E068A" w:rsidRPr="00803973">
        <w:rPr>
          <w:rFonts w:ascii="Palatino Linotype" w:eastAsia="Calibri" w:hAnsi="Palatino Linotype" w:cs="Calibri"/>
          <w:sz w:val="22"/>
          <w:lang w:val="en-GB"/>
        </w:rPr>
        <w:t>s</w:t>
      </w:r>
      <w:r w:rsidR="00510D85" w:rsidRPr="00803973">
        <w:rPr>
          <w:rFonts w:ascii="Palatino Linotype" w:eastAsia="Calibri" w:hAnsi="Palatino Linotype" w:cs="Calibri"/>
          <w:sz w:val="22"/>
          <w:lang w:val="en-GB"/>
        </w:rPr>
        <w:t>, i.e.</w:t>
      </w:r>
      <w:r w:rsidR="007E068A" w:rsidRPr="00803973">
        <w:rPr>
          <w:rFonts w:ascii="Palatino Linotype" w:eastAsia="Calibri" w:hAnsi="Palatino Linotype" w:cs="Calibri"/>
          <w:sz w:val="22"/>
          <w:lang w:val="en-GB"/>
        </w:rPr>
        <w:t xml:space="preserve"> high-rise apartment block (H), low-rise apartment block (L) and </w:t>
      </w:r>
      <w:r w:rsidR="009964FC" w:rsidRPr="00803973">
        <w:rPr>
          <w:rFonts w:ascii="Palatino Linotype" w:eastAsia="Calibri" w:hAnsi="Palatino Linotype" w:cs="Calibri"/>
          <w:sz w:val="22"/>
          <w:lang w:val="en-GB"/>
        </w:rPr>
        <w:t xml:space="preserve">single-family </w:t>
      </w:r>
      <w:r w:rsidR="007E068A" w:rsidRPr="00803973">
        <w:rPr>
          <w:rFonts w:ascii="Palatino Linotype" w:eastAsia="Calibri" w:hAnsi="Palatino Linotype" w:cs="Calibri"/>
          <w:sz w:val="22"/>
          <w:lang w:val="en-GB"/>
        </w:rPr>
        <w:t>house (V, in China it is usually called villa which includes detached, semideta</w:t>
      </w:r>
      <w:r w:rsidR="00510D85" w:rsidRPr="00803973">
        <w:rPr>
          <w:rFonts w:ascii="Palatino Linotype" w:eastAsia="Calibri" w:hAnsi="Palatino Linotype" w:cs="Calibri"/>
          <w:sz w:val="22"/>
          <w:lang w:val="en-GB"/>
        </w:rPr>
        <w:t>ched and terrace house</w:t>
      </w:r>
      <w:r w:rsidR="00556DFA" w:rsidRPr="00803973">
        <w:rPr>
          <w:rFonts w:ascii="Palatino Linotype" w:eastAsia="Calibri" w:hAnsi="Palatino Linotype" w:cs="Calibri"/>
          <w:sz w:val="22"/>
          <w:lang w:val="en-GB"/>
        </w:rPr>
        <w:t>s</w:t>
      </w:r>
      <w:r w:rsidR="00510D85" w:rsidRPr="00803973">
        <w:rPr>
          <w:rFonts w:ascii="Palatino Linotype" w:eastAsia="Calibri" w:hAnsi="Palatino Linotype" w:cs="Calibri"/>
          <w:sz w:val="22"/>
          <w:lang w:val="en-GB"/>
        </w:rPr>
        <w:t>) according to</w:t>
      </w:r>
      <w:r w:rsidR="007E068A" w:rsidRPr="00803973">
        <w:rPr>
          <w:rFonts w:ascii="Palatino Linotype" w:eastAsia="Calibri" w:hAnsi="Palatino Linotype" w:cs="Calibri"/>
          <w:sz w:val="22"/>
          <w:lang w:val="en-GB"/>
        </w:rPr>
        <w:t xml:space="preserve"> plot ratio – “V” if plot ratio is lower than 0.8; “L” if plot ratio is between 0.8 and 1.5; “H” if plot ratio is higher than 1.5.</w:t>
      </w:r>
      <w:r w:rsidR="003B4394" w:rsidRPr="00803973">
        <w:rPr>
          <w:rFonts w:ascii="Palatino Linotype" w:eastAsia="Calibri" w:hAnsi="Palatino Linotype" w:cs="Calibri"/>
          <w:sz w:val="22"/>
          <w:lang w:val="en-GB"/>
        </w:rPr>
        <w:t xml:space="preserve"> The criteria are arbitrary but</w:t>
      </w:r>
      <w:r w:rsidR="007E068A" w:rsidRPr="00803973">
        <w:rPr>
          <w:rFonts w:ascii="Palatino Linotype" w:eastAsia="Calibri" w:hAnsi="Palatino Linotype" w:cs="Calibri"/>
          <w:sz w:val="22"/>
          <w:lang w:val="en-GB"/>
        </w:rPr>
        <w:t xml:space="preserve"> they are widely accepted in the industry. </w:t>
      </w:r>
      <w:r w:rsidR="00D8080E" w:rsidRPr="00803973">
        <w:rPr>
          <w:rFonts w:ascii="Palatino Linotype" w:eastAsia="Calibri" w:hAnsi="Palatino Linotype" w:cs="Calibri"/>
          <w:sz w:val="22"/>
          <w:lang w:val="en-GB"/>
        </w:rPr>
        <w:t xml:space="preserve">Housing is a heterogeneous product. The better understanding of the supply </w:t>
      </w:r>
      <w:r w:rsidR="004929CE" w:rsidRPr="00803973">
        <w:rPr>
          <w:rFonts w:ascii="Palatino Linotype" w:eastAsia="Calibri" w:hAnsi="Palatino Linotype" w:cs="Calibri"/>
          <w:sz w:val="22"/>
          <w:lang w:val="en-GB"/>
        </w:rPr>
        <w:t>variances</w:t>
      </w:r>
      <w:r w:rsidR="00D8080E" w:rsidRPr="00803973">
        <w:rPr>
          <w:rFonts w:ascii="Palatino Linotype" w:eastAsia="Calibri" w:hAnsi="Palatino Linotype" w:cs="Calibri"/>
          <w:sz w:val="22"/>
          <w:lang w:val="en-GB"/>
        </w:rPr>
        <w:t xml:space="preserve"> for different categories of housing</w:t>
      </w:r>
      <w:r w:rsidRPr="00803973">
        <w:rPr>
          <w:rFonts w:ascii="Palatino Linotype" w:eastAsia="Calibri" w:hAnsi="Palatino Linotype" w:cs="Calibri"/>
          <w:sz w:val="22"/>
          <w:lang w:val="en-GB"/>
        </w:rPr>
        <w:t xml:space="preserve"> will help to differentiate </w:t>
      </w:r>
      <w:r w:rsidR="00D8080E" w:rsidRPr="00803973">
        <w:rPr>
          <w:rFonts w:ascii="Palatino Linotype" w:eastAsia="Calibri" w:hAnsi="Palatino Linotype" w:cs="Calibri"/>
          <w:sz w:val="22"/>
          <w:lang w:val="en-GB"/>
        </w:rPr>
        <w:t>or prioritise housing supply</w:t>
      </w:r>
      <w:r w:rsidR="001E401D" w:rsidRPr="00803973">
        <w:rPr>
          <w:rFonts w:ascii="Palatino Linotype" w:eastAsia="Calibri" w:hAnsi="Palatino Linotype" w:cs="Calibri"/>
          <w:sz w:val="22"/>
          <w:lang w:val="en-GB"/>
        </w:rPr>
        <w:t xml:space="preserve"> in the market</w:t>
      </w:r>
      <w:r w:rsidR="00D8080E" w:rsidRPr="00803973">
        <w:rPr>
          <w:rFonts w:ascii="Palatino Linotype" w:eastAsia="Calibri" w:hAnsi="Palatino Linotype" w:cs="Calibri"/>
          <w:sz w:val="22"/>
          <w:lang w:val="en-GB"/>
        </w:rPr>
        <w:t xml:space="preserve">.  </w:t>
      </w:r>
    </w:p>
    <w:p w:rsidR="001E401D" w:rsidRPr="00803973" w:rsidRDefault="00620E8B" w:rsidP="00FC5A9D">
      <w:pPr>
        <w:spacing w:after="120" w:line="276" w:lineRule="auto"/>
        <w:ind w:firstLine="600"/>
        <w:jc w:val="left"/>
        <w:rPr>
          <w:rFonts w:ascii="Palatino Linotype" w:eastAsia="Calibri" w:hAnsi="Palatino Linotype" w:cs="Calibri"/>
          <w:sz w:val="22"/>
          <w:lang w:val="en-GB"/>
        </w:rPr>
      </w:pPr>
      <w:r w:rsidRPr="00803973">
        <w:rPr>
          <w:rFonts w:ascii="Palatino Linotype" w:hAnsi="Palatino Linotype" w:cs="Calibri"/>
          <w:sz w:val="22"/>
          <w:lang w:val="en-GB"/>
        </w:rPr>
        <w:t>W</w:t>
      </w:r>
      <w:r w:rsidR="001E401D" w:rsidRPr="00803973">
        <w:rPr>
          <w:rFonts w:ascii="Palatino Linotype" w:eastAsia="Calibri" w:hAnsi="Palatino Linotype" w:cs="Calibri"/>
          <w:sz w:val="22"/>
          <w:lang w:val="en-GB"/>
        </w:rPr>
        <w:t>e introduce only one dummy variable of D</w:t>
      </w:r>
      <w:r w:rsidR="001E401D" w:rsidRPr="00803973">
        <w:rPr>
          <w:rFonts w:ascii="Palatino Linotype" w:eastAsia="Calibri" w:hAnsi="Palatino Linotype" w:cs="Calibri"/>
          <w:sz w:val="22"/>
          <w:vertAlign w:val="subscript"/>
          <w:lang w:val="en-GB"/>
        </w:rPr>
        <w:t>c</w:t>
      </w:r>
      <w:r w:rsidR="001E401D" w:rsidRPr="00803973">
        <w:rPr>
          <w:rFonts w:ascii="Palatino Linotype" w:eastAsia="Calibri" w:hAnsi="Palatino Linotype" w:cs="Calibri"/>
          <w:sz w:val="22"/>
          <w:lang w:val="en-GB"/>
        </w:rPr>
        <w:t xml:space="preserve"> </w:t>
      </w:r>
      <w:r w:rsidR="005306BB" w:rsidRPr="00803973">
        <w:rPr>
          <w:rFonts w:ascii="Palatino Linotype" w:eastAsia="Calibri" w:hAnsi="Palatino Linotype" w:cs="Calibri"/>
          <w:sz w:val="22"/>
          <w:lang w:val="en-GB"/>
        </w:rPr>
        <w:t>as</w:t>
      </w:r>
      <w:r w:rsidR="00303883" w:rsidRPr="00803973">
        <w:rPr>
          <w:rFonts w:ascii="Palatino Linotype" w:eastAsia="Calibri" w:hAnsi="Palatino Linotype" w:cs="Calibri"/>
          <w:sz w:val="22"/>
          <w:lang w:val="en-GB"/>
        </w:rPr>
        <w:t xml:space="preserve"> </w:t>
      </w:r>
      <w:r w:rsidR="00BD65E5" w:rsidRPr="00803973">
        <w:rPr>
          <w:rFonts w:ascii="Palatino Linotype" w:eastAsia="Calibri" w:hAnsi="Palatino Linotype" w:cs="Calibri"/>
          <w:sz w:val="22"/>
          <w:lang w:val="en-GB"/>
        </w:rPr>
        <w:t>the regressor</w:t>
      </w:r>
      <w:r w:rsidR="00774F74" w:rsidRPr="00803973">
        <w:rPr>
          <w:rFonts w:ascii="Palatino Linotype" w:eastAsia="Calibri" w:hAnsi="Palatino Linotype" w:cs="Calibri"/>
          <w:sz w:val="22"/>
          <w:lang w:val="en-GB"/>
        </w:rPr>
        <w:t xml:space="preserve"> of </w:t>
      </w:r>
      <w:r w:rsidR="00303883" w:rsidRPr="00803973">
        <w:rPr>
          <w:rFonts w:ascii="Palatino Linotype" w:eastAsia="Calibri" w:hAnsi="Palatino Linotype" w:cs="Calibri"/>
          <w:sz w:val="22"/>
          <w:lang w:val="en-GB"/>
        </w:rPr>
        <w:t xml:space="preserve">location </w:t>
      </w:r>
      <w:r w:rsidRPr="00803973">
        <w:rPr>
          <w:rFonts w:ascii="Palatino Linotype" w:hAnsi="Palatino Linotype" w:cs="Calibri"/>
          <w:sz w:val="22"/>
          <w:lang w:val="en-GB"/>
        </w:rPr>
        <w:t xml:space="preserve">in </w:t>
      </w:r>
      <w:r w:rsidR="00BE72D5" w:rsidRPr="00803973">
        <w:rPr>
          <w:rFonts w:ascii="Palatino Linotype" w:hAnsi="Palatino Linotype" w:cs="Calibri"/>
          <w:sz w:val="22"/>
          <w:lang w:val="en-GB"/>
        </w:rPr>
        <w:t>Equation 1a and Equation 1b</w:t>
      </w:r>
      <w:r w:rsidRPr="00803973">
        <w:rPr>
          <w:rFonts w:ascii="Palatino Linotype" w:hAnsi="Palatino Linotype" w:cs="Calibri"/>
          <w:sz w:val="22"/>
          <w:lang w:val="en-GB"/>
        </w:rPr>
        <w:t xml:space="preserve"> </w:t>
      </w:r>
      <w:r w:rsidR="001E401D" w:rsidRPr="00803973">
        <w:rPr>
          <w:rFonts w:ascii="Palatino Linotype" w:eastAsia="Calibri" w:hAnsi="Palatino Linotype" w:cs="Calibri"/>
          <w:sz w:val="22"/>
          <w:lang w:val="en-GB"/>
        </w:rPr>
        <w:t>and two</w:t>
      </w:r>
      <w:r w:rsidR="007E068A" w:rsidRPr="00803973">
        <w:rPr>
          <w:rFonts w:ascii="Palatino Linotype" w:eastAsia="Calibri" w:hAnsi="Palatino Linotype" w:cs="Calibri"/>
          <w:sz w:val="22"/>
          <w:lang w:val="en-GB"/>
        </w:rPr>
        <w:t xml:space="preserve"> dummy variables of D</w:t>
      </w:r>
      <w:r w:rsidR="007E068A" w:rsidRPr="00803973">
        <w:rPr>
          <w:rFonts w:ascii="Palatino Linotype" w:eastAsia="Calibri" w:hAnsi="Palatino Linotype" w:cs="Calibri"/>
          <w:sz w:val="22"/>
          <w:vertAlign w:val="subscript"/>
          <w:lang w:val="en-GB"/>
        </w:rPr>
        <w:t>L</w:t>
      </w:r>
      <w:r w:rsidR="007E068A" w:rsidRPr="00803973">
        <w:rPr>
          <w:rFonts w:ascii="Palatino Linotype" w:eastAsia="Calibri" w:hAnsi="Palatino Linotype" w:cs="Calibri"/>
          <w:sz w:val="22"/>
          <w:lang w:val="en-GB"/>
        </w:rPr>
        <w:t xml:space="preserve"> and D</w:t>
      </w:r>
      <w:r w:rsidR="007E068A" w:rsidRPr="00803973">
        <w:rPr>
          <w:rFonts w:ascii="Palatino Linotype" w:eastAsia="Calibri" w:hAnsi="Palatino Linotype" w:cs="Calibri"/>
          <w:sz w:val="22"/>
          <w:vertAlign w:val="subscript"/>
          <w:lang w:val="en-GB"/>
        </w:rPr>
        <w:t>H</w:t>
      </w:r>
      <w:r w:rsidR="007E068A" w:rsidRPr="00803973">
        <w:rPr>
          <w:rFonts w:ascii="Palatino Linotype" w:eastAsia="Calibri" w:hAnsi="Palatino Linotype" w:cs="Calibri"/>
          <w:sz w:val="22"/>
          <w:lang w:val="en-GB"/>
        </w:rPr>
        <w:t xml:space="preserve"> </w:t>
      </w:r>
      <w:r w:rsidR="005306BB" w:rsidRPr="00803973">
        <w:rPr>
          <w:rFonts w:ascii="Palatino Linotype" w:eastAsia="Calibri" w:hAnsi="Palatino Linotype" w:cs="Calibri"/>
          <w:sz w:val="22"/>
          <w:lang w:val="en-GB"/>
        </w:rPr>
        <w:t>as</w:t>
      </w:r>
      <w:r w:rsidR="00303883" w:rsidRPr="00803973">
        <w:rPr>
          <w:rFonts w:ascii="Palatino Linotype" w:eastAsia="Calibri" w:hAnsi="Palatino Linotype" w:cs="Calibri"/>
          <w:sz w:val="22"/>
          <w:lang w:val="en-GB"/>
        </w:rPr>
        <w:t xml:space="preserve"> </w:t>
      </w:r>
      <w:r w:rsidR="002410D5" w:rsidRPr="00803973">
        <w:rPr>
          <w:rFonts w:ascii="Palatino Linotype" w:eastAsia="Calibri" w:hAnsi="Palatino Linotype" w:cs="Calibri"/>
          <w:sz w:val="22"/>
          <w:lang w:val="en-GB"/>
        </w:rPr>
        <w:t>the regressor</w:t>
      </w:r>
      <w:r w:rsidR="005306BB" w:rsidRPr="00803973">
        <w:rPr>
          <w:rFonts w:ascii="Palatino Linotype" w:eastAsia="Calibri" w:hAnsi="Palatino Linotype" w:cs="Calibri"/>
          <w:sz w:val="22"/>
          <w:lang w:val="en-GB"/>
        </w:rPr>
        <w:t>s</w:t>
      </w:r>
      <w:r w:rsidR="00774F74" w:rsidRPr="00803973">
        <w:rPr>
          <w:rFonts w:ascii="Palatino Linotype" w:eastAsia="Calibri" w:hAnsi="Palatino Linotype" w:cs="Calibri"/>
          <w:sz w:val="22"/>
          <w:lang w:val="en-GB"/>
        </w:rPr>
        <w:t xml:space="preserve"> of housing type</w:t>
      </w:r>
      <w:r w:rsidRPr="00803973">
        <w:rPr>
          <w:rFonts w:ascii="Palatino Linotype" w:hAnsi="Palatino Linotype" w:cs="Calibri"/>
          <w:sz w:val="22"/>
          <w:lang w:val="en-GB"/>
        </w:rPr>
        <w:t xml:space="preserve"> in </w:t>
      </w:r>
      <w:r w:rsidR="00BE72D5" w:rsidRPr="00803973">
        <w:rPr>
          <w:rFonts w:ascii="Palatino Linotype" w:hAnsi="Palatino Linotype" w:cs="Calibri"/>
          <w:sz w:val="22"/>
          <w:lang w:val="en-GB"/>
        </w:rPr>
        <w:t>Equation 2a and Equation 2b</w:t>
      </w:r>
      <w:r w:rsidR="00E3423E" w:rsidRPr="00803973">
        <w:rPr>
          <w:rFonts w:ascii="Palatino Linotype" w:eastAsia="Calibri" w:hAnsi="Palatino Linotype" w:cs="Calibri"/>
          <w:sz w:val="22"/>
          <w:lang w:val="en-GB"/>
        </w:rPr>
        <w:t xml:space="preserve"> </w:t>
      </w:r>
      <w:r w:rsidR="007E068A" w:rsidRPr="00803973">
        <w:rPr>
          <w:rFonts w:ascii="Palatino Linotype" w:eastAsia="Calibri" w:hAnsi="Palatino Linotype" w:cs="Calibri"/>
          <w:sz w:val="22"/>
          <w:lang w:val="en-GB"/>
        </w:rPr>
        <w:t xml:space="preserve">to avoid “dummy variable trap”. </w:t>
      </w:r>
      <w:r w:rsidR="00303883" w:rsidRPr="00803973">
        <w:rPr>
          <w:rFonts w:ascii="Palatino Linotype" w:eastAsia="Calibri" w:hAnsi="Palatino Linotype" w:cs="Calibri"/>
          <w:sz w:val="22"/>
          <w:lang w:val="en-GB"/>
        </w:rPr>
        <w:t>Suburban h</w:t>
      </w:r>
      <w:r w:rsidR="00774F74" w:rsidRPr="00803973">
        <w:rPr>
          <w:rFonts w:ascii="Palatino Linotype" w:eastAsia="Calibri" w:hAnsi="Palatino Linotype" w:cs="Calibri"/>
          <w:sz w:val="22"/>
          <w:lang w:val="en-GB"/>
        </w:rPr>
        <w:t xml:space="preserve">ousing and </w:t>
      </w:r>
      <w:r w:rsidR="002410D5" w:rsidRPr="00803973">
        <w:rPr>
          <w:rFonts w:ascii="Palatino Linotype" w:eastAsia="Calibri" w:hAnsi="Palatino Linotype" w:cs="Calibri"/>
          <w:sz w:val="22"/>
          <w:lang w:val="en-GB"/>
        </w:rPr>
        <w:t>single-family house</w:t>
      </w:r>
      <w:r w:rsidR="00774F74" w:rsidRPr="00803973">
        <w:rPr>
          <w:rFonts w:ascii="Palatino Linotype" w:eastAsia="Calibri" w:hAnsi="Palatino Linotype" w:cs="Calibri"/>
          <w:sz w:val="22"/>
          <w:lang w:val="en-GB"/>
        </w:rPr>
        <w:t xml:space="preserve"> are</w:t>
      </w:r>
      <w:r w:rsidR="007E068A" w:rsidRPr="00803973">
        <w:rPr>
          <w:rFonts w:ascii="Palatino Linotype" w:eastAsia="Calibri" w:hAnsi="Palatino Linotype" w:cs="Calibri"/>
          <w:sz w:val="22"/>
          <w:lang w:val="en-GB"/>
        </w:rPr>
        <w:t xml:space="preserve"> therefore assig</w:t>
      </w:r>
      <w:r w:rsidR="00774F74" w:rsidRPr="00803973">
        <w:rPr>
          <w:rFonts w:ascii="Palatino Linotype" w:eastAsia="Calibri" w:hAnsi="Palatino Linotype" w:cs="Calibri"/>
          <w:sz w:val="22"/>
          <w:lang w:val="en-GB"/>
        </w:rPr>
        <w:t>ned to be the benchmark categories</w:t>
      </w:r>
      <w:r w:rsidR="00FC5A9D" w:rsidRPr="00803973">
        <w:rPr>
          <w:rFonts w:ascii="Palatino Linotype" w:eastAsia="Calibri" w:hAnsi="Palatino Linotype" w:cs="Calibri"/>
          <w:sz w:val="22"/>
          <w:lang w:val="en-GB"/>
        </w:rPr>
        <w:t xml:space="preserve"> in model 1 and model 2 respectively</w:t>
      </w:r>
      <w:r w:rsidR="007E068A" w:rsidRPr="00803973">
        <w:rPr>
          <w:rFonts w:ascii="Palatino Linotype" w:eastAsia="Calibri" w:hAnsi="Palatino Linotype" w:cs="Calibri"/>
          <w:sz w:val="22"/>
          <w:lang w:val="en-GB"/>
        </w:rPr>
        <w:t>.</w:t>
      </w:r>
    </w:p>
    <w:p w:rsidR="0089363C" w:rsidRPr="00803973" w:rsidRDefault="00CD6B02" w:rsidP="00774F74">
      <w:pPr>
        <w:spacing w:after="120" w:line="276" w:lineRule="auto"/>
        <w:jc w:val="center"/>
        <w:rPr>
          <w:rFonts w:ascii="Palatino Linotype" w:eastAsia="Calibri" w:hAnsi="Palatino Linotype" w:cs="Calibri"/>
          <w:sz w:val="22"/>
          <w:lang w:val="en-GB"/>
        </w:rPr>
      </w:pPr>
      <m:oMath>
        <m:sSubSup>
          <m:sSubSupPr>
            <m:ctrlPr>
              <w:rPr>
                <w:rFonts w:ascii="Cambria Math" w:eastAsia="Calibri" w:hAnsi="Cambria Math" w:cs="Calibri"/>
                <w:i/>
                <w:sz w:val="22"/>
                <w:lang w:val="en-GB"/>
              </w:rPr>
            </m:ctrlPr>
          </m:sSubSupPr>
          <m:e>
            <m:r>
              <w:rPr>
                <w:rFonts w:ascii="Cambria Math" w:eastAsia="Calibri" w:hAnsi="Cambria Math" w:cs="Calibri"/>
                <w:sz w:val="22"/>
                <w:lang w:val="en-GB"/>
              </w:rPr>
              <m:t>Y</m:t>
            </m:r>
          </m:e>
          <m:sub>
            <m:r>
              <w:rPr>
                <w:rFonts w:ascii="Cambria Math" w:eastAsia="Calibri" w:hAnsi="Cambria Math" w:cs="Calibri"/>
                <w:sz w:val="22"/>
                <w:lang w:val="en-GB"/>
              </w:rPr>
              <m:t>1i</m:t>
            </m:r>
          </m:sub>
          <m:sup>
            <m:r>
              <w:rPr>
                <w:rFonts w:ascii="Cambria Math" w:eastAsia="Calibri" w:hAnsi="Cambria Math" w:cs="Calibri"/>
                <w:sz w:val="22"/>
                <w:lang w:val="en-GB"/>
              </w:rPr>
              <m:t>β</m:t>
            </m:r>
          </m:sup>
        </m:sSubSup>
        <m:r>
          <w:rPr>
            <w:rFonts w:ascii="Cambria Math" w:eastAsia="Calibri" w:hAnsi="Cambria Math" w:cs="Calibri"/>
            <w:sz w:val="22"/>
            <w:lang w:val="en-GB"/>
          </w:rPr>
          <m:t xml:space="preserve">= </m:t>
        </m:r>
        <m:sSub>
          <m:sSubPr>
            <m:ctrlPr>
              <w:rPr>
                <w:rFonts w:ascii="Cambria Math" w:eastAsia="Calibri" w:hAnsi="Cambria Math" w:cs="Calibri"/>
                <w:i/>
                <w:sz w:val="22"/>
                <w:lang w:val="en-GB"/>
              </w:rPr>
            </m:ctrlPr>
          </m:sSubPr>
          <m:e>
            <m:r>
              <w:rPr>
                <w:rFonts w:ascii="Cambria Math" w:eastAsia="Calibri" w:hAnsi="Cambria Math" w:cs="Calibri"/>
                <w:sz w:val="22"/>
                <w:lang w:val="en-GB"/>
              </w:rPr>
              <m:t>β</m:t>
            </m:r>
          </m:e>
          <m:sub>
            <m:r>
              <w:rPr>
                <w:rFonts w:ascii="Cambria Math" w:eastAsia="Calibri" w:hAnsi="Cambria Math" w:cs="Calibri"/>
                <w:sz w:val="22"/>
                <w:lang w:val="en-GB"/>
              </w:rPr>
              <m:t>10</m:t>
            </m:r>
          </m:sub>
        </m:sSub>
        <m:r>
          <w:rPr>
            <w:rFonts w:ascii="Cambria Math" w:eastAsia="Calibri" w:hAnsi="Cambria Math" w:cs="Calibri"/>
            <w:sz w:val="22"/>
            <w:lang w:val="en-GB"/>
          </w:rPr>
          <m:t xml:space="preserve"> +</m:t>
        </m:r>
        <m:r>
          <w:rPr>
            <w:rFonts w:ascii="Cambria Math" w:hAnsi="Cambria Math" w:cs="Calibri"/>
            <w:sz w:val="22"/>
          </w:rPr>
          <m:t xml:space="preserve"> </m:t>
        </m:r>
        <m:sSub>
          <m:sSubPr>
            <m:ctrlPr>
              <w:rPr>
                <w:rFonts w:ascii="Cambria Math" w:hAnsi="Cambria Math" w:cs="Calibri"/>
                <w:i/>
                <w:sz w:val="22"/>
              </w:rPr>
            </m:ctrlPr>
          </m:sSubPr>
          <m:e>
            <m:r>
              <w:rPr>
                <w:rFonts w:ascii="Cambria Math" w:hAnsi="Cambria Math" w:cs="Calibri"/>
                <w:sz w:val="22"/>
              </w:rPr>
              <m:t>β</m:t>
            </m:r>
          </m:e>
          <m:sub>
            <m:r>
              <w:rPr>
                <w:rFonts w:ascii="Cambria Math" w:hAnsi="Cambria Math" w:cs="Calibri"/>
                <w:sz w:val="22"/>
              </w:rPr>
              <m:t>11</m:t>
            </m:r>
          </m:sub>
        </m:sSub>
        <m:sSub>
          <m:sSubPr>
            <m:ctrlPr>
              <w:rPr>
                <w:rFonts w:ascii="Cambria Math" w:hAnsi="Cambria Math" w:cs="Calibri"/>
                <w:i/>
                <w:sz w:val="22"/>
              </w:rPr>
            </m:ctrlPr>
          </m:sSubPr>
          <m:e>
            <m:r>
              <w:rPr>
                <w:rFonts w:ascii="Cambria Math" w:hAnsi="Cambria Math" w:cs="Calibri"/>
                <w:sz w:val="22"/>
              </w:rPr>
              <m:t>D</m:t>
            </m:r>
          </m:e>
          <m:sub>
            <m:r>
              <w:rPr>
                <w:rFonts w:ascii="Cambria Math" w:hAnsi="Cambria Math" w:cs="Calibri"/>
                <w:sz w:val="22"/>
              </w:rPr>
              <m:t>Li</m:t>
            </m:r>
          </m:sub>
        </m:sSub>
        <m:r>
          <w:rPr>
            <w:rFonts w:ascii="Cambria Math" w:hAnsi="Cambria Math" w:cs="Calibri"/>
            <w:sz w:val="22"/>
          </w:rPr>
          <m:t>+</m:t>
        </m:r>
        <m:sSub>
          <m:sSubPr>
            <m:ctrlPr>
              <w:rPr>
                <w:rFonts w:ascii="Cambria Math" w:hAnsi="Cambria Math" w:cs="Calibri"/>
                <w:i/>
                <w:sz w:val="22"/>
              </w:rPr>
            </m:ctrlPr>
          </m:sSubPr>
          <m:e>
            <m:r>
              <w:rPr>
                <w:rFonts w:ascii="Cambria Math" w:hAnsi="Cambria Math" w:cs="Calibri"/>
                <w:sz w:val="22"/>
              </w:rPr>
              <m:t>β</m:t>
            </m:r>
          </m:e>
          <m:sub>
            <m:r>
              <w:rPr>
                <w:rFonts w:ascii="Cambria Math" w:hAnsi="Cambria Math" w:cs="Calibri"/>
                <w:sz w:val="22"/>
              </w:rPr>
              <m:t>12</m:t>
            </m:r>
          </m:sub>
        </m:sSub>
        <m:sSub>
          <m:sSubPr>
            <m:ctrlPr>
              <w:rPr>
                <w:rFonts w:ascii="Cambria Math" w:hAnsi="Cambria Math" w:cs="Calibri"/>
                <w:i/>
                <w:sz w:val="22"/>
              </w:rPr>
            </m:ctrlPr>
          </m:sSubPr>
          <m:e>
            <m:r>
              <w:rPr>
                <w:rFonts w:ascii="Cambria Math" w:hAnsi="Cambria Math" w:cs="Calibri"/>
                <w:sz w:val="22"/>
              </w:rPr>
              <m:t>D</m:t>
            </m:r>
          </m:e>
          <m:sub>
            <m:r>
              <w:rPr>
                <w:rFonts w:ascii="Cambria Math" w:hAnsi="Cambria Math" w:cs="Calibri"/>
                <w:sz w:val="22"/>
              </w:rPr>
              <m:t>Hi</m:t>
            </m:r>
          </m:sub>
        </m:sSub>
        <m:r>
          <w:rPr>
            <w:rFonts w:ascii="Cambria Math" w:eastAsia="Calibri" w:hAnsi="Cambria Math" w:cs="Calibri"/>
            <w:sz w:val="22"/>
            <w:lang w:val="en-GB"/>
          </w:rPr>
          <m:t xml:space="preserve">+ </m:t>
        </m:r>
        <m:sSubSup>
          <m:sSubSupPr>
            <m:ctrlPr>
              <w:rPr>
                <w:rFonts w:ascii="Cambria Math" w:eastAsia="Calibri" w:hAnsi="Cambria Math" w:cs="Calibri"/>
                <w:i/>
                <w:sz w:val="22"/>
                <w:lang w:val="en-GB"/>
              </w:rPr>
            </m:ctrlPr>
          </m:sSubSupPr>
          <m:e>
            <m:r>
              <w:rPr>
                <w:rFonts w:ascii="Cambria Math" w:eastAsia="Calibri" w:hAnsi="Cambria Math" w:cs="Calibri"/>
                <w:sz w:val="22"/>
                <w:lang w:val="en-GB"/>
              </w:rPr>
              <m:t>μ</m:t>
            </m:r>
          </m:e>
          <m:sub>
            <m:r>
              <w:rPr>
                <w:rFonts w:ascii="Cambria Math" w:eastAsia="Calibri" w:hAnsi="Cambria Math" w:cs="Calibri"/>
                <w:sz w:val="22"/>
                <w:lang w:val="en-GB"/>
              </w:rPr>
              <m:t>1i</m:t>
            </m:r>
          </m:sub>
          <m:sup>
            <m:r>
              <w:rPr>
                <w:rFonts w:ascii="Cambria Math" w:eastAsia="Calibri" w:hAnsi="Cambria Math" w:cs="Calibri"/>
                <w:sz w:val="22"/>
                <w:lang w:val="en-GB"/>
              </w:rPr>
              <m:t>β</m:t>
            </m:r>
          </m:sup>
        </m:sSubSup>
        <m:r>
          <w:rPr>
            <w:rFonts w:ascii="Cambria Math" w:eastAsia="Calibri" w:hAnsi="Cambria Math" w:cs="Calibri"/>
            <w:sz w:val="22"/>
            <w:lang w:val="en-GB"/>
          </w:rPr>
          <m:t>;   i =1,2,…,833</m:t>
        </m:r>
      </m:oMath>
      <w:r w:rsidR="002410D5" w:rsidRPr="00803973">
        <w:rPr>
          <w:rFonts w:ascii="Palatino Linotype" w:eastAsia="Calibri" w:hAnsi="Palatino Linotype" w:cs="Calibri"/>
          <w:sz w:val="22"/>
          <w:lang w:val="en-GB"/>
        </w:rPr>
        <w:t xml:space="preserve">          </w:t>
      </w:r>
      <w:r w:rsidR="0029555A" w:rsidRPr="00803973">
        <w:rPr>
          <w:rFonts w:ascii="Palatino Linotype" w:eastAsia="Calibri" w:hAnsi="Palatino Linotype" w:cs="Calibri"/>
          <w:sz w:val="22"/>
          <w:lang w:val="en-GB"/>
        </w:rPr>
        <w:t xml:space="preserve"> </w:t>
      </w:r>
      <w:r w:rsidR="002410D5" w:rsidRPr="00803973">
        <w:rPr>
          <w:rFonts w:ascii="Palatino Linotype" w:eastAsia="Calibri" w:hAnsi="Palatino Linotype" w:cs="Calibri"/>
          <w:sz w:val="22"/>
          <w:lang w:val="en-GB"/>
        </w:rPr>
        <w:t xml:space="preserve"> </w:t>
      </w:r>
      <w:r w:rsidR="0060075B" w:rsidRPr="00803973">
        <w:rPr>
          <w:rFonts w:ascii="Palatino Linotype" w:eastAsia="Calibri" w:hAnsi="Palatino Linotype" w:cs="Calibri"/>
          <w:b/>
          <w:sz w:val="22"/>
          <w:lang w:val="en-GB"/>
        </w:rPr>
        <w:t>2</w:t>
      </w:r>
      <w:r w:rsidR="0029555A" w:rsidRPr="00803973">
        <w:rPr>
          <w:rFonts w:ascii="Palatino Linotype" w:eastAsia="Calibri" w:hAnsi="Palatino Linotype" w:cs="Calibri"/>
          <w:b/>
          <w:sz w:val="22"/>
          <w:lang w:val="en-GB"/>
        </w:rPr>
        <w:t>a</w:t>
      </w:r>
    </w:p>
    <w:p w:rsidR="00C000EE" w:rsidRPr="00803973" w:rsidRDefault="00704FD2" w:rsidP="00C000EE">
      <w:pPr>
        <w:spacing w:after="120" w:line="276" w:lineRule="auto"/>
        <w:ind w:firstLine="600"/>
        <w:jc w:val="left"/>
        <w:rPr>
          <w:rFonts w:ascii="Palatino Linotype" w:eastAsia="Calibri" w:hAnsi="Palatino Linotype" w:cs="Calibri"/>
          <w:sz w:val="22"/>
          <w:lang w:val="en-GB"/>
        </w:rPr>
      </w:pPr>
      <m:oMathPara>
        <m:oMathParaPr>
          <m:jc m:val="center"/>
        </m:oMathParaPr>
        <m:oMath>
          <m:r>
            <w:rPr>
              <w:rFonts w:ascii="Cambria Math" w:eastAsia="Calibri" w:hAnsi="Cambria Math" w:cs="Calibri"/>
              <w:sz w:val="22"/>
              <w:lang w:val="en-GB"/>
            </w:rPr>
            <m:t xml:space="preserve">    </m:t>
          </m:r>
          <m:sSubSup>
            <m:sSubSupPr>
              <m:ctrlPr>
                <w:rPr>
                  <w:rFonts w:ascii="Cambria Math" w:eastAsia="Calibri" w:hAnsi="Cambria Math" w:cs="Calibri"/>
                  <w:i/>
                  <w:sz w:val="22"/>
                  <w:lang w:val="en-GB"/>
                </w:rPr>
              </m:ctrlPr>
            </m:sSubSupPr>
            <m:e>
              <m:r>
                <w:rPr>
                  <w:rFonts w:ascii="Cambria Math" w:eastAsia="Calibri" w:hAnsi="Cambria Math" w:cs="Calibri"/>
                  <w:sz w:val="22"/>
                  <w:lang w:val="en-GB"/>
                </w:rPr>
                <m:t>Y</m:t>
              </m:r>
            </m:e>
            <m:sub>
              <m:r>
                <w:rPr>
                  <w:rFonts w:ascii="Cambria Math" w:eastAsia="Calibri" w:hAnsi="Cambria Math" w:cs="Calibri"/>
                  <w:sz w:val="22"/>
                  <w:lang w:val="en-GB"/>
                </w:rPr>
                <m:t>2i</m:t>
              </m:r>
            </m:sub>
            <m:sup>
              <m:r>
                <w:rPr>
                  <w:rFonts w:ascii="Cambria Math" w:eastAsia="Calibri" w:hAnsi="Cambria Math" w:cs="Calibri"/>
                  <w:sz w:val="22"/>
                  <w:lang w:val="en-GB"/>
                </w:rPr>
                <m:t>β</m:t>
              </m:r>
            </m:sup>
          </m:sSubSup>
          <m:r>
            <w:rPr>
              <w:rFonts w:ascii="Cambria Math" w:eastAsia="Calibri" w:hAnsi="Cambria Math" w:cs="Calibri"/>
              <w:sz w:val="22"/>
              <w:lang w:val="en-GB"/>
            </w:rPr>
            <m:t>=</m:t>
          </m:r>
          <m:sSub>
            <m:sSubPr>
              <m:ctrlPr>
                <w:rPr>
                  <w:rFonts w:ascii="Cambria Math" w:eastAsia="Calibri" w:hAnsi="Cambria Math" w:cs="Calibri"/>
                  <w:i/>
                  <w:sz w:val="22"/>
                  <w:lang w:val="en-GB"/>
                </w:rPr>
              </m:ctrlPr>
            </m:sSubPr>
            <m:e>
              <m:r>
                <w:rPr>
                  <w:rFonts w:ascii="Cambria Math" w:eastAsia="Calibri" w:hAnsi="Cambria Math" w:cs="Calibri"/>
                  <w:sz w:val="22"/>
                  <w:lang w:val="en-GB"/>
                </w:rPr>
                <m:t xml:space="preserve"> β</m:t>
              </m:r>
            </m:e>
            <m:sub>
              <m:r>
                <w:rPr>
                  <w:rFonts w:ascii="Cambria Math" w:eastAsia="Calibri" w:hAnsi="Cambria Math" w:cs="Calibri"/>
                  <w:sz w:val="22"/>
                  <w:lang w:val="en-GB"/>
                </w:rPr>
                <m:t>20</m:t>
              </m:r>
            </m:sub>
          </m:sSub>
          <m:r>
            <w:rPr>
              <w:rFonts w:ascii="Cambria Math" w:eastAsia="Calibri" w:hAnsi="Cambria Math" w:cs="Calibri"/>
              <w:sz w:val="22"/>
              <w:lang w:val="en-GB"/>
            </w:rPr>
            <m:t xml:space="preserve"> +</m:t>
          </m:r>
          <m:r>
            <w:rPr>
              <w:rFonts w:ascii="Cambria Math" w:hAnsi="Cambria Math" w:cs="Calibri"/>
              <w:sz w:val="22"/>
            </w:rPr>
            <m:t xml:space="preserve"> </m:t>
          </m:r>
          <m:sSub>
            <m:sSubPr>
              <m:ctrlPr>
                <w:rPr>
                  <w:rFonts w:ascii="Cambria Math" w:hAnsi="Cambria Math" w:cs="Calibri"/>
                  <w:i/>
                  <w:sz w:val="22"/>
                </w:rPr>
              </m:ctrlPr>
            </m:sSubPr>
            <m:e>
              <m:r>
                <w:rPr>
                  <w:rFonts w:ascii="Cambria Math" w:hAnsi="Cambria Math" w:cs="Calibri"/>
                  <w:sz w:val="22"/>
                </w:rPr>
                <m:t>β</m:t>
              </m:r>
            </m:e>
            <m:sub>
              <m:r>
                <w:rPr>
                  <w:rFonts w:ascii="Cambria Math" w:hAnsi="Cambria Math" w:cs="Calibri"/>
                  <w:sz w:val="22"/>
                </w:rPr>
                <m:t>21</m:t>
              </m:r>
            </m:sub>
          </m:sSub>
          <m:sSub>
            <m:sSubPr>
              <m:ctrlPr>
                <w:rPr>
                  <w:rFonts w:ascii="Cambria Math" w:hAnsi="Cambria Math" w:cs="Calibri"/>
                  <w:i/>
                  <w:sz w:val="22"/>
                </w:rPr>
              </m:ctrlPr>
            </m:sSubPr>
            <m:e>
              <m:r>
                <w:rPr>
                  <w:rFonts w:ascii="Cambria Math" w:hAnsi="Cambria Math" w:cs="Calibri"/>
                  <w:sz w:val="22"/>
                </w:rPr>
                <m:t>D</m:t>
              </m:r>
            </m:e>
            <m:sub>
              <m:r>
                <w:rPr>
                  <w:rFonts w:ascii="Cambria Math" w:hAnsi="Cambria Math" w:cs="Calibri"/>
                  <w:sz w:val="22"/>
                </w:rPr>
                <m:t>Li</m:t>
              </m:r>
            </m:sub>
          </m:sSub>
          <m:r>
            <w:rPr>
              <w:rFonts w:ascii="Cambria Math" w:hAnsi="Cambria Math" w:cs="Calibri"/>
              <w:sz w:val="22"/>
            </w:rPr>
            <m:t>+</m:t>
          </m:r>
          <m:sSub>
            <m:sSubPr>
              <m:ctrlPr>
                <w:rPr>
                  <w:rFonts w:ascii="Cambria Math" w:hAnsi="Cambria Math" w:cs="Calibri"/>
                  <w:i/>
                  <w:sz w:val="22"/>
                </w:rPr>
              </m:ctrlPr>
            </m:sSubPr>
            <m:e>
              <m:r>
                <w:rPr>
                  <w:rFonts w:ascii="Cambria Math" w:hAnsi="Cambria Math" w:cs="Calibri"/>
                  <w:sz w:val="22"/>
                </w:rPr>
                <m:t>β</m:t>
              </m:r>
            </m:e>
            <m:sub>
              <m:r>
                <w:rPr>
                  <w:rFonts w:ascii="Cambria Math" w:hAnsi="Cambria Math" w:cs="Calibri"/>
                  <w:sz w:val="22"/>
                </w:rPr>
                <m:t>22</m:t>
              </m:r>
            </m:sub>
          </m:sSub>
          <m:sSub>
            <m:sSubPr>
              <m:ctrlPr>
                <w:rPr>
                  <w:rFonts w:ascii="Cambria Math" w:hAnsi="Cambria Math" w:cs="Calibri"/>
                  <w:i/>
                  <w:sz w:val="22"/>
                </w:rPr>
              </m:ctrlPr>
            </m:sSubPr>
            <m:e>
              <m:r>
                <w:rPr>
                  <w:rFonts w:ascii="Cambria Math" w:hAnsi="Cambria Math" w:cs="Calibri"/>
                  <w:sz w:val="22"/>
                </w:rPr>
                <m:t>D</m:t>
              </m:r>
            </m:e>
            <m:sub>
              <m:r>
                <w:rPr>
                  <w:rFonts w:ascii="Cambria Math" w:hAnsi="Cambria Math" w:cs="Calibri"/>
                  <w:sz w:val="22"/>
                </w:rPr>
                <m:t>Hi</m:t>
              </m:r>
            </m:sub>
          </m:sSub>
          <m:r>
            <w:rPr>
              <w:rFonts w:ascii="Cambria Math" w:eastAsia="Calibri" w:hAnsi="Cambria Math" w:cs="Calibri"/>
              <w:sz w:val="22"/>
              <w:lang w:val="en-GB"/>
            </w:rPr>
            <m:t xml:space="preserve">+ </m:t>
          </m:r>
          <m:sSubSup>
            <m:sSubSupPr>
              <m:ctrlPr>
                <w:rPr>
                  <w:rFonts w:ascii="Cambria Math" w:eastAsia="Calibri" w:hAnsi="Cambria Math" w:cs="Calibri"/>
                  <w:i/>
                  <w:sz w:val="22"/>
                  <w:lang w:val="en-GB"/>
                </w:rPr>
              </m:ctrlPr>
            </m:sSubSupPr>
            <m:e>
              <m:r>
                <w:rPr>
                  <w:rFonts w:ascii="Cambria Math" w:eastAsia="Calibri" w:hAnsi="Cambria Math" w:cs="Calibri"/>
                  <w:sz w:val="22"/>
                  <w:lang w:val="en-GB"/>
                </w:rPr>
                <m:t>μ</m:t>
              </m:r>
            </m:e>
            <m:sub>
              <m:r>
                <w:rPr>
                  <w:rFonts w:ascii="Cambria Math" w:eastAsia="Calibri" w:hAnsi="Cambria Math" w:cs="Calibri"/>
                  <w:sz w:val="22"/>
                  <w:lang w:val="en-GB"/>
                </w:rPr>
                <m:t>2i</m:t>
              </m:r>
            </m:sub>
            <m:sup>
              <m:r>
                <w:rPr>
                  <w:rFonts w:ascii="Cambria Math" w:eastAsia="Calibri" w:hAnsi="Cambria Math" w:cs="Calibri"/>
                  <w:sz w:val="22"/>
                  <w:lang w:val="en-GB"/>
                </w:rPr>
                <m:t>β</m:t>
              </m:r>
            </m:sup>
          </m:sSubSup>
          <m:r>
            <w:rPr>
              <w:rFonts w:ascii="Cambria Math" w:eastAsia="Calibri" w:hAnsi="Cambria Math" w:cs="Calibri"/>
              <w:sz w:val="22"/>
              <w:lang w:val="en-GB"/>
            </w:rPr>
            <m:t xml:space="preserve">;   i =1,2,…,833            </m:t>
          </m:r>
          <m:r>
            <m:rPr>
              <m:sty m:val="b"/>
            </m:rPr>
            <w:rPr>
              <w:rFonts w:ascii="Cambria Math" w:eastAsia="Calibri" w:hAnsi="Cambria Math" w:cs="Calibri"/>
              <w:sz w:val="22"/>
              <w:lang w:val="en-GB"/>
            </w:rPr>
            <m:t>2b</m:t>
          </m:r>
          <m:r>
            <w:rPr>
              <w:rFonts w:ascii="Cambria Math" w:eastAsia="Calibri" w:hAnsi="Cambria Math" w:cs="Calibri"/>
              <w:sz w:val="22"/>
              <w:lang w:val="en-GB"/>
            </w:rPr>
            <m:t xml:space="preserve">    </m:t>
          </m:r>
        </m:oMath>
      </m:oMathPara>
    </w:p>
    <w:p w:rsidR="00C000EE" w:rsidRPr="00803973" w:rsidRDefault="00C000EE" w:rsidP="006D5778">
      <w:pPr>
        <w:spacing w:after="120" w:line="276" w:lineRule="auto"/>
        <w:jc w:val="left"/>
        <w:rPr>
          <w:rFonts w:ascii="Palatino Linotype" w:eastAsia="Calibri" w:hAnsi="Palatino Linotype" w:cs="Calibri"/>
          <w:sz w:val="22"/>
          <w:lang w:val="en-GB"/>
        </w:rPr>
      </w:pPr>
      <w:r w:rsidRPr="00803973">
        <w:rPr>
          <w:rFonts w:ascii="Palatino Linotype" w:eastAsia="Calibri" w:hAnsi="Palatino Linotype" w:cs="Calibri"/>
          <w:sz w:val="22"/>
          <w:lang w:val="en-GB"/>
        </w:rPr>
        <w:t xml:space="preserve">Where: </w:t>
      </w:r>
    </w:p>
    <w:p w:rsidR="001E401D" w:rsidRPr="00803973" w:rsidRDefault="00CD6B02" w:rsidP="001E401D">
      <w:pPr>
        <w:spacing w:after="120" w:line="276" w:lineRule="auto"/>
        <w:jc w:val="left"/>
        <w:rPr>
          <w:rFonts w:ascii="Palatino Linotype" w:eastAsia="Calibri" w:hAnsi="Palatino Linotype" w:cs="Calibri"/>
          <w:sz w:val="22"/>
          <w:lang w:val="en-GB"/>
        </w:rPr>
      </w:pPr>
      <m:oMathPara>
        <m:oMathParaPr>
          <m:jc m:val="left"/>
        </m:oMathParaPr>
        <m:oMath>
          <m:sSub>
            <m:sSubPr>
              <m:ctrlPr>
                <w:rPr>
                  <w:rFonts w:ascii="Cambria Math" w:eastAsia="Calibri" w:hAnsi="Cambria Math" w:cs="Calibri"/>
                  <w:i/>
                  <w:sz w:val="22"/>
                </w:rPr>
              </m:ctrlPr>
            </m:sSubPr>
            <m:e>
              <m:r>
                <w:rPr>
                  <w:rFonts w:ascii="Cambria Math" w:eastAsia="Calibri" w:hAnsi="Cambria Math" w:cs="Calibri"/>
                  <w:sz w:val="22"/>
                </w:rPr>
                <m:t>D</m:t>
              </m:r>
            </m:e>
            <m:sub>
              <m:r>
                <w:rPr>
                  <w:rFonts w:ascii="Cambria Math" w:eastAsia="Calibri" w:hAnsi="Cambria Math" w:cs="Calibri"/>
                  <w:sz w:val="22"/>
                </w:rPr>
                <m:t>L</m:t>
              </m:r>
            </m:sub>
          </m:sSub>
          <m:r>
            <w:rPr>
              <w:rFonts w:ascii="Cambria Math" w:eastAsia="Calibri" w:hAnsi="Cambria Math" w:cs="Calibri"/>
              <w:sz w:val="22"/>
            </w:rPr>
            <m:t xml:space="preserve"> =1 if the plot ratio of project is between 0.8 and 1.5, 0 otherwise</m:t>
          </m:r>
        </m:oMath>
      </m:oMathPara>
    </w:p>
    <w:p w:rsidR="001E401D" w:rsidRPr="00803973" w:rsidRDefault="00CD6B02" w:rsidP="001E401D">
      <w:pPr>
        <w:spacing w:after="120" w:line="276" w:lineRule="auto"/>
        <w:jc w:val="left"/>
        <w:rPr>
          <w:rFonts w:ascii="Palatino Linotype" w:eastAsia="Calibri" w:hAnsi="Palatino Linotype" w:cs="Calibri"/>
          <w:sz w:val="22"/>
          <w:lang w:val="en-GB"/>
        </w:rPr>
      </w:pPr>
      <m:oMathPara>
        <m:oMathParaPr>
          <m:jc m:val="left"/>
        </m:oMathParaPr>
        <m:oMath>
          <m:sSub>
            <m:sSubPr>
              <m:ctrlPr>
                <w:rPr>
                  <w:rFonts w:ascii="Cambria Math" w:eastAsia="Calibri" w:hAnsi="Cambria Math" w:cs="Calibri"/>
                  <w:i/>
                  <w:sz w:val="22"/>
                </w:rPr>
              </m:ctrlPr>
            </m:sSubPr>
            <m:e>
              <m:r>
                <w:rPr>
                  <w:rFonts w:ascii="Cambria Math" w:eastAsia="Calibri" w:hAnsi="Cambria Math" w:cs="Calibri"/>
                  <w:sz w:val="22"/>
                </w:rPr>
                <m:t>D</m:t>
              </m:r>
            </m:e>
            <m:sub>
              <m:r>
                <w:rPr>
                  <w:rFonts w:ascii="Cambria Math" w:eastAsia="Calibri" w:hAnsi="Cambria Math" w:cs="Calibri"/>
                  <w:sz w:val="22"/>
                </w:rPr>
                <m:t>H</m:t>
              </m:r>
            </m:sub>
          </m:sSub>
          <m:r>
            <w:rPr>
              <w:rFonts w:ascii="Cambria Math" w:eastAsia="Calibri" w:hAnsi="Cambria Math" w:cs="Calibri"/>
              <w:sz w:val="22"/>
            </w:rPr>
            <m:t xml:space="preserve"> =1 if the plot ratio of project is higher than 1.5, 0 otherwise</m:t>
          </m:r>
        </m:oMath>
      </m:oMathPara>
    </w:p>
    <w:p w:rsidR="006D5778" w:rsidRPr="00803973" w:rsidRDefault="00CD6B02" w:rsidP="0029555A">
      <w:pPr>
        <w:spacing w:after="120" w:line="276" w:lineRule="auto"/>
        <w:jc w:val="left"/>
        <w:rPr>
          <w:rFonts w:ascii="Palatino Linotype" w:eastAsia="Calibri" w:hAnsi="Palatino Linotype" w:cs="Calibri"/>
          <w:sz w:val="22"/>
        </w:rPr>
      </w:pPr>
      <m:oMathPara>
        <m:oMathParaPr>
          <m:jc m:val="left"/>
        </m:oMathParaPr>
        <m:oMath>
          <m:sSub>
            <m:sSubPr>
              <m:ctrlPr>
                <w:rPr>
                  <w:rFonts w:ascii="Cambria Math" w:eastAsia="SimSun" w:hAnsi="Cambria Math" w:cs="Calibri"/>
                  <w:i/>
                  <w:sz w:val="22"/>
                </w:rPr>
              </m:ctrlPr>
            </m:sSubPr>
            <m:e>
              <m:r>
                <w:rPr>
                  <w:rFonts w:ascii="Cambria Math" w:eastAsia="SimSun" w:hAnsi="Cambria Math" w:cs="Calibri"/>
                  <w:sz w:val="22"/>
                </w:rPr>
                <m:t>β</m:t>
              </m:r>
            </m:e>
            <m:sub>
              <m:r>
                <w:rPr>
                  <w:rFonts w:ascii="Cambria Math" w:eastAsia="SimSun" w:hAnsi="Cambria Math" w:cs="Calibri"/>
                  <w:sz w:val="22"/>
                </w:rPr>
                <m:t>10</m:t>
              </m:r>
            </m:sub>
          </m:sSub>
          <m:r>
            <m:rPr>
              <m:sty m:val="p"/>
            </m:rPr>
            <w:rPr>
              <w:rFonts w:ascii="Cambria Math" w:hAnsi="Cambria Math" w:cs="Calibri"/>
              <w:kern w:val="0"/>
              <w:sz w:val="22"/>
            </w:rPr>
            <m:t>=</m:t>
          </m:r>
          <m:r>
            <w:rPr>
              <w:rFonts w:ascii="Cambria Math" w:hAnsi="Cambria Math" w:cs="Cambria Math"/>
              <w:color w:val="000000"/>
              <w:sz w:val="22"/>
            </w:rPr>
            <m:t>the</m:t>
          </m:r>
          <m:r>
            <w:rPr>
              <w:rFonts w:ascii="Cambria Math" w:hAnsi="Cambria Math" w:cs="Times New Roman"/>
              <w:color w:val="000000"/>
              <w:sz w:val="22"/>
            </w:rPr>
            <m:t xml:space="preserve"> </m:t>
          </m:r>
          <m:r>
            <w:rPr>
              <w:rFonts w:ascii="Cambria Math" w:hAnsi="Cambria Math" w:cs="Cambria Math"/>
              <w:color w:val="000000"/>
              <w:sz w:val="22"/>
            </w:rPr>
            <m:t>mean</m:t>
          </m:r>
          <m:r>
            <w:rPr>
              <w:rFonts w:ascii="Cambria Math" w:hAnsi="Cambria Math" w:cs="Times New Roman"/>
              <w:color w:val="000000"/>
              <w:sz w:val="22"/>
            </w:rPr>
            <m:t xml:space="preserve"> </m:t>
          </m:r>
          <m:r>
            <w:rPr>
              <w:rFonts w:ascii="Cambria Math" w:hAnsi="Cambria Math" w:cs="Cambria Math"/>
              <w:color w:val="000000"/>
              <w:sz w:val="22"/>
            </w:rPr>
            <m:t>supply</m:t>
          </m:r>
          <m:r>
            <w:rPr>
              <w:rFonts w:ascii="Cambria Math" w:hAnsi="Cambria Math" w:cs="Times New Roman"/>
              <w:color w:val="000000"/>
              <w:sz w:val="22"/>
            </w:rPr>
            <m:t xml:space="preserve"> </m:t>
          </m:r>
          <m:r>
            <w:rPr>
              <w:rFonts w:ascii="Cambria Math" w:hAnsi="Cambria Math" w:cs="Cambria Math"/>
              <w:color w:val="000000"/>
              <w:sz w:val="22"/>
            </w:rPr>
            <m:t>quantity</m:t>
          </m:r>
          <m:r>
            <w:rPr>
              <w:rFonts w:ascii="Cambria Math" w:hAnsi="Cambria Math" w:cs="Times New Roman"/>
              <w:color w:val="000000"/>
              <w:sz w:val="22"/>
            </w:rPr>
            <m:t xml:space="preserve"> </m:t>
          </m:r>
          <m:r>
            <w:rPr>
              <w:rFonts w:ascii="Cambria Math" w:hAnsi="Cambria Math" w:cs="Cambria Math"/>
              <w:color w:val="000000"/>
              <w:sz w:val="22"/>
            </w:rPr>
            <m:t>of being single family house</m:t>
          </m:r>
          <m:r>
            <m:rPr>
              <m:sty m:val="p"/>
            </m:rPr>
            <w:rPr>
              <w:rFonts w:ascii="Cambria Math" w:hAnsi="Cambria Math" w:cs="Calibri"/>
              <w:kern w:val="0"/>
              <w:sz w:val="22"/>
            </w:rPr>
            <m:t xml:space="preserve"> </m:t>
          </m:r>
        </m:oMath>
      </m:oMathPara>
    </w:p>
    <w:p w:rsidR="006D5778" w:rsidRPr="00803973" w:rsidRDefault="00CD6B02" w:rsidP="0029555A">
      <w:pPr>
        <w:spacing w:after="120" w:line="276" w:lineRule="auto"/>
        <w:jc w:val="left"/>
        <w:rPr>
          <w:rFonts w:ascii="Palatino Linotype" w:eastAsia="Calibri" w:hAnsi="Palatino Linotype" w:cs="Calibri"/>
          <w:sz w:val="22"/>
        </w:rPr>
      </w:pPr>
      <m:oMathPara>
        <m:oMathParaPr>
          <m:jc m:val="left"/>
        </m:oMathParaPr>
        <m:oMath>
          <m:sSub>
            <m:sSubPr>
              <m:ctrlPr>
                <w:rPr>
                  <w:rFonts w:ascii="Cambria Math" w:eastAsia="SimSun" w:hAnsi="Cambria Math" w:cs="Calibri"/>
                  <w:i/>
                  <w:sz w:val="22"/>
                </w:rPr>
              </m:ctrlPr>
            </m:sSubPr>
            <m:e>
              <m:r>
                <w:rPr>
                  <w:rFonts w:ascii="Cambria Math" w:eastAsia="SimSun" w:hAnsi="Cambria Math" w:cs="Calibri"/>
                  <w:sz w:val="22"/>
                </w:rPr>
                <m:t>β</m:t>
              </m:r>
            </m:e>
            <m:sub>
              <m:r>
                <w:rPr>
                  <w:rFonts w:ascii="Cambria Math" w:eastAsia="SimSun" w:hAnsi="Cambria Math" w:cs="Calibri"/>
                  <w:sz w:val="22"/>
                </w:rPr>
                <m:t>20</m:t>
              </m:r>
            </m:sub>
          </m:sSub>
          <m:r>
            <m:rPr>
              <m:sty m:val="p"/>
            </m:rPr>
            <w:rPr>
              <w:rFonts w:ascii="Cambria Math" w:hAnsi="Cambria Math" w:cs="Calibri"/>
              <w:kern w:val="0"/>
              <w:sz w:val="22"/>
            </w:rPr>
            <m:t>=</m:t>
          </m:r>
          <m:r>
            <w:rPr>
              <w:rFonts w:ascii="Cambria Math" w:hAnsi="Cambria Math" w:cs="Cambria Math"/>
              <w:color w:val="000000"/>
              <w:sz w:val="22"/>
            </w:rPr>
            <m:t>the</m:t>
          </m:r>
          <m:r>
            <w:rPr>
              <w:rFonts w:ascii="Cambria Math" w:hAnsi="Cambria Math" w:cs="Times New Roman"/>
              <w:color w:val="000000"/>
              <w:sz w:val="22"/>
            </w:rPr>
            <m:t xml:space="preserve"> </m:t>
          </m:r>
          <m:r>
            <w:rPr>
              <w:rFonts w:ascii="Cambria Math" w:hAnsi="Cambria Math" w:cs="Cambria Math"/>
              <w:color w:val="000000"/>
              <w:sz w:val="22"/>
            </w:rPr>
            <m:t>mean</m:t>
          </m:r>
          <m:r>
            <w:rPr>
              <w:rFonts w:ascii="Cambria Math" w:hAnsi="Cambria Math" w:cs="Times New Roman"/>
              <w:color w:val="000000"/>
              <w:sz w:val="22"/>
            </w:rPr>
            <m:t xml:space="preserve"> </m:t>
          </m:r>
          <m:r>
            <w:rPr>
              <w:rFonts w:ascii="Cambria Math" w:hAnsi="Cambria Math" w:cs="Cambria Math"/>
              <w:color w:val="000000"/>
              <w:sz w:val="22"/>
            </w:rPr>
            <m:t>supply</m:t>
          </m:r>
          <m:r>
            <w:rPr>
              <w:rFonts w:ascii="Cambria Math" w:hAnsi="Cambria Math" w:cs="Times New Roman"/>
              <w:color w:val="000000"/>
              <w:sz w:val="22"/>
            </w:rPr>
            <m:t xml:space="preserve"> </m:t>
          </m:r>
          <m:r>
            <w:rPr>
              <w:rFonts w:ascii="Cambria Math" w:hAnsi="Cambria Math" w:cs="Cambria Math"/>
              <w:color w:val="000000"/>
              <w:sz w:val="22"/>
            </w:rPr>
            <m:t>time</m:t>
          </m:r>
          <m:r>
            <w:rPr>
              <w:rFonts w:ascii="Cambria Math" w:hAnsi="Cambria Math" w:cs="Times New Roman"/>
              <w:color w:val="000000"/>
              <w:sz w:val="22"/>
            </w:rPr>
            <m:t xml:space="preserve"> </m:t>
          </m:r>
          <m:r>
            <w:rPr>
              <w:rFonts w:ascii="Cambria Math" w:hAnsi="Cambria Math" w:cs="Cambria Math"/>
              <w:color w:val="000000"/>
              <w:sz w:val="22"/>
            </w:rPr>
            <m:t>of being single family house</m:t>
          </m:r>
        </m:oMath>
      </m:oMathPara>
    </w:p>
    <w:p w:rsidR="00025BD8" w:rsidRPr="00803973" w:rsidRDefault="00CD6B02" w:rsidP="00025BD8">
      <w:pPr>
        <w:spacing w:after="120" w:line="276" w:lineRule="auto"/>
        <w:jc w:val="left"/>
        <w:rPr>
          <w:rFonts w:ascii="Palatino Linotype" w:eastAsia="Calibri" w:hAnsi="Palatino Linotype" w:cs="Calibri"/>
          <w:sz w:val="22"/>
          <w:lang w:val="en-GB"/>
        </w:rPr>
      </w:pPr>
      <m:oMathPara>
        <m:oMathParaPr>
          <m:jc m:val="left"/>
        </m:oMathParaPr>
        <m:oMath>
          <m:sSub>
            <m:sSubPr>
              <m:ctrlPr>
                <w:rPr>
                  <w:rFonts w:ascii="Cambria Math" w:eastAsia="SimSun" w:hAnsi="Cambria Math" w:cs="Calibri"/>
                  <w:i/>
                  <w:sz w:val="22"/>
                </w:rPr>
              </m:ctrlPr>
            </m:sSubPr>
            <m:e>
              <m:r>
                <w:rPr>
                  <w:rFonts w:ascii="Cambria Math" w:eastAsia="SimSun" w:hAnsi="Cambria Math" w:cs="Calibri"/>
                  <w:sz w:val="22"/>
                </w:rPr>
                <m:t>β</m:t>
              </m:r>
            </m:e>
            <m:sub>
              <m:r>
                <w:rPr>
                  <w:rFonts w:ascii="Cambria Math" w:eastAsia="SimSun" w:hAnsi="Cambria Math" w:cs="Calibri"/>
                  <w:sz w:val="22"/>
                </w:rPr>
                <m:t>11</m:t>
              </m:r>
            </m:sub>
          </m:sSub>
          <m:r>
            <m:rPr>
              <m:sty m:val="p"/>
            </m:rPr>
            <w:rPr>
              <w:rFonts w:ascii="Cambria Math" w:hAnsi="Cambria Math" w:cs="Calibri"/>
              <w:kern w:val="0"/>
              <w:sz w:val="22"/>
            </w:rPr>
            <m:t xml:space="preserve"> =</m:t>
          </m:r>
          <m:r>
            <w:rPr>
              <w:rFonts w:ascii="Cambria Math" w:hAnsi="Cambria Math" w:cs="Calibri"/>
              <w:kern w:val="0"/>
              <w:sz w:val="22"/>
            </w:rPr>
            <m:t xml:space="preserve">the </m:t>
          </m:r>
          <m:r>
            <w:rPr>
              <w:rFonts w:ascii="Cambria Math" w:hAnsi="Cambria Math" w:cs="Cambria Math"/>
              <w:color w:val="000000"/>
              <w:sz w:val="22"/>
            </w:rPr>
            <m:t>differential quantity effect of being lowrise apartment block</m:t>
          </m:r>
        </m:oMath>
      </m:oMathPara>
    </w:p>
    <w:p w:rsidR="003C252F" w:rsidRPr="00803973" w:rsidRDefault="00CD6B02" w:rsidP="003C252F">
      <w:pPr>
        <w:spacing w:after="120" w:line="276" w:lineRule="auto"/>
        <w:jc w:val="left"/>
        <w:rPr>
          <w:rFonts w:ascii="Palatino Linotype" w:eastAsia="Calibri" w:hAnsi="Palatino Linotype" w:cs="Calibri"/>
          <w:sz w:val="22"/>
          <w:lang w:val="en-GB"/>
        </w:rPr>
      </w:pPr>
      <m:oMathPara>
        <m:oMathParaPr>
          <m:jc m:val="left"/>
        </m:oMathParaPr>
        <m:oMath>
          <m:sSub>
            <m:sSubPr>
              <m:ctrlPr>
                <w:rPr>
                  <w:rFonts w:ascii="Cambria Math" w:eastAsia="SimSun" w:hAnsi="Cambria Math" w:cs="Calibri"/>
                  <w:i/>
                  <w:sz w:val="22"/>
                </w:rPr>
              </m:ctrlPr>
            </m:sSubPr>
            <m:e>
              <m:r>
                <w:rPr>
                  <w:rFonts w:ascii="Cambria Math" w:eastAsia="SimSun" w:hAnsi="Cambria Math" w:cs="Calibri"/>
                  <w:sz w:val="22"/>
                </w:rPr>
                <m:t>β</m:t>
              </m:r>
            </m:e>
            <m:sub>
              <m:r>
                <w:rPr>
                  <w:rFonts w:ascii="Cambria Math" w:eastAsia="SimSun" w:hAnsi="Cambria Math" w:cs="Calibri"/>
                  <w:sz w:val="22"/>
                </w:rPr>
                <m:t>21</m:t>
              </m:r>
            </m:sub>
          </m:sSub>
          <m:r>
            <m:rPr>
              <m:sty m:val="p"/>
            </m:rPr>
            <w:rPr>
              <w:rFonts w:ascii="Cambria Math" w:hAnsi="Cambria Math" w:cs="Calibri"/>
              <w:kern w:val="0"/>
              <w:sz w:val="22"/>
            </w:rPr>
            <m:t xml:space="preserve"> =</m:t>
          </m:r>
          <m:r>
            <w:rPr>
              <w:rFonts w:ascii="Cambria Math" w:hAnsi="Cambria Math" w:cs="Calibri"/>
              <w:kern w:val="0"/>
              <w:sz w:val="22"/>
            </w:rPr>
            <m:t xml:space="preserve">the </m:t>
          </m:r>
          <m:r>
            <w:rPr>
              <w:rFonts w:ascii="Cambria Math" w:hAnsi="Cambria Math" w:cs="Cambria Math"/>
              <w:color w:val="000000"/>
              <w:sz w:val="22"/>
            </w:rPr>
            <m:t>differential time effect of being lowrise apartment block</m:t>
          </m:r>
        </m:oMath>
      </m:oMathPara>
    </w:p>
    <w:p w:rsidR="003C252F" w:rsidRPr="00803973" w:rsidRDefault="00CD6B02" w:rsidP="003C252F">
      <w:pPr>
        <w:spacing w:after="120" w:line="276" w:lineRule="auto"/>
        <w:jc w:val="left"/>
        <w:rPr>
          <w:rFonts w:ascii="Palatino Linotype" w:eastAsia="Calibri" w:hAnsi="Palatino Linotype" w:cs="Calibri"/>
          <w:sz w:val="22"/>
          <w:lang w:val="en-GB"/>
        </w:rPr>
      </w:pPr>
      <m:oMathPara>
        <m:oMathParaPr>
          <m:jc m:val="left"/>
        </m:oMathParaPr>
        <m:oMath>
          <m:sSub>
            <m:sSubPr>
              <m:ctrlPr>
                <w:rPr>
                  <w:rFonts w:ascii="Cambria Math" w:eastAsia="SimSun" w:hAnsi="Cambria Math" w:cs="Calibri"/>
                  <w:i/>
                  <w:sz w:val="22"/>
                </w:rPr>
              </m:ctrlPr>
            </m:sSubPr>
            <m:e>
              <m:r>
                <w:rPr>
                  <w:rFonts w:ascii="Cambria Math" w:eastAsia="SimSun" w:hAnsi="Cambria Math" w:cs="Calibri"/>
                  <w:sz w:val="22"/>
                </w:rPr>
                <m:t>β</m:t>
              </m:r>
            </m:e>
            <m:sub>
              <m:r>
                <w:rPr>
                  <w:rFonts w:ascii="Cambria Math" w:eastAsia="SimSun" w:hAnsi="Cambria Math" w:cs="Calibri"/>
                  <w:sz w:val="22"/>
                </w:rPr>
                <m:t>12</m:t>
              </m:r>
            </m:sub>
          </m:sSub>
          <m:r>
            <m:rPr>
              <m:sty m:val="p"/>
            </m:rPr>
            <w:rPr>
              <w:rFonts w:ascii="Cambria Math" w:hAnsi="Cambria Math" w:cs="Calibri"/>
              <w:kern w:val="0"/>
              <w:sz w:val="22"/>
            </w:rPr>
            <m:t xml:space="preserve"> =</m:t>
          </m:r>
          <m:r>
            <w:rPr>
              <w:rFonts w:ascii="Cambria Math" w:hAnsi="Cambria Math" w:cs="Calibri"/>
              <w:kern w:val="0"/>
              <w:sz w:val="22"/>
            </w:rPr>
            <m:t xml:space="preserve">the </m:t>
          </m:r>
          <m:r>
            <w:rPr>
              <w:rFonts w:ascii="Cambria Math" w:hAnsi="Cambria Math" w:cs="Cambria Math"/>
              <w:color w:val="000000"/>
              <w:sz w:val="22"/>
            </w:rPr>
            <m:t>differential quantity effect of being highrise apartment block</m:t>
          </m:r>
        </m:oMath>
      </m:oMathPara>
    </w:p>
    <w:p w:rsidR="003C252F" w:rsidRPr="00803973" w:rsidRDefault="00CD6B02" w:rsidP="003C252F">
      <w:pPr>
        <w:spacing w:after="120" w:line="276" w:lineRule="auto"/>
        <w:jc w:val="left"/>
        <w:rPr>
          <w:rFonts w:ascii="Palatino Linotype" w:eastAsia="Calibri" w:hAnsi="Palatino Linotype" w:cs="Calibri"/>
          <w:sz w:val="22"/>
          <w:lang w:val="en-GB"/>
        </w:rPr>
      </w:pPr>
      <m:oMathPara>
        <m:oMathParaPr>
          <m:jc m:val="left"/>
        </m:oMathParaPr>
        <m:oMath>
          <m:sSub>
            <m:sSubPr>
              <m:ctrlPr>
                <w:rPr>
                  <w:rFonts w:ascii="Cambria Math" w:eastAsia="SimSun" w:hAnsi="Cambria Math" w:cs="Calibri"/>
                  <w:i/>
                  <w:sz w:val="22"/>
                </w:rPr>
              </m:ctrlPr>
            </m:sSubPr>
            <m:e>
              <m:r>
                <w:rPr>
                  <w:rFonts w:ascii="Cambria Math" w:eastAsia="SimSun" w:hAnsi="Cambria Math" w:cs="Calibri"/>
                  <w:sz w:val="22"/>
                </w:rPr>
                <m:t>β</m:t>
              </m:r>
            </m:e>
            <m:sub>
              <m:r>
                <w:rPr>
                  <w:rFonts w:ascii="Cambria Math" w:eastAsia="SimSun" w:hAnsi="Cambria Math" w:cs="Calibri"/>
                  <w:sz w:val="22"/>
                </w:rPr>
                <m:t>22</m:t>
              </m:r>
            </m:sub>
          </m:sSub>
          <m:r>
            <m:rPr>
              <m:sty m:val="p"/>
            </m:rPr>
            <w:rPr>
              <w:rFonts w:ascii="Cambria Math" w:hAnsi="Cambria Math" w:cs="Calibri"/>
              <w:kern w:val="0"/>
              <w:sz w:val="22"/>
            </w:rPr>
            <m:t xml:space="preserve"> =</m:t>
          </m:r>
          <m:r>
            <w:rPr>
              <w:rFonts w:ascii="Cambria Math" w:hAnsi="Cambria Math" w:cs="Calibri"/>
              <w:kern w:val="0"/>
              <w:sz w:val="22"/>
            </w:rPr>
            <m:t xml:space="preserve">the </m:t>
          </m:r>
          <m:r>
            <w:rPr>
              <w:rFonts w:ascii="Cambria Math" w:hAnsi="Cambria Math" w:cs="Cambria Math"/>
              <w:color w:val="000000"/>
              <w:sz w:val="22"/>
            </w:rPr>
            <m:t>differential time effect of being highrise apartment block</m:t>
          </m:r>
        </m:oMath>
      </m:oMathPara>
    </w:p>
    <w:p w:rsidR="00FC5A9D" w:rsidRPr="00803973" w:rsidRDefault="00FC5A9D" w:rsidP="001833C1">
      <w:pPr>
        <w:spacing w:after="120" w:line="276" w:lineRule="auto"/>
        <w:ind w:firstLine="567"/>
        <w:jc w:val="left"/>
        <w:rPr>
          <w:rFonts w:ascii="Palatino Linotype" w:hAnsi="Palatino Linotype" w:cs="Calibri"/>
          <w:sz w:val="22"/>
          <w:lang w:val="en-GB"/>
        </w:rPr>
      </w:pPr>
      <w:r w:rsidRPr="00803973">
        <w:rPr>
          <w:rFonts w:ascii="Palatino Linotype" w:hAnsi="Palatino Linotype" w:cs="Calibri"/>
          <w:sz w:val="22"/>
          <w:lang w:val="en-GB"/>
        </w:rPr>
        <w:t xml:space="preserve">Table </w:t>
      </w:r>
      <w:r w:rsidR="00BB2C43" w:rsidRPr="00803973">
        <w:rPr>
          <w:rFonts w:ascii="Palatino Linotype" w:hAnsi="Palatino Linotype" w:cs="Calibri"/>
          <w:sz w:val="22"/>
          <w:lang w:val="en-GB"/>
        </w:rPr>
        <w:t>2</w:t>
      </w:r>
      <w:r w:rsidRPr="00803973">
        <w:rPr>
          <w:rFonts w:ascii="Palatino Linotype" w:hAnsi="Palatino Linotype" w:cs="Calibri"/>
          <w:sz w:val="22"/>
          <w:lang w:val="en-GB"/>
        </w:rPr>
        <w:t xml:space="preserve"> exhibits the differential supply eff</w:t>
      </w:r>
      <w:r w:rsidR="009E64DC" w:rsidRPr="00803973">
        <w:rPr>
          <w:rFonts w:ascii="Palatino Linotype" w:hAnsi="Palatino Linotype" w:cs="Calibri"/>
          <w:sz w:val="22"/>
          <w:lang w:val="en-GB"/>
        </w:rPr>
        <w:t>ects of three housing types. Of</w:t>
      </w:r>
      <w:r w:rsidRPr="00803973">
        <w:rPr>
          <w:rFonts w:ascii="Palatino Linotype" w:hAnsi="Palatino Linotype" w:cs="Calibri"/>
          <w:sz w:val="22"/>
          <w:lang w:val="en-GB"/>
        </w:rPr>
        <w:t xml:space="preserve"> the </w:t>
      </w:r>
      <w:r w:rsidR="009E64DC" w:rsidRPr="00803973">
        <w:rPr>
          <w:rFonts w:ascii="Palatino Linotype" w:hAnsi="Palatino Linotype" w:cs="Calibri"/>
          <w:sz w:val="22"/>
          <w:lang w:val="en-GB"/>
        </w:rPr>
        <w:t xml:space="preserve">six </w:t>
      </w:r>
      <w:r w:rsidRPr="00803973">
        <w:rPr>
          <w:rFonts w:ascii="Palatino Linotype" w:hAnsi="Palatino Linotype" w:cs="Calibri"/>
          <w:sz w:val="22"/>
          <w:lang w:val="en-GB"/>
        </w:rPr>
        <w:t>intercepts and coefficients</w:t>
      </w:r>
      <w:r w:rsidR="00C2266E" w:rsidRPr="00803973">
        <w:rPr>
          <w:rFonts w:ascii="Palatino Linotype" w:hAnsi="Palatino Linotype" w:cs="Calibri"/>
          <w:sz w:val="22"/>
          <w:lang w:val="en-GB"/>
        </w:rPr>
        <w:t>, four</w:t>
      </w:r>
      <w:r w:rsidRPr="00803973">
        <w:rPr>
          <w:rFonts w:ascii="Palatino Linotype" w:hAnsi="Palatino Linotype" w:cs="Calibri"/>
          <w:sz w:val="22"/>
          <w:lang w:val="en-GB"/>
        </w:rPr>
        <w:t xml:space="preserve"> are significant at 1% level</w:t>
      </w:r>
      <w:r w:rsidR="00C2266E" w:rsidRPr="00803973">
        <w:rPr>
          <w:rFonts w:ascii="Palatino Linotype" w:hAnsi="Palatino Linotype" w:cs="Calibri"/>
          <w:sz w:val="22"/>
          <w:lang w:val="en-GB"/>
        </w:rPr>
        <w:t xml:space="preserve"> and one coefficient (</w:t>
      </w:r>
      <w:r w:rsidRPr="00803973">
        <w:rPr>
          <w:rFonts w:ascii="Palatino Linotype" w:hAnsi="Palatino Linotype" w:cs="Calibri"/>
          <w:sz w:val="22"/>
          <w:lang w:val="en-GB"/>
        </w:rPr>
        <w:t>D</w:t>
      </w:r>
      <w:r w:rsidR="00C2266E" w:rsidRPr="00803973">
        <w:rPr>
          <w:rFonts w:ascii="Palatino Linotype" w:hAnsi="Palatino Linotype" w:cs="Calibri"/>
          <w:sz w:val="22"/>
          <w:vertAlign w:val="subscript"/>
          <w:lang w:val="en-GB"/>
        </w:rPr>
        <w:t>L</w:t>
      </w:r>
      <w:r w:rsidR="00C2266E" w:rsidRPr="00803973">
        <w:rPr>
          <w:rFonts w:ascii="Palatino Linotype" w:hAnsi="Palatino Linotype" w:cs="Calibri"/>
          <w:sz w:val="22"/>
          <w:lang w:val="en-GB"/>
        </w:rPr>
        <w:t>) for supply time is significant at 5</w:t>
      </w:r>
      <w:r w:rsidRPr="00803973">
        <w:rPr>
          <w:rFonts w:ascii="Palatino Linotype" w:hAnsi="Palatino Linotype" w:cs="Calibri"/>
          <w:sz w:val="22"/>
          <w:lang w:val="en-GB"/>
        </w:rPr>
        <w:t>% level</w:t>
      </w:r>
      <w:r w:rsidR="00C2266E" w:rsidRPr="00803973">
        <w:rPr>
          <w:rFonts w:ascii="Palatino Linotype" w:hAnsi="Palatino Linotype" w:cs="Calibri"/>
          <w:sz w:val="22"/>
          <w:lang w:val="en-GB"/>
        </w:rPr>
        <w:t xml:space="preserve"> and one</w:t>
      </w:r>
      <w:r w:rsidR="002364DE" w:rsidRPr="00803973">
        <w:rPr>
          <w:rFonts w:ascii="Palatino Linotype" w:hAnsi="Palatino Linotype" w:cs="Calibri"/>
          <w:sz w:val="22"/>
          <w:lang w:val="en-GB"/>
        </w:rPr>
        <w:t xml:space="preserve"> (D</w:t>
      </w:r>
      <w:r w:rsidR="002364DE" w:rsidRPr="00803973">
        <w:rPr>
          <w:rFonts w:ascii="Palatino Linotype" w:hAnsi="Palatino Linotype" w:cs="Calibri"/>
          <w:sz w:val="22"/>
          <w:vertAlign w:val="subscript"/>
          <w:lang w:val="en-GB"/>
        </w:rPr>
        <w:t>H</w:t>
      </w:r>
      <w:r w:rsidR="002364DE" w:rsidRPr="00803973">
        <w:rPr>
          <w:rFonts w:ascii="Palatino Linotype" w:hAnsi="Palatino Linotype" w:cs="Calibri"/>
          <w:sz w:val="22"/>
          <w:lang w:val="en-GB"/>
        </w:rPr>
        <w:t>)</w:t>
      </w:r>
      <w:r w:rsidR="00C2266E" w:rsidRPr="00803973">
        <w:rPr>
          <w:rFonts w:ascii="Palatino Linotype" w:hAnsi="Palatino Linotype" w:cs="Calibri"/>
          <w:sz w:val="22"/>
          <w:lang w:val="en-GB"/>
        </w:rPr>
        <w:t xml:space="preserve"> </w:t>
      </w:r>
      <w:r w:rsidR="004B0D2F" w:rsidRPr="00803973">
        <w:rPr>
          <w:rFonts w:ascii="Palatino Linotype" w:hAnsi="Palatino Linotype" w:cs="Calibri"/>
          <w:sz w:val="22"/>
          <w:lang w:val="en-GB"/>
        </w:rPr>
        <w:t xml:space="preserve">for supply time </w:t>
      </w:r>
      <w:r w:rsidR="00C2266E" w:rsidRPr="00803973">
        <w:rPr>
          <w:rFonts w:ascii="Palatino Linotype" w:hAnsi="Palatino Linotype" w:cs="Calibri"/>
          <w:sz w:val="22"/>
          <w:lang w:val="en-GB"/>
        </w:rPr>
        <w:t>is not significant</w:t>
      </w:r>
      <w:r w:rsidRPr="00803973">
        <w:rPr>
          <w:rFonts w:ascii="Palatino Linotype" w:hAnsi="Palatino Linotype" w:cs="Calibri"/>
          <w:sz w:val="22"/>
          <w:lang w:val="en-GB"/>
        </w:rPr>
        <w:t xml:space="preserve">. </w:t>
      </w:r>
      <w:r w:rsidR="00C2266E" w:rsidRPr="00803973">
        <w:rPr>
          <w:rFonts w:ascii="Palatino Linotype" w:hAnsi="Palatino Linotype" w:cs="Calibri"/>
          <w:sz w:val="22"/>
          <w:lang w:val="en-GB"/>
        </w:rPr>
        <w:t>T</w:t>
      </w:r>
      <w:r w:rsidR="006015C4" w:rsidRPr="00803973">
        <w:rPr>
          <w:rFonts w:ascii="Palatino Linotype" w:hAnsi="Palatino Linotype" w:cs="Calibri"/>
          <w:sz w:val="22"/>
          <w:lang w:val="en-GB"/>
        </w:rPr>
        <w:t>he R-squared</w:t>
      </w:r>
      <w:r w:rsidR="00C2266E" w:rsidRPr="00803973">
        <w:rPr>
          <w:rFonts w:ascii="Palatino Linotype" w:hAnsi="Palatino Linotype" w:cs="Calibri"/>
          <w:sz w:val="22"/>
          <w:lang w:val="en-GB"/>
        </w:rPr>
        <w:t xml:space="preserve"> and Adjusted R-squared of </w:t>
      </w:r>
      <w:r w:rsidR="006015C4" w:rsidRPr="00803973">
        <w:rPr>
          <w:rFonts w:ascii="Palatino Linotype" w:hAnsi="Palatino Linotype" w:cs="Calibri"/>
          <w:sz w:val="22"/>
          <w:lang w:val="en-GB"/>
        </w:rPr>
        <w:t xml:space="preserve">two regressions are pretty low. </w:t>
      </w:r>
      <w:r w:rsidR="00210EF4" w:rsidRPr="00803973">
        <w:rPr>
          <w:rFonts w:ascii="Palatino Linotype" w:hAnsi="Palatino Linotype" w:cs="Calibri"/>
          <w:sz w:val="22"/>
          <w:lang w:val="en-GB"/>
        </w:rPr>
        <w:t xml:space="preserve">As it is </w:t>
      </w:r>
      <w:r w:rsidR="00210EF4" w:rsidRPr="00803973">
        <w:rPr>
          <w:rFonts w:ascii="Palatino Linotype" w:hAnsi="Palatino Linotype" w:cs="Calibri"/>
          <w:sz w:val="22"/>
          <w:lang w:val="en-GB"/>
        </w:rPr>
        <w:lastRenderedPageBreak/>
        <w:t>explained above</w:t>
      </w:r>
      <w:r w:rsidRPr="00803973">
        <w:rPr>
          <w:rFonts w:ascii="Palatino Linotype" w:hAnsi="Palatino Linotype" w:cs="Calibri"/>
          <w:sz w:val="22"/>
          <w:lang w:val="en-GB"/>
        </w:rPr>
        <w:t xml:space="preserve">, </w:t>
      </w:r>
      <w:r w:rsidR="00210EF4" w:rsidRPr="00803973">
        <w:rPr>
          <w:rFonts w:ascii="Palatino Linotype" w:hAnsi="Palatino Linotype" w:cs="Calibri"/>
          <w:sz w:val="22"/>
          <w:lang w:val="en-GB"/>
        </w:rPr>
        <w:t>the</w:t>
      </w:r>
      <w:r w:rsidR="00176D97" w:rsidRPr="00803973">
        <w:rPr>
          <w:rFonts w:ascii="Palatino Linotype" w:hAnsi="Palatino Linotype" w:cs="Calibri"/>
          <w:sz w:val="22"/>
          <w:lang w:val="en-GB"/>
        </w:rPr>
        <w:t xml:space="preserve"> two</w:t>
      </w:r>
      <w:r w:rsidR="00210EF4" w:rsidRPr="00803973">
        <w:rPr>
          <w:rFonts w:ascii="Palatino Linotype" w:hAnsi="Palatino Linotype" w:cs="Calibri"/>
          <w:sz w:val="22"/>
          <w:lang w:val="en-GB"/>
        </w:rPr>
        <w:t xml:space="preserve"> </w:t>
      </w:r>
      <w:r w:rsidRPr="00803973">
        <w:rPr>
          <w:rFonts w:ascii="Palatino Linotype" w:hAnsi="Palatino Linotype" w:cs="Calibri"/>
          <w:sz w:val="22"/>
          <w:lang w:val="en-GB"/>
        </w:rPr>
        <w:t>intercept</w:t>
      </w:r>
      <w:r w:rsidR="00176D97" w:rsidRPr="00803973">
        <w:rPr>
          <w:rFonts w:ascii="Palatino Linotype" w:hAnsi="Palatino Linotype" w:cs="Calibri"/>
          <w:sz w:val="22"/>
          <w:lang w:val="en-GB"/>
        </w:rPr>
        <w:t xml:space="preserve">s in </w:t>
      </w:r>
      <w:r w:rsidR="00BE72D5" w:rsidRPr="00803973">
        <w:rPr>
          <w:rFonts w:ascii="Palatino Linotype" w:hAnsi="Palatino Linotype" w:cs="Calibri"/>
          <w:sz w:val="22"/>
          <w:lang w:val="en-GB"/>
        </w:rPr>
        <w:t>Equation 2a and Equation 2b</w:t>
      </w:r>
      <w:r w:rsidRPr="00803973">
        <w:rPr>
          <w:rFonts w:ascii="Palatino Linotype" w:hAnsi="Palatino Linotype" w:cs="Calibri"/>
          <w:sz w:val="22"/>
          <w:lang w:val="en-GB"/>
        </w:rPr>
        <w:t xml:space="preserve"> represent the benchmark category </w:t>
      </w:r>
      <w:r w:rsidR="00176D97" w:rsidRPr="00803973">
        <w:rPr>
          <w:rFonts w:ascii="Palatino Linotype" w:hAnsi="Palatino Linotype" w:cs="Calibri"/>
          <w:sz w:val="22"/>
          <w:lang w:val="en-GB"/>
        </w:rPr>
        <w:t>of</w:t>
      </w:r>
      <w:r w:rsidRPr="00803973">
        <w:rPr>
          <w:rFonts w:ascii="Palatino Linotype" w:hAnsi="Palatino Linotype" w:cs="Calibri"/>
          <w:sz w:val="22"/>
          <w:lang w:val="en-GB"/>
        </w:rPr>
        <w:t xml:space="preserve"> single-family house. </w:t>
      </w:r>
      <w:bookmarkStart w:id="2" w:name="t2"/>
      <w:bookmarkEnd w:id="2"/>
      <w:r w:rsidRPr="00803973">
        <w:rPr>
          <w:rFonts w:ascii="Palatino Linotype" w:hAnsi="Palatino Linotype" w:cs="Calibri"/>
          <w:sz w:val="22"/>
          <w:lang w:val="en-GB"/>
        </w:rPr>
        <w:t xml:space="preserve">In comparison with this base group, low-rise and high-rise apartment projects deliver more quantities in a shorter span of </w:t>
      </w:r>
      <w:r w:rsidR="001D4802" w:rsidRPr="00803973">
        <w:rPr>
          <w:rFonts w:ascii="Palatino Linotype" w:hAnsi="Palatino Linotype" w:cs="Calibri"/>
          <w:sz w:val="22"/>
          <w:lang w:val="en-GB"/>
        </w:rPr>
        <w:t xml:space="preserve">time. </w:t>
      </w:r>
    </w:p>
    <w:p w:rsidR="00FC5A9D" w:rsidRPr="00E95614" w:rsidRDefault="00FC5A9D" w:rsidP="00FC5A9D">
      <w:pPr>
        <w:spacing w:after="120" w:line="276" w:lineRule="auto"/>
        <w:ind w:firstLine="360"/>
        <w:jc w:val="center"/>
        <w:rPr>
          <w:rFonts w:ascii="Palatino Linotype" w:hAnsi="Palatino Linotype" w:cs="Calibri"/>
          <w:b/>
          <w:sz w:val="20"/>
          <w:szCs w:val="20"/>
          <w:lang w:val="en-GB"/>
        </w:rPr>
      </w:pPr>
      <w:r w:rsidRPr="00E95614">
        <w:rPr>
          <w:rFonts w:ascii="Palatino Linotype" w:eastAsia="Calibri" w:hAnsi="Palatino Linotype" w:cs="Calibri"/>
          <w:b/>
          <w:sz w:val="20"/>
          <w:szCs w:val="20"/>
        </w:rPr>
        <w:t xml:space="preserve">Table </w:t>
      </w:r>
      <w:r w:rsidR="00BB2C43" w:rsidRPr="00E95614">
        <w:rPr>
          <w:rFonts w:ascii="Palatino Linotype" w:hAnsi="Palatino Linotype" w:cs="Calibri"/>
          <w:b/>
          <w:sz w:val="20"/>
          <w:szCs w:val="20"/>
        </w:rPr>
        <w:t>2</w:t>
      </w:r>
      <w:r w:rsidRPr="00E95614">
        <w:rPr>
          <w:rFonts w:ascii="Palatino Linotype" w:eastAsia="Calibri" w:hAnsi="Palatino Linotype" w:cs="Calibri"/>
          <w:b/>
          <w:sz w:val="20"/>
          <w:szCs w:val="20"/>
        </w:rPr>
        <w:t xml:space="preserve"> </w:t>
      </w:r>
      <w:r w:rsidRPr="00E95614">
        <w:rPr>
          <w:rFonts w:ascii="Palatino Linotype" w:hAnsi="Palatino Linotype" w:cs="Calibri"/>
          <w:b/>
          <w:sz w:val="20"/>
          <w:szCs w:val="20"/>
        </w:rPr>
        <w:t>Differential effect of</w:t>
      </w:r>
      <w:r w:rsidR="001D4802" w:rsidRPr="00E95614">
        <w:rPr>
          <w:rFonts w:ascii="Palatino Linotype" w:eastAsia="Calibri" w:hAnsi="Palatino Linotype" w:cs="Calibri"/>
          <w:b/>
          <w:sz w:val="20"/>
          <w:szCs w:val="20"/>
        </w:rPr>
        <w:t xml:space="preserve"> </w:t>
      </w:r>
      <w:r w:rsidRPr="00E95614">
        <w:rPr>
          <w:rFonts w:ascii="Palatino Linotype" w:eastAsia="Calibri" w:hAnsi="Palatino Linotype" w:cs="Calibri"/>
          <w:b/>
          <w:sz w:val="20"/>
          <w:szCs w:val="20"/>
        </w:rPr>
        <w:t>housing</w:t>
      </w:r>
      <w:r w:rsidR="001D4802" w:rsidRPr="00E95614">
        <w:rPr>
          <w:rFonts w:ascii="Palatino Linotype" w:eastAsia="Calibri" w:hAnsi="Palatino Linotype" w:cs="Calibri"/>
          <w:b/>
          <w:sz w:val="20"/>
          <w:szCs w:val="20"/>
        </w:rPr>
        <w:t xml:space="preserve"> type</w:t>
      </w:r>
      <w:r w:rsidRPr="00E95614">
        <w:rPr>
          <w:rFonts w:ascii="Palatino Linotype" w:eastAsia="Calibri" w:hAnsi="Palatino Linotype" w:cs="Calibri"/>
          <w:b/>
          <w:sz w:val="20"/>
          <w:szCs w:val="20"/>
        </w:rPr>
        <w:t xml:space="preserve"> on housing supply </w:t>
      </w:r>
    </w:p>
    <w:tbl>
      <w:tblPr>
        <w:tblW w:w="8425" w:type="dxa"/>
        <w:tblInd w:w="97" w:type="dxa"/>
        <w:tblLook w:val="04A0" w:firstRow="1" w:lastRow="0" w:firstColumn="1" w:lastColumn="0" w:noHBand="0" w:noVBand="1"/>
      </w:tblPr>
      <w:tblGrid>
        <w:gridCol w:w="1396"/>
        <w:gridCol w:w="979"/>
        <w:gridCol w:w="470"/>
        <w:gridCol w:w="983"/>
        <w:gridCol w:w="355"/>
        <w:gridCol w:w="1527"/>
        <w:gridCol w:w="964"/>
        <w:gridCol w:w="478"/>
        <w:gridCol w:w="939"/>
        <w:gridCol w:w="334"/>
      </w:tblGrid>
      <w:tr w:rsidR="00FC5A9D" w:rsidRPr="00E95614" w:rsidTr="000222B8">
        <w:trPr>
          <w:trHeight w:val="280"/>
        </w:trPr>
        <w:tc>
          <w:tcPr>
            <w:tcW w:w="4183" w:type="dxa"/>
            <w:gridSpan w:val="5"/>
            <w:tcBorders>
              <w:top w:val="single" w:sz="8" w:space="0" w:color="auto"/>
              <w:left w:val="nil"/>
              <w:bottom w:val="nil"/>
              <w:right w:val="double" w:sz="6" w:space="0" w:color="000000"/>
            </w:tcBorders>
            <w:shd w:val="clear" w:color="auto" w:fill="auto"/>
            <w:noWrap/>
            <w:vAlign w:val="bottom"/>
            <w:hideMark/>
          </w:tcPr>
          <w:p w:rsidR="00FC5A9D" w:rsidRPr="00E95614" w:rsidRDefault="00FC5A9D" w:rsidP="000222B8">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 xml:space="preserve">Dependent Variable: </w:t>
            </w:r>
            <m:oMath>
              <m:sSubSup>
                <m:sSubSupPr>
                  <m:ctrlPr>
                    <w:rPr>
                      <w:rFonts w:ascii="Cambria Math" w:eastAsia="SimSun" w:hAnsi="Cambria Math" w:cstheme="minorHAnsi"/>
                      <w:b/>
                      <w:i/>
                      <w:color w:val="000000"/>
                      <w:kern w:val="0"/>
                      <w:sz w:val="20"/>
                      <w:szCs w:val="20"/>
                    </w:rPr>
                  </m:ctrlPr>
                </m:sSubSupPr>
                <m:e>
                  <m:r>
                    <m:rPr>
                      <m:sty m:val="bi"/>
                    </m:rPr>
                    <w:rPr>
                      <w:rFonts w:ascii="Cambria Math" w:eastAsia="SimSun" w:hAnsi="Cambria Math" w:cstheme="minorHAnsi"/>
                      <w:color w:val="000000"/>
                      <w:kern w:val="0"/>
                      <w:sz w:val="20"/>
                      <w:szCs w:val="20"/>
                    </w:rPr>
                    <m:t>Y</m:t>
                  </m:r>
                </m:e>
                <m:sub>
                  <m:r>
                    <m:rPr>
                      <m:sty m:val="bi"/>
                    </m:rPr>
                    <w:rPr>
                      <w:rFonts w:ascii="Cambria Math" w:eastAsia="SimSun" w:hAnsi="Cambria Math" w:cstheme="minorHAnsi"/>
                      <w:color w:val="000000"/>
                      <w:kern w:val="0"/>
                      <w:sz w:val="20"/>
                      <w:szCs w:val="20"/>
                    </w:rPr>
                    <m:t>1</m:t>
                  </m:r>
                </m:sub>
                <m:sup>
                  <m:r>
                    <m:rPr>
                      <m:sty m:val="bi"/>
                    </m:rPr>
                    <w:rPr>
                      <w:rFonts w:ascii="Cambria Math" w:eastAsia="SimSun" w:hAnsi="Cambria Math" w:cstheme="minorHAnsi"/>
                      <w:color w:val="000000"/>
                      <w:kern w:val="0"/>
                      <w:sz w:val="20"/>
                      <w:szCs w:val="20"/>
                    </w:rPr>
                    <m:t>β</m:t>
                  </m:r>
                </m:sup>
              </m:sSubSup>
            </m:oMath>
          </w:p>
        </w:tc>
        <w:tc>
          <w:tcPr>
            <w:tcW w:w="4242" w:type="dxa"/>
            <w:gridSpan w:val="5"/>
            <w:tcBorders>
              <w:top w:val="single" w:sz="8" w:space="0" w:color="auto"/>
              <w:left w:val="nil"/>
              <w:bottom w:val="nil"/>
              <w:right w:val="nil"/>
            </w:tcBorders>
            <w:shd w:val="clear" w:color="auto" w:fill="auto"/>
            <w:noWrap/>
            <w:vAlign w:val="bottom"/>
            <w:hideMark/>
          </w:tcPr>
          <w:p w:rsidR="00FC5A9D" w:rsidRPr="00E95614" w:rsidRDefault="00FC5A9D" w:rsidP="000222B8">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 xml:space="preserve">Dependent Variable: </w:t>
            </w:r>
            <m:oMath>
              <m:sSubSup>
                <m:sSubSupPr>
                  <m:ctrlPr>
                    <w:rPr>
                      <w:rFonts w:ascii="Cambria Math" w:eastAsia="SimSun" w:hAnsi="Cambria Math" w:cstheme="minorHAnsi"/>
                      <w:b/>
                      <w:i/>
                      <w:color w:val="000000"/>
                      <w:kern w:val="0"/>
                      <w:sz w:val="20"/>
                      <w:szCs w:val="20"/>
                    </w:rPr>
                  </m:ctrlPr>
                </m:sSubSupPr>
                <m:e>
                  <m:r>
                    <m:rPr>
                      <m:sty m:val="bi"/>
                    </m:rPr>
                    <w:rPr>
                      <w:rFonts w:ascii="Cambria Math" w:eastAsia="SimSun" w:hAnsi="Cambria Math" w:cstheme="minorHAnsi"/>
                      <w:color w:val="000000"/>
                      <w:kern w:val="0"/>
                      <w:sz w:val="20"/>
                      <w:szCs w:val="20"/>
                    </w:rPr>
                    <m:t>Y</m:t>
                  </m:r>
                </m:e>
                <m:sub>
                  <m:r>
                    <m:rPr>
                      <m:sty m:val="bi"/>
                    </m:rPr>
                    <w:rPr>
                      <w:rFonts w:ascii="Cambria Math" w:eastAsia="SimSun" w:hAnsi="Cambria Math" w:cstheme="minorHAnsi"/>
                      <w:color w:val="000000"/>
                      <w:kern w:val="0"/>
                      <w:sz w:val="20"/>
                      <w:szCs w:val="20"/>
                    </w:rPr>
                    <m:t>2</m:t>
                  </m:r>
                </m:sub>
                <m:sup>
                  <m:r>
                    <m:rPr>
                      <m:sty m:val="bi"/>
                    </m:rPr>
                    <w:rPr>
                      <w:rFonts w:ascii="Cambria Math" w:eastAsia="SimSun" w:hAnsi="Cambria Math" w:cstheme="minorHAnsi"/>
                      <w:color w:val="000000"/>
                      <w:kern w:val="0"/>
                      <w:sz w:val="20"/>
                      <w:szCs w:val="20"/>
                    </w:rPr>
                    <m:t>β</m:t>
                  </m:r>
                </m:sup>
              </m:sSubSup>
            </m:oMath>
          </w:p>
        </w:tc>
      </w:tr>
      <w:tr w:rsidR="00FC5A9D" w:rsidRPr="00E95614" w:rsidTr="000222B8">
        <w:trPr>
          <w:trHeight w:val="290"/>
        </w:trPr>
        <w:tc>
          <w:tcPr>
            <w:tcW w:w="4183" w:type="dxa"/>
            <w:gridSpan w:val="5"/>
            <w:tcBorders>
              <w:top w:val="nil"/>
              <w:left w:val="nil"/>
              <w:bottom w:val="single" w:sz="8" w:space="0" w:color="auto"/>
              <w:right w:val="double" w:sz="6" w:space="0" w:color="000000"/>
            </w:tcBorders>
            <w:shd w:val="clear" w:color="auto" w:fill="auto"/>
            <w:noWrap/>
            <w:vAlign w:val="bottom"/>
            <w:hideMark/>
          </w:tcPr>
          <w:p w:rsidR="00FC5A9D" w:rsidRPr="00E95614" w:rsidRDefault="00FC5A9D" w:rsidP="00D40747">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Included observations: 8</w:t>
            </w:r>
            <w:r w:rsidR="00B014B8" w:rsidRPr="00E95614">
              <w:rPr>
                <w:rFonts w:ascii="Palatino Linotype" w:eastAsia="SimSun" w:hAnsi="Palatino Linotype" w:cstheme="minorHAnsi"/>
                <w:b/>
                <w:color w:val="000000"/>
                <w:kern w:val="0"/>
                <w:sz w:val="20"/>
                <w:szCs w:val="20"/>
              </w:rPr>
              <w:t>3</w:t>
            </w:r>
            <w:r w:rsidR="00D40747" w:rsidRPr="00E95614">
              <w:rPr>
                <w:rFonts w:ascii="Palatino Linotype" w:eastAsia="SimSun" w:hAnsi="Palatino Linotype" w:cstheme="minorHAnsi"/>
                <w:b/>
                <w:color w:val="000000"/>
                <w:kern w:val="0"/>
                <w:sz w:val="20"/>
                <w:szCs w:val="20"/>
              </w:rPr>
              <w:t>3</w:t>
            </w:r>
          </w:p>
        </w:tc>
        <w:tc>
          <w:tcPr>
            <w:tcW w:w="4242" w:type="dxa"/>
            <w:gridSpan w:val="5"/>
            <w:tcBorders>
              <w:top w:val="nil"/>
              <w:left w:val="nil"/>
              <w:bottom w:val="single" w:sz="8" w:space="0" w:color="auto"/>
              <w:right w:val="nil"/>
            </w:tcBorders>
            <w:shd w:val="clear" w:color="auto" w:fill="auto"/>
            <w:noWrap/>
            <w:vAlign w:val="bottom"/>
            <w:hideMark/>
          </w:tcPr>
          <w:p w:rsidR="00FC5A9D" w:rsidRPr="00E95614" w:rsidRDefault="00FC5A9D" w:rsidP="00D40747">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Included observations: 8</w:t>
            </w:r>
            <w:r w:rsidR="00B014B8" w:rsidRPr="00E95614">
              <w:rPr>
                <w:rFonts w:ascii="Palatino Linotype" w:eastAsia="SimSun" w:hAnsi="Palatino Linotype" w:cstheme="minorHAnsi"/>
                <w:b/>
                <w:color w:val="000000"/>
                <w:kern w:val="0"/>
                <w:sz w:val="20"/>
                <w:szCs w:val="20"/>
              </w:rPr>
              <w:t>3</w:t>
            </w:r>
            <w:r w:rsidR="00D40747" w:rsidRPr="00E95614">
              <w:rPr>
                <w:rFonts w:ascii="Palatino Linotype" w:eastAsia="SimSun" w:hAnsi="Palatino Linotype" w:cstheme="minorHAnsi"/>
                <w:b/>
                <w:color w:val="000000"/>
                <w:kern w:val="0"/>
                <w:sz w:val="20"/>
                <w:szCs w:val="20"/>
              </w:rPr>
              <w:t>3</w:t>
            </w:r>
          </w:p>
        </w:tc>
      </w:tr>
      <w:tr w:rsidR="00FC5A9D" w:rsidRPr="00E95614" w:rsidTr="000222B8">
        <w:trPr>
          <w:trHeight w:val="290"/>
        </w:trPr>
        <w:tc>
          <w:tcPr>
            <w:tcW w:w="1396" w:type="dxa"/>
            <w:tcBorders>
              <w:top w:val="nil"/>
              <w:left w:val="nil"/>
              <w:bottom w:val="single" w:sz="8" w:space="0" w:color="auto"/>
              <w:right w:val="nil"/>
            </w:tcBorders>
            <w:shd w:val="clear" w:color="auto" w:fill="auto"/>
            <w:noWrap/>
            <w:vAlign w:val="bottom"/>
            <w:hideMark/>
          </w:tcPr>
          <w:p w:rsidR="00FC5A9D" w:rsidRPr="00E95614" w:rsidRDefault="00FC5A9D" w:rsidP="000222B8">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Variable</w:t>
            </w:r>
          </w:p>
        </w:tc>
        <w:tc>
          <w:tcPr>
            <w:tcW w:w="1449" w:type="dxa"/>
            <w:gridSpan w:val="2"/>
            <w:tcBorders>
              <w:top w:val="nil"/>
              <w:left w:val="nil"/>
              <w:bottom w:val="single" w:sz="8" w:space="0" w:color="auto"/>
              <w:right w:val="nil"/>
            </w:tcBorders>
            <w:shd w:val="clear" w:color="auto" w:fill="auto"/>
            <w:noWrap/>
            <w:vAlign w:val="bottom"/>
            <w:hideMark/>
          </w:tcPr>
          <w:p w:rsidR="00FC5A9D" w:rsidRPr="00E95614" w:rsidRDefault="00FC5A9D" w:rsidP="000222B8">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Coefficient</w:t>
            </w:r>
          </w:p>
        </w:tc>
        <w:tc>
          <w:tcPr>
            <w:tcW w:w="1338" w:type="dxa"/>
            <w:gridSpan w:val="2"/>
            <w:tcBorders>
              <w:top w:val="nil"/>
              <w:left w:val="nil"/>
              <w:bottom w:val="single" w:sz="8" w:space="0" w:color="auto"/>
              <w:right w:val="double" w:sz="6" w:space="0" w:color="auto"/>
            </w:tcBorders>
            <w:shd w:val="clear" w:color="auto" w:fill="auto"/>
            <w:noWrap/>
            <w:vAlign w:val="bottom"/>
            <w:hideMark/>
          </w:tcPr>
          <w:p w:rsidR="00FC5A9D" w:rsidRPr="00E95614" w:rsidRDefault="00FC5A9D" w:rsidP="000222B8">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Std. Error</w:t>
            </w:r>
          </w:p>
        </w:tc>
        <w:tc>
          <w:tcPr>
            <w:tcW w:w="1527" w:type="dxa"/>
            <w:tcBorders>
              <w:top w:val="nil"/>
              <w:left w:val="nil"/>
              <w:bottom w:val="single" w:sz="8" w:space="0" w:color="auto"/>
              <w:right w:val="nil"/>
            </w:tcBorders>
            <w:shd w:val="clear" w:color="auto" w:fill="auto"/>
            <w:noWrap/>
            <w:vAlign w:val="bottom"/>
            <w:hideMark/>
          </w:tcPr>
          <w:p w:rsidR="00FC5A9D" w:rsidRPr="00E95614" w:rsidRDefault="00FC5A9D" w:rsidP="000222B8">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Variable</w:t>
            </w:r>
          </w:p>
        </w:tc>
        <w:tc>
          <w:tcPr>
            <w:tcW w:w="1442" w:type="dxa"/>
            <w:gridSpan w:val="2"/>
            <w:tcBorders>
              <w:top w:val="nil"/>
              <w:left w:val="nil"/>
              <w:bottom w:val="single" w:sz="8" w:space="0" w:color="auto"/>
              <w:right w:val="nil"/>
            </w:tcBorders>
            <w:shd w:val="clear" w:color="auto" w:fill="auto"/>
            <w:noWrap/>
            <w:vAlign w:val="bottom"/>
            <w:hideMark/>
          </w:tcPr>
          <w:p w:rsidR="00FC5A9D" w:rsidRPr="00E95614" w:rsidRDefault="00FC5A9D" w:rsidP="000222B8">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Coefficient</w:t>
            </w:r>
          </w:p>
        </w:tc>
        <w:tc>
          <w:tcPr>
            <w:tcW w:w="1273" w:type="dxa"/>
            <w:gridSpan w:val="2"/>
            <w:tcBorders>
              <w:top w:val="nil"/>
              <w:left w:val="nil"/>
              <w:bottom w:val="single" w:sz="8" w:space="0" w:color="auto"/>
              <w:right w:val="nil"/>
            </w:tcBorders>
            <w:shd w:val="clear" w:color="auto" w:fill="auto"/>
            <w:noWrap/>
            <w:vAlign w:val="bottom"/>
            <w:hideMark/>
          </w:tcPr>
          <w:p w:rsidR="00FC5A9D" w:rsidRPr="00E95614" w:rsidRDefault="00FC5A9D" w:rsidP="000222B8">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Std. Error</w:t>
            </w:r>
          </w:p>
        </w:tc>
      </w:tr>
      <w:tr w:rsidR="00D40747" w:rsidRPr="00E95614" w:rsidTr="000222B8">
        <w:trPr>
          <w:trHeight w:val="280"/>
        </w:trPr>
        <w:tc>
          <w:tcPr>
            <w:tcW w:w="1396" w:type="dxa"/>
            <w:tcBorders>
              <w:top w:val="nil"/>
              <w:left w:val="nil"/>
              <w:bottom w:val="nil"/>
              <w:right w:val="nil"/>
            </w:tcBorders>
            <w:shd w:val="clear" w:color="auto" w:fill="auto"/>
            <w:noWrap/>
            <w:vAlign w:val="bottom"/>
            <w:hideMark/>
          </w:tcPr>
          <w:p w:rsidR="00D40747" w:rsidRPr="00E95614" w:rsidRDefault="00D40747" w:rsidP="000222B8">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D</w:t>
            </w:r>
            <w:r w:rsidRPr="00E95614">
              <w:rPr>
                <w:rFonts w:ascii="Palatino Linotype" w:eastAsia="SimSun" w:hAnsi="Palatino Linotype" w:cstheme="minorHAnsi"/>
                <w:b/>
                <w:color w:val="000000"/>
                <w:kern w:val="0"/>
                <w:sz w:val="20"/>
                <w:szCs w:val="20"/>
                <w:vertAlign w:val="subscript"/>
              </w:rPr>
              <w:t>L</w:t>
            </w:r>
          </w:p>
        </w:tc>
        <w:tc>
          <w:tcPr>
            <w:tcW w:w="1449" w:type="dxa"/>
            <w:gridSpan w:val="2"/>
            <w:tcBorders>
              <w:top w:val="nil"/>
              <w:left w:val="nil"/>
              <w:bottom w:val="nil"/>
              <w:right w:val="nil"/>
            </w:tcBorders>
            <w:shd w:val="clear" w:color="auto" w:fill="auto"/>
            <w:noWrap/>
            <w:vAlign w:val="bottom"/>
            <w:hideMark/>
          </w:tcPr>
          <w:p w:rsidR="00D40747" w:rsidRPr="00E95614" w:rsidRDefault="00D40747" w:rsidP="004E1D07">
            <w:pPr>
              <w:rPr>
                <w:rFonts w:ascii="Palatino Linotype" w:hAnsi="Palatino Linotype" w:cs="Calibri"/>
                <w:color w:val="000000"/>
                <w:sz w:val="20"/>
                <w:szCs w:val="20"/>
              </w:rPr>
            </w:pPr>
            <w:r w:rsidRPr="00E95614">
              <w:rPr>
                <w:rFonts w:ascii="Palatino Linotype" w:hAnsi="Palatino Linotype" w:cs="Calibri"/>
                <w:color w:val="000000"/>
                <w:sz w:val="20"/>
                <w:szCs w:val="20"/>
              </w:rPr>
              <w:t>30.3</w:t>
            </w:r>
            <w:r w:rsidR="004E1D07" w:rsidRPr="00E95614">
              <w:rPr>
                <w:rFonts w:ascii="Palatino Linotype" w:hAnsi="Palatino Linotype" w:cs="Calibri"/>
                <w:color w:val="000000"/>
                <w:sz w:val="20"/>
                <w:szCs w:val="20"/>
              </w:rPr>
              <w:t>53</w:t>
            </w:r>
            <w:r w:rsidRPr="00E95614">
              <w:rPr>
                <w:rFonts w:ascii="Palatino Linotype" w:hAnsi="Palatino Linotype" w:cs="Calibri"/>
                <w:color w:val="000000"/>
                <w:sz w:val="20"/>
                <w:szCs w:val="20"/>
              </w:rPr>
              <w:t>***</w:t>
            </w:r>
          </w:p>
        </w:tc>
        <w:tc>
          <w:tcPr>
            <w:tcW w:w="1338" w:type="dxa"/>
            <w:gridSpan w:val="2"/>
            <w:tcBorders>
              <w:top w:val="nil"/>
              <w:left w:val="nil"/>
              <w:bottom w:val="nil"/>
              <w:right w:val="double" w:sz="6" w:space="0" w:color="auto"/>
            </w:tcBorders>
            <w:shd w:val="clear" w:color="auto" w:fill="auto"/>
            <w:noWrap/>
            <w:vAlign w:val="bottom"/>
            <w:hideMark/>
          </w:tcPr>
          <w:p w:rsidR="00D40747" w:rsidRPr="00E95614" w:rsidRDefault="00D40747" w:rsidP="004E1D07">
            <w:pPr>
              <w:rPr>
                <w:rFonts w:ascii="Palatino Linotype" w:hAnsi="Palatino Linotype" w:cs="Calibri"/>
                <w:color w:val="000000"/>
                <w:sz w:val="20"/>
                <w:szCs w:val="20"/>
              </w:rPr>
            </w:pPr>
            <w:r w:rsidRPr="00E95614">
              <w:rPr>
                <w:rFonts w:ascii="Palatino Linotype" w:hAnsi="Palatino Linotype" w:cs="Calibri"/>
                <w:color w:val="000000"/>
                <w:sz w:val="20"/>
                <w:szCs w:val="20"/>
              </w:rPr>
              <w:t>5.6</w:t>
            </w:r>
            <w:r w:rsidR="004E1D07" w:rsidRPr="00E95614">
              <w:rPr>
                <w:rFonts w:ascii="Palatino Linotype" w:hAnsi="Palatino Linotype" w:cs="Calibri"/>
                <w:color w:val="000000"/>
                <w:sz w:val="20"/>
                <w:szCs w:val="20"/>
              </w:rPr>
              <w:t>40</w:t>
            </w:r>
          </w:p>
        </w:tc>
        <w:tc>
          <w:tcPr>
            <w:tcW w:w="1527" w:type="dxa"/>
            <w:tcBorders>
              <w:top w:val="nil"/>
              <w:left w:val="nil"/>
              <w:bottom w:val="nil"/>
              <w:right w:val="nil"/>
            </w:tcBorders>
            <w:shd w:val="clear" w:color="auto" w:fill="auto"/>
            <w:noWrap/>
            <w:vAlign w:val="bottom"/>
            <w:hideMark/>
          </w:tcPr>
          <w:p w:rsidR="00D40747" w:rsidRPr="00E95614" w:rsidRDefault="00D40747" w:rsidP="000222B8">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D</w:t>
            </w:r>
            <w:r w:rsidRPr="00E95614">
              <w:rPr>
                <w:rFonts w:ascii="Palatino Linotype" w:eastAsia="SimSun" w:hAnsi="Palatino Linotype" w:cstheme="minorHAnsi"/>
                <w:b/>
                <w:color w:val="000000"/>
                <w:kern w:val="0"/>
                <w:sz w:val="20"/>
                <w:szCs w:val="20"/>
                <w:vertAlign w:val="subscript"/>
              </w:rPr>
              <w:t>L</w:t>
            </w:r>
          </w:p>
        </w:tc>
        <w:tc>
          <w:tcPr>
            <w:tcW w:w="1442" w:type="dxa"/>
            <w:gridSpan w:val="2"/>
            <w:tcBorders>
              <w:top w:val="nil"/>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-8.381**</w:t>
            </w:r>
          </w:p>
        </w:tc>
        <w:tc>
          <w:tcPr>
            <w:tcW w:w="1273" w:type="dxa"/>
            <w:gridSpan w:val="2"/>
            <w:tcBorders>
              <w:top w:val="nil"/>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3.280</w:t>
            </w:r>
          </w:p>
        </w:tc>
      </w:tr>
      <w:tr w:rsidR="00D40747" w:rsidRPr="00E95614" w:rsidTr="000222B8">
        <w:trPr>
          <w:trHeight w:val="280"/>
        </w:trPr>
        <w:tc>
          <w:tcPr>
            <w:tcW w:w="1396" w:type="dxa"/>
            <w:tcBorders>
              <w:top w:val="nil"/>
              <w:left w:val="nil"/>
              <w:bottom w:val="nil"/>
              <w:right w:val="nil"/>
            </w:tcBorders>
            <w:shd w:val="clear" w:color="auto" w:fill="auto"/>
            <w:noWrap/>
            <w:vAlign w:val="bottom"/>
            <w:hideMark/>
          </w:tcPr>
          <w:p w:rsidR="00D40747" w:rsidRPr="00E95614" w:rsidRDefault="00D40747" w:rsidP="000222B8">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D</w:t>
            </w:r>
            <w:r w:rsidRPr="00E95614">
              <w:rPr>
                <w:rFonts w:ascii="Palatino Linotype" w:eastAsia="SimSun" w:hAnsi="Palatino Linotype" w:cstheme="minorHAnsi"/>
                <w:b/>
                <w:color w:val="000000"/>
                <w:kern w:val="0"/>
                <w:sz w:val="20"/>
                <w:szCs w:val="20"/>
                <w:vertAlign w:val="subscript"/>
              </w:rPr>
              <w:t>H</w:t>
            </w:r>
          </w:p>
        </w:tc>
        <w:tc>
          <w:tcPr>
            <w:tcW w:w="1449" w:type="dxa"/>
            <w:gridSpan w:val="2"/>
            <w:tcBorders>
              <w:top w:val="nil"/>
              <w:left w:val="nil"/>
              <w:bottom w:val="nil"/>
              <w:right w:val="nil"/>
            </w:tcBorders>
            <w:shd w:val="clear" w:color="auto" w:fill="auto"/>
            <w:noWrap/>
            <w:vAlign w:val="bottom"/>
            <w:hideMark/>
          </w:tcPr>
          <w:p w:rsidR="00D40747" w:rsidRPr="00E95614" w:rsidRDefault="00D40747" w:rsidP="004E1D07">
            <w:pPr>
              <w:rPr>
                <w:rFonts w:ascii="Palatino Linotype" w:hAnsi="Palatino Linotype" w:cs="Calibri"/>
                <w:color w:val="000000"/>
                <w:sz w:val="20"/>
                <w:szCs w:val="20"/>
              </w:rPr>
            </w:pPr>
            <w:r w:rsidRPr="00E95614">
              <w:rPr>
                <w:rFonts w:ascii="Palatino Linotype" w:hAnsi="Palatino Linotype" w:cs="Calibri"/>
                <w:color w:val="000000"/>
                <w:sz w:val="20"/>
                <w:szCs w:val="20"/>
              </w:rPr>
              <w:t>24.</w:t>
            </w:r>
            <w:r w:rsidR="004E1D07" w:rsidRPr="00E95614">
              <w:rPr>
                <w:rFonts w:ascii="Palatino Linotype" w:hAnsi="Palatino Linotype" w:cs="Calibri"/>
                <w:color w:val="000000"/>
                <w:sz w:val="20"/>
                <w:szCs w:val="20"/>
              </w:rPr>
              <w:t>685</w:t>
            </w:r>
            <w:r w:rsidRPr="00E95614">
              <w:rPr>
                <w:rFonts w:ascii="Palatino Linotype" w:hAnsi="Palatino Linotype" w:cs="Calibri"/>
                <w:color w:val="000000"/>
                <w:sz w:val="20"/>
                <w:szCs w:val="20"/>
              </w:rPr>
              <w:t>***</w:t>
            </w:r>
          </w:p>
        </w:tc>
        <w:tc>
          <w:tcPr>
            <w:tcW w:w="1338" w:type="dxa"/>
            <w:gridSpan w:val="2"/>
            <w:tcBorders>
              <w:top w:val="nil"/>
              <w:left w:val="nil"/>
              <w:bottom w:val="nil"/>
              <w:right w:val="double" w:sz="6" w:space="0" w:color="auto"/>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5.531</w:t>
            </w:r>
          </w:p>
        </w:tc>
        <w:tc>
          <w:tcPr>
            <w:tcW w:w="1527" w:type="dxa"/>
            <w:tcBorders>
              <w:top w:val="nil"/>
              <w:left w:val="nil"/>
              <w:bottom w:val="nil"/>
              <w:right w:val="nil"/>
            </w:tcBorders>
            <w:shd w:val="clear" w:color="auto" w:fill="auto"/>
            <w:noWrap/>
            <w:vAlign w:val="bottom"/>
            <w:hideMark/>
          </w:tcPr>
          <w:p w:rsidR="00D40747" w:rsidRPr="00E95614" w:rsidRDefault="00D40747" w:rsidP="000222B8">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D</w:t>
            </w:r>
            <w:r w:rsidRPr="00E95614">
              <w:rPr>
                <w:rFonts w:ascii="Palatino Linotype" w:eastAsia="SimSun" w:hAnsi="Palatino Linotype" w:cstheme="minorHAnsi"/>
                <w:b/>
                <w:color w:val="000000"/>
                <w:kern w:val="0"/>
                <w:sz w:val="20"/>
                <w:szCs w:val="20"/>
                <w:vertAlign w:val="subscript"/>
              </w:rPr>
              <w:t>H</w:t>
            </w:r>
          </w:p>
        </w:tc>
        <w:tc>
          <w:tcPr>
            <w:tcW w:w="1442" w:type="dxa"/>
            <w:gridSpan w:val="2"/>
            <w:tcBorders>
              <w:top w:val="nil"/>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-5.035</w:t>
            </w:r>
          </w:p>
        </w:tc>
        <w:tc>
          <w:tcPr>
            <w:tcW w:w="1273" w:type="dxa"/>
            <w:gridSpan w:val="2"/>
            <w:tcBorders>
              <w:top w:val="nil"/>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3.217</w:t>
            </w:r>
          </w:p>
        </w:tc>
      </w:tr>
      <w:tr w:rsidR="00D40747" w:rsidRPr="00E95614" w:rsidTr="000222B8">
        <w:trPr>
          <w:trHeight w:val="290"/>
        </w:trPr>
        <w:tc>
          <w:tcPr>
            <w:tcW w:w="1396" w:type="dxa"/>
            <w:tcBorders>
              <w:top w:val="nil"/>
              <w:left w:val="nil"/>
              <w:bottom w:val="nil"/>
              <w:right w:val="nil"/>
            </w:tcBorders>
            <w:shd w:val="clear" w:color="auto" w:fill="auto"/>
            <w:noWrap/>
            <w:vAlign w:val="bottom"/>
            <w:hideMark/>
          </w:tcPr>
          <w:p w:rsidR="00D40747" w:rsidRPr="00E95614" w:rsidRDefault="00CD6B02" w:rsidP="000222B8">
            <w:pPr>
              <w:widowControl/>
              <w:jc w:val="left"/>
              <w:rPr>
                <w:rFonts w:ascii="Palatino Linotype" w:eastAsia="SimSun" w:hAnsi="Palatino Linotype" w:cstheme="minorHAnsi"/>
                <w:b/>
                <w:color w:val="000000"/>
                <w:kern w:val="0"/>
                <w:sz w:val="20"/>
                <w:szCs w:val="20"/>
              </w:rPr>
            </w:pPr>
            <m:oMathPara>
              <m:oMathParaPr>
                <m:jc m:val="left"/>
              </m:oMathParaPr>
              <m:oMath>
                <m:sSub>
                  <m:sSubPr>
                    <m:ctrlPr>
                      <w:rPr>
                        <w:rFonts w:ascii="Cambria Math" w:eastAsia="SimSun" w:hAnsi="Cambria Math" w:cs="SimSun"/>
                        <w:b/>
                        <w:color w:val="000000"/>
                        <w:kern w:val="0"/>
                        <w:sz w:val="20"/>
                        <w:szCs w:val="20"/>
                      </w:rPr>
                    </m:ctrlPr>
                  </m:sSubPr>
                  <m:e>
                    <m:r>
                      <m:rPr>
                        <m:sty m:val="b"/>
                      </m:rPr>
                      <w:rPr>
                        <w:rFonts w:ascii="Cambria Math" w:eastAsia="SimSun" w:hAnsi="Cambria Math" w:cs="SimSun"/>
                        <w:color w:val="000000"/>
                        <w:kern w:val="0"/>
                        <w:sz w:val="20"/>
                        <w:szCs w:val="20"/>
                      </w:rPr>
                      <m:t>β</m:t>
                    </m:r>
                  </m:e>
                  <m:sub>
                    <m:r>
                      <m:rPr>
                        <m:sty m:val="b"/>
                      </m:rPr>
                      <w:rPr>
                        <w:rFonts w:ascii="Cambria Math" w:eastAsia="SimSun" w:hAnsi="Cambria Math" w:cs="SimSun"/>
                        <w:color w:val="000000"/>
                        <w:kern w:val="0"/>
                        <w:sz w:val="20"/>
                        <w:szCs w:val="20"/>
                      </w:rPr>
                      <m:t>10</m:t>
                    </m:r>
                  </m:sub>
                </m:sSub>
              </m:oMath>
            </m:oMathPara>
          </w:p>
        </w:tc>
        <w:tc>
          <w:tcPr>
            <w:tcW w:w="1449" w:type="dxa"/>
            <w:gridSpan w:val="2"/>
            <w:tcBorders>
              <w:top w:val="nil"/>
              <w:left w:val="nil"/>
              <w:bottom w:val="nil"/>
              <w:right w:val="nil"/>
            </w:tcBorders>
            <w:shd w:val="clear" w:color="auto" w:fill="auto"/>
            <w:noWrap/>
            <w:vAlign w:val="bottom"/>
            <w:hideMark/>
          </w:tcPr>
          <w:p w:rsidR="00D40747" w:rsidRPr="00E95614" w:rsidRDefault="00D40747" w:rsidP="004E1D07">
            <w:pPr>
              <w:rPr>
                <w:rFonts w:ascii="Palatino Linotype" w:hAnsi="Palatino Linotype" w:cs="Calibri"/>
                <w:color w:val="000000"/>
                <w:sz w:val="20"/>
                <w:szCs w:val="20"/>
              </w:rPr>
            </w:pPr>
            <w:r w:rsidRPr="00E95614">
              <w:rPr>
                <w:rFonts w:ascii="Palatino Linotype" w:hAnsi="Palatino Linotype" w:cs="Calibri"/>
                <w:color w:val="000000"/>
                <w:sz w:val="20"/>
                <w:szCs w:val="20"/>
              </w:rPr>
              <w:t>44.3</w:t>
            </w:r>
            <w:r w:rsidR="004E1D07" w:rsidRPr="00E95614">
              <w:rPr>
                <w:rFonts w:ascii="Palatino Linotype" w:hAnsi="Palatino Linotype" w:cs="Calibri"/>
                <w:color w:val="000000"/>
                <w:sz w:val="20"/>
                <w:szCs w:val="20"/>
              </w:rPr>
              <w:t>49</w:t>
            </w:r>
            <w:r w:rsidRPr="00E95614">
              <w:rPr>
                <w:rFonts w:ascii="Palatino Linotype" w:hAnsi="Palatino Linotype" w:cs="Calibri"/>
                <w:color w:val="000000"/>
                <w:sz w:val="20"/>
                <w:szCs w:val="20"/>
              </w:rPr>
              <w:t>***</w:t>
            </w:r>
          </w:p>
        </w:tc>
        <w:tc>
          <w:tcPr>
            <w:tcW w:w="1338" w:type="dxa"/>
            <w:gridSpan w:val="2"/>
            <w:tcBorders>
              <w:top w:val="nil"/>
              <w:left w:val="nil"/>
              <w:bottom w:val="nil"/>
              <w:right w:val="double" w:sz="6" w:space="0" w:color="auto"/>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4.763</w:t>
            </w:r>
          </w:p>
        </w:tc>
        <w:tc>
          <w:tcPr>
            <w:tcW w:w="1527" w:type="dxa"/>
            <w:tcBorders>
              <w:top w:val="nil"/>
              <w:left w:val="nil"/>
              <w:bottom w:val="nil"/>
              <w:right w:val="nil"/>
            </w:tcBorders>
            <w:shd w:val="clear" w:color="auto" w:fill="auto"/>
            <w:noWrap/>
            <w:vAlign w:val="bottom"/>
            <w:hideMark/>
          </w:tcPr>
          <w:p w:rsidR="00D40747" w:rsidRPr="00E95614" w:rsidRDefault="00CD6B02" w:rsidP="000222B8">
            <w:pPr>
              <w:widowControl/>
              <w:jc w:val="left"/>
              <w:rPr>
                <w:rFonts w:ascii="Palatino Linotype" w:eastAsia="SimSun" w:hAnsi="Palatino Linotype" w:cstheme="minorHAnsi"/>
                <w:b/>
                <w:color w:val="000000"/>
                <w:kern w:val="0"/>
                <w:sz w:val="20"/>
                <w:szCs w:val="20"/>
              </w:rPr>
            </w:pPr>
            <m:oMathPara>
              <m:oMathParaPr>
                <m:jc m:val="left"/>
              </m:oMathParaPr>
              <m:oMath>
                <m:sSub>
                  <m:sSubPr>
                    <m:ctrlPr>
                      <w:rPr>
                        <w:rFonts w:ascii="Cambria Math" w:eastAsia="SimSun" w:hAnsi="Cambria Math" w:cs="SimSun"/>
                        <w:b/>
                        <w:color w:val="000000"/>
                        <w:kern w:val="0"/>
                        <w:sz w:val="20"/>
                        <w:szCs w:val="20"/>
                      </w:rPr>
                    </m:ctrlPr>
                  </m:sSubPr>
                  <m:e>
                    <m:r>
                      <m:rPr>
                        <m:sty m:val="b"/>
                      </m:rPr>
                      <w:rPr>
                        <w:rFonts w:ascii="Cambria Math" w:eastAsia="SimSun" w:hAnsi="Cambria Math" w:cs="SimSun"/>
                        <w:color w:val="000000"/>
                        <w:kern w:val="0"/>
                        <w:sz w:val="20"/>
                        <w:szCs w:val="20"/>
                      </w:rPr>
                      <m:t>β</m:t>
                    </m:r>
                  </m:e>
                  <m:sub>
                    <m:r>
                      <m:rPr>
                        <m:sty m:val="b"/>
                      </m:rPr>
                      <w:rPr>
                        <w:rFonts w:ascii="Cambria Math" w:eastAsia="SimSun" w:hAnsi="Cambria Math" w:cs="SimSun"/>
                        <w:color w:val="000000"/>
                        <w:kern w:val="0"/>
                        <w:sz w:val="20"/>
                        <w:szCs w:val="20"/>
                      </w:rPr>
                      <m:t>20</m:t>
                    </m:r>
                  </m:sub>
                </m:sSub>
              </m:oMath>
            </m:oMathPara>
          </w:p>
        </w:tc>
        <w:tc>
          <w:tcPr>
            <w:tcW w:w="1442" w:type="dxa"/>
            <w:gridSpan w:val="2"/>
            <w:tcBorders>
              <w:top w:val="nil"/>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53.160***</w:t>
            </w:r>
          </w:p>
        </w:tc>
        <w:tc>
          <w:tcPr>
            <w:tcW w:w="1273" w:type="dxa"/>
            <w:gridSpan w:val="2"/>
            <w:tcBorders>
              <w:top w:val="nil"/>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2.770</w:t>
            </w:r>
          </w:p>
        </w:tc>
      </w:tr>
      <w:tr w:rsidR="00D40747" w:rsidRPr="00E95614" w:rsidTr="000222B8">
        <w:trPr>
          <w:trHeight w:val="280"/>
        </w:trPr>
        <w:tc>
          <w:tcPr>
            <w:tcW w:w="2375" w:type="dxa"/>
            <w:gridSpan w:val="2"/>
            <w:tcBorders>
              <w:top w:val="single" w:sz="8" w:space="0" w:color="auto"/>
              <w:left w:val="nil"/>
              <w:bottom w:val="nil"/>
              <w:right w:val="nil"/>
            </w:tcBorders>
            <w:shd w:val="clear" w:color="auto" w:fill="auto"/>
            <w:noWrap/>
            <w:vAlign w:val="bottom"/>
            <w:hideMark/>
          </w:tcPr>
          <w:p w:rsidR="00D40747" w:rsidRPr="00E95614" w:rsidRDefault="00D40747" w:rsidP="000222B8">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R-squared</w:t>
            </w:r>
          </w:p>
        </w:tc>
        <w:tc>
          <w:tcPr>
            <w:tcW w:w="1453" w:type="dxa"/>
            <w:gridSpan w:val="2"/>
            <w:tcBorders>
              <w:top w:val="single" w:sz="8" w:space="0" w:color="auto"/>
              <w:left w:val="nil"/>
              <w:bottom w:val="nil"/>
              <w:right w:val="nil"/>
            </w:tcBorders>
            <w:shd w:val="clear" w:color="auto" w:fill="auto"/>
            <w:noWrap/>
            <w:vAlign w:val="bottom"/>
            <w:hideMark/>
          </w:tcPr>
          <w:p w:rsidR="00D40747" w:rsidRPr="00E95614" w:rsidRDefault="00D40747" w:rsidP="004E1D07">
            <w:pPr>
              <w:rPr>
                <w:rFonts w:ascii="Palatino Linotype" w:hAnsi="Palatino Linotype" w:cs="Calibri"/>
                <w:color w:val="000000"/>
                <w:sz w:val="20"/>
                <w:szCs w:val="20"/>
              </w:rPr>
            </w:pPr>
            <w:r w:rsidRPr="00E95614">
              <w:rPr>
                <w:rFonts w:ascii="Palatino Linotype" w:hAnsi="Palatino Linotype" w:cs="Calibri"/>
                <w:color w:val="000000"/>
                <w:sz w:val="20"/>
                <w:szCs w:val="20"/>
              </w:rPr>
              <w:t>0.03</w:t>
            </w:r>
            <w:r w:rsidR="004E1D07" w:rsidRPr="00E95614">
              <w:rPr>
                <w:rFonts w:ascii="Palatino Linotype" w:hAnsi="Palatino Linotype" w:cs="Calibri"/>
                <w:color w:val="000000"/>
                <w:sz w:val="20"/>
                <w:szCs w:val="20"/>
              </w:rPr>
              <w:t>4</w:t>
            </w:r>
          </w:p>
        </w:tc>
        <w:tc>
          <w:tcPr>
            <w:tcW w:w="355" w:type="dxa"/>
            <w:tcBorders>
              <w:top w:val="single" w:sz="8" w:space="0" w:color="auto"/>
              <w:left w:val="nil"/>
              <w:bottom w:val="nil"/>
              <w:right w:val="double" w:sz="6" w:space="0" w:color="auto"/>
            </w:tcBorders>
            <w:shd w:val="clear" w:color="auto" w:fill="auto"/>
            <w:noWrap/>
            <w:vAlign w:val="bottom"/>
            <w:hideMark/>
          </w:tcPr>
          <w:p w:rsidR="00D40747" w:rsidRPr="00E95614" w:rsidRDefault="00D40747" w:rsidP="000222B8">
            <w:pPr>
              <w:widowControl/>
              <w:jc w:val="left"/>
              <w:rPr>
                <w:rFonts w:ascii="Palatino Linotype" w:eastAsia="SimSun" w:hAnsi="Palatino Linotype" w:cstheme="minorHAnsi"/>
                <w:color w:val="000000"/>
                <w:kern w:val="0"/>
                <w:sz w:val="20"/>
                <w:szCs w:val="20"/>
              </w:rPr>
            </w:pPr>
            <w:r w:rsidRPr="00E95614">
              <w:rPr>
                <w:rFonts w:ascii="Palatino Linotype" w:eastAsia="SimSun" w:hAnsi="Palatino Linotype" w:cstheme="minorHAnsi"/>
                <w:color w:val="000000"/>
                <w:kern w:val="0"/>
                <w:sz w:val="20"/>
                <w:szCs w:val="20"/>
              </w:rPr>
              <w:t xml:space="preserve">　</w:t>
            </w:r>
          </w:p>
        </w:tc>
        <w:tc>
          <w:tcPr>
            <w:tcW w:w="2491" w:type="dxa"/>
            <w:gridSpan w:val="2"/>
            <w:tcBorders>
              <w:top w:val="single" w:sz="8" w:space="0" w:color="auto"/>
              <w:left w:val="nil"/>
              <w:bottom w:val="nil"/>
              <w:right w:val="nil"/>
            </w:tcBorders>
            <w:shd w:val="clear" w:color="auto" w:fill="auto"/>
            <w:noWrap/>
            <w:vAlign w:val="bottom"/>
            <w:hideMark/>
          </w:tcPr>
          <w:p w:rsidR="00D40747" w:rsidRPr="00E95614" w:rsidRDefault="00D40747" w:rsidP="000222B8">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R-squared</w:t>
            </w:r>
          </w:p>
        </w:tc>
        <w:tc>
          <w:tcPr>
            <w:tcW w:w="1417" w:type="dxa"/>
            <w:gridSpan w:val="2"/>
            <w:tcBorders>
              <w:top w:val="single" w:sz="8" w:space="0" w:color="auto"/>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0.008</w:t>
            </w:r>
          </w:p>
        </w:tc>
        <w:tc>
          <w:tcPr>
            <w:tcW w:w="334" w:type="dxa"/>
            <w:tcBorders>
              <w:top w:val="single" w:sz="8" w:space="0" w:color="auto"/>
              <w:left w:val="nil"/>
              <w:bottom w:val="nil"/>
              <w:right w:val="nil"/>
            </w:tcBorders>
            <w:shd w:val="clear" w:color="auto" w:fill="auto"/>
            <w:noWrap/>
            <w:vAlign w:val="bottom"/>
            <w:hideMark/>
          </w:tcPr>
          <w:p w:rsidR="00D40747" w:rsidRPr="00E95614" w:rsidRDefault="00D40747" w:rsidP="000222B8">
            <w:pPr>
              <w:widowControl/>
              <w:jc w:val="left"/>
              <w:rPr>
                <w:rFonts w:ascii="Palatino Linotype" w:eastAsia="SimSun" w:hAnsi="Palatino Linotype" w:cstheme="minorHAnsi"/>
                <w:color w:val="000000"/>
                <w:kern w:val="0"/>
                <w:sz w:val="20"/>
                <w:szCs w:val="20"/>
              </w:rPr>
            </w:pPr>
            <w:r w:rsidRPr="00E95614">
              <w:rPr>
                <w:rFonts w:ascii="Palatino Linotype" w:eastAsia="SimSun" w:hAnsi="Palatino Linotype" w:cstheme="minorHAnsi"/>
                <w:color w:val="000000"/>
                <w:kern w:val="0"/>
                <w:sz w:val="20"/>
                <w:szCs w:val="20"/>
              </w:rPr>
              <w:t xml:space="preserve">　</w:t>
            </w:r>
          </w:p>
        </w:tc>
      </w:tr>
      <w:tr w:rsidR="00D40747" w:rsidRPr="00E95614" w:rsidTr="000222B8">
        <w:trPr>
          <w:trHeight w:val="280"/>
        </w:trPr>
        <w:tc>
          <w:tcPr>
            <w:tcW w:w="2375" w:type="dxa"/>
            <w:gridSpan w:val="2"/>
            <w:tcBorders>
              <w:top w:val="nil"/>
              <w:left w:val="nil"/>
              <w:bottom w:val="nil"/>
              <w:right w:val="nil"/>
            </w:tcBorders>
            <w:shd w:val="clear" w:color="auto" w:fill="auto"/>
            <w:noWrap/>
            <w:vAlign w:val="bottom"/>
            <w:hideMark/>
          </w:tcPr>
          <w:p w:rsidR="00D40747" w:rsidRPr="00E95614" w:rsidRDefault="00D40747" w:rsidP="000222B8">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Adjusted R-squared</w:t>
            </w:r>
          </w:p>
        </w:tc>
        <w:tc>
          <w:tcPr>
            <w:tcW w:w="1453" w:type="dxa"/>
            <w:gridSpan w:val="2"/>
            <w:tcBorders>
              <w:top w:val="nil"/>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0.032</w:t>
            </w:r>
          </w:p>
        </w:tc>
        <w:tc>
          <w:tcPr>
            <w:tcW w:w="355" w:type="dxa"/>
            <w:tcBorders>
              <w:top w:val="nil"/>
              <w:left w:val="nil"/>
              <w:bottom w:val="nil"/>
              <w:right w:val="double" w:sz="6" w:space="0" w:color="auto"/>
            </w:tcBorders>
            <w:shd w:val="clear" w:color="auto" w:fill="auto"/>
            <w:noWrap/>
            <w:vAlign w:val="bottom"/>
            <w:hideMark/>
          </w:tcPr>
          <w:p w:rsidR="00D40747" w:rsidRPr="00E95614" w:rsidRDefault="00D40747" w:rsidP="000222B8">
            <w:pPr>
              <w:widowControl/>
              <w:jc w:val="left"/>
              <w:rPr>
                <w:rFonts w:ascii="Palatino Linotype" w:eastAsia="SimSun" w:hAnsi="Palatino Linotype" w:cstheme="minorHAnsi"/>
                <w:color w:val="000000"/>
                <w:kern w:val="0"/>
                <w:sz w:val="20"/>
                <w:szCs w:val="20"/>
              </w:rPr>
            </w:pPr>
            <w:r w:rsidRPr="00E95614">
              <w:rPr>
                <w:rFonts w:ascii="Palatino Linotype" w:eastAsia="SimSun" w:hAnsi="Palatino Linotype" w:cstheme="minorHAnsi"/>
                <w:color w:val="000000"/>
                <w:kern w:val="0"/>
                <w:sz w:val="20"/>
                <w:szCs w:val="20"/>
              </w:rPr>
              <w:t xml:space="preserve">　</w:t>
            </w:r>
          </w:p>
        </w:tc>
        <w:tc>
          <w:tcPr>
            <w:tcW w:w="2491" w:type="dxa"/>
            <w:gridSpan w:val="2"/>
            <w:tcBorders>
              <w:top w:val="nil"/>
              <w:left w:val="nil"/>
              <w:bottom w:val="nil"/>
              <w:right w:val="nil"/>
            </w:tcBorders>
            <w:shd w:val="clear" w:color="auto" w:fill="auto"/>
            <w:noWrap/>
            <w:vAlign w:val="bottom"/>
            <w:hideMark/>
          </w:tcPr>
          <w:p w:rsidR="00D40747" w:rsidRPr="00E95614" w:rsidRDefault="00D40747" w:rsidP="000222B8">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Adjusted R-squared</w:t>
            </w:r>
          </w:p>
        </w:tc>
        <w:tc>
          <w:tcPr>
            <w:tcW w:w="1417" w:type="dxa"/>
            <w:gridSpan w:val="2"/>
            <w:tcBorders>
              <w:top w:val="nil"/>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0.007</w:t>
            </w:r>
          </w:p>
        </w:tc>
        <w:tc>
          <w:tcPr>
            <w:tcW w:w="334" w:type="dxa"/>
            <w:tcBorders>
              <w:top w:val="nil"/>
              <w:left w:val="nil"/>
              <w:bottom w:val="nil"/>
              <w:right w:val="nil"/>
            </w:tcBorders>
            <w:shd w:val="clear" w:color="auto" w:fill="auto"/>
            <w:noWrap/>
            <w:vAlign w:val="bottom"/>
            <w:hideMark/>
          </w:tcPr>
          <w:p w:rsidR="00D40747" w:rsidRPr="00E95614" w:rsidRDefault="00D40747" w:rsidP="000222B8">
            <w:pPr>
              <w:widowControl/>
              <w:jc w:val="left"/>
              <w:rPr>
                <w:rFonts w:ascii="Palatino Linotype" w:eastAsia="SimSun" w:hAnsi="Palatino Linotype" w:cstheme="minorHAnsi"/>
                <w:color w:val="000000"/>
                <w:kern w:val="0"/>
                <w:sz w:val="20"/>
                <w:szCs w:val="20"/>
              </w:rPr>
            </w:pPr>
          </w:p>
        </w:tc>
      </w:tr>
      <w:tr w:rsidR="00D40747" w:rsidRPr="00E95614" w:rsidTr="000222B8">
        <w:trPr>
          <w:trHeight w:val="290"/>
        </w:trPr>
        <w:tc>
          <w:tcPr>
            <w:tcW w:w="2375" w:type="dxa"/>
            <w:gridSpan w:val="2"/>
            <w:tcBorders>
              <w:top w:val="nil"/>
              <w:left w:val="nil"/>
              <w:bottom w:val="single" w:sz="8" w:space="0" w:color="auto"/>
              <w:right w:val="nil"/>
            </w:tcBorders>
            <w:shd w:val="clear" w:color="auto" w:fill="auto"/>
            <w:noWrap/>
            <w:vAlign w:val="bottom"/>
            <w:hideMark/>
          </w:tcPr>
          <w:p w:rsidR="00D40747" w:rsidRPr="00E95614" w:rsidRDefault="00D40747" w:rsidP="000222B8">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F-statistic</w:t>
            </w:r>
          </w:p>
        </w:tc>
        <w:tc>
          <w:tcPr>
            <w:tcW w:w="1453" w:type="dxa"/>
            <w:gridSpan w:val="2"/>
            <w:tcBorders>
              <w:top w:val="nil"/>
              <w:left w:val="nil"/>
              <w:bottom w:val="single" w:sz="8" w:space="0" w:color="auto"/>
              <w:right w:val="nil"/>
            </w:tcBorders>
            <w:shd w:val="clear" w:color="auto" w:fill="auto"/>
            <w:noWrap/>
            <w:vAlign w:val="bottom"/>
            <w:hideMark/>
          </w:tcPr>
          <w:p w:rsidR="00D40747" w:rsidRPr="00E95614" w:rsidRDefault="00D40747" w:rsidP="004E1D07">
            <w:pPr>
              <w:rPr>
                <w:rFonts w:ascii="Palatino Linotype" w:hAnsi="Palatino Linotype" w:cs="Calibri"/>
                <w:color w:val="000000"/>
                <w:sz w:val="20"/>
                <w:szCs w:val="20"/>
              </w:rPr>
            </w:pPr>
            <w:r w:rsidRPr="00E95614">
              <w:rPr>
                <w:rFonts w:ascii="Palatino Linotype" w:hAnsi="Palatino Linotype" w:cs="Calibri"/>
                <w:color w:val="000000"/>
                <w:sz w:val="20"/>
                <w:szCs w:val="20"/>
              </w:rPr>
              <w:t>14.8</w:t>
            </w:r>
            <w:r w:rsidR="004E1D07" w:rsidRPr="00E95614">
              <w:rPr>
                <w:rFonts w:ascii="Palatino Linotype" w:hAnsi="Palatino Linotype" w:cs="Calibri"/>
                <w:color w:val="000000"/>
                <w:sz w:val="20"/>
                <w:szCs w:val="20"/>
              </w:rPr>
              <w:t>00</w:t>
            </w:r>
          </w:p>
        </w:tc>
        <w:tc>
          <w:tcPr>
            <w:tcW w:w="355" w:type="dxa"/>
            <w:tcBorders>
              <w:top w:val="nil"/>
              <w:left w:val="nil"/>
              <w:bottom w:val="single" w:sz="8" w:space="0" w:color="auto"/>
              <w:right w:val="double" w:sz="6" w:space="0" w:color="auto"/>
            </w:tcBorders>
            <w:shd w:val="clear" w:color="auto" w:fill="auto"/>
            <w:noWrap/>
            <w:vAlign w:val="bottom"/>
            <w:hideMark/>
          </w:tcPr>
          <w:p w:rsidR="00D40747" w:rsidRPr="00E95614" w:rsidRDefault="00D40747" w:rsidP="000222B8">
            <w:pPr>
              <w:widowControl/>
              <w:jc w:val="left"/>
              <w:rPr>
                <w:rFonts w:ascii="Palatino Linotype" w:eastAsia="SimSun" w:hAnsi="Palatino Linotype" w:cstheme="minorHAnsi"/>
                <w:color w:val="000000"/>
                <w:kern w:val="0"/>
                <w:sz w:val="20"/>
                <w:szCs w:val="20"/>
              </w:rPr>
            </w:pPr>
            <w:r w:rsidRPr="00E95614">
              <w:rPr>
                <w:rFonts w:ascii="Palatino Linotype" w:eastAsia="SimSun" w:hAnsi="Palatino Linotype" w:cstheme="minorHAnsi"/>
                <w:color w:val="000000"/>
                <w:kern w:val="0"/>
                <w:sz w:val="20"/>
                <w:szCs w:val="20"/>
              </w:rPr>
              <w:t xml:space="preserve">　</w:t>
            </w:r>
          </w:p>
        </w:tc>
        <w:tc>
          <w:tcPr>
            <w:tcW w:w="2491" w:type="dxa"/>
            <w:gridSpan w:val="2"/>
            <w:tcBorders>
              <w:top w:val="nil"/>
              <w:left w:val="nil"/>
              <w:bottom w:val="single" w:sz="8" w:space="0" w:color="auto"/>
              <w:right w:val="nil"/>
            </w:tcBorders>
            <w:shd w:val="clear" w:color="auto" w:fill="auto"/>
            <w:noWrap/>
            <w:vAlign w:val="bottom"/>
            <w:hideMark/>
          </w:tcPr>
          <w:p w:rsidR="00D40747" w:rsidRPr="00E95614" w:rsidRDefault="00D40747" w:rsidP="000222B8">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F-statistic</w:t>
            </w:r>
          </w:p>
        </w:tc>
        <w:tc>
          <w:tcPr>
            <w:tcW w:w="1417" w:type="dxa"/>
            <w:gridSpan w:val="2"/>
            <w:tcBorders>
              <w:top w:val="nil"/>
              <w:left w:val="nil"/>
              <w:bottom w:val="single" w:sz="8" w:space="0" w:color="auto"/>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3.357</w:t>
            </w:r>
          </w:p>
        </w:tc>
        <w:tc>
          <w:tcPr>
            <w:tcW w:w="334" w:type="dxa"/>
            <w:tcBorders>
              <w:top w:val="nil"/>
              <w:left w:val="nil"/>
              <w:bottom w:val="single" w:sz="8" w:space="0" w:color="auto"/>
              <w:right w:val="nil"/>
            </w:tcBorders>
            <w:shd w:val="clear" w:color="auto" w:fill="auto"/>
            <w:noWrap/>
            <w:vAlign w:val="bottom"/>
            <w:hideMark/>
          </w:tcPr>
          <w:p w:rsidR="00D40747" w:rsidRPr="00E95614" w:rsidRDefault="00D40747" w:rsidP="000222B8">
            <w:pPr>
              <w:widowControl/>
              <w:jc w:val="left"/>
              <w:rPr>
                <w:rFonts w:ascii="Palatino Linotype" w:eastAsia="SimSun" w:hAnsi="Palatino Linotype" w:cstheme="minorHAnsi"/>
                <w:color w:val="000000"/>
                <w:kern w:val="0"/>
                <w:sz w:val="20"/>
                <w:szCs w:val="20"/>
              </w:rPr>
            </w:pPr>
            <w:r w:rsidRPr="00E95614">
              <w:rPr>
                <w:rFonts w:ascii="Palatino Linotype" w:eastAsia="SimSun" w:hAnsi="Palatino Linotype" w:cstheme="minorHAnsi"/>
                <w:color w:val="000000"/>
                <w:kern w:val="0"/>
                <w:sz w:val="20"/>
                <w:szCs w:val="20"/>
              </w:rPr>
              <w:t xml:space="preserve">　</w:t>
            </w:r>
          </w:p>
        </w:tc>
      </w:tr>
    </w:tbl>
    <w:p w:rsidR="00562A6B" w:rsidRPr="00E95614" w:rsidRDefault="00562A6B" w:rsidP="00562A6B">
      <w:pPr>
        <w:spacing w:after="120"/>
        <w:jc w:val="left"/>
        <w:rPr>
          <w:rFonts w:ascii="Palatino Linotype" w:hAnsi="Palatino Linotype" w:cs="Calibri"/>
          <w:sz w:val="20"/>
          <w:szCs w:val="20"/>
          <w:lang w:val="en-GB"/>
        </w:rPr>
      </w:pPr>
      <w:r w:rsidRPr="00E95614">
        <w:rPr>
          <w:rFonts w:ascii="Palatino Linotype" w:hAnsi="Palatino Linotype" w:cs="Calibri"/>
          <w:sz w:val="20"/>
          <w:szCs w:val="20"/>
          <w:lang w:val="en-GB"/>
        </w:rPr>
        <w:t>Note: “*” denotes statistical significance at 10% confidence, “**” at 5% and “***” at 1%.</w:t>
      </w:r>
    </w:p>
    <w:p w:rsidR="001833C1" w:rsidRPr="00803973" w:rsidRDefault="00626088" w:rsidP="001833C1">
      <w:pPr>
        <w:spacing w:after="120" w:line="276" w:lineRule="auto"/>
        <w:ind w:firstLine="567"/>
        <w:jc w:val="left"/>
        <w:rPr>
          <w:rFonts w:ascii="Palatino Linotype" w:hAnsi="Palatino Linotype" w:cs="Calibri"/>
          <w:sz w:val="22"/>
          <w:lang w:val="en-GB"/>
        </w:rPr>
      </w:pPr>
      <w:r w:rsidRPr="00803973">
        <w:rPr>
          <w:rFonts w:ascii="Palatino Linotype" w:hAnsi="Palatino Linotype" w:cs="Calibri"/>
          <w:sz w:val="22"/>
          <w:lang w:val="en-GB"/>
        </w:rPr>
        <w:t>With regard to</w:t>
      </w:r>
      <w:r w:rsidR="00FC5A9D" w:rsidRPr="00803973">
        <w:rPr>
          <w:rFonts w:ascii="Palatino Linotype" w:hAnsi="Palatino Linotype" w:cs="Calibri"/>
          <w:sz w:val="22"/>
          <w:lang w:val="en-GB"/>
        </w:rPr>
        <w:t xml:space="preserve"> three types of housing, low-rise apartment is traditionally the dominant form of dwelling</w:t>
      </w:r>
      <w:r w:rsidR="00A940D9" w:rsidRPr="00803973">
        <w:rPr>
          <w:rFonts w:ascii="Palatino Linotype" w:hAnsi="Palatino Linotype" w:cs="Calibri"/>
          <w:sz w:val="22"/>
          <w:lang w:val="en-GB"/>
        </w:rPr>
        <w:t xml:space="preserve"> </w:t>
      </w:r>
      <w:r w:rsidR="00FC5A9D" w:rsidRPr="00803973">
        <w:rPr>
          <w:rFonts w:ascii="Palatino Linotype" w:hAnsi="Palatino Linotype" w:cs="Calibri"/>
          <w:sz w:val="22"/>
          <w:lang w:val="en-GB"/>
        </w:rPr>
        <w:t xml:space="preserve">and </w:t>
      </w:r>
      <w:r w:rsidR="00FA064A" w:rsidRPr="00803973">
        <w:rPr>
          <w:rFonts w:ascii="Palatino Linotype" w:hAnsi="Palatino Linotype" w:cs="Calibri"/>
          <w:sz w:val="22"/>
          <w:lang w:val="en-GB"/>
        </w:rPr>
        <w:t>is well</w:t>
      </w:r>
      <w:r w:rsidR="00FC5A9D" w:rsidRPr="00803973">
        <w:rPr>
          <w:rFonts w:ascii="Palatino Linotype" w:hAnsi="Palatino Linotype" w:cs="Calibri"/>
          <w:sz w:val="22"/>
          <w:lang w:val="en-GB"/>
        </w:rPr>
        <w:t xml:space="preserve"> received </w:t>
      </w:r>
      <w:r w:rsidR="00FA064A" w:rsidRPr="00803973">
        <w:rPr>
          <w:rFonts w:ascii="Palatino Linotype" w:hAnsi="Palatino Linotype" w:cs="Calibri"/>
          <w:sz w:val="22"/>
          <w:lang w:val="en-GB"/>
        </w:rPr>
        <w:t xml:space="preserve">in Shanghai housing market. </w:t>
      </w:r>
      <w:r w:rsidR="00213C47" w:rsidRPr="00803973">
        <w:rPr>
          <w:rFonts w:ascii="Palatino Linotype" w:hAnsi="Palatino Linotype" w:cs="Calibri"/>
          <w:sz w:val="22"/>
          <w:lang w:val="en-GB"/>
        </w:rPr>
        <w:t>The popularity of it boil</w:t>
      </w:r>
      <w:r w:rsidR="00A70BB1" w:rsidRPr="00803973">
        <w:rPr>
          <w:rFonts w:ascii="Palatino Linotype" w:hAnsi="Palatino Linotype" w:cs="Calibri"/>
          <w:sz w:val="22"/>
          <w:lang w:val="en-GB"/>
        </w:rPr>
        <w:t xml:space="preserve">s down to price and amenity. </w:t>
      </w:r>
      <w:r w:rsidR="00FA064A" w:rsidRPr="00803973">
        <w:rPr>
          <w:rFonts w:ascii="Palatino Linotype" w:hAnsi="Palatino Linotype" w:cs="Calibri"/>
          <w:sz w:val="22"/>
          <w:lang w:val="en-GB"/>
        </w:rPr>
        <w:t>The</w:t>
      </w:r>
      <w:r w:rsidR="00D27F81" w:rsidRPr="00803973">
        <w:rPr>
          <w:rFonts w:ascii="Palatino Linotype" w:hAnsi="Palatino Linotype" w:cs="Calibri"/>
          <w:sz w:val="22"/>
          <w:lang w:val="en-GB"/>
        </w:rPr>
        <w:t xml:space="preserve"> high-rise</w:t>
      </w:r>
      <w:r w:rsidR="00A940D9" w:rsidRPr="00803973">
        <w:rPr>
          <w:rFonts w:ascii="Palatino Linotype" w:hAnsi="Palatino Linotype" w:cs="Calibri"/>
          <w:sz w:val="22"/>
          <w:lang w:val="en-GB"/>
        </w:rPr>
        <w:t xml:space="preserve"> </w:t>
      </w:r>
      <w:r w:rsidR="00D27F81" w:rsidRPr="00803973">
        <w:rPr>
          <w:rFonts w:ascii="Palatino Linotype" w:hAnsi="Palatino Linotype" w:cs="Calibri"/>
          <w:sz w:val="22"/>
          <w:lang w:val="en-GB"/>
        </w:rPr>
        <w:t>is disadvantaged in terms of cost, design</w:t>
      </w:r>
      <w:r w:rsidR="00A940D9" w:rsidRPr="00803973">
        <w:rPr>
          <w:rFonts w:ascii="Palatino Linotype" w:hAnsi="Palatino Linotype" w:cs="Calibri"/>
          <w:sz w:val="22"/>
          <w:lang w:val="en-GB"/>
        </w:rPr>
        <w:t xml:space="preserve">, </w:t>
      </w:r>
      <w:r w:rsidR="00D27F81" w:rsidRPr="00803973">
        <w:rPr>
          <w:rFonts w:ascii="Palatino Linotype" w:hAnsi="Palatino Linotype" w:cs="Calibri"/>
          <w:sz w:val="22"/>
          <w:lang w:val="en-GB"/>
        </w:rPr>
        <w:t>fire safety</w:t>
      </w:r>
      <w:r w:rsidR="00A940D9" w:rsidRPr="00803973">
        <w:rPr>
          <w:rFonts w:ascii="Palatino Linotype" w:hAnsi="Palatino Linotype" w:cs="Calibri"/>
          <w:sz w:val="22"/>
          <w:lang w:val="en-GB"/>
        </w:rPr>
        <w:t xml:space="preserve"> and other issues</w:t>
      </w:r>
      <w:r w:rsidR="00FC5A9D" w:rsidRPr="00803973">
        <w:rPr>
          <w:rFonts w:ascii="Palatino Linotype" w:hAnsi="Palatino Linotype" w:cs="Calibri"/>
          <w:sz w:val="22"/>
          <w:lang w:val="en-GB"/>
        </w:rPr>
        <w:t xml:space="preserve">. </w:t>
      </w:r>
      <w:r w:rsidR="006015C4" w:rsidRPr="00803973">
        <w:rPr>
          <w:rFonts w:ascii="Palatino Linotype" w:hAnsi="Palatino Linotype" w:cs="Calibri"/>
          <w:sz w:val="22"/>
          <w:lang w:val="en-GB"/>
        </w:rPr>
        <w:t xml:space="preserve">But in the last two decades, </w:t>
      </w:r>
      <w:r w:rsidR="001C4057" w:rsidRPr="00803973">
        <w:rPr>
          <w:rFonts w:ascii="Palatino Linotype" w:hAnsi="Palatino Linotype" w:cs="Calibri"/>
          <w:sz w:val="22"/>
          <w:lang w:val="en-GB"/>
        </w:rPr>
        <w:t xml:space="preserve">a </w:t>
      </w:r>
      <w:r w:rsidR="00FA064A" w:rsidRPr="00803973">
        <w:rPr>
          <w:rFonts w:ascii="Palatino Linotype" w:hAnsi="Palatino Linotype" w:cs="Calibri"/>
          <w:sz w:val="22"/>
          <w:lang w:val="en-GB"/>
        </w:rPr>
        <w:t xml:space="preserve">large amount of high-rise residential towers have been </w:t>
      </w:r>
      <w:r w:rsidR="00A70BB1" w:rsidRPr="00803973">
        <w:rPr>
          <w:rFonts w:ascii="Palatino Linotype" w:hAnsi="Palatino Linotype" w:cs="Calibri"/>
          <w:sz w:val="22"/>
          <w:lang w:val="en-GB"/>
        </w:rPr>
        <w:t>er</w:t>
      </w:r>
      <w:r w:rsidR="001C4057" w:rsidRPr="00803973">
        <w:rPr>
          <w:rFonts w:ascii="Palatino Linotype" w:hAnsi="Palatino Linotype" w:cs="Calibri"/>
          <w:sz w:val="22"/>
          <w:lang w:val="en-GB"/>
        </w:rPr>
        <w:t xml:space="preserve">ected </w:t>
      </w:r>
      <w:r w:rsidR="00FA064A" w:rsidRPr="00803973">
        <w:rPr>
          <w:rFonts w:ascii="Palatino Linotype" w:hAnsi="Palatino Linotype" w:cs="Calibri"/>
          <w:sz w:val="22"/>
          <w:lang w:val="en-GB"/>
        </w:rPr>
        <w:t xml:space="preserve">to </w:t>
      </w:r>
      <w:r w:rsidR="000D35A8" w:rsidRPr="00803973">
        <w:rPr>
          <w:rFonts w:ascii="Palatino Linotype" w:hAnsi="Palatino Linotype" w:cs="Calibri"/>
          <w:sz w:val="22"/>
          <w:lang w:val="en-GB"/>
        </w:rPr>
        <w:t xml:space="preserve">better accommodate </w:t>
      </w:r>
      <w:r w:rsidR="001C4057" w:rsidRPr="00803973">
        <w:rPr>
          <w:rFonts w:ascii="Palatino Linotype" w:hAnsi="Palatino Linotype" w:cs="Calibri"/>
          <w:sz w:val="22"/>
          <w:lang w:val="en-GB"/>
        </w:rPr>
        <w:t xml:space="preserve">a </w:t>
      </w:r>
      <w:r w:rsidR="00A70BB1" w:rsidRPr="00803973">
        <w:rPr>
          <w:rFonts w:ascii="Palatino Linotype" w:hAnsi="Palatino Linotype" w:cs="Calibri"/>
          <w:sz w:val="22"/>
          <w:lang w:val="en-GB"/>
        </w:rPr>
        <w:t xml:space="preserve">rapidly increased population. </w:t>
      </w:r>
      <w:r w:rsidR="00FC5A9D" w:rsidRPr="00803973">
        <w:rPr>
          <w:rFonts w:ascii="Palatino Linotype" w:hAnsi="Palatino Linotype" w:cs="Calibri"/>
          <w:sz w:val="22"/>
          <w:lang w:val="en-GB"/>
        </w:rPr>
        <w:t>Single-family detached house</w:t>
      </w:r>
      <w:r w:rsidR="00271AAD" w:rsidRPr="00803973">
        <w:rPr>
          <w:rFonts w:ascii="Palatino Linotype" w:hAnsi="Palatino Linotype" w:cs="Calibri"/>
          <w:sz w:val="22"/>
          <w:lang w:val="en-GB"/>
        </w:rPr>
        <w:t>s</w:t>
      </w:r>
      <w:r w:rsidR="00FC5A9D" w:rsidRPr="00803973">
        <w:rPr>
          <w:rFonts w:ascii="Palatino Linotype" w:hAnsi="Palatino Linotype" w:cs="Calibri"/>
          <w:sz w:val="22"/>
          <w:lang w:val="en-GB"/>
        </w:rPr>
        <w:t xml:space="preserve"> and terrace house</w:t>
      </w:r>
      <w:r w:rsidR="00271AAD" w:rsidRPr="00803973">
        <w:rPr>
          <w:rFonts w:ascii="Palatino Linotype" w:hAnsi="Palatino Linotype" w:cs="Calibri"/>
          <w:sz w:val="22"/>
          <w:lang w:val="en-GB"/>
        </w:rPr>
        <w:t>s</w:t>
      </w:r>
      <w:r w:rsidR="00FC5A9D" w:rsidRPr="00803973">
        <w:rPr>
          <w:rFonts w:ascii="Palatino Linotype" w:hAnsi="Palatino Linotype" w:cs="Calibri"/>
          <w:sz w:val="22"/>
          <w:lang w:val="en-GB"/>
        </w:rPr>
        <w:t xml:space="preserve"> are </w:t>
      </w:r>
      <w:r w:rsidR="00FC37C9" w:rsidRPr="00803973">
        <w:rPr>
          <w:rFonts w:ascii="Palatino Linotype" w:hAnsi="Palatino Linotype" w:cs="Calibri"/>
          <w:sz w:val="22"/>
          <w:lang w:val="en-GB"/>
        </w:rPr>
        <w:t>general</w:t>
      </w:r>
      <w:r w:rsidR="00271AAD" w:rsidRPr="00803973">
        <w:rPr>
          <w:rFonts w:ascii="Palatino Linotype" w:hAnsi="Palatino Linotype" w:cs="Calibri"/>
          <w:sz w:val="22"/>
          <w:lang w:val="en-GB"/>
        </w:rPr>
        <w:t>ly regarded as luxury housing (</w:t>
      </w:r>
      <w:r w:rsidR="00FC5A9D" w:rsidRPr="00803973">
        <w:rPr>
          <w:rFonts w:ascii="Palatino Linotype" w:hAnsi="Palatino Linotype" w:cs="Calibri"/>
          <w:sz w:val="22"/>
          <w:lang w:val="en-GB"/>
        </w:rPr>
        <w:t>especially the former</w:t>
      </w:r>
      <w:r w:rsidR="00271AAD" w:rsidRPr="00803973">
        <w:rPr>
          <w:rFonts w:ascii="Palatino Linotype" w:hAnsi="Palatino Linotype" w:cs="Calibri"/>
          <w:sz w:val="22"/>
          <w:lang w:val="en-GB"/>
        </w:rPr>
        <w:t>)</w:t>
      </w:r>
      <w:r w:rsidR="00FC5A9D" w:rsidRPr="00803973">
        <w:rPr>
          <w:rFonts w:ascii="Palatino Linotype" w:hAnsi="Palatino Linotype" w:cs="Calibri"/>
          <w:sz w:val="22"/>
          <w:lang w:val="en-GB"/>
        </w:rPr>
        <w:t xml:space="preserve">. </w:t>
      </w:r>
    </w:p>
    <w:p w:rsidR="00B42DB4" w:rsidRPr="00803973" w:rsidRDefault="00FC5A9D" w:rsidP="00164C49">
      <w:pPr>
        <w:spacing w:after="120" w:line="276" w:lineRule="auto"/>
        <w:ind w:firstLine="567"/>
        <w:jc w:val="left"/>
        <w:rPr>
          <w:rFonts w:ascii="Palatino Linotype" w:eastAsia="Calibri" w:hAnsi="Palatino Linotype" w:cs="Calibri"/>
          <w:sz w:val="22"/>
          <w:lang w:val="en-GB"/>
        </w:rPr>
      </w:pPr>
      <w:r w:rsidRPr="00803973">
        <w:rPr>
          <w:rFonts w:ascii="Palatino Linotype" w:hAnsi="Palatino Linotype" w:cs="Calibri"/>
          <w:sz w:val="22"/>
          <w:lang w:val="en-GB"/>
        </w:rPr>
        <w:t xml:space="preserve">In Shanghai, </w:t>
      </w:r>
      <w:r w:rsidR="00945DF4" w:rsidRPr="00803973">
        <w:rPr>
          <w:rFonts w:ascii="Palatino Linotype" w:hAnsi="Palatino Linotype" w:cs="Calibri"/>
          <w:sz w:val="22"/>
          <w:lang w:val="en-GB"/>
        </w:rPr>
        <w:t>the</w:t>
      </w:r>
      <w:r w:rsidR="00D27F81" w:rsidRPr="00803973">
        <w:rPr>
          <w:rFonts w:ascii="Palatino Linotype" w:hAnsi="Palatino Linotype" w:cs="Calibri"/>
          <w:sz w:val="22"/>
          <w:lang w:val="en-GB"/>
        </w:rPr>
        <w:t xml:space="preserve"> policies </w:t>
      </w:r>
      <w:r w:rsidR="009A5CD0" w:rsidRPr="00803973">
        <w:rPr>
          <w:rFonts w:ascii="Palatino Linotype" w:hAnsi="Palatino Linotype" w:cs="Calibri"/>
          <w:sz w:val="22"/>
          <w:lang w:val="en-GB"/>
        </w:rPr>
        <w:t>regulat</w:t>
      </w:r>
      <w:r w:rsidR="00D27F81" w:rsidRPr="00803973">
        <w:rPr>
          <w:rFonts w:ascii="Palatino Linotype" w:hAnsi="Palatino Linotype" w:cs="Calibri"/>
          <w:sz w:val="22"/>
          <w:lang w:val="en-GB"/>
        </w:rPr>
        <w:t>ing</w:t>
      </w:r>
      <w:r w:rsidRPr="00803973">
        <w:rPr>
          <w:rFonts w:ascii="Palatino Linotype" w:hAnsi="Palatino Linotype" w:cs="Calibri"/>
          <w:sz w:val="22"/>
          <w:lang w:val="en-GB"/>
        </w:rPr>
        <w:t xml:space="preserve"> house (or villa) development h</w:t>
      </w:r>
      <w:r w:rsidR="00945DF4" w:rsidRPr="00803973">
        <w:rPr>
          <w:rFonts w:ascii="Palatino Linotype" w:hAnsi="Palatino Linotype" w:cs="Calibri"/>
          <w:sz w:val="22"/>
          <w:lang w:val="en-GB"/>
        </w:rPr>
        <w:t>ave</w:t>
      </w:r>
      <w:r w:rsidRPr="00803973">
        <w:rPr>
          <w:rFonts w:ascii="Palatino Linotype" w:hAnsi="Palatino Linotype" w:cs="Calibri"/>
          <w:sz w:val="22"/>
          <w:lang w:val="en-GB"/>
        </w:rPr>
        <w:t xml:space="preserve"> been greatly tightened by</w:t>
      </w:r>
      <w:r w:rsidR="00271AAD" w:rsidRPr="00803973">
        <w:rPr>
          <w:rFonts w:ascii="Palatino Linotype" w:hAnsi="Palatino Linotype" w:cs="Calibri"/>
          <w:sz w:val="22"/>
          <w:lang w:val="en-GB"/>
        </w:rPr>
        <w:t xml:space="preserve"> the</w:t>
      </w:r>
      <w:r w:rsidRPr="00803973">
        <w:rPr>
          <w:rFonts w:ascii="Palatino Linotype" w:hAnsi="Palatino Linotype" w:cs="Calibri"/>
          <w:sz w:val="22"/>
          <w:lang w:val="en-GB"/>
        </w:rPr>
        <w:t xml:space="preserve"> planning authority since 2003 and </w:t>
      </w:r>
      <w:r w:rsidR="00271AAD" w:rsidRPr="00803973">
        <w:rPr>
          <w:rFonts w:ascii="Palatino Linotype" w:hAnsi="Palatino Linotype" w:cs="Calibri"/>
          <w:sz w:val="22"/>
          <w:lang w:val="en-GB"/>
        </w:rPr>
        <w:t>in 2006 the landleasing for pure villa projects ceased to enable improved</w:t>
      </w:r>
      <w:r w:rsidRPr="00803973">
        <w:rPr>
          <w:rFonts w:ascii="Palatino Linotype" w:hAnsi="Palatino Linotype" w:cs="Calibri"/>
          <w:sz w:val="22"/>
          <w:lang w:val="en-GB"/>
        </w:rPr>
        <w:t xml:space="preserve"> land use efficiency. </w:t>
      </w:r>
      <w:r w:rsidR="00D27F81" w:rsidRPr="00803973">
        <w:rPr>
          <w:rFonts w:ascii="Palatino Linotype" w:hAnsi="Palatino Linotype" w:cs="Calibri"/>
          <w:sz w:val="22"/>
          <w:lang w:val="en-GB"/>
        </w:rPr>
        <w:t>Consequently, t</w:t>
      </w:r>
      <w:r w:rsidR="00945DF4" w:rsidRPr="00803973">
        <w:rPr>
          <w:rFonts w:ascii="Palatino Linotype" w:hAnsi="Palatino Linotype" w:cs="Calibri"/>
          <w:sz w:val="22"/>
          <w:lang w:val="en-GB"/>
        </w:rPr>
        <w:t xml:space="preserve">he construction of multi-family apartment </w:t>
      </w:r>
      <w:r w:rsidR="00271AAD" w:rsidRPr="00803973">
        <w:rPr>
          <w:rFonts w:ascii="Palatino Linotype" w:hAnsi="Palatino Linotype" w:cs="Calibri"/>
          <w:sz w:val="22"/>
          <w:lang w:val="en-GB"/>
        </w:rPr>
        <w:t xml:space="preserve">blocks </w:t>
      </w:r>
      <w:r w:rsidR="003B4394" w:rsidRPr="00803973">
        <w:rPr>
          <w:rFonts w:ascii="Palatino Linotype" w:hAnsi="Palatino Linotype" w:cs="Calibri"/>
          <w:sz w:val="22"/>
          <w:lang w:val="en-GB"/>
        </w:rPr>
        <w:t xml:space="preserve">is </w:t>
      </w:r>
      <w:r w:rsidR="00D27F81" w:rsidRPr="00803973">
        <w:rPr>
          <w:rFonts w:ascii="Palatino Linotype" w:hAnsi="Palatino Linotype" w:cs="Calibri"/>
          <w:sz w:val="22"/>
          <w:lang w:val="en-GB"/>
        </w:rPr>
        <w:t xml:space="preserve">encouraged </w:t>
      </w:r>
      <w:r w:rsidR="00945DF4" w:rsidRPr="00803973">
        <w:rPr>
          <w:rFonts w:ascii="Palatino Linotype" w:hAnsi="Palatino Linotype" w:cs="Calibri"/>
          <w:sz w:val="22"/>
          <w:lang w:val="en-GB"/>
        </w:rPr>
        <w:t>as a result of the city’</w:t>
      </w:r>
      <w:r w:rsidR="006015C4" w:rsidRPr="00803973">
        <w:rPr>
          <w:rFonts w:ascii="Palatino Linotype" w:hAnsi="Palatino Linotype" w:cs="Calibri"/>
          <w:sz w:val="22"/>
          <w:lang w:val="en-GB"/>
        </w:rPr>
        <w:t>s scarce land resource</w:t>
      </w:r>
      <w:r w:rsidR="00945DF4" w:rsidRPr="00803973">
        <w:rPr>
          <w:rFonts w:ascii="Palatino Linotype" w:hAnsi="Palatino Linotype" w:cs="Calibri"/>
          <w:sz w:val="22"/>
          <w:lang w:val="en-GB"/>
        </w:rPr>
        <w:t xml:space="preserve"> and huge inflow of migration.</w:t>
      </w:r>
      <w:r w:rsidR="00D27F81" w:rsidRPr="00803973">
        <w:rPr>
          <w:rFonts w:ascii="Palatino Linotype" w:hAnsi="Palatino Linotype" w:cs="Calibri"/>
          <w:sz w:val="22"/>
          <w:lang w:val="en-GB"/>
        </w:rPr>
        <w:t xml:space="preserve"> </w:t>
      </w:r>
      <w:r w:rsidRPr="00803973">
        <w:rPr>
          <w:rFonts w:ascii="Palatino Linotype" w:hAnsi="Palatino Linotype" w:cs="Calibri"/>
          <w:sz w:val="22"/>
          <w:lang w:val="en-GB"/>
        </w:rPr>
        <w:t xml:space="preserve">The regression results in </w:t>
      </w:r>
      <w:r w:rsidR="00EC2028" w:rsidRPr="00803973">
        <w:rPr>
          <w:rFonts w:ascii="Palatino Linotype" w:hAnsi="Palatino Linotype" w:cs="Calibri"/>
          <w:sz w:val="22"/>
          <w:lang w:val="en-GB"/>
        </w:rPr>
        <w:t>T</w:t>
      </w:r>
      <w:r w:rsidRPr="00803973">
        <w:rPr>
          <w:rFonts w:ascii="Palatino Linotype" w:hAnsi="Palatino Linotype" w:cs="Calibri"/>
          <w:sz w:val="22"/>
          <w:lang w:val="en-GB"/>
        </w:rPr>
        <w:t xml:space="preserve">able </w:t>
      </w:r>
      <w:r w:rsidR="00BB2C43" w:rsidRPr="00803973">
        <w:rPr>
          <w:rFonts w:ascii="Palatino Linotype" w:hAnsi="Palatino Linotype" w:cs="Calibri"/>
          <w:sz w:val="22"/>
          <w:lang w:val="en-GB"/>
        </w:rPr>
        <w:t>2</w:t>
      </w:r>
      <w:r w:rsidRPr="00803973">
        <w:rPr>
          <w:rFonts w:ascii="Palatino Linotype" w:hAnsi="Palatino Linotype" w:cs="Calibri"/>
          <w:sz w:val="22"/>
          <w:lang w:val="en-GB"/>
        </w:rPr>
        <w:t xml:space="preserve"> </w:t>
      </w:r>
      <w:r w:rsidR="005163B2" w:rsidRPr="00803973">
        <w:rPr>
          <w:rFonts w:ascii="Palatino Linotype" w:hAnsi="Palatino Linotype" w:cs="Calibri"/>
          <w:sz w:val="22"/>
          <w:lang w:val="en-GB"/>
        </w:rPr>
        <w:t>are supportive of the policies</w:t>
      </w:r>
      <w:r w:rsidRPr="00803973">
        <w:rPr>
          <w:rFonts w:ascii="Palatino Linotype" w:hAnsi="Palatino Linotype" w:cs="Calibri"/>
          <w:sz w:val="22"/>
          <w:lang w:val="en-GB"/>
        </w:rPr>
        <w:t xml:space="preserve">. </w:t>
      </w:r>
      <w:r w:rsidR="006015C4" w:rsidRPr="00803973">
        <w:rPr>
          <w:rFonts w:ascii="Palatino Linotype" w:hAnsi="Palatino Linotype" w:cs="Calibri"/>
          <w:sz w:val="22"/>
          <w:lang w:val="en-GB"/>
        </w:rPr>
        <w:t>However they also expose interesting differences between low-ri</w:t>
      </w:r>
      <w:r w:rsidR="00164C49" w:rsidRPr="00803973">
        <w:rPr>
          <w:rFonts w:ascii="Palatino Linotype" w:hAnsi="Palatino Linotype" w:cs="Calibri"/>
          <w:sz w:val="22"/>
          <w:lang w:val="en-GB"/>
        </w:rPr>
        <w:t xml:space="preserve">se projects and high-rise ones – the former produces more quantities and consumes less time than the latter does. </w:t>
      </w:r>
      <w:r w:rsidR="00826C38" w:rsidRPr="00803973">
        <w:rPr>
          <w:rFonts w:ascii="Palatino Linotype" w:hAnsi="Palatino Linotype" w:cs="Calibri"/>
          <w:sz w:val="22"/>
          <w:lang w:val="en-GB"/>
        </w:rPr>
        <w:t xml:space="preserve">This is an important issue which is worth </w:t>
      </w:r>
      <w:r w:rsidR="000668DC" w:rsidRPr="00803973">
        <w:rPr>
          <w:rFonts w:ascii="Palatino Linotype" w:hAnsi="Palatino Linotype" w:cs="Calibri"/>
          <w:sz w:val="22"/>
          <w:lang w:val="en-GB"/>
        </w:rPr>
        <w:t>examining further</w:t>
      </w:r>
      <w:r w:rsidR="00164C49" w:rsidRPr="00803973">
        <w:rPr>
          <w:rFonts w:ascii="Palatino Linotype" w:hAnsi="Palatino Linotype" w:cs="Calibri"/>
          <w:sz w:val="22"/>
          <w:lang w:val="en-GB"/>
        </w:rPr>
        <w:t>.</w:t>
      </w:r>
    </w:p>
    <w:p w:rsidR="001E401D" w:rsidRPr="00803973" w:rsidRDefault="00DC5AF4">
      <w:pPr>
        <w:spacing w:after="120" w:line="276" w:lineRule="auto"/>
        <w:jc w:val="left"/>
        <w:rPr>
          <w:rFonts w:ascii="Palatino Linotype" w:eastAsia="Calibri" w:hAnsi="Palatino Linotype" w:cs="Calibri"/>
          <w:sz w:val="22"/>
          <w:lang w:val="en-GB"/>
        </w:rPr>
      </w:pPr>
      <w:r w:rsidRPr="00803973">
        <w:rPr>
          <w:rFonts w:ascii="Palatino Linotype" w:eastAsia="Calibri" w:hAnsi="Palatino Linotype" w:cs="Calibri"/>
          <w:sz w:val="22"/>
          <w:lang w:val="en-GB"/>
        </w:rPr>
        <w:t xml:space="preserve"> </w:t>
      </w:r>
      <w:r w:rsidR="00993F69" w:rsidRPr="00803973">
        <w:rPr>
          <w:rFonts w:ascii="Palatino Linotype" w:eastAsia="Calibri" w:hAnsi="Palatino Linotype" w:cs="Calibri"/>
          <w:sz w:val="22"/>
          <w:lang w:val="en-GB"/>
        </w:rPr>
        <w:t xml:space="preserve">        </w:t>
      </w:r>
      <w:r w:rsidR="001E401D" w:rsidRPr="00803973">
        <w:rPr>
          <w:rFonts w:ascii="Palatino Linotype" w:eastAsia="Calibri" w:hAnsi="Palatino Linotype" w:cs="Calibri"/>
          <w:sz w:val="22"/>
          <w:lang w:val="en-GB"/>
        </w:rPr>
        <w:t xml:space="preserve"> </w:t>
      </w:r>
      <w:r w:rsidR="0060075B" w:rsidRPr="00803973">
        <w:rPr>
          <w:rFonts w:ascii="Palatino Linotype" w:eastAsia="Calibri" w:hAnsi="Palatino Linotype" w:cs="Calibri"/>
          <w:sz w:val="22"/>
          <w:lang w:val="en-GB"/>
        </w:rPr>
        <w:t>Model 1 and 2</w:t>
      </w:r>
      <w:r w:rsidR="00B1756D" w:rsidRPr="00803973">
        <w:rPr>
          <w:rFonts w:ascii="Palatino Linotype" w:eastAsia="Calibri" w:hAnsi="Palatino Linotype" w:cs="Calibri"/>
          <w:sz w:val="22"/>
          <w:lang w:val="en-GB"/>
        </w:rPr>
        <w:t xml:space="preserve"> e</w:t>
      </w:r>
      <w:r w:rsidR="002115A2" w:rsidRPr="00803973">
        <w:rPr>
          <w:rFonts w:ascii="Palatino Linotype" w:eastAsia="Calibri" w:hAnsi="Palatino Linotype" w:cs="Calibri"/>
          <w:sz w:val="22"/>
          <w:lang w:val="en-GB"/>
        </w:rPr>
        <w:t>stimate the differential effect</w:t>
      </w:r>
      <w:r w:rsidR="00B1756D" w:rsidRPr="00803973">
        <w:rPr>
          <w:rFonts w:ascii="Palatino Linotype" w:eastAsia="Calibri" w:hAnsi="Palatino Linotype" w:cs="Calibri"/>
          <w:sz w:val="22"/>
          <w:lang w:val="en-GB"/>
        </w:rPr>
        <w:t xml:space="preserve"> of </w:t>
      </w:r>
      <w:r w:rsidR="00C81AE0" w:rsidRPr="00803973">
        <w:rPr>
          <w:rFonts w:ascii="Palatino Linotype" w:eastAsia="Calibri" w:hAnsi="Palatino Linotype" w:cs="Calibri"/>
          <w:sz w:val="22"/>
          <w:lang w:val="en-GB"/>
        </w:rPr>
        <w:t>housing location and</w:t>
      </w:r>
      <w:r w:rsidR="00B1756D" w:rsidRPr="00803973">
        <w:rPr>
          <w:rFonts w:ascii="Palatino Linotype" w:eastAsia="Calibri" w:hAnsi="Palatino Linotype" w:cs="Calibri"/>
          <w:sz w:val="22"/>
          <w:lang w:val="en-GB"/>
        </w:rPr>
        <w:t xml:space="preserve"> type of housing on supply</w:t>
      </w:r>
      <w:r w:rsidR="00C81AE0" w:rsidRPr="00803973">
        <w:rPr>
          <w:rFonts w:ascii="Palatino Linotype" w:eastAsia="Calibri" w:hAnsi="Palatino Linotype" w:cs="Calibri"/>
          <w:sz w:val="22"/>
          <w:lang w:val="en-GB"/>
        </w:rPr>
        <w:t xml:space="preserve"> separately</w:t>
      </w:r>
      <w:r w:rsidR="00B1756D" w:rsidRPr="00803973">
        <w:rPr>
          <w:rFonts w:ascii="Palatino Linotype" w:eastAsia="Calibri" w:hAnsi="Palatino Linotype" w:cs="Calibri"/>
          <w:sz w:val="22"/>
          <w:lang w:val="en-GB"/>
        </w:rPr>
        <w:t xml:space="preserve">. </w:t>
      </w:r>
      <w:r w:rsidR="002115A2" w:rsidRPr="00803973">
        <w:rPr>
          <w:rFonts w:ascii="Palatino Linotype" w:eastAsia="Calibri" w:hAnsi="Palatino Linotype" w:cs="Calibri"/>
          <w:sz w:val="22"/>
          <w:lang w:val="en-GB"/>
        </w:rPr>
        <w:t>If we want to know the differ</w:t>
      </w:r>
      <w:r w:rsidR="00C81AE0" w:rsidRPr="00803973">
        <w:rPr>
          <w:rFonts w:ascii="Palatino Linotype" w:eastAsia="Calibri" w:hAnsi="Palatino Linotype" w:cs="Calibri"/>
          <w:sz w:val="22"/>
          <w:lang w:val="en-GB"/>
        </w:rPr>
        <w:t>ential effects on supply of</w:t>
      </w:r>
      <w:r w:rsidR="002115A2" w:rsidRPr="00803973">
        <w:rPr>
          <w:rFonts w:ascii="Palatino Linotype" w:eastAsia="Calibri" w:hAnsi="Palatino Linotype" w:cs="Calibri"/>
          <w:sz w:val="22"/>
          <w:lang w:val="en-GB"/>
        </w:rPr>
        <w:t xml:space="preserve"> housing location and type of housing</w:t>
      </w:r>
      <w:r w:rsidR="00C81AE0" w:rsidRPr="00803973">
        <w:rPr>
          <w:rFonts w:ascii="Palatino Linotype" w:eastAsia="Calibri" w:hAnsi="Palatino Linotype" w:cs="Calibri"/>
          <w:sz w:val="22"/>
          <w:lang w:val="en-GB"/>
        </w:rPr>
        <w:t xml:space="preserve"> jointly, for example</w:t>
      </w:r>
      <w:r w:rsidR="002115A2" w:rsidRPr="00803973">
        <w:rPr>
          <w:rFonts w:ascii="Palatino Linotype" w:eastAsia="Calibri" w:hAnsi="Palatino Linotype" w:cs="Calibri"/>
          <w:sz w:val="22"/>
          <w:lang w:val="en-GB"/>
        </w:rPr>
        <w:t xml:space="preserve"> to compare </w:t>
      </w:r>
      <w:r w:rsidR="001E401D" w:rsidRPr="00803973">
        <w:rPr>
          <w:rFonts w:ascii="Palatino Linotype" w:eastAsia="Calibri" w:hAnsi="Palatino Linotype" w:cs="Calibri"/>
          <w:sz w:val="22"/>
          <w:lang w:val="en-GB"/>
        </w:rPr>
        <w:t xml:space="preserve">the supply of </w:t>
      </w:r>
      <w:r w:rsidR="00C81AE0" w:rsidRPr="00803973">
        <w:rPr>
          <w:rFonts w:ascii="Palatino Linotype" w:eastAsia="Calibri" w:hAnsi="Palatino Linotype" w:cs="Calibri"/>
          <w:sz w:val="22"/>
          <w:lang w:val="en-GB"/>
        </w:rPr>
        <w:t xml:space="preserve">low-rise </w:t>
      </w:r>
      <w:r w:rsidR="00271AAD" w:rsidRPr="00803973">
        <w:rPr>
          <w:rFonts w:ascii="Palatino Linotype" w:eastAsia="Calibri" w:hAnsi="Palatino Linotype" w:cs="Calibri"/>
          <w:sz w:val="22"/>
          <w:lang w:val="en-GB"/>
        </w:rPr>
        <w:t xml:space="preserve">suburban </w:t>
      </w:r>
      <w:r w:rsidR="001E401D" w:rsidRPr="00803973">
        <w:rPr>
          <w:rFonts w:ascii="Palatino Linotype" w:eastAsia="Calibri" w:hAnsi="Palatino Linotype" w:cs="Calibri"/>
          <w:sz w:val="22"/>
          <w:lang w:val="en-GB"/>
        </w:rPr>
        <w:t>apartment bloc</w:t>
      </w:r>
      <w:r w:rsidR="002115A2" w:rsidRPr="00803973">
        <w:rPr>
          <w:rFonts w:ascii="Palatino Linotype" w:eastAsia="Calibri" w:hAnsi="Palatino Linotype" w:cs="Calibri"/>
          <w:sz w:val="22"/>
          <w:lang w:val="en-GB"/>
        </w:rPr>
        <w:t>k</w:t>
      </w:r>
      <w:r w:rsidR="00271AAD" w:rsidRPr="00803973">
        <w:rPr>
          <w:rFonts w:ascii="Palatino Linotype" w:eastAsia="Calibri" w:hAnsi="Palatino Linotype" w:cs="Calibri"/>
          <w:sz w:val="22"/>
          <w:lang w:val="en-GB"/>
        </w:rPr>
        <w:t xml:space="preserve"> </w:t>
      </w:r>
      <w:r w:rsidR="002115A2" w:rsidRPr="00803973">
        <w:rPr>
          <w:rFonts w:ascii="Palatino Linotype" w:eastAsia="Calibri" w:hAnsi="Palatino Linotype" w:cs="Calibri"/>
          <w:sz w:val="22"/>
          <w:lang w:val="en-GB"/>
        </w:rPr>
        <w:t xml:space="preserve">with </w:t>
      </w:r>
      <w:r w:rsidR="007C5E7C" w:rsidRPr="00803973">
        <w:rPr>
          <w:rFonts w:ascii="Palatino Linotype" w:eastAsia="Calibri" w:hAnsi="Palatino Linotype" w:cs="Calibri"/>
          <w:sz w:val="22"/>
          <w:lang w:val="en-GB"/>
        </w:rPr>
        <w:t xml:space="preserve">that of </w:t>
      </w:r>
      <w:r w:rsidR="00C81AE0" w:rsidRPr="00803973">
        <w:rPr>
          <w:rFonts w:ascii="Palatino Linotype" w:eastAsia="Calibri" w:hAnsi="Palatino Linotype" w:cs="Calibri"/>
          <w:sz w:val="22"/>
          <w:lang w:val="en-GB"/>
        </w:rPr>
        <w:t>high-rise</w:t>
      </w:r>
      <w:r w:rsidR="002115A2" w:rsidRPr="00803973">
        <w:rPr>
          <w:rFonts w:ascii="Palatino Linotype" w:eastAsia="Calibri" w:hAnsi="Palatino Linotype" w:cs="Calibri"/>
          <w:sz w:val="22"/>
          <w:lang w:val="en-GB"/>
        </w:rPr>
        <w:t xml:space="preserve"> </w:t>
      </w:r>
      <w:r w:rsidR="00271AAD" w:rsidRPr="00803973">
        <w:rPr>
          <w:rFonts w:ascii="Palatino Linotype" w:eastAsia="Calibri" w:hAnsi="Palatino Linotype" w:cs="Calibri"/>
          <w:sz w:val="22"/>
          <w:lang w:val="en-GB"/>
        </w:rPr>
        <w:t>in central locations</w:t>
      </w:r>
      <w:r w:rsidR="007C5E7C" w:rsidRPr="00803973">
        <w:rPr>
          <w:rFonts w:ascii="Palatino Linotype" w:eastAsia="Calibri" w:hAnsi="Palatino Linotype" w:cs="Calibri"/>
          <w:sz w:val="22"/>
          <w:lang w:val="en-GB"/>
        </w:rPr>
        <w:t>, we need to introduce interaction terms</w:t>
      </w:r>
      <w:r w:rsidR="00271AAD" w:rsidRPr="00803973">
        <w:rPr>
          <w:rFonts w:ascii="Palatino Linotype" w:eastAsia="Calibri" w:hAnsi="Palatino Linotype" w:cs="Calibri"/>
          <w:sz w:val="22"/>
          <w:lang w:val="en-GB"/>
        </w:rPr>
        <w:t>. These terms</w:t>
      </w:r>
      <w:r w:rsidR="00D80BC3" w:rsidRPr="00803973">
        <w:rPr>
          <w:rFonts w:ascii="Palatino Linotype" w:eastAsia="Calibri" w:hAnsi="Palatino Linotype" w:cs="Calibri"/>
          <w:sz w:val="22"/>
          <w:lang w:val="en-GB"/>
        </w:rPr>
        <w:t xml:space="preserve"> could subsequently help us to identify the best supply category</w:t>
      </w:r>
      <w:r w:rsidR="00777849" w:rsidRPr="00803973">
        <w:rPr>
          <w:rFonts w:ascii="Palatino Linotype" w:eastAsia="Calibri" w:hAnsi="Palatino Linotype" w:cs="Calibri"/>
          <w:sz w:val="22"/>
          <w:lang w:val="en-GB"/>
        </w:rPr>
        <w:t xml:space="preserve">. </w:t>
      </w:r>
      <w:r w:rsidR="007C5E7C" w:rsidRPr="00803973">
        <w:rPr>
          <w:rFonts w:ascii="Palatino Linotype" w:eastAsia="Calibri" w:hAnsi="Palatino Linotype" w:cs="Calibri"/>
          <w:sz w:val="22"/>
          <w:lang w:val="en-GB"/>
        </w:rPr>
        <w:t>To this end, w</w:t>
      </w:r>
      <w:r w:rsidR="00777849" w:rsidRPr="00803973">
        <w:rPr>
          <w:rFonts w:ascii="Palatino Linotype" w:eastAsia="Calibri" w:hAnsi="Palatino Linotype" w:cs="Calibri"/>
          <w:sz w:val="22"/>
          <w:lang w:val="en-GB"/>
        </w:rPr>
        <w:t>e recast model 1</w:t>
      </w:r>
      <w:r w:rsidR="007C5E7C" w:rsidRPr="00803973">
        <w:rPr>
          <w:rFonts w:ascii="Palatino Linotype" w:eastAsia="Calibri" w:hAnsi="Palatino Linotype" w:cs="Calibri"/>
          <w:sz w:val="22"/>
          <w:lang w:val="en-GB"/>
        </w:rPr>
        <w:t xml:space="preserve"> and 2</w:t>
      </w:r>
      <w:r w:rsidR="00777849" w:rsidRPr="00803973">
        <w:rPr>
          <w:rFonts w:ascii="Palatino Linotype" w:eastAsia="Calibri" w:hAnsi="Palatino Linotype" w:cs="Calibri"/>
          <w:sz w:val="22"/>
          <w:lang w:val="en-GB"/>
        </w:rPr>
        <w:t xml:space="preserve"> by adding two</w:t>
      </w:r>
      <w:r w:rsidR="007C5E7C" w:rsidRPr="00803973">
        <w:rPr>
          <w:rFonts w:ascii="Palatino Linotype" w:eastAsia="Calibri" w:hAnsi="Palatino Linotype" w:cs="Calibri"/>
          <w:sz w:val="22"/>
          <w:lang w:val="en-GB"/>
        </w:rPr>
        <w:t xml:space="preserve"> interactive dummie</w:t>
      </w:r>
      <w:r w:rsidR="00777849" w:rsidRPr="00803973">
        <w:rPr>
          <w:rFonts w:ascii="Palatino Linotype" w:eastAsia="Calibri" w:hAnsi="Palatino Linotype" w:cs="Calibri"/>
          <w:sz w:val="22"/>
          <w:lang w:val="en-GB"/>
        </w:rPr>
        <w:t xml:space="preserve">s between location and type of housing to allow the </w:t>
      </w:r>
      <w:r w:rsidR="001E401D" w:rsidRPr="00803973">
        <w:rPr>
          <w:rFonts w:ascii="Palatino Linotype" w:eastAsia="Calibri" w:hAnsi="Palatino Linotype" w:cs="Calibri"/>
          <w:sz w:val="22"/>
          <w:lang w:val="en-GB"/>
        </w:rPr>
        <w:t>premium</w:t>
      </w:r>
      <w:r w:rsidR="00777849" w:rsidRPr="00803973">
        <w:rPr>
          <w:rFonts w:ascii="Palatino Linotype" w:eastAsia="Calibri" w:hAnsi="Palatino Linotype" w:cs="Calibri"/>
          <w:sz w:val="22"/>
          <w:lang w:val="en-GB"/>
        </w:rPr>
        <w:t>s of housing type</w:t>
      </w:r>
      <w:r w:rsidR="00271AAD" w:rsidRPr="00803973">
        <w:rPr>
          <w:rFonts w:ascii="Palatino Linotype" w:eastAsia="Calibri" w:hAnsi="Palatino Linotype" w:cs="Calibri"/>
          <w:sz w:val="22"/>
          <w:lang w:val="en-GB"/>
        </w:rPr>
        <w:t xml:space="preserve"> </w:t>
      </w:r>
      <w:r w:rsidR="001E401D" w:rsidRPr="00803973">
        <w:rPr>
          <w:rFonts w:ascii="Palatino Linotype" w:eastAsia="Calibri" w:hAnsi="Palatino Linotype" w:cs="Calibri"/>
          <w:sz w:val="22"/>
          <w:lang w:val="en-GB"/>
        </w:rPr>
        <w:t>depend</w:t>
      </w:r>
      <w:r w:rsidR="00271AAD" w:rsidRPr="00803973">
        <w:rPr>
          <w:rFonts w:ascii="Palatino Linotype" w:eastAsia="Calibri" w:hAnsi="Palatino Linotype" w:cs="Calibri"/>
          <w:sz w:val="22"/>
          <w:lang w:val="en-GB"/>
        </w:rPr>
        <w:t>ent</w:t>
      </w:r>
      <w:r w:rsidR="001E401D" w:rsidRPr="00803973">
        <w:rPr>
          <w:rFonts w:ascii="Palatino Linotype" w:eastAsia="Calibri" w:hAnsi="Palatino Linotype" w:cs="Calibri"/>
          <w:sz w:val="22"/>
          <w:lang w:val="en-GB"/>
        </w:rPr>
        <w:t xml:space="preserve"> </w:t>
      </w:r>
      <w:r w:rsidR="00271AAD" w:rsidRPr="00803973">
        <w:rPr>
          <w:rFonts w:ascii="Palatino Linotype" w:eastAsia="Calibri" w:hAnsi="Palatino Linotype" w:cs="Calibri"/>
          <w:sz w:val="22"/>
          <w:lang w:val="en-GB"/>
        </w:rPr>
        <w:t>up</w:t>
      </w:r>
      <w:r w:rsidR="001E401D" w:rsidRPr="00803973">
        <w:rPr>
          <w:rFonts w:ascii="Palatino Linotype" w:eastAsia="Calibri" w:hAnsi="Palatino Linotype" w:cs="Calibri"/>
          <w:sz w:val="22"/>
          <w:lang w:val="en-GB"/>
        </w:rPr>
        <w:t>on location.</w:t>
      </w:r>
    </w:p>
    <w:p w:rsidR="001875B2" w:rsidRPr="00803973" w:rsidRDefault="00CD6B02" w:rsidP="001875B2">
      <w:pPr>
        <w:spacing w:after="120" w:line="276" w:lineRule="auto"/>
        <w:ind w:firstLine="480"/>
        <w:jc w:val="left"/>
        <w:rPr>
          <w:rFonts w:ascii="Palatino Linotype" w:eastAsia="Calibri" w:hAnsi="Palatino Linotype" w:cs="Calibri"/>
          <w:sz w:val="22"/>
        </w:rPr>
      </w:pPr>
      <m:oMathPara>
        <m:oMathParaPr>
          <m:jc m:val="left"/>
        </m:oMathParaPr>
        <m:oMath>
          <m:sSubSup>
            <m:sSubSupPr>
              <m:ctrlPr>
                <w:rPr>
                  <w:rFonts w:ascii="Cambria Math" w:hAnsi="Cambria Math" w:cs="Calibri"/>
                  <w:sz w:val="22"/>
                </w:rPr>
              </m:ctrlPr>
            </m:sSubSupPr>
            <m:e>
              <m:r>
                <m:rPr>
                  <m:sty m:val="p"/>
                </m:rPr>
                <w:rPr>
                  <w:rFonts w:ascii="Cambria Math" w:hAnsi="Cambria Math" w:cs="Calibri"/>
                  <w:sz w:val="22"/>
                </w:rPr>
                <m:t>Y</m:t>
              </m:r>
            </m:e>
            <m:sub>
              <m:r>
                <m:rPr>
                  <m:sty m:val="p"/>
                </m:rPr>
                <w:rPr>
                  <w:rFonts w:ascii="Cambria Math" w:hAnsi="Cambria Math" w:cs="Calibri"/>
                  <w:sz w:val="22"/>
                </w:rPr>
                <m:t>1i</m:t>
              </m:r>
            </m:sub>
            <m:sup>
              <m:r>
                <m:rPr>
                  <m:sty m:val="p"/>
                </m:rPr>
                <w:rPr>
                  <w:rFonts w:ascii="Cambria Math" w:hAnsi="Cambria Math" w:cs="Calibri"/>
                  <w:sz w:val="22"/>
                </w:rPr>
                <m:t>γ</m:t>
              </m:r>
            </m:sup>
          </m:sSubSup>
          <m:r>
            <m:rPr>
              <m:sty m:val="p"/>
            </m:rPr>
            <w:rPr>
              <w:rFonts w:ascii="Cambria Math" w:hAnsi="Cambria Math" w:cs="Calibri"/>
              <w:sz w:val="22"/>
            </w:rPr>
            <m:t xml:space="preserve"> = </m:t>
          </m:r>
          <m:sSub>
            <m:sSubPr>
              <m:ctrlPr>
                <w:rPr>
                  <w:rFonts w:ascii="Cambria Math" w:hAnsi="Cambria Math" w:cs="Calibri"/>
                  <w:i/>
                  <w:sz w:val="22"/>
                </w:rPr>
              </m:ctrlPr>
            </m:sSubPr>
            <m:e>
              <m:r>
                <w:rPr>
                  <w:rFonts w:ascii="Cambria Math" w:hAnsi="Cambria Math" w:cs="Calibri"/>
                  <w:sz w:val="22"/>
                </w:rPr>
                <m:t>γ</m:t>
              </m:r>
            </m:e>
            <m:sub>
              <m:r>
                <w:rPr>
                  <w:rFonts w:ascii="Cambria Math" w:hAnsi="Cambria Math" w:cs="Calibri"/>
                  <w:sz w:val="22"/>
                </w:rPr>
                <m:t>10</m:t>
              </m:r>
            </m:sub>
          </m:sSub>
          <m:r>
            <w:rPr>
              <w:rFonts w:ascii="Cambria Math" w:hAnsi="Cambria Math" w:cs="Calibri"/>
              <w:sz w:val="22"/>
            </w:rPr>
            <m:t xml:space="preserve">+ </m:t>
          </m:r>
          <m:sSub>
            <m:sSubPr>
              <m:ctrlPr>
                <w:rPr>
                  <w:rFonts w:ascii="Cambria Math" w:hAnsi="Cambria Math" w:cs="Calibri"/>
                  <w:i/>
                  <w:sz w:val="22"/>
                </w:rPr>
              </m:ctrlPr>
            </m:sSubPr>
            <m:e>
              <m:r>
                <w:rPr>
                  <w:rFonts w:ascii="Cambria Math" w:hAnsi="Cambria Math" w:cs="Calibri"/>
                  <w:sz w:val="22"/>
                </w:rPr>
                <m:t>γ</m:t>
              </m:r>
            </m:e>
            <m:sub>
              <m:r>
                <w:rPr>
                  <w:rFonts w:ascii="Cambria Math" w:hAnsi="Cambria Math" w:cs="Calibri"/>
                  <w:sz w:val="22"/>
                </w:rPr>
                <m:t>11</m:t>
              </m:r>
            </m:sub>
          </m:sSub>
          <m:sSub>
            <m:sSubPr>
              <m:ctrlPr>
                <w:rPr>
                  <w:rFonts w:ascii="Cambria Math" w:hAnsi="Cambria Math" w:cs="Calibri"/>
                  <w:i/>
                  <w:sz w:val="22"/>
                </w:rPr>
              </m:ctrlPr>
            </m:sSubPr>
            <m:e>
              <m:r>
                <w:rPr>
                  <w:rFonts w:ascii="Cambria Math" w:hAnsi="Cambria Math" w:cs="Calibri"/>
                  <w:sz w:val="22"/>
                </w:rPr>
                <m:t>D</m:t>
              </m:r>
            </m:e>
            <m:sub>
              <m:r>
                <w:rPr>
                  <w:rFonts w:ascii="Cambria Math" w:hAnsi="Cambria Math" w:cs="Calibri"/>
                  <w:sz w:val="22"/>
                </w:rPr>
                <m:t>ci</m:t>
              </m:r>
            </m:sub>
          </m:sSub>
          <m:r>
            <w:rPr>
              <w:rFonts w:ascii="Cambria Math" w:hAnsi="Cambria Math" w:cs="Calibri"/>
              <w:sz w:val="22"/>
            </w:rPr>
            <m:t>+</m:t>
          </m:r>
          <m:sSub>
            <m:sSubPr>
              <m:ctrlPr>
                <w:rPr>
                  <w:rFonts w:ascii="Cambria Math" w:hAnsi="Cambria Math" w:cs="Calibri"/>
                  <w:i/>
                  <w:sz w:val="22"/>
                </w:rPr>
              </m:ctrlPr>
            </m:sSubPr>
            <m:e>
              <m:r>
                <w:rPr>
                  <w:rFonts w:ascii="Cambria Math" w:hAnsi="Cambria Math" w:cs="Calibri"/>
                  <w:sz w:val="22"/>
                </w:rPr>
                <m:t>γ</m:t>
              </m:r>
            </m:e>
            <m:sub>
              <m:r>
                <w:rPr>
                  <w:rFonts w:ascii="Cambria Math" w:hAnsi="Cambria Math" w:cs="Calibri"/>
                  <w:sz w:val="22"/>
                </w:rPr>
                <m:t>12</m:t>
              </m:r>
            </m:sub>
          </m:sSub>
          <m:sSub>
            <m:sSubPr>
              <m:ctrlPr>
                <w:rPr>
                  <w:rFonts w:ascii="Cambria Math" w:hAnsi="Cambria Math" w:cs="Calibri"/>
                  <w:i/>
                  <w:sz w:val="22"/>
                </w:rPr>
              </m:ctrlPr>
            </m:sSubPr>
            <m:e>
              <m:r>
                <w:rPr>
                  <w:rFonts w:ascii="Cambria Math" w:hAnsi="Cambria Math" w:cs="Calibri"/>
                  <w:sz w:val="22"/>
                </w:rPr>
                <m:t>D</m:t>
              </m:r>
            </m:e>
            <m:sub>
              <m:r>
                <w:rPr>
                  <w:rFonts w:ascii="Cambria Math" w:hAnsi="Cambria Math" w:cs="Calibri"/>
                  <w:sz w:val="22"/>
                </w:rPr>
                <m:t>Li</m:t>
              </m:r>
            </m:sub>
          </m:sSub>
          <m:r>
            <w:rPr>
              <w:rFonts w:ascii="Cambria Math" w:hAnsi="Cambria Math" w:cs="Calibri"/>
              <w:sz w:val="22"/>
            </w:rPr>
            <m:t>+</m:t>
          </m:r>
          <m:sSub>
            <m:sSubPr>
              <m:ctrlPr>
                <w:rPr>
                  <w:rFonts w:ascii="Cambria Math" w:hAnsi="Cambria Math" w:cs="Calibri"/>
                  <w:i/>
                  <w:sz w:val="22"/>
                </w:rPr>
              </m:ctrlPr>
            </m:sSubPr>
            <m:e>
              <m:r>
                <w:rPr>
                  <w:rFonts w:ascii="Cambria Math" w:hAnsi="Cambria Math" w:cs="Calibri"/>
                  <w:sz w:val="22"/>
                </w:rPr>
                <m:t>γ</m:t>
              </m:r>
            </m:e>
            <m:sub>
              <m:r>
                <w:rPr>
                  <w:rFonts w:ascii="Cambria Math" w:hAnsi="Cambria Math" w:cs="Calibri"/>
                  <w:sz w:val="22"/>
                </w:rPr>
                <m:t>13</m:t>
              </m:r>
            </m:sub>
          </m:sSub>
          <m:sSub>
            <m:sSubPr>
              <m:ctrlPr>
                <w:rPr>
                  <w:rFonts w:ascii="Cambria Math" w:hAnsi="Cambria Math" w:cs="Calibri"/>
                  <w:i/>
                  <w:sz w:val="22"/>
                </w:rPr>
              </m:ctrlPr>
            </m:sSubPr>
            <m:e>
              <m:r>
                <w:rPr>
                  <w:rFonts w:ascii="Cambria Math" w:hAnsi="Cambria Math" w:cs="Calibri"/>
                  <w:sz w:val="22"/>
                </w:rPr>
                <m:t>D</m:t>
              </m:r>
            </m:e>
            <m:sub>
              <m:r>
                <w:rPr>
                  <w:rFonts w:ascii="Cambria Math" w:hAnsi="Cambria Math" w:cs="Calibri"/>
                  <w:sz w:val="22"/>
                </w:rPr>
                <m:t>Hi</m:t>
              </m:r>
            </m:sub>
          </m:sSub>
          <m:r>
            <w:rPr>
              <w:rFonts w:ascii="Cambria Math" w:hAnsi="Cambria Math" w:cs="Calibri"/>
              <w:sz w:val="22"/>
            </w:rPr>
            <m:t>+</m:t>
          </m:r>
          <m:sSub>
            <m:sSubPr>
              <m:ctrlPr>
                <w:rPr>
                  <w:rFonts w:ascii="Cambria Math" w:hAnsi="Cambria Math" w:cs="Calibri"/>
                  <w:i/>
                  <w:sz w:val="22"/>
                </w:rPr>
              </m:ctrlPr>
            </m:sSubPr>
            <m:e>
              <m:r>
                <w:rPr>
                  <w:rFonts w:ascii="Cambria Math" w:hAnsi="Cambria Math" w:cs="Calibri"/>
                  <w:sz w:val="22"/>
                </w:rPr>
                <m:t>γ</m:t>
              </m:r>
            </m:e>
            <m:sub>
              <m:r>
                <w:rPr>
                  <w:rFonts w:ascii="Cambria Math" w:hAnsi="Cambria Math" w:cs="Calibri"/>
                  <w:sz w:val="22"/>
                </w:rPr>
                <m:t>14</m:t>
              </m:r>
            </m:sub>
          </m:sSub>
          <m:d>
            <m:dPr>
              <m:ctrlPr>
                <w:rPr>
                  <w:rFonts w:ascii="Cambria Math" w:hAnsi="Cambria Math" w:cs="Calibri"/>
                  <w:i/>
                  <w:sz w:val="22"/>
                </w:rPr>
              </m:ctrlPr>
            </m:dPr>
            <m:e>
              <m:sSub>
                <m:sSubPr>
                  <m:ctrlPr>
                    <w:rPr>
                      <w:rFonts w:ascii="Cambria Math" w:hAnsi="Cambria Math" w:cs="Calibri"/>
                      <w:i/>
                      <w:sz w:val="22"/>
                    </w:rPr>
                  </m:ctrlPr>
                </m:sSubPr>
                <m:e>
                  <m:r>
                    <w:rPr>
                      <w:rFonts w:ascii="Cambria Math" w:hAnsi="Cambria Math" w:cs="Calibri"/>
                      <w:sz w:val="22"/>
                    </w:rPr>
                    <m:t>D</m:t>
                  </m:r>
                </m:e>
                <m:sub>
                  <m:r>
                    <w:rPr>
                      <w:rFonts w:ascii="Cambria Math" w:hAnsi="Cambria Math" w:cs="Calibri"/>
                      <w:sz w:val="22"/>
                    </w:rPr>
                    <m:t>ci</m:t>
                  </m:r>
                </m:sub>
              </m:sSub>
              <m:r>
                <w:rPr>
                  <w:rFonts w:ascii="Cambria Math" w:hAnsi="Cambria Math" w:cs="Calibri"/>
                  <w:sz w:val="22"/>
                </w:rPr>
                <m:t xml:space="preserve"> × </m:t>
              </m:r>
              <m:sSub>
                <m:sSubPr>
                  <m:ctrlPr>
                    <w:rPr>
                      <w:rFonts w:ascii="Cambria Math" w:hAnsi="Cambria Math" w:cs="Calibri"/>
                      <w:i/>
                      <w:sz w:val="22"/>
                    </w:rPr>
                  </m:ctrlPr>
                </m:sSubPr>
                <m:e>
                  <m:r>
                    <w:rPr>
                      <w:rFonts w:ascii="Cambria Math" w:hAnsi="Cambria Math" w:cs="Calibri"/>
                      <w:sz w:val="22"/>
                    </w:rPr>
                    <m:t>D</m:t>
                  </m:r>
                </m:e>
                <m:sub>
                  <m:r>
                    <w:rPr>
                      <w:rFonts w:ascii="Cambria Math" w:hAnsi="Cambria Math" w:cs="Calibri"/>
                      <w:sz w:val="22"/>
                    </w:rPr>
                    <m:t>Li</m:t>
                  </m:r>
                </m:sub>
              </m:sSub>
            </m:e>
          </m:d>
          <m:r>
            <w:rPr>
              <w:rFonts w:ascii="Cambria Math" w:hAnsi="Cambria Math" w:cs="Calibri"/>
              <w:sz w:val="22"/>
            </w:rPr>
            <m:t>+</m:t>
          </m:r>
          <m:sSub>
            <m:sSubPr>
              <m:ctrlPr>
                <w:rPr>
                  <w:rFonts w:ascii="Cambria Math" w:hAnsi="Cambria Math" w:cs="Calibri"/>
                  <w:i/>
                  <w:sz w:val="22"/>
                </w:rPr>
              </m:ctrlPr>
            </m:sSubPr>
            <m:e>
              <m:r>
                <w:rPr>
                  <w:rFonts w:ascii="Cambria Math" w:hAnsi="Cambria Math" w:cs="Calibri"/>
                  <w:sz w:val="22"/>
                </w:rPr>
                <m:t>γ</m:t>
              </m:r>
            </m:e>
            <m:sub>
              <m:r>
                <w:rPr>
                  <w:rFonts w:ascii="Cambria Math" w:hAnsi="Cambria Math" w:cs="Calibri"/>
                  <w:sz w:val="22"/>
                </w:rPr>
                <m:t>15</m:t>
              </m:r>
            </m:sub>
          </m:sSub>
          <m:d>
            <m:dPr>
              <m:ctrlPr>
                <w:rPr>
                  <w:rFonts w:ascii="Cambria Math" w:hAnsi="Cambria Math" w:cs="Calibri"/>
                  <w:i/>
                  <w:sz w:val="22"/>
                </w:rPr>
              </m:ctrlPr>
            </m:dPr>
            <m:e>
              <m:sSub>
                <m:sSubPr>
                  <m:ctrlPr>
                    <w:rPr>
                      <w:rFonts w:ascii="Cambria Math" w:hAnsi="Cambria Math" w:cs="Calibri"/>
                      <w:i/>
                      <w:sz w:val="22"/>
                    </w:rPr>
                  </m:ctrlPr>
                </m:sSubPr>
                <m:e>
                  <m:r>
                    <w:rPr>
                      <w:rFonts w:ascii="Cambria Math" w:hAnsi="Cambria Math" w:cs="Calibri"/>
                      <w:sz w:val="22"/>
                    </w:rPr>
                    <m:t>D</m:t>
                  </m:r>
                </m:e>
                <m:sub>
                  <m:r>
                    <w:rPr>
                      <w:rFonts w:ascii="Cambria Math" w:hAnsi="Cambria Math" w:cs="Calibri"/>
                      <w:sz w:val="22"/>
                    </w:rPr>
                    <m:t>ci</m:t>
                  </m:r>
                </m:sub>
              </m:sSub>
              <m:r>
                <w:rPr>
                  <w:rFonts w:ascii="Cambria Math" w:hAnsi="Cambria Math" w:cs="Calibri"/>
                  <w:sz w:val="22"/>
                </w:rPr>
                <m:t xml:space="preserve"> × </m:t>
              </m:r>
              <m:sSub>
                <m:sSubPr>
                  <m:ctrlPr>
                    <w:rPr>
                      <w:rFonts w:ascii="Cambria Math" w:hAnsi="Cambria Math" w:cs="Calibri"/>
                      <w:i/>
                      <w:sz w:val="22"/>
                    </w:rPr>
                  </m:ctrlPr>
                </m:sSubPr>
                <m:e>
                  <m:r>
                    <w:rPr>
                      <w:rFonts w:ascii="Cambria Math" w:hAnsi="Cambria Math" w:cs="Calibri"/>
                      <w:sz w:val="22"/>
                    </w:rPr>
                    <m:t>D</m:t>
                  </m:r>
                </m:e>
                <m:sub>
                  <m:r>
                    <w:rPr>
                      <w:rFonts w:ascii="Cambria Math" w:hAnsi="Cambria Math" w:cs="Calibri"/>
                      <w:sz w:val="22"/>
                    </w:rPr>
                    <m:t>Hi</m:t>
                  </m:r>
                </m:sub>
              </m:sSub>
            </m:e>
          </m:d>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μ</m:t>
              </m:r>
            </m:e>
            <m:sub>
              <m:r>
                <w:rPr>
                  <w:rFonts w:ascii="Cambria Math" w:hAnsi="Cambria Math" w:cs="Calibri"/>
                  <w:sz w:val="22"/>
                </w:rPr>
                <m:t>1i</m:t>
              </m:r>
            </m:sub>
            <m:sup>
              <m:r>
                <w:rPr>
                  <w:rFonts w:ascii="Cambria Math" w:hAnsi="Cambria Math" w:cs="Calibri"/>
                  <w:sz w:val="22"/>
                </w:rPr>
                <m:t>γ</m:t>
              </m:r>
            </m:sup>
          </m:sSubSup>
          <m:r>
            <w:rPr>
              <w:rFonts w:ascii="Cambria Math" w:hAnsi="Cambria Math" w:cs="Calibri"/>
              <w:sz w:val="22"/>
            </w:rPr>
            <m:t>;</m:t>
          </m:r>
        </m:oMath>
      </m:oMathPara>
    </w:p>
    <w:p w:rsidR="001875B2" w:rsidRPr="00803973" w:rsidRDefault="001875B2" w:rsidP="001875B2">
      <w:pPr>
        <w:spacing w:after="120" w:line="276" w:lineRule="auto"/>
        <w:ind w:firstLine="480"/>
        <w:jc w:val="left"/>
        <w:rPr>
          <w:rFonts w:ascii="Palatino Linotype" w:hAnsi="Palatino Linotype" w:cs="Calibri"/>
          <w:b/>
          <w:sz w:val="22"/>
        </w:rPr>
      </w:pPr>
      <m:oMathPara>
        <m:oMath>
          <m:r>
            <w:rPr>
              <w:rFonts w:ascii="Cambria Math" w:hAnsi="Cambria Math" w:cs="Calibri"/>
              <w:sz w:val="22"/>
            </w:rPr>
            <m:t xml:space="preserve">                                                                           i =1,2,…, 833            </m:t>
          </m:r>
          <m:r>
            <m:rPr>
              <m:sty m:val="bi"/>
            </m:rPr>
            <w:rPr>
              <w:rFonts w:ascii="Cambria Math" w:hAnsi="Cambria Math" w:cs="Calibri"/>
              <w:sz w:val="22"/>
            </w:rPr>
            <m:t>3</m:t>
          </m:r>
          <m:r>
            <m:rPr>
              <m:sty m:val="bi"/>
            </m:rPr>
            <w:rPr>
              <w:rFonts w:ascii="Cambria Math" w:hAnsi="Cambria Math" w:cs="Calibri"/>
              <w:sz w:val="22"/>
            </w:rPr>
            <m:t>a</m:t>
          </m:r>
        </m:oMath>
      </m:oMathPara>
    </w:p>
    <w:p w:rsidR="00343520" w:rsidRPr="00803973" w:rsidRDefault="00CD6B02" w:rsidP="00343520">
      <w:pPr>
        <w:spacing w:after="120" w:line="276" w:lineRule="auto"/>
        <w:ind w:firstLine="480"/>
        <w:jc w:val="left"/>
        <w:rPr>
          <w:rFonts w:ascii="Palatino Linotype" w:eastAsia="Calibri" w:hAnsi="Palatino Linotype" w:cs="Calibri"/>
          <w:sz w:val="22"/>
        </w:rPr>
      </w:pPr>
      <m:oMathPara>
        <m:oMathParaPr>
          <m:jc m:val="left"/>
        </m:oMathParaPr>
        <m:oMath>
          <m:sSubSup>
            <m:sSubSupPr>
              <m:ctrlPr>
                <w:rPr>
                  <w:rFonts w:ascii="Cambria Math" w:hAnsi="Cambria Math" w:cs="Calibri"/>
                  <w:sz w:val="22"/>
                </w:rPr>
              </m:ctrlPr>
            </m:sSubSupPr>
            <m:e>
              <m:r>
                <m:rPr>
                  <m:sty m:val="p"/>
                </m:rPr>
                <w:rPr>
                  <w:rFonts w:ascii="Cambria Math" w:hAnsi="Cambria Math" w:cs="Calibri"/>
                  <w:sz w:val="22"/>
                </w:rPr>
                <m:t>Y</m:t>
              </m:r>
            </m:e>
            <m:sub>
              <m:r>
                <m:rPr>
                  <m:sty m:val="p"/>
                </m:rPr>
                <w:rPr>
                  <w:rFonts w:ascii="Cambria Math" w:hAnsi="Cambria Math" w:cs="Calibri"/>
                  <w:sz w:val="22"/>
                </w:rPr>
                <m:t>2i</m:t>
              </m:r>
            </m:sub>
            <m:sup>
              <m:r>
                <m:rPr>
                  <m:sty m:val="p"/>
                </m:rPr>
                <w:rPr>
                  <w:rFonts w:ascii="Cambria Math" w:hAnsi="Cambria Math" w:cs="Calibri"/>
                  <w:sz w:val="22"/>
                </w:rPr>
                <m:t>γ</m:t>
              </m:r>
            </m:sup>
          </m:sSubSup>
          <m:r>
            <m:rPr>
              <m:sty m:val="p"/>
            </m:rPr>
            <w:rPr>
              <w:rFonts w:ascii="Cambria Math" w:hAnsi="Cambria Math" w:cs="Calibri"/>
              <w:sz w:val="22"/>
            </w:rPr>
            <m:t xml:space="preserve">= </m:t>
          </m:r>
          <m:sSub>
            <m:sSubPr>
              <m:ctrlPr>
                <w:rPr>
                  <w:rFonts w:ascii="Cambria Math" w:hAnsi="Cambria Math" w:cs="Calibri"/>
                  <w:i/>
                  <w:sz w:val="22"/>
                </w:rPr>
              </m:ctrlPr>
            </m:sSubPr>
            <m:e>
              <m:r>
                <w:rPr>
                  <w:rFonts w:ascii="Cambria Math" w:hAnsi="Cambria Math" w:cs="Calibri"/>
                  <w:sz w:val="22"/>
                </w:rPr>
                <m:t>γ</m:t>
              </m:r>
            </m:e>
            <m:sub>
              <m:r>
                <w:rPr>
                  <w:rFonts w:ascii="Cambria Math" w:hAnsi="Cambria Math" w:cs="Calibri"/>
                  <w:sz w:val="22"/>
                </w:rPr>
                <m:t>20</m:t>
              </m:r>
            </m:sub>
          </m:sSub>
          <m:r>
            <w:rPr>
              <w:rFonts w:ascii="Cambria Math" w:hAnsi="Cambria Math" w:cs="Calibri"/>
              <w:sz w:val="22"/>
            </w:rPr>
            <m:t xml:space="preserve">+ </m:t>
          </m:r>
          <m:sSub>
            <m:sSubPr>
              <m:ctrlPr>
                <w:rPr>
                  <w:rFonts w:ascii="Cambria Math" w:hAnsi="Cambria Math" w:cs="Calibri"/>
                  <w:i/>
                  <w:sz w:val="22"/>
                </w:rPr>
              </m:ctrlPr>
            </m:sSubPr>
            <m:e>
              <m:r>
                <w:rPr>
                  <w:rFonts w:ascii="Cambria Math" w:hAnsi="Cambria Math" w:cs="Calibri"/>
                  <w:sz w:val="22"/>
                </w:rPr>
                <m:t>γ</m:t>
              </m:r>
            </m:e>
            <m:sub>
              <m:r>
                <w:rPr>
                  <w:rFonts w:ascii="Cambria Math" w:hAnsi="Cambria Math" w:cs="Calibri"/>
                  <w:sz w:val="22"/>
                </w:rPr>
                <m:t>21</m:t>
              </m:r>
            </m:sub>
          </m:sSub>
          <m:sSub>
            <m:sSubPr>
              <m:ctrlPr>
                <w:rPr>
                  <w:rFonts w:ascii="Cambria Math" w:hAnsi="Cambria Math" w:cs="Calibri"/>
                  <w:i/>
                  <w:sz w:val="22"/>
                </w:rPr>
              </m:ctrlPr>
            </m:sSubPr>
            <m:e>
              <m:r>
                <w:rPr>
                  <w:rFonts w:ascii="Cambria Math" w:hAnsi="Cambria Math" w:cs="Calibri"/>
                  <w:sz w:val="22"/>
                </w:rPr>
                <m:t>D</m:t>
              </m:r>
            </m:e>
            <m:sub>
              <m:r>
                <w:rPr>
                  <w:rFonts w:ascii="Cambria Math" w:hAnsi="Cambria Math" w:cs="Calibri"/>
                  <w:sz w:val="22"/>
                </w:rPr>
                <m:t>ci</m:t>
              </m:r>
            </m:sub>
          </m:sSub>
          <m:r>
            <w:rPr>
              <w:rFonts w:ascii="Cambria Math" w:hAnsi="Cambria Math" w:cs="Calibri"/>
              <w:sz w:val="22"/>
            </w:rPr>
            <m:t>+</m:t>
          </m:r>
          <m:sSub>
            <m:sSubPr>
              <m:ctrlPr>
                <w:rPr>
                  <w:rFonts w:ascii="Cambria Math" w:hAnsi="Cambria Math" w:cs="Calibri"/>
                  <w:i/>
                  <w:sz w:val="22"/>
                </w:rPr>
              </m:ctrlPr>
            </m:sSubPr>
            <m:e>
              <m:r>
                <w:rPr>
                  <w:rFonts w:ascii="Cambria Math" w:hAnsi="Cambria Math" w:cs="Calibri"/>
                  <w:sz w:val="22"/>
                </w:rPr>
                <m:t>γ</m:t>
              </m:r>
            </m:e>
            <m:sub>
              <m:r>
                <w:rPr>
                  <w:rFonts w:ascii="Cambria Math" w:hAnsi="Cambria Math" w:cs="Calibri"/>
                  <w:sz w:val="22"/>
                </w:rPr>
                <m:t>22</m:t>
              </m:r>
            </m:sub>
          </m:sSub>
          <m:sSub>
            <m:sSubPr>
              <m:ctrlPr>
                <w:rPr>
                  <w:rFonts w:ascii="Cambria Math" w:hAnsi="Cambria Math" w:cs="Calibri"/>
                  <w:i/>
                  <w:sz w:val="22"/>
                </w:rPr>
              </m:ctrlPr>
            </m:sSubPr>
            <m:e>
              <m:r>
                <w:rPr>
                  <w:rFonts w:ascii="Cambria Math" w:hAnsi="Cambria Math" w:cs="Calibri"/>
                  <w:sz w:val="22"/>
                </w:rPr>
                <m:t>D</m:t>
              </m:r>
            </m:e>
            <m:sub>
              <m:r>
                <w:rPr>
                  <w:rFonts w:ascii="Cambria Math" w:hAnsi="Cambria Math" w:cs="Calibri"/>
                  <w:sz w:val="22"/>
                </w:rPr>
                <m:t>Li</m:t>
              </m:r>
            </m:sub>
          </m:sSub>
          <m:r>
            <w:rPr>
              <w:rFonts w:ascii="Cambria Math" w:hAnsi="Cambria Math" w:cs="Calibri"/>
              <w:sz w:val="22"/>
            </w:rPr>
            <m:t>+</m:t>
          </m:r>
          <m:sSub>
            <m:sSubPr>
              <m:ctrlPr>
                <w:rPr>
                  <w:rFonts w:ascii="Cambria Math" w:hAnsi="Cambria Math" w:cs="Calibri"/>
                  <w:i/>
                  <w:sz w:val="22"/>
                </w:rPr>
              </m:ctrlPr>
            </m:sSubPr>
            <m:e>
              <m:r>
                <w:rPr>
                  <w:rFonts w:ascii="Cambria Math" w:hAnsi="Cambria Math" w:cs="Calibri"/>
                  <w:sz w:val="22"/>
                </w:rPr>
                <m:t>γ</m:t>
              </m:r>
            </m:e>
            <m:sub>
              <m:r>
                <w:rPr>
                  <w:rFonts w:ascii="Cambria Math" w:hAnsi="Cambria Math" w:cs="Calibri"/>
                  <w:sz w:val="22"/>
                </w:rPr>
                <m:t>23</m:t>
              </m:r>
            </m:sub>
          </m:sSub>
          <m:sSub>
            <m:sSubPr>
              <m:ctrlPr>
                <w:rPr>
                  <w:rFonts w:ascii="Cambria Math" w:hAnsi="Cambria Math" w:cs="Calibri"/>
                  <w:i/>
                  <w:sz w:val="22"/>
                </w:rPr>
              </m:ctrlPr>
            </m:sSubPr>
            <m:e>
              <m:r>
                <w:rPr>
                  <w:rFonts w:ascii="Cambria Math" w:hAnsi="Cambria Math" w:cs="Calibri"/>
                  <w:sz w:val="22"/>
                </w:rPr>
                <m:t>D</m:t>
              </m:r>
            </m:e>
            <m:sub>
              <m:r>
                <w:rPr>
                  <w:rFonts w:ascii="Cambria Math" w:hAnsi="Cambria Math" w:cs="Calibri"/>
                  <w:sz w:val="22"/>
                </w:rPr>
                <m:t>Hi</m:t>
              </m:r>
            </m:sub>
          </m:sSub>
          <m:r>
            <w:rPr>
              <w:rFonts w:ascii="Cambria Math" w:hAnsi="Cambria Math" w:cs="Calibri"/>
              <w:sz w:val="22"/>
            </w:rPr>
            <m:t>+</m:t>
          </m:r>
          <m:sSub>
            <m:sSubPr>
              <m:ctrlPr>
                <w:rPr>
                  <w:rFonts w:ascii="Cambria Math" w:hAnsi="Cambria Math" w:cs="Calibri"/>
                  <w:i/>
                  <w:sz w:val="22"/>
                </w:rPr>
              </m:ctrlPr>
            </m:sSubPr>
            <m:e>
              <m:r>
                <w:rPr>
                  <w:rFonts w:ascii="Cambria Math" w:hAnsi="Cambria Math" w:cs="Calibri"/>
                  <w:sz w:val="22"/>
                </w:rPr>
                <m:t>γ</m:t>
              </m:r>
            </m:e>
            <m:sub>
              <m:r>
                <w:rPr>
                  <w:rFonts w:ascii="Cambria Math" w:hAnsi="Cambria Math" w:cs="Calibri"/>
                  <w:sz w:val="22"/>
                </w:rPr>
                <m:t>24</m:t>
              </m:r>
            </m:sub>
          </m:sSub>
          <m:d>
            <m:dPr>
              <m:ctrlPr>
                <w:rPr>
                  <w:rFonts w:ascii="Cambria Math" w:hAnsi="Cambria Math" w:cs="Calibri"/>
                  <w:i/>
                  <w:sz w:val="22"/>
                </w:rPr>
              </m:ctrlPr>
            </m:dPr>
            <m:e>
              <m:sSub>
                <m:sSubPr>
                  <m:ctrlPr>
                    <w:rPr>
                      <w:rFonts w:ascii="Cambria Math" w:hAnsi="Cambria Math" w:cs="Calibri"/>
                      <w:i/>
                      <w:sz w:val="22"/>
                    </w:rPr>
                  </m:ctrlPr>
                </m:sSubPr>
                <m:e>
                  <m:r>
                    <w:rPr>
                      <w:rFonts w:ascii="Cambria Math" w:hAnsi="Cambria Math" w:cs="Calibri"/>
                      <w:sz w:val="22"/>
                    </w:rPr>
                    <m:t>D</m:t>
                  </m:r>
                </m:e>
                <m:sub>
                  <m:r>
                    <w:rPr>
                      <w:rFonts w:ascii="Cambria Math" w:hAnsi="Cambria Math" w:cs="Calibri"/>
                      <w:sz w:val="22"/>
                    </w:rPr>
                    <m:t>ci</m:t>
                  </m:r>
                </m:sub>
              </m:sSub>
              <m:r>
                <w:rPr>
                  <w:rFonts w:ascii="Cambria Math" w:hAnsi="Cambria Math" w:cs="Calibri"/>
                  <w:sz w:val="22"/>
                </w:rPr>
                <m:t xml:space="preserve"> × </m:t>
              </m:r>
              <m:sSub>
                <m:sSubPr>
                  <m:ctrlPr>
                    <w:rPr>
                      <w:rFonts w:ascii="Cambria Math" w:hAnsi="Cambria Math" w:cs="Calibri"/>
                      <w:i/>
                      <w:sz w:val="22"/>
                    </w:rPr>
                  </m:ctrlPr>
                </m:sSubPr>
                <m:e>
                  <m:r>
                    <w:rPr>
                      <w:rFonts w:ascii="Cambria Math" w:hAnsi="Cambria Math" w:cs="Calibri"/>
                      <w:sz w:val="22"/>
                    </w:rPr>
                    <m:t>D</m:t>
                  </m:r>
                </m:e>
                <m:sub>
                  <m:r>
                    <w:rPr>
                      <w:rFonts w:ascii="Cambria Math" w:hAnsi="Cambria Math" w:cs="Calibri"/>
                      <w:sz w:val="22"/>
                    </w:rPr>
                    <m:t>Li</m:t>
                  </m:r>
                </m:sub>
              </m:sSub>
            </m:e>
          </m:d>
          <m:r>
            <w:rPr>
              <w:rFonts w:ascii="Cambria Math" w:hAnsi="Cambria Math" w:cs="Calibri"/>
              <w:sz w:val="22"/>
            </w:rPr>
            <m:t>+</m:t>
          </m:r>
          <m:sSub>
            <m:sSubPr>
              <m:ctrlPr>
                <w:rPr>
                  <w:rFonts w:ascii="Cambria Math" w:hAnsi="Cambria Math" w:cs="Calibri"/>
                  <w:i/>
                  <w:sz w:val="22"/>
                </w:rPr>
              </m:ctrlPr>
            </m:sSubPr>
            <m:e>
              <m:r>
                <w:rPr>
                  <w:rFonts w:ascii="Cambria Math" w:hAnsi="Cambria Math" w:cs="Calibri"/>
                  <w:sz w:val="22"/>
                </w:rPr>
                <m:t>γ</m:t>
              </m:r>
            </m:e>
            <m:sub>
              <m:r>
                <w:rPr>
                  <w:rFonts w:ascii="Cambria Math" w:hAnsi="Cambria Math" w:cs="Calibri"/>
                  <w:sz w:val="22"/>
                </w:rPr>
                <m:t>25</m:t>
              </m:r>
            </m:sub>
          </m:sSub>
          <m:d>
            <m:dPr>
              <m:ctrlPr>
                <w:rPr>
                  <w:rFonts w:ascii="Cambria Math" w:hAnsi="Cambria Math" w:cs="Calibri"/>
                  <w:i/>
                  <w:sz w:val="22"/>
                </w:rPr>
              </m:ctrlPr>
            </m:dPr>
            <m:e>
              <m:sSub>
                <m:sSubPr>
                  <m:ctrlPr>
                    <w:rPr>
                      <w:rFonts w:ascii="Cambria Math" w:hAnsi="Cambria Math" w:cs="Calibri"/>
                      <w:i/>
                      <w:sz w:val="22"/>
                    </w:rPr>
                  </m:ctrlPr>
                </m:sSubPr>
                <m:e>
                  <m:r>
                    <w:rPr>
                      <w:rFonts w:ascii="Cambria Math" w:hAnsi="Cambria Math" w:cs="Calibri"/>
                      <w:sz w:val="22"/>
                    </w:rPr>
                    <m:t>D</m:t>
                  </m:r>
                </m:e>
                <m:sub>
                  <m:r>
                    <w:rPr>
                      <w:rFonts w:ascii="Cambria Math" w:hAnsi="Cambria Math" w:cs="Calibri"/>
                      <w:sz w:val="22"/>
                    </w:rPr>
                    <m:t>ci</m:t>
                  </m:r>
                </m:sub>
              </m:sSub>
              <m:r>
                <w:rPr>
                  <w:rFonts w:ascii="Cambria Math" w:hAnsi="Cambria Math" w:cs="Calibri"/>
                  <w:sz w:val="22"/>
                </w:rPr>
                <m:t xml:space="preserve"> × </m:t>
              </m:r>
              <m:sSub>
                <m:sSubPr>
                  <m:ctrlPr>
                    <w:rPr>
                      <w:rFonts w:ascii="Cambria Math" w:hAnsi="Cambria Math" w:cs="Calibri"/>
                      <w:i/>
                      <w:sz w:val="22"/>
                    </w:rPr>
                  </m:ctrlPr>
                </m:sSubPr>
                <m:e>
                  <m:r>
                    <w:rPr>
                      <w:rFonts w:ascii="Cambria Math" w:hAnsi="Cambria Math" w:cs="Calibri"/>
                      <w:sz w:val="22"/>
                    </w:rPr>
                    <m:t>D</m:t>
                  </m:r>
                </m:e>
                <m:sub>
                  <m:r>
                    <w:rPr>
                      <w:rFonts w:ascii="Cambria Math" w:hAnsi="Cambria Math" w:cs="Calibri"/>
                      <w:sz w:val="22"/>
                    </w:rPr>
                    <m:t>Hi</m:t>
                  </m:r>
                </m:sub>
              </m:sSub>
            </m:e>
          </m:d>
          <m:r>
            <w:rPr>
              <w:rFonts w:ascii="Cambria Math" w:hAnsi="Cambria Math" w:cs="Calibri"/>
              <w:sz w:val="22"/>
            </w:rPr>
            <m:t>+</m:t>
          </m:r>
          <m:sSubSup>
            <m:sSubSupPr>
              <m:ctrlPr>
                <w:rPr>
                  <w:rFonts w:ascii="Cambria Math" w:hAnsi="Cambria Math" w:cs="Calibri"/>
                  <w:i/>
                  <w:sz w:val="22"/>
                </w:rPr>
              </m:ctrlPr>
            </m:sSubSupPr>
            <m:e>
              <m:r>
                <w:rPr>
                  <w:rFonts w:ascii="Cambria Math" w:hAnsi="Cambria Math" w:cs="Calibri"/>
                  <w:sz w:val="22"/>
                </w:rPr>
                <m:t>μ</m:t>
              </m:r>
            </m:e>
            <m:sub>
              <m:r>
                <w:rPr>
                  <w:rFonts w:ascii="Cambria Math" w:hAnsi="Cambria Math" w:cs="Calibri"/>
                  <w:sz w:val="22"/>
                </w:rPr>
                <m:t>2i</m:t>
              </m:r>
            </m:sub>
            <m:sup>
              <m:r>
                <w:rPr>
                  <w:rFonts w:ascii="Cambria Math" w:hAnsi="Cambria Math" w:cs="Calibri"/>
                  <w:sz w:val="22"/>
                </w:rPr>
                <m:t>γ</m:t>
              </m:r>
            </m:sup>
          </m:sSubSup>
          <m:r>
            <w:rPr>
              <w:rFonts w:ascii="Cambria Math" w:hAnsi="Cambria Math" w:cs="Calibri"/>
              <w:sz w:val="22"/>
            </w:rPr>
            <m:t>;</m:t>
          </m:r>
        </m:oMath>
      </m:oMathPara>
    </w:p>
    <w:p w:rsidR="00343520" w:rsidRPr="00803973" w:rsidRDefault="00343520" w:rsidP="00343520">
      <w:pPr>
        <w:spacing w:after="120" w:line="276" w:lineRule="auto"/>
        <w:ind w:firstLine="480"/>
        <w:jc w:val="left"/>
        <w:rPr>
          <w:rFonts w:ascii="Palatino Linotype" w:hAnsi="Palatino Linotype" w:cs="Calibri"/>
          <w:b/>
          <w:sz w:val="22"/>
          <w:lang w:val="en-GB"/>
        </w:rPr>
      </w:pPr>
      <m:oMathPara>
        <m:oMath>
          <m:r>
            <w:rPr>
              <w:rFonts w:ascii="Cambria Math" w:hAnsi="Cambria Math" w:cs="Calibri"/>
              <w:sz w:val="22"/>
            </w:rPr>
            <m:t xml:space="preserve">                                                                           i =1,2,…, 833            </m:t>
          </m:r>
          <m:r>
            <m:rPr>
              <m:sty m:val="bi"/>
            </m:rPr>
            <w:rPr>
              <w:rFonts w:ascii="Cambria Math" w:hAnsi="Cambria Math" w:cs="Calibri"/>
              <w:sz w:val="22"/>
            </w:rPr>
            <m:t>3</m:t>
          </m:r>
          <m:r>
            <m:rPr>
              <m:sty m:val="bi"/>
            </m:rPr>
            <w:rPr>
              <w:rFonts w:ascii="Cambria Math" w:hAnsi="Cambria Math" w:cs="Calibri"/>
              <w:sz w:val="22"/>
            </w:rPr>
            <m:t>b</m:t>
          </m:r>
        </m:oMath>
      </m:oMathPara>
    </w:p>
    <w:p w:rsidR="007A70D7" w:rsidRPr="00803973" w:rsidRDefault="007A70D7" w:rsidP="007A70D7">
      <w:pPr>
        <w:spacing w:after="120" w:line="276" w:lineRule="auto"/>
        <w:jc w:val="left"/>
        <w:rPr>
          <w:rFonts w:ascii="Palatino Linotype" w:eastAsia="Calibri" w:hAnsi="Palatino Linotype" w:cs="Calibri"/>
          <w:sz w:val="22"/>
          <w:lang w:val="en-GB"/>
        </w:rPr>
      </w:pPr>
      <w:r w:rsidRPr="00803973">
        <w:rPr>
          <w:rFonts w:ascii="Palatino Linotype" w:eastAsia="Calibri" w:hAnsi="Palatino Linotype" w:cs="Calibri"/>
          <w:sz w:val="22"/>
        </w:rPr>
        <w:t>Where:</w:t>
      </w:r>
    </w:p>
    <w:p w:rsidR="007A70D7" w:rsidRPr="00803973" w:rsidRDefault="007A70D7" w:rsidP="007A70D7">
      <w:pPr>
        <w:spacing w:after="120" w:line="276" w:lineRule="auto"/>
        <w:jc w:val="left"/>
        <w:rPr>
          <w:rFonts w:ascii="Palatino Linotype" w:eastAsia="Calibri" w:hAnsi="Palatino Linotype" w:cs="Calibri"/>
          <w:kern w:val="0"/>
          <w:sz w:val="22"/>
          <w:lang w:val="en-GB"/>
        </w:rPr>
      </w:pPr>
      <m:oMathPara>
        <m:oMathParaPr>
          <m:jc m:val="left"/>
        </m:oMathParaPr>
        <m:oMath>
          <m:r>
            <w:rPr>
              <w:rFonts w:ascii="Cambria Math" w:eastAsia="Calibri" w:hAnsi="Cambria Math" w:cs="Calibri"/>
              <w:sz w:val="22"/>
            </w:rPr>
            <m:t xml:space="preserve">  </m:t>
          </m:r>
          <m:sSub>
            <m:sSubPr>
              <m:ctrlPr>
                <w:rPr>
                  <w:rFonts w:ascii="Cambria Math" w:eastAsia="SimSun" w:hAnsi="Cambria Math" w:cs="Calibri"/>
                  <w:sz w:val="22"/>
                </w:rPr>
              </m:ctrlPr>
            </m:sSubPr>
            <m:e>
              <m:r>
                <m:rPr>
                  <m:sty m:val="p"/>
                </m:rPr>
                <w:rPr>
                  <w:rFonts w:ascii="Cambria Math" w:eastAsia="SimSun" w:hAnsi="Cambria Math" w:cs="Calibri"/>
                  <w:sz w:val="22"/>
                </w:rPr>
                <m:t>γ</m:t>
              </m:r>
            </m:e>
            <m:sub>
              <m:r>
                <m:rPr>
                  <m:sty m:val="p"/>
                </m:rPr>
                <w:rPr>
                  <w:rFonts w:ascii="Cambria Math" w:eastAsia="SimSun" w:hAnsi="Cambria Math" w:cs="Calibri"/>
                  <w:sz w:val="22"/>
                </w:rPr>
                <m:t>10</m:t>
              </m:r>
            </m:sub>
          </m:sSub>
          <m:r>
            <m:rPr>
              <m:sty m:val="p"/>
            </m:rPr>
            <w:rPr>
              <w:rFonts w:ascii="Cambria Math" w:hAnsi="Cambria Math" w:cs="Calibri"/>
              <w:kern w:val="0"/>
              <w:sz w:val="22"/>
            </w:rPr>
            <m:t>=</m:t>
          </m:r>
          <m:r>
            <w:rPr>
              <w:rFonts w:ascii="Cambria Math" w:hAnsi="Cambria Math" w:cs="Cambria Math"/>
              <w:color w:val="000000"/>
              <w:sz w:val="22"/>
            </w:rPr>
            <m:t>mean supply quantity of villa in suburb</m:t>
          </m:r>
          <m:r>
            <m:rPr>
              <m:sty m:val="p"/>
            </m:rPr>
            <w:rPr>
              <w:rFonts w:ascii="Cambria Math" w:hAnsi="Cambria Math" w:cs="Calibri"/>
              <w:kern w:val="0"/>
              <w:sz w:val="22"/>
            </w:rPr>
            <m:t xml:space="preserve"> </m:t>
          </m:r>
        </m:oMath>
      </m:oMathPara>
    </w:p>
    <w:p w:rsidR="00333B5D" w:rsidRPr="00803973" w:rsidRDefault="00333B5D" w:rsidP="007A70D7">
      <w:pPr>
        <w:spacing w:after="120" w:line="276" w:lineRule="auto"/>
        <w:jc w:val="left"/>
        <w:rPr>
          <w:rFonts w:ascii="Palatino Linotype" w:eastAsia="Calibri" w:hAnsi="Palatino Linotype" w:cs="Calibri"/>
          <w:kern w:val="0"/>
          <w:sz w:val="22"/>
          <w:lang w:val="en-GB"/>
        </w:rPr>
      </w:pPr>
      <m:oMathPara>
        <m:oMathParaPr>
          <m:jc m:val="left"/>
        </m:oMathParaPr>
        <m:oMath>
          <m:r>
            <w:rPr>
              <w:rFonts w:ascii="Cambria Math" w:eastAsia="Calibri" w:hAnsi="Cambria Math" w:cs="Calibri"/>
              <w:sz w:val="22"/>
            </w:rPr>
            <m:t xml:space="preserve">  </m:t>
          </m:r>
          <m:sSub>
            <m:sSubPr>
              <m:ctrlPr>
                <w:rPr>
                  <w:rFonts w:ascii="Cambria Math" w:eastAsia="SimSun" w:hAnsi="Cambria Math" w:cs="Calibri"/>
                  <w:sz w:val="22"/>
                </w:rPr>
              </m:ctrlPr>
            </m:sSubPr>
            <m:e>
              <m:r>
                <m:rPr>
                  <m:sty m:val="p"/>
                </m:rPr>
                <w:rPr>
                  <w:rFonts w:ascii="Cambria Math" w:eastAsia="SimSun" w:hAnsi="Cambria Math" w:cs="Calibri"/>
                  <w:sz w:val="22"/>
                </w:rPr>
                <m:t>γ</m:t>
              </m:r>
            </m:e>
            <m:sub>
              <m:r>
                <m:rPr>
                  <m:sty m:val="p"/>
                </m:rPr>
                <w:rPr>
                  <w:rFonts w:ascii="Cambria Math" w:eastAsia="SimSun" w:hAnsi="Cambria Math" w:cs="Calibri"/>
                  <w:sz w:val="22"/>
                </w:rPr>
                <m:t>20</m:t>
              </m:r>
            </m:sub>
          </m:sSub>
          <m:r>
            <m:rPr>
              <m:sty m:val="p"/>
            </m:rPr>
            <w:rPr>
              <w:rFonts w:ascii="Cambria Math" w:hAnsi="Cambria Math" w:cs="Calibri"/>
              <w:kern w:val="0"/>
              <w:sz w:val="22"/>
            </w:rPr>
            <m:t>=</m:t>
          </m:r>
          <m:r>
            <w:rPr>
              <w:rFonts w:ascii="Cambria Math" w:hAnsi="Cambria Math" w:cs="Cambria Math"/>
              <w:color w:val="000000"/>
              <w:sz w:val="22"/>
            </w:rPr>
            <m:t>mean supply time of villa in suburb</m:t>
          </m:r>
          <m:r>
            <m:rPr>
              <m:sty m:val="p"/>
            </m:rPr>
            <w:rPr>
              <w:rFonts w:ascii="Cambria Math" w:hAnsi="Cambria Math" w:cs="Calibri"/>
              <w:kern w:val="0"/>
              <w:sz w:val="22"/>
            </w:rPr>
            <m:t xml:space="preserve"> </m:t>
          </m:r>
        </m:oMath>
      </m:oMathPara>
    </w:p>
    <w:p w:rsidR="007A70D7" w:rsidRPr="00803973" w:rsidRDefault="007A70D7" w:rsidP="007A70D7">
      <w:pPr>
        <w:spacing w:after="120" w:line="276" w:lineRule="auto"/>
        <w:jc w:val="left"/>
        <w:rPr>
          <w:rFonts w:ascii="Palatino Linotype" w:eastAsia="Calibri" w:hAnsi="Palatino Linotype" w:cs="Calibri"/>
          <w:color w:val="000000"/>
          <w:sz w:val="22"/>
          <w:lang w:val="en-GB"/>
        </w:rPr>
      </w:pPr>
      <w:r w:rsidRPr="00803973">
        <w:rPr>
          <w:rFonts w:ascii="Palatino Linotype" w:eastAsia="Calibri" w:hAnsi="Palatino Linotype" w:cs="Calibri"/>
          <w:sz w:val="22"/>
        </w:rPr>
        <w:t xml:space="preserve"> </w:t>
      </w:r>
      <m:oMath>
        <m:r>
          <w:rPr>
            <w:rFonts w:ascii="Cambria Math" w:eastAsia="Calibri" w:hAnsi="Cambria Math" w:cs="Calibri"/>
            <w:sz w:val="22"/>
          </w:rPr>
          <m:t xml:space="preserve"> </m:t>
        </m:r>
        <m:sSub>
          <m:sSubPr>
            <m:ctrlPr>
              <w:rPr>
                <w:rFonts w:ascii="Cambria Math" w:eastAsia="SimSun" w:hAnsi="Cambria Math" w:cs="Calibri"/>
                <w:sz w:val="22"/>
              </w:rPr>
            </m:ctrlPr>
          </m:sSubPr>
          <m:e>
            <m:r>
              <m:rPr>
                <m:sty m:val="p"/>
              </m:rPr>
              <w:rPr>
                <w:rFonts w:ascii="Cambria Math" w:eastAsia="SimSun" w:hAnsi="Cambria Math" w:cs="Calibri"/>
                <w:sz w:val="22"/>
              </w:rPr>
              <m:t>γ</m:t>
            </m:r>
          </m:e>
          <m:sub>
            <m:r>
              <m:rPr>
                <m:sty m:val="p"/>
              </m:rPr>
              <w:rPr>
                <w:rFonts w:ascii="Cambria Math" w:eastAsia="SimSun" w:hAnsi="Cambria Math" w:cs="Calibri"/>
                <w:sz w:val="22"/>
              </w:rPr>
              <m:t>11</m:t>
            </m:r>
          </m:sub>
        </m:sSub>
        <m:r>
          <m:rPr>
            <m:sty m:val="p"/>
          </m:rPr>
          <w:rPr>
            <w:rFonts w:ascii="Cambria Math" w:hAnsi="Cambria Math" w:cs="Calibri"/>
            <w:kern w:val="0"/>
            <w:sz w:val="22"/>
          </w:rPr>
          <m:t xml:space="preserve"> =</m:t>
        </m:r>
        <m:r>
          <w:rPr>
            <w:rFonts w:ascii="Cambria Math" w:hAnsi="Cambria Math" w:cs="Cambria Math"/>
            <w:color w:val="000000"/>
            <w:sz w:val="22"/>
          </w:rPr>
          <m:t>differential quantity effect of being in centre</m:t>
        </m:r>
      </m:oMath>
    </w:p>
    <w:p w:rsidR="00D70767" w:rsidRPr="00803973" w:rsidRDefault="00D70767" w:rsidP="00D70767">
      <w:pPr>
        <w:spacing w:after="120" w:line="276" w:lineRule="auto"/>
        <w:jc w:val="left"/>
        <w:rPr>
          <w:rFonts w:ascii="Palatino Linotype" w:eastAsia="Calibri" w:hAnsi="Palatino Linotype" w:cs="Calibri"/>
          <w:sz w:val="22"/>
          <w:lang w:val="en-GB"/>
        </w:rPr>
      </w:pPr>
      <w:r w:rsidRPr="00803973">
        <w:rPr>
          <w:rFonts w:ascii="Palatino Linotype" w:eastAsia="Calibri" w:hAnsi="Palatino Linotype" w:cs="Calibri"/>
          <w:sz w:val="22"/>
        </w:rPr>
        <w:t xml:space="preserve"> </w:t>
      </w:r>
      <m:oMath>
        <m:r>
          <w:rPr>
            <w:rFonts w:ascii="Cambria Math" w:eastAsia="Calibri" w:hAnsi="Cambria Math" w:cs="Calibri"/>
            <w:sz w:val="22"/>
          </w:rPr>
          <m:t xml:space="preserve"> </m:t>
        </m:r>
        <m:sSub>
          <m:sSubPr>
            <m:ctrlPr>
              <w:rPr>
                <w:rFonts w:ascii="Cambria Math" w:eastAsia="SimSun" w:hAnsi="Cambria Math" w:cs="Calibri"/>
                <w:sz w:val="22"/>
              </w:rPr>
            </m:ctrlPr>
          </m:sSubPr>
          <m:e>
            <m:r>
              <m:rPr>
                <m:sty m:val="p"/>
              </m:rPr>
              <w:rPr>
                <w:rFonts w:ascii="Cambria Math" w:eastAsia="SimSun" w:hAnsi="Cambria Math" w:cs="Calibri"/>
                <w:sz w:val="22"/>
              </w:rPr>
              <m:t>γ</m:t>
            </m:r>
          </m:e>
          <m:sub>
            <m:r>
              <m:rPr>
                <m:sty m:val="p"/>
              </m:rPr>
              <w:rPr>
                <w:rFonts w:ascii="Cambria Math" w:eastAsia="SimSun" w:hAnsi="Cambria Math" w:cs="Calibri"/>
                <w:sz w:val="22"/>
              </w:rPr>
              <m:t>21</m:t>
            </m:r>
          </m:sub>
        </m:sSub>
        <m:r>
          <m:rPr>
            <m:sty m:val="p"/>
          </m:rPr>
          <w:rPr>
            <w:rFonts w:ascii="Cambria Math" w:hAnsi="Cambria Math" w:cs="Calibri"/>
            <w:kern w:val="0"/>
            <w:sz w:val="22"/>
          </w:rPr>
          <m:t xml:space="preserve"> =</m:t>
        </m:r>
        <m:r>
          <w:rPr>
            <w:rFonts w:ascii="Cambria Math" w:hAnsi="Cambria Math" w:cs="Cambria Math"/>
            <w:color w:val="000000"/>
            <w:sz w:val="22"/>
          </w:rPr>
          <m:t>differential time effect of being in centre</m:t>
        </m:r>
      </m:oMath>
    </w:p>
    <w:p w:rsidR="00D70767" w:rsidRPr="00803973" w:rsidRDefault="00D70767" w:rsidP="00D70767">
      <w:pPr>
        <w:spacing w:after="120" w:line="276" w:lineRule="auto"/>
        <w:jc w:val="left"/>
        <w:rPr>
          <w:rFonts w:ascii="Palatino Linotype" w:eastAsia="Calibri" w:hAnsi="Palatino Linotype" w:cs="Calibri"/>
          <w:sz w:val="22"/>
          <w:lang w:val="en-GB"/>
        </w:rPr>
      </w:pPr>
      <w:r w:rsidRPr="00803973">
        <w:rPr>
          <w:rFonts w:ascii="Palatino Linotype" w:eastAsia="Calibri" w:hAnsi="Palatino Linotype" w:cs="Calibri"/>
          <w:sz w:val="22"/>
        </w:rPr>
        <w:t xml:space="preserve"> </w:t>
      </w:r>
      <m:oMath>
        <m:r>
          <w:rPr>
            <w:rFonts w:ascii="Cambria Math" w:eastAsia="Calibri" w:hAnsi="Cambria Math" w:cs="Calibri"/>
            <w:sz w:val="22"/>
          </w:rPr>
          <m:t xml:space="preserve"> </m:t>
        </m:r>
        <m:sSub>
          <m:sSubPr>
            <m:ctrlPr>
              <w:rPr>
                <w:rFonts w:ascii="Cambria Math" w:eastAsia="SimSun" w:hAnsi="Cambria Math" w:cs="Calibri"/>
                <w:sz w:val="22"/>
              </w:rPr>
            </m:ctrlPr>
          </m:sSubPr>
          <m:e>
            <m:r>
              <m:rPr>
                <m:sty m:val="p"/>
              </m:rPr>
              <w:rPr>
                <w:rFonts w:ascii="Cambria Math" w:eastAsia="SimSun" w:hAnsi="Cambria Math" w:cs="Calibri"/>
                <w:sz w:val="22"/>
              </w:rPr>
              <m:t>γ</m:t>
            </m:r>
          </m:e>
          <m:sub>
            <m:r>
              <m:rPr>
                <m:sty m:val="p"/>
              </m:rPr>
              <w:rPr>
                <w:rFonts w:ascii="Cambria Math" w:eastAsia="SimSun" w:hAnsi="Cambria Math" w:cs="Calibri"/>
                <w:sz w:val="22"/>
              </w:rPr>
              <m:t>12</m:t>
            </m:r>
          </m:sub>
        </m:sSub>
        <m:r>
          <m:rPr>
            <m:sty m:val="p"/>
          </m:rPr>
          <w:rPr>
            <w:rFonts w:ascii="Cambria Math" w:hAnsi="Cambria Math" w:cs="Calibri"/>
            <w:kern w:val="0"/>
            <w:sz w:val="22"/>
          </w:rPr>
          <m:t xml:space="preserve"> =</m:t>
        </m:r>
        <m:r>
          <w:rPr>
            <w:rFonts w:ascii="Cambria Math" w:hAnsi="Cambria Math" w:cs="Cambria Math"/>
            <w:color w:val="000000"/>
            <w:sz w:val="22"/>
          </w:rPr>
          <m:t>differential quantity effect of being lowrise apartment block</m:t>
        </m:r>
      </m:oMath>
    </w:p>
    <w:p w:rsidR="00D70767" w:rsidRPr="00803973" w:rsidRDefault="00D70767" w:rsidP="00D70767">
      <w:pPr>
        <w:spacing w:after="120" w:line="276" w:lineRule="auto"/>
        <w:jc w:val="left"/>
        <w:rPr>
          <w:rFonts w:ascii="Palatino Linotype" w:eastAsia="Calibri" w:hAnsi="Palatino Linotype" w:cs="Calibri"/>
          <w:sz w:val="22"/>
          <w:lang w:val="en-GB"/>
        </w:rPr>
      </w:pPr>
      <w:r w:rsidRPr="00803973">
        <w:rPr>
          <w:rFonts w:ascii="Palatino Linotype" w:eastAsia="Calibri" w:hAnsi="Palatino Linotype" w:cs="Calibri"/>
          <w:sz w:val="22"/>
        </w:rPr>
        <w:t xml:space="preserve"> </w:t>
      </w:r>
      <m:oMath>
        <m:r>
          <w:rPr>
            <w:rFonts w:ascii="Cambria Math" w:eastAsia="Calibri" w:hAnsi="Cambria Math" w:cs="Calibri"/>
            <w:sz w:val="22"/>
          </w:rPr>
          <m:t xml:space="preserve"> </m:t>
        </m:r>
        <m:sSub>
          <m:sSubPr>
            <m:ctrlPr>
              <w:rPr>
                <w:rFonts w:ascii="Cambria Math" w:eastAsia="SimSun" w:hAnsi="Cambria Math" w:cs="Calibri"/>
                <w:sz w:val="22"/>
              </w:rPr>
            </m:ctrlPr>
          </m:sSubPr>
          <m:e>
            <m:r>
              <m:rPr>
                <m:sty m:val="p"/>
              </m:rPr>
              <w:rPr>
                <w:rFonts w:ascii="Cambria Math" w:eastAsia="SimSun" w:hAnsi="Cambria Math" w:cs="Calibri"/>
                <w:sz w:val="22"/>
              </w:rPr>
              <m:t>γ</m:t>
            </m:r>
          </m:e>
          <m:sub>
            <m:r>
              <m:rPr>
                <m:sty m:val="p"/>
              </m:rPr>
              <w:rPr>
                <w:rFonts w:ascii="Cambria Math" w:eastAsia="SimSun" w:hAnsi="Cambria Math" w:cs="Calibri"/>
                <w:sz w:val="22"/>
              </w:rPr>
              <m:t>22</m:t>
            </m:r>
          </m:sub>
        </m:sSub>
        <m:r>
          <m:rPr>
            <m:sty m:val="p"/>
          </m:rPr>
          <w:rPr>
            <w:rFonts w:ascii="Cambria Math" w:hAnsi="Cambria Math" w:cs="Calibri"/>
            <w:kern w:val="0"/>
            <w:sz w:val="22"/>
          </w:rPr>
          <m:t xml:space="preserve"> =</m:t>
        </m:r>
        <m:r>
          <w:rPr>
            <w:rFonts w:ascii="Cambria Math" w:hAnsi="Cambria Math" w:cs="Cambria Math"/>
            <w:color w:val="000000"/>
            <w:sz w:val="22"/>
          </w:rPr>
          <m:t>differential time effect of being lowrise apartment block</m:t>
        </m:r>
      </m:oMath>
    </w:p>
    <w:p w:rsidR="00D70767" w:rsidRPr="00803973" w:rsidRDefault="00D70767" w:rsidP="00D70767">
      <w:pPr>
        <w:spacing w:after="120" w:line="276" w:lineRule="auto"/>
        <w:jc w:val="left"/>
        <w:rPr>
          <w:rFonts w:ascii="Palatino Linotype" w:eastAsia="Calibri" w:hAnsi="Palatino Linotype" w:cs="Calibri"/>
          <w:sz w:val="22"/>
          <w:lang w:val="en-GB"/>
        </w:rPr>
      </w:pPr>
      <w:r w:rsidRPr="00803973">
        <w:rPr>
          <w:rFonts w:ascii="Palatino Linotype" w:eastAsia="Calibri" w:hAnsi="Palatino Linotype" w:cs="Calibri"/>
          <w:sz w:val="22"/>
        </w:rPr>
        <w:t xml:space="preserve"> </w:t>
      </w:r>
      <m:oMath>
        <m:r>
          <w:rPr>
            <w:rFonts w:ascii="Cambria Math" w:eastAsia="Calibri" w:hAnsi="Cambria Math" w:cs="Calibri"/>
            <w:sz w:val="22"/>
          </w:rPr>
          <m:t xml:space="preserve"> </m:t>
        </m:r>
        <m:sSub>
          <m:sSubPr>
            <m:ctrlPr>
              <w:rPr>
                <w:rFonts w:ascii="Cambria Math" w:eastAsia="SimSun" w:hAnsi="Cambria Math" w:cs="Calibri"/>
                <w:sz w:val="22"/>
              </w:rPr>
            </m:ctrlPr>
          </m:sSubPr>
          <m:e>
            <m:r>
              <m:rPr>
                <m:sty m:val="p"/>
              </m:rPr>
              <w:rPr>
                <w:rFonts w:ascii="Cambria Math" w:eastAsia="SimSun" w:hAnsi="Cambria Math" w:cs="Calibri"/>
                <w:sz w:val="22"/>
              </w:rPr>
              <m:t>γ</m:t>
            </m:r>
          </m:e>
          <m:sub>
            <m:r>
              <m:rPr>
                <m:sty m:val="p"/>
              </m:rPr>
              <w:rPr>
                <w:rFonts w:ascii="Cambria Math" w:eastAsia="SimSun" w:hAnsi="Cambria Math" w:cs="Calibri"/>
                <w:sz w:val="22"/>
              </w:rPr>
              <m:t>13</m:t>
            </m:r>
          </m:sub>
        </m:sSub>
        <m:r>
          <m:rPr>
            <m:sty m:val="p"/>
          </m:rPr>
          <w:rPr>
            <w:rFonts w:ascii="Cambria Math" w:hAnsi="Cambria Math" w:cs="Calibri"/>
            <w:kern w:val="0"/>
            <w:sz w:val="22"/>
          </w:rPr>
          <m:t xml:space="preserve"> =</m:t>
        </m:r>
        <m:r>
          <w:rPr>
            <w:rFonts w:ascii="Cambria Math" w:hAnsi="Cambria Math" w:cs="Cambria Math"/>
            <w:color w:val="000000"/>
            <w:sz w:val="22"/>
          </w:rPr>
          <m:t>differential quantity effect of being highrise apartment block</m:t>
        </m:r>
      </m:oMath>
    </w:p>
    <w:p w:rsidR="00D70767" w:rsidRPr="00803973" w:rsidRDefault="00D70767" w:rsidP="00D70767">
      <w:pPr>
        <w:spacing w:after="120" w:line="276" w:lineRule="auto"/>
        <w:jc w:val="left"/>
        <w:rPr>
          <w:rFonts w:ascii="Palatino Linotype" w:eastAsia="Calibri" w:hAnsi="Palatino Linotype" w:cs="Calibri"/>
          <w:sz w:val="22"/>
          <w:lang w:val="en-GB"/>
        </w:rPr>
      </w:pPr>
      <w:r w:rsidRPr="00803973">
        <w:rPr>
          <w:rFonts w:ascii="Palatino Linotype" w:eastAsia="Calibri" w:hAnsi="Palatino Linotype" w:cs="Calibri"/>
          <w:sz w:val="22"/>
        </w:rPr>
        <w:t xml:space="preserve"> </w:t>
      </w:r>
      <m:oMath>
        <m:r>
          <w:rPr>
            <w:rFonts w:ascii="Cambria Math" w:eastAsia="Calibri" w:hAnsi="Cambria Math" w:cs="Calibri"/>
            <w:sz w:val="22"/>
          </w:rPr>
          <m:t xml:space="preserve"> </m:t>
        </m:r>
        <m:sSub>
          <m:sSubPr>
            <m:ctrlPr>
              <w:rPr>
                <w:rFonts w:ascii="Cambria Math" w:eastAsia="SimSun" w:hAnsi="Cambria Math" w:cs="Calibri"/>
                <w:sz w:val="22"/>
              </w:rPr>
            </m:ctrlPr>
          </m:sSubPr>
          <m:e>
            <m:r>
              <m:rPr>
                <m:sty m:val="p"/>
              </m:rPr>
              <w:rPr>
                <w:rFonts w:ascii="Cambria Math" w:eastAsia="SimSun" w:hAnsi="Cambria Math" w:cs="Calibri"/>
                <w:sz w:val="22"/>
              </w:rPr>
              <m:t>γ</m:t>
            </m:r>
          </m:e>
          <m:sub>
            <m:r>
              <m:rPr>
                <m:sty m:val="p"/>
              </m:rPr>
              <w:rPr>
                <w:rFonts w:ascii="Cambria Math" w:eastAsia="SimSun" w:hAnsi="Cambria Math" w:cs="Calibri"/>
                <w:sz w:val="22"/>
              </w:rPr>
              <m:t>23</m:t>
            </m:r>
          </m:sub>
        </m:sSub>
        <m:r>
          <m:rPr>
            <m:sty m:val="p"/>
          </m:rPr>
          <w:rPr>
            <w:rFonts w:ascii="Cambria Math" w:hAnsi="Cambria Math" w:cs="Calibri"/>
            <w:kern w:val="0"/>
            <w:sz w:val="22"/>
          </w:rPr>
          <m:t xml:space="preserve"> =</m:t>
        </m:r>
        <m:r>
          <w:rPr>
            <w:rFonts w:ascii="Cambria Math" w:hAnsi="Cambria Math" w:cs="Cambria Math"/>
            <w:color w:val="000000"/>
            <w:sz w:val="22"/>
          </w:rPr>
          <m:t>differential time effect of being highrise apartment block</m:t>
        </m:r>
      </m:oMath>
    </w:p>
    <w:p w:rsidR="00D70767" w:rsidRPr="00803973" w:rsidRDefault="00D70767" w:rsidP="00D70767">
      <w:pPr>
        <w:spacing w:after="120" w:line="276" w:lineRule="auto"/>
        <w:jc w:val="left"/>
        <w:rPr>
          <w:rFonts w:ascii="Palatino Linotype" w:eastAsia="Calibri" w:hAnsi="Palatino Linotype" w:cs="Calibri"/>
          <w:sz w:val="22"/>
          <w:lang w:val="en-GB"/>
        </w:rPr>
      </w:pPr>
      <m:oMathPara>
        <m:oMathParaPr>
          <m:jc m:val="left"/>
        </m:oMathParaPr>
        <m:oMath>
          <m:r>
            <w:rPr>
              <w:rFonts w:ascii="Cambria Math" w:eastAsia="Calibri" w:hAnsi="Cambria Math" w:cs="Calibri"/>
              <w:sz w:val="22"/>
            </w:rPr>
            <m:t xml:space="preserve"> </m:t>
          </m:r>
          <m:sSub>
            <m:sSubPr>
              <m:ctrlPr>
                <w:rPr>
                  <w:rFonts w:ascii="Cambria Math" w:eastAsia="SimSun" w:hAnsi="Cambria Math" w:cs="Calibri"/>
                  <w:sz w:val="22"/>
                </w:rPr>
              </m:ctrlPr>
            </m:sSubPr>
            <m:e>
              <m:r>
                <m:rPr>
                  <m:sty m:val="p"/>
                </m:rPr>
                <w:rPr>
                  <w:rFonts w:ascii="Cambria Math" w:eastAsia="SimSun" w:hAnsi="Cambria Math" w:cs="Calibri"/>
                  <w:sz w:val="22"/>
                </w:rPr>
                <m:t xml:space="preserve"> γ</m:t>
              </m:r>
            </m:e>
            <m:sub>
              <m:r>
                <m:rPr>
                  <m:sty m:val="p"/>
                </m:rPr>
                <w:rPr>
                  <w:rFonts w:ascii="Cambria Math" w:eastAsia="SimSun" w:hAnsi="Cambria Math" w:cs="Calibri"/>
                  <w:sz w:val="22"/>
                </w:rPr>
                <m:t>14</m:t>
              </m:r>
            </m:sub>
          </m:sSub>
          <m:r>
            <m:rPr>
              <m:sty m:val="p"/>
            </m:rPr>
            <w:rPr>
              <w:rFonts w:ascii="Cambria Math" w:hAnsi="Cambria Math" w:cs="Calibri"/>
              <w:kern w:val="0"/>
              <w:sz w:val="22"/>
            </w:rPr>
            <m:t xml:space="preserve"> =</m:t>
          </m:r>
          <m:r>
            <w:rPr>
              <w:rFonts w:ascii="Cambria Math" w:hAnsi="Cambria Math" w:cs="Cambria Math"/>
              <w:color w:val="000000"/>
              <w:sz w:val="22"/>
            </w:rPr>
            <m:t>differential quantity effect of being lowrise apartment block in centre</m:t>
          </m:r>
        </m:oMath>
      </m:oMathPara>
    </w:p>
    <w:p w:rsidR="00D70767" w:rsidRPr="00803973" w:rsidRDefault="00D70767" w:rsidP="00D70767">
      <w:pPr>
        <w:spacing w:after="120" w:line="276" w:lineRule="auto"/>
        <w:jc w:val="left"/>
        <w:rPr>
          <w:rFonts w:ascii="Palatino Linotype" w:eastAsia="Calibri" w:hAnsi="Palatino Linotype" w:cs="Calibri"/>
          <w:sz w:val="22"/>
          <w:lang w:val="en-GB"/>
        </w:rPr>
      </w:pPr>
      <w:r w:rsidRPr="00803973">
        <w:rPr>
          <w:rFonts w:ascii="Palatino Linotype" w:eastAsia="Calibri" w:hAnsi="Palatino Linotype" w:cs="Calibri"/>
          <w:sz w:val="22"/>
        </w:rPr>
        <w:t xml:space="preserve"> </w:t>
      </w:r>
      <m:oMath>
        <m:r>
          <w:rPr>
            <w:rFonts w:ascii="Cambria Math" w:eastAsia="Calibri" w:hAnsi="Cambria Math" w:cs="Calibri"/>
            <w:sz w:val="22"/>
          </w:rPr>
          <m:t xml:space="preserve"> </m:t>
        </m:r>
        <m:sSub>
          <m:sSubPr>
            <m:ctrlPr>
              <w:rPr>
                <w:rFonts w:ascii="Cambria Math" w:eastAsia="SimSun" w:hAnsi="Cambria Math" w:cs="Calibri"/>
                <w:sz w:val="22"/>
              </w:rPr>
            </m:ctrlPr>
          </m:sSubPr>
          <m:e>
            <m:r>
              <m:rPr>
                <m:sty m:val="p"/>
              </m:rPr>
              <w:rPr>
                <w:rFonts w:ascii="Cambria Math" w:eastAsia="SimSun" w:hAnsi="Cambria Math" w:cs="Calibri"/>
                <w:sz w:val="22"/>
              </w:rPr>
              <m:t>γ</m:t>
            </m:r>
          </m:e>
          <m:sub>
            <m:r>
              <m:rPr>
                <m:sty m:val="p"/>
              </m:rPr>
              <w:rPr>
                <w:rFonts w:ascii="Cambria Math" w:eastAsia="SimSun" w:hAnsi="Cambria Math" w:cs="Calibri"/>
                <w:sz w:val="22"/>
              </w:rPr>
              <m:t>24</m:t>
            </m:r>
          </m:sub>
        </m:sSub>
        <m:r>
          <m:rPr>
            <m:sty m:val="p"/>
          </m:rPr>
          <w:rPr>
            <w:rFonts w:ascii="Cambria Math" w:hAnsi="Cambria Math" w:cs="Calibri"/>
            <w:kern w:val="0"/>
            <w:sz w:val="22"/>
          </w:rPr>
          <m:t xml:space="preserve"> =</m:t>
        </m:r>
        <m:r>
          <w:rPr>
            <w:rFonts w:ascii="Cambria Math" w:hAnsi="Cambria Math" w:cs="Cambria Math"/>
            <w:color w:val="000000"/>
            <w:sz w:val="22"/>
          </w:rPr>
          <m:t>differential time effect of being lowrise apartment block in centre</m:t>
        </m:r>
      </m:oMath>
    </w:p>
    <w:p w:rsidR="00D70767" w:rsidRPr="00803973" w:rsidRDefault="00D70767" w:rsidP="00D70767">
      <w:pPr>
        <w:spacing w:after="120" w:line="276" w:lineRule="auto"/>
        <w:jc w:val="left"/>
        <w:rPr>
          <w:rFonts w:ascii="Palatino Linotype" w:eastAsia="Calibri" w:hAnsi="Palatino Linotype" w:cs="Calibri"/>
          <w:sz w:val="22"/>
          <w:lang w:val="en-GB"/>
        </w:rPr>
      </w:pPr>
      <m:oMathPara>
        <m:oMathParaPr>
          <m:jc m:val="left"/>
        </m:oMathParaPr>
        <m:oMath>
          <m:r>
            <w:rPr>
              <w:rFonts w:ascii="Cambria Math" w:eastAsia="Calibri" w:hAnsi="Cambria Math" w:cs="Calibri"/>
              <w:sz w:val="22"/>
            </w:rPr>
            <m:t xml:space="preserve">  </m:t>
          </m:r>
          <m:sSub>
            <m:sSubPr>
              <m:ctrlPr>
                <w:rPr>
                  <w:rFonts w:ascii="Cambria Math" w:eastAsia="SimSun" w:hAnsi="Cambria Math" w:cs="Calibri"/>
                  <w:sz w:val="22"/>
                </w:rPr>
              </m:ctrlPr>
            </m:sSubPr>
            <m:e>
              <m:r>
                <m:rPr>
                  <m:sty m:val="p"/>
                </m:rPr>
                <w:rPr>
                  <w:rFonts w:ascii="Cambria Math" w:eastAsia="SimSun" w:hAnsi="Cambria Math" w:cs="Calibri"/>
                  <w:sz w:val="22"/>
                </w:rPr>
                <m:t>γ</m:t>
              </m:r>
            </m:e>
            <m:sub>
              <m:r>
                <m:rPr>
                  <m:sty m:val="p"/>
                </m:rPr>
                <w:rPr>
                  <w:rFonts w:ascii="Cambria Math" w:eastAsia="SimSun" w:hAnsi="Cambria Math" w:cs="Calibri"/>
                  <w:sz w:val="22"/>
                </w:rPr>
                <m:t>15</m:t>
              </m:r>
            </m:sub>
          </m:sSub>
          <m:r>
            <m:rPr>
              <m:sty m:val="p"/>
            </m:rPr>
            <w:rPr>
              <w:rFonts w:ascii="Cambria Math" w:hAnsi="Cambria Math" w:cs="Calibri"/>
              <w:kern w:val="0"/>
              <w:sz w:val="22"/>
            </w:rPr>
            <m:t xml:space="preserve"> =</m:t>
          </m:r>
          <m:r>
            <w:rPr>
              <w:rFonts w:ascii="Cambria Math" w:hAnsi="Cambria Math" w:cs="Cambria Math"/>
              <w:color w:val="000000"/>
              <w:sz w:val="22"/>
            </w:rPr>
            <m:t>differential quantity effect of being highrise apartment block in centre</m:t>
          </m:r>
        </m:oMath>
      </m:oMathPara>
    </w:p>
    <w:p w:rsidR="00132580" w:rsidRPr="00803973" w:rsidRDefault="00D70767" w:rsidP="00836AF5">
      <w:pPr>
        <w:spacing w:after="120" w:line="276" w:lineRule="auto"/>
        <w:jc w:val="left"/>
        <w:rPr>
          <w:rFonts w:ascii="Palatino Linotype" w:eastAsia="Calibri" w:hAnsi="Palatino Linotype" w:cs="Calibri"/>
          <w:sz w:val="22"/>
          <w:lang w:val="en-GB"/>
        </w:rPr>
      </w:pPr>
      <w:r w:rsidRPr="00803973">
        <w:rPr>
          <w:rFonts w:ascii="Palatino Linotype" w:eastAsia="Calibri" w:hAnsi="Palatino Linotype" w:cs="Calibri"/>
          <w:sz w:val="22"/>
        </w:rPr>
        <w:t xml:space="preserve"> </w:t>
      </w:r>
      <m:oMath>
        <m:r>
          <w:rPr>
            <w:rFonts w:ascii="Cambria Math" w:eastAsia="Calibri" w:hAnsi="Cambria Math" w:cs="Calibri"/>
            <w:sz w:val="22"/>
          </w:rPr>
          <m:t xml:space="preserve"> </m:t>
        </m:r>
        <m:sSub>
          <m:sSubPr>
            <m:ctrlPr>
              <w:rPr>
                <w:rFonts w:ascii="Cambria Math" w:eastAsia="SimSun" w:hAnsi="Cambria Math" w:cs="Calibri"/>
                <w:sz w:val="22"/>
              </w:rPr>
            </m:ctrlPr>
          </m:sSubPr>
          <m:e>
            <m:r>
              <m:rPr>
                <m:sty m:val="p"/>
              </m:rPr>
              <w:rPr>
                <w:rFonts w:ascii="Cambria Math" w:eastAsia="SimSun" w:hAnsi="Cambria Math" w:cs="Calibri"/>
                <w:sz w:val="22"/>
              </w:rPr>
              <m:t>γ</m:t>
            </m:r>
          </m:e>
          <m:sub>
            <m:r>
              <m:rPr>
                <m:sty m:val="p"/>
              </m:rPr>
              <w:rPr>
                <w:rFonts w:ascii="Cambria Math" w:eastAsia="SimSun" w:hAnsi="Cambria Math" w:cs="Calibri"/>
                <w:sz w:val="22"/>
              </w:rPr>
              <m:t>25</m:t>
            </m:r>
          </m:sub>
        </m:sSub>
        <m:r>
          <m:rPr>
            <m:sty m:val="p"/>
          </m:rPr>
          <w:rPr>
            <w:rFonts w:ascii="Cambria Math" w:hAnsi="Cambria Math" w:cs="Calibri"/>
            <w:kern w:val="0"/>
            <w:sz w:val="22"/>
          </w:rPr>
          <m:t xml:space="preserve"> =</m:t>
        </m:r>
        <m:r>
          <w:rPr>
            <w:rFonts w:ascii="Cambria Math" w:hAnsi="Cambria Math" w:cs="Cambria Math"/>
            <w:color w:val="000000"/>
            <w:sz w:val="22"/>
          </w:rPr>
          <m:t>differential time effect of being highrise apartment block in centre</m:t>
        </m:r>
      </m:oMath>
    </w:p>
    <w:p w:rsidR="00836AF5" w:rsidRPr="00803973" w:rsidRDefault="00586F2A" w:rsidP="00836AF5">
      <w:pPr>
        <w:spacing w:after="120" w:line="276" w:lineRule="auto"/>
        <w:ind w:firstLine="360"/>
        <w:jc w:val="left"/>
        <w:rPr>
          <w:rFonts w:ascii="Palatino Linotype" w:hAnsi="Palatino Linotype" w:cs="Calibri"/>
          <w:sz w:val="22"/>
          <w:lang w:val="en-GB"/>
        </w:rPr>
      </w:pPr>
      <w:r w:rsidRPr="00803973">
        <w:rPr>
          <w:rFonts w:ascii="Palatino Linotype" w:hAnsi="Palatino Linotype" w:cs="Calibri"/>
          <w:sz w:val="22"/>
          <w:lang w:val="en-GB"/>
        </w:rPr>
        <w:t>T</w:t>
      </w:r>
      <w:r w:rsidR="00086D58" w:rsidRPr="00803973">
        <w:rPr>
          <w:rFonts w:ascii="Palatino Linotype" w:hAnsi="Palatino Linotype" w:cs="Calibri"/>
          <w:sz w:val="22"/>
          <w:lang w:val="en-GB"/>
        </w:rPr>
        <w:t xml:space="preserve">he location </w:t>
      </w:r>
      <w:r w:rsidR="00D35C94" w:rsidRPr="00803973">
        <w:rPr>
          <w:rFonts w:ascii="Palatino Linotype" w:hAnsi="Palatino Linotype" w:cs="Calibri"/>
          <w:sz w:val="22"/>
          <w:lang w:val="en-GB"/>
        </w:rPr>
        <w:t>factor and housing type factor are</w:t>
      </w:r>
      <w:r w:rsidR="00086D58" w:rsidRPr="00803973">
        <w:rPr>
          <w:rFonts w:ascii="Palatino Linotype" w:hAnsi="Palatino Linotype" w:cs="Calibri"/>
          <w:sz w:val="22"/>
          <w:lang w:val="en-GB"/>
        </w:rPr>
        <w:t xml:space="preserve"> interacted </w:t>
      </w:r>
      <w:r w:rsidR="001A2D23" w:rsidRPr="00803973">
        <w:rPr>
          <w:rFonts w:ascii="Palatino Linotype" w:hAnsi="Palatino Linotype" w:cs="Calibri"/>
          <w:sz w:val="22"/>
          <w:lang w:val="en-GB"/>
        </w:rPr>
        <w:t>in Equation 3a and Equation 3b</w:t>
      </w:r>
      <w:r w:rsidRPr="00803973">
        <w:rPr>
          <w:rFonts w:ascii="Palatino Linotype" w:hAnsi="Palatino Linotype" w:cs="Calibri"/>
          <w:sz w:val="22"/>
          <w:lang w:val="en-GB"/>
        </w:rPr>
        <w:t xml:space="preserve"> </w:t>
      </w:r>
      <w:r w:rsidR="00836AF5" w:rsidRPr="00803973">
        <w:rPr>
          <w:rFonts w:ascii="Palatino Linotype" w:hAnsi="Palatino Linotype" w:cs="Calibri"/>
          <w:sz w:val="22"/>
          <w:lang w:val="en-GB"/>
        </w:rPr>
        <w:t xml:space="preserve">to produce </w:t>
      </w:r>
      <w:r w:rsidR="00086D58" w:rsidRPr="00803973">
        <w:rPr>
          <w:rFonts w:ascii="Palatino Linotype" w:hAnsi="Palatino Linotype" w:cs="Calibri"/>
          <w:sz w:val="22"/>
          <w:lang w:val="en-GB"/>
        </w:rPr>
        <w:t xml:space="preserve">more detailed information about the mean supply quantities and </w:t>
      </w:r>
      <w:r w:rsidRPr="00803973">
        <w:rPr>
          <w:rFonts w:ascii="Palatino Linotype" w:hAnsi="Palatino Linotype" w:cs="Calibri"/>
          <w:sz w:val="22"/>
          <w:lang w:val="en-GB"/>
        </w:rPr>
        <w:t xml:space="preserve">mean </w:t>
      </w:r>
      <w:r w:rsidR="00D35C94" w:rsidRPr="00803973">
        <w:rPr>
          <w:rFonts w:ascii="Palatino Linotype" w:hAnsi="Palatino Linotype" w:cs="Calibri"/>
          <w:sz w:val="22"/>
          <w:lang w:val="en-GB"/>
        </w:rPr>
        <w:t xml:space="preserve">supply </w:t>
      </w:r>
      <w:r w:rsidR="00086D58" w:rsidRPr="00803973">
        <w:rPr>
          <w:rFonts w:ascii="Palatino Linotype" w:hAnsi="Palatino Linotype" w:cs="Calibri"/>
          <w:sz w:val="22"/>
          <w:lang w:val="en-GB"/>
        </w:rPr>
        <w:t>times</w:t>
      </w:r>
      <w:r w:rsidR="00836AF5" w:rsidRPr="00803973">
        <w:rPr>
          <w:rFonts w:ascii="Palatino Linotype" w:hAnsi="Palatino Linotype" w:cs="Calibri"/>
          <w:sz w:val="22"/>
          <w:lang w:val="en-GB"/>
        </w:rPr>
        <w:t xml:space="preserve"> </w:t>
      </w:r>
      <w:r w:rsidR="007427D4" w:rsidRPr="00803973">
        <w:rPr>
          <w:rFonts w:ascii="Palatino Linotype" w:hAnsi="Palatino Linotype" w:cs="Calibri"/>
          <w:sz w:val="22"/>
          <w:lang w:val="en-GB"/>
        </w:rPr>
        <w:t xml:space="preserve">for </w:t>
      </w:r>
      <w:r w:rsidR="009F2C65" w:rsidRPr="00803973">
        <w:rPr>
          <w:rFonts w:ascii="Palatino Linotype" w:hAnsi="Palatino Linotype" w:cs="Calibri"/>
          <w:sz w:val="22"/>
          <w:lang w:val="en-GB"/>
        </w:rPr>
        <w:t xml:space="preserve">three different types of housing in centre and in suburb. </w:t>
      </w:r>
      <w:r w:rsidR="00C515F1" w:rsidRPr="00803973">
        <w:rPr>
          <w:rFonts w:ascii="Palatino Linotype" w:hAnsi="Palatino Linotype" w:cs="Calibri"/>
          <w:sz w:val="22"/>
          <w:lang w:val="en-GB"/>
        </w:rPr>
        <w:t>The differential effect</w:t>
      </w:r>
      <w:r w:rsidR="007427D4" w:rsidRPr="00803973">
        <w:rPr>
          <w:rFonts w:ascii="Palatino Linotype" w:hAnsi="Palatino Linotype" w:cs="Calibri"/>
          <w:sz w:val="22"/>
          <w:lang w:val="en-GB"/>
        </w:rPr>
        <w:t>s</w:t>
      </w:r>
      <w:r w:rsidR="00836AF5" w:rsidRPr="00803973">
        <w:rPr>
          <w:rFonts w:ascii="Palatino Linotype" w:hAnsi="Palatino Linotype" w:cs="Calibri"/>
          <w:sz w:val="22"/>
          <w:lang w:val="en-GB"/>
        </w:rPr>
        <w:t xml:space="preserve"> </w:t>
      </w:r>
      <w:r w:rsidR="00C515F1" w:rsidRPr="00803973">
        <w:rPr>
          <w:rFonts w:ascii="Palatino Linotype" w:hAnsi="Palatino Linotype" w:cs="Calibri"/>
          <w:sz w:val="22"/>
          <w:lang w:val="en-GB"/>
        </w:rPr>
        <w:t>can be determined by c</w:t>
      </w:r>
      <w:r w:rsidR="00F34DE7" w:rsidRPr="00803973">
        <w:rPr>
          <w:rFonts w:ascii="Palatino Linotype" w:hAnsi="Palatino Linotype" w:cs="Calibri"/>
          <w:sz w:val="22"/>
          <w:lang w:val="en-GB"/>
        </w:rPr>
        <w:t>ontras</w:t>
      </w:r>
      <w:r w:rsidR="00C515F1" w:rsidRPr="00803973">
        <w:rPr>
          <w:rFonts w:ascii="Palatino Linotype" w:hAnsi="Palatino Linotype" w:cs="Calibri"/>
          <w:sz w:val="22"/>
          <w:lang w:val="en-GB"/>
        </w:rPr>
        <w:t xml:space="preserve">ting appropriate coefficients. </w:t>
      </w:r>
      <w:r w:rsidR="009F2C65" w:rsidRPr="00803973">
        <w:rPr>
          <w:rFonts w:ascii="Palatino Linotype" w:hAnsi="Palatino Linotype" w:cs="Calibri"/>
          <w:sz w:val="22"/>
          <w:lang w:val="en-GB"/>
        </w:rPr>
        <w:t>For example, the difference of mean supply time between low-rise building in centre and in suburb</w:t>
      </w:r>
      <w:r w:rsidR="00556DAB" w:rsidRPr="00803973">
        <w:rPr>
          <w:rFonts w:ascii="Palatino Linotype" w:hAnsi="Palatino Linotype" w:cs="Calibri"/>
          <w:sz w:val="22"/>
          <w:lang w:val="en-GB"/>
        </w:rPr>
        <w:t xml:space="preserve"> (Equation 3b)</w:t>
      </w:r>
      <w:r w:rsidR="009F2C65" w:rsidRPr="00803973">
        <w:rPr>
          <w:rFonts w:ascii="Palatino Linotype" w:hAnsi="Palatino Linotype" w:cs="Calibri"/>
          <w:sz w:val="22"/>
          <w:lang w:val="en-GB"/>
        </w:rPr>
        <w:t xml:space="preserve"> </w:t>
      </w:r>
      <w:r w:rsidRPr="00803973">
        <w:rPr>
          <w:rFonts w:ascii="Palatino Linotype" w:hAnsi="Palatino Linotype" w:cs="Calibri"/>
          <w:sz w:val="22"/>
          <w:lang w:val="en-GB"/>
        </w:rPr>
        <w:t>is</w:t>
      </w:r>
    </w:p>
    <w:p w:rsidR="004A5EAD" w:rsidRPr="00803973" w:rsidRDefault="00586F2A" w:rsidP="007045E3">
      <w:pPr>
        <w:spacing w:after="120" w:line="276" w:lineRule="auto"/>
        <w:ind w:firstLine="360"/>
        <w:jc w:val="center"/>
        <w:rPr>
          <w:rFonts w:ascii="Palatino Linotype" w:hAnsi="Palatino Linotype" w:cs="Calibri"/>
          <w:sz w:val="22"/>
          <w:lang w:val="en-GB"/>
        </w:rPr>
      </w:pPr>
      <w:r w:rsidRPr="00803973">
        <w:rPr>
          <w:rFonts w:ascii="Palatino Linotype" w:hAnsi="Palatino Linotype" w:cs="Calibri"/>
          <w:sz w:val="22"/>
          <w:lang w:val="en-GB"/>
        </w:rPr>
        <w:t xml:space="preserve"> </w:t>
      </w:r>
      <m:oMath>
        <m:sSub>
          <m:sSubPr>
            <m:ctrlPr>
              <w:rPr>
                <w:rFonts w:ascii="Cambria Math" w:hAnsi="Cambria Math" w:cs="Calibri"/>
                <w:sz w:val="22"/>
                <w:lang w:val="en-GB"/>
              </w:rPr>
            </m:ctrlPr>
          </m:sSubPr>
          <m:e>
            <m:r>
              <w:rPr>
                <w:rFonts w:ascii="Cambria Math" w:hAnsi="Cambria Math" w:cs="Calibri"/>
                <w:sz w:val="22"/>
                <w:lang w:val="en-GB"/>
              </w:rPr>
              <m:t>E</m:t>
            </m:r>
            <m:d>
              <m:dPr>
                <m:ctrlPr>
                  <w:rPr>
                    <w:rFonts w:ascii="Cambria Math" w:hAnsi="Cambria Math" w:cs="Calibri"/>
                    <w:sz w:val="22"/>
                    <w:lang w:val="en-GB"/>
                  </w:rPr>
                </m:ctrlPr>
              </m:dPr>
              <m:e>
                <m:sSubSup>
                  <m:sSubSupPr>
                    <m:ctrlPr>
                      <w:rPr>
                        <w:rFonts w:ascii="Cambria Math" w:hAnsi="Cambria Math" w:cs="Calibri"/>
                        <w:sz w:val="22"/>
                        <w:lang w:val="en-GB"/>
                      </w:rPr>
                    </m:ctrlPr>
                  </m:sSubSupPr>
                  <m:e>
                    <m:r>
                      <w:rPr>
                        <w:rFonts w:ascii="Cambria Math" w:hAnsi="Cambria Math" w:cs="Calibri"/>
                        <w:sz w:val="22"/>
                        <w:lang w:val="en-GB"/>
                      </w:rPr>
                      <m:t>Y</m:t>
                    </m:r>
                  </m:e>
                  <m:sub>
                    <m:r>
                      <w:rPr>
                        <w:rFonts w:ascii="Cambria Math" w:hAnsi="Cambria Math" w:cs="Calibri"/>
                        <w:sz w:val="22"/>
                        <w:lang w:val="en-GB"/>
                      </w:rPr>
                      <m:t>2i</m:t>
                    </m:r>
                  </m:sub>
                  <m:sup>
                    <m:r>
                      <w:rPr>
                        <w:rFonts w:ascii="Cambria Math" w:hAnsi="Cambria Math" w:cs="Calibri"/>
                        <w:sz w:val="22"/>
                        <w:lang w:val="en-GB"/>
                      </w:rPr>
                      <m:t>γ</m:t>
                    </m:r>
                  </m:sup>
                </m:sSubSup>
              </m:e>
              <m:e>
                <m:sSub>
                  <m:sSubPr>
                    <m:ctrlPr>
                      <w:rPr>
                        <w:rFonts w:ascii="Cambria Math" w:hAnsi="Cambria Math" w:cs="Calibri"/>
                        <w:i/>
                        <w:sz w:val="22"/>
                        <w:lang w:val="en-GB"/>
                      </w:rPr>
                    </m:ctrlPr>
                  </m:sSubPr>
                  <m:e>
                    <m:r>
                      <w:rPr>
                        <w:rFonts w:ascii="Cambria Math" w:hAnsi="Cambria Math" w:cs="Calibri"/>
                        <w:sz w:val="22"/>
                        <w:lang w:val="en-GB"/>
                      </w:rPr>
                      <m:t>D</m:t>
                    </m:r>
                  </m:e>
                  <m:sub>
                    <m:r>
                      <w:rPr>
                        <w:rFonts w:ascii="Cambria Math" w:hAnsi="Cambria Math" w:cs="Calibri"/>
                        <w:sz w:val="22"/>
                        <w:lang w:val="en-GB"/>
                      </w:rPr>
                      <m:t>Ci</m:t>
                    </m:r>
                  </m:sub>
                </m:sSub>
                <m:r>
                  <w:rPr>
                    <w:rFonts w:ascii="Cambria Math" w:hAnsi="Cambria Math" w:cs="Calibri"/>
                    <w:sz w:val="22"/>
                    <w:lang w:val="en-GB"/>
                  </w:rPr>
                  <m:t xml:space="preserve">=1, </m:t>
                </m:r>
                <m:sSub>
                  <m:sSubPr>
                    <m:ctrlPr>
                      <w:rPr>
                        <w:rFonts w:ascii="Cambria Math" w:hAnsi="Cambria Math" w:cs="Calibri"/>
                        <w:i/>
                        <w:sz w:val="22"/>
                        <w:lang w:val="en-GB"/>
                      </w:rPr>
                    </m:ctrlPr>
                  </m:sSubPr>
                  <m:e>
                    <m:r>
                      <w:rPr>
                        <w:rFonts w:ascii="Cambria Math" w:hAnsi="Cambria Math" w:cs="Calibri"/>
                        <w:sz w:val="22"/>
                        <w:lang w:val="en-GB"/>
                      </w:rPr>
                      <m:t>D</m:t>
                    </m:r>
                  </m:e>
                  <m:sub>
                    <m:r>
                      <w:rPr>
                        <w:rFonts w:ascii="Cambria Math" w:hAnsi="Cambria Math" w:cs="Calibri"/>
                        <w:sz w:val="22"/>
                        <w:lang w:val="en-GB"/>
                      </w:rPr>
                      <m:t>Li</m:t>
                    </m:r>
                  </m:sub>
                </m:sSub>
                <m:r>
                  <w:rPr>
                    <w:rFonts w:ascii="Cambria Math" w:hAnsi="Cambria Math" w:cs="Calibri"/>
                    <w:sz w:val="22"/>
                    <w:lang w:val="en-GB"/>
                  </w:rPr>
                  <m:t>=1</m:t>
                </m:r>
              </m:e>
            </m:d>
            <m:r>
              <m:rPr>
                <m:sty m:val="p"/>
              </m:rPr>
              <w:rPr>
                <w:rFonts w:ascii="Cambria Math" w:hAnsi="Cambria Math" w:cs="Calibri"/>
                <w:sz w:val="22"/>
                <w:lang w:val="en-GB"/>
              </w:rPr>
              <m:t>-</m:t>
            </m:r>
            <m:r>
              <w:rPr>
                <w:rFonts w:ascii="Cambria Math" w:hAnsi="Cambria Math" w:cs="Calibri"/>
                <w:sz w:val="22"/>
                <w:lang w:val="en-GB"/>
              </w:rPr>
              <m:t>E</m:t>
            </m:r>
            <m:d>
              <m:dPr>
                <m:ctrlPr>
                  <w:rPr>
                    <w:rFonts w:ascii="Cambria Math" w:hAnsi="Cambria Math" w:cs="Calibri"/>
                    <w:sz w:val="22"/>
                    <w:lang w:val="en-GB"/>
                  </w:rPr>
                </m:ctrlPr>
              </m:dPr>
              <m:e>
                <m:sSubSup>
                  <m:sSubSupPr>
                    <m:ctrlPr>
                      <w:rPr>
                        <w:rFonts w:ascii="Cambria Math" w:hAnsi="Cambria Math" w:cs="Calibri"/>
                        <w:sz w:val="22"/>
                        <w:lang w:val="en-GB"/>
                      </w:rPr>
                    </m:ctrlPr>
                  </m:sSubSupPr>
                  <m:e>
                    <m:r>
                      <w:rPr>
                        <w:rFonts w:ascii="Cambria Math" w:hAnsi="Cambria Math" w:cs="Calibri"/>
                        <w:sz w:val="22"/>
                        <w:lang w:val="en-GB"/>
                      </w:rPr>
                      <m:t>Y</m:t>
                    </m:r>
                  </m:e>
                  <m:sub>
                    <m:r>
                      <w:rPr>
                        <w:rFonts w:ascii="Cambria Math" w:hAnsi="Cambria Math" w:cs="Calibri"/>
                        <w:sz w:val="22"/>
                        <w:lang w:val="en-GB"/>
                      </w:rPr>
                      <m:t>2i</m:t>
                    </m:r>
                  </m:sub>
                  <m:sup>
                    <m:r>
                      <w:rPr>
                        <w:rFonts w:ascii="Cambria Math" w:hAnsi="Cambria Math" w:cs="Calibri"/>
                        <w:sz w:val="22"/>
                        <w:lang w:val="en-GB"/>
                      </w:rPr>
                      <m:t>γ</m:t>
                    </m:r>
                  </m:sup>
                </m:sSubSup>
              </m:e>
              <m:e>
                <m:sSub>
                  <m:sSubPr>
                    <m:ctrlPr>
                      <w:rPr>
                        <w:rFonts w:ascii="Cambria Math" w:hAnsi="Cambria Math" w:cs="Calibri"/>
                        <w:i/>
                        <w:sz w:val="22"/>
                        <w:lang w:val="en-GB"/>
                      </w:rPr>
                    </m:ctrlPr>
                  </m:sSubPr>
                  <m:e>
                    <m:r>
                      <w:rPr>
                        <w:rFonts w:ascii="Cambria Math" w:hAnsi="Cambria Math" w:cs="Calibri"/>
                        <w:sz w:val="22"/>
                        <w:lang w:val="en-GB"/>
                      </w:rPr>
                      <m:t>D</m:t>
                    </m:r>
                  </m:e>
                  <m:sub>
                    <m:r>
                      <w:rPr>
                        <w:rFonts w:ascii="Cambria Math" w:hAnsi="Cambria Math" w:cs="Calibri"/>
                        <w:sz w:val="22"/>
                        <w:lang w:val="en-GB"/>
                      </w:rPr>
                      <m:t>Ci</m:t>
                    </m:r>
                  </m:sub>
                </m:sSub>
                <m:r>
                  <w:rPr>
                    <w:rFonts w:ascii="Cambria Math" w:hAnsi="Cambria Math" w:cs="Calibri"/>
                    <w:sz w:val="22"/>
                    <w:lang w:val="en-GB"/>
                  </w:rPr>
                  <m:t xml:space="preserve">=0, </m:t>
                </m:r>
                <m:sSub>
                  <m:sSubPr>
                    <m:ctrlPr>
                      <w:rPr>
                        <w:rFonts w:ascii="Cambria Math" w:hAnsi="Cambria Math" w:cs="Calibri"/>
                        <w:i/>
                        <w:sz w:val="22"/>
                        <w:lang w:val="en-GB"/>
                      </w:rPr>
                    </m:ctrlPr>
                  </m:sSubPr>
                  <m:e>
                    <m:r>
                      <w:rPr>
                        <w:rFonts w:ascii="Cambria Math" w:hAnsi="Cambria Math" w:cs="Calibri"/>
                        <w:sz w:val="22"/>
                        <w:lang w:val="en-GB"/>
                      </w:rPr>
                      <m:t>D</m:t>
                    </m:r>
                  </m:e>
                  <m:sub>
                    <m:r>
                      <w:rPr>
                        <w:rFonts w:ascii="Cambria Math" w:hAnsi="Cambria Math" w:cs="Calibri"/>
                        <w:sz w:val="22"/>
                        <w:lang w:val="en-GB"/>
                      </w:rPr>
                      <m:t>Li</m:t>
                    </m:r>
                  </m:sub>
                </m:sSub>
                <m:r>
                  <w:rPr>
                    <w:rFonts w:ascii="Cambria Math" w:hAnsi="Cambria Math" w:cs="Calibri"/>
                    <w:sz w:val="22"/>
                    <w:lang w:val="en-GB"/>
                  </w:rPr>
                  <m:t>=1</m:t>
                </m:r>
              </m:e>
            </m:d>
            <m:r>
              <m:rPr>
                <m:sty m:val="p"/>
              </m:rPr>
              <w:rPr>
                <w:rFonts w:ascii="Cambria Math" w:hAnsi="Cambria Math" w:cs="Calibri"/>
                <w:sz w:val="22"/>
                <w:lang w:val="en-GB"/>
              </w:rPr>
              <m:t>=γ</m:t>
            </m:r>
          </m:e>
          <m:sub>
            <m:r>
              <m:rPr>
                <m:sty m:val="p"/>
              </m:rPr>
              <w:rPr>
                <w:rFonts w:ascii="Cambria Math" w:hAnsi="Cambria Math" w:cs="Calibri"/>
                <w:sz w:val="22"/>
                <w:lang w:val="en-GB"/>
              </w:rPr>
              <m:t>21</m:t>
            </m:r>
          </m:sub>
        </m:sSub>
        <m:r>
          <m:rPr>
            <m:sty m:val="p"/>
          </m:rPr>
          <w:rPr>
            <w:rFonts w:ascii="Cambria Math" w:hAnsi="Cambria Math" w:cs="Calibri"/>
            <w:sz w:val="22"/>
            <w:lang w:val="en-GB"/>
          </w:rPr>
          <m:t>+</m:t>
        </m:r>
        <m:sSub>
          <m:sSubPr>
            <m:ctrlPr>
              <w:rPr>
                <w:rFonts w:ascii="Cambria Math" w:hAnsi="Cambria Math" w:cs="Calibri"/>
                <w:sz w:val="22"/>
                <w:lang w:val="en-GB"/>
              </w:rPr>
            </m:ctrlPr>
          </m:sSubPr>
          <m:e>
            <m:r>
              <m:rPr>
                <m:sty m:val="p"/>
              </m:rPr>
              <w:rPr>
                <w:rFonts w:ascii="Cambria Math" w:hAnsi="Cambria Math" w:cs="Calibri"/>
                <w:sz w:val="22"/>
                <w:lang w:val="en-GB"/>
              </w:rPr>
              <m:t>γ</m:t>
            </m:r>
          </m:e>
          <m:sub>
            <m:r>
              <m:rPr>
                <m:sty m:val="p"/>
              </m:rPr>
              <w:rPr>
                <w:rFonts w:ascii="Cambria Math" w:hAnsi="Cambria Math" w:cs="Calibri"/>
                <w:sz w:val="22"/>
                <w:lang w:val="en-GB"/>
              </w:rPr>
              <m:t>24</m:t>
            </m:r>
          </m:sub>
        </m:sSub>
      </m:oMath>
      <w:r w:rsidR="00D35C94" w:rsidRPr="00803973">
        <w:rPr>
          <w:rFonts w:ascii="Palatino Linotype" w:hAnsi="Palatino Linotype" w:cs="Calibri"/>
          <w:sz w:val="22"/>
          <w:lang w:val="en-GB"/>
        </w:rPr>
        <w:t>,</w:t>
      </w:r>
    </w:p>
    <w:p w:rsidR="00086D58" w:rsidRDefault="00586F2A" w:rsidP="004A5EAD">
      <w:pPr>
        <w:spacing w:after="120" w:line="276" w:lineRule="auto"/>
        <w:jc w:val="left"/>
        <w:rPr>
          <w:rFonts w:ascii="Palatino Linotype" w:hAnsi="Palatino Linotype" w:cs="Calibri"/>
          <w:sz w:val="22"/>
          <w:lang w:val="en-GB"/>
        </w:rPr>
      </w:pPr>
      <w:r w:rsidRPr="00803973">
        <w:rPr>
          <w:rFonts w:ascii="Palatino Linotype" w:hAnsi="Palatino Linotype" w:cs="Calibri"/>
          <w:sz w:val="22"/>
          <w:lang w:val="en-GB"/>
        </w:rPr>
        <w:t>and the difference of mean supply time</w:t>
      </w:r>
      <w:r w:rsidR="00D35C94" w:rsidRPr="00803973">
        <w:rPr>
          <w:rFonts w:ascii="Palatino Linotype" w:hAnsi="Palatino Linotype" w:cs="Calibri"/>
          <w:sz w:val="22"/>
          <w:lang w:val="en-GB"/>
        </w:rPr>
        <w:t xml:space="preserve"> between </w:t>
      </w:r>
      <w:r w:rsidR="00EC0041" w:rsidRPr="00803973">
        <w:rPr>
          <w:rFonts w:ascii="Palatino Linotype" w:hAnsi="Palatino Linotype" w:cs="Calibri"/>
          <w:sz w:val="22"/>
          <w:lang w:val="en-GB"/>
        </w:rPr>
        <w:t xml:space="preserve">high-rise building in centre </w:t>
      </w:r>
      <w:r w:rsidR="00D35C94" w:rsidRPr="00803973">
        <w:rPr>
          <w:rFonts w:ascii="Palatino Linotype" w:hAnsi="Palatino Linotype" w:cs="Calibri"/>
          <w:sz w:val="22"/>
          <w:lang w:val="en-GB"/>
        </w:rPr>
        <w:t xml:space="preserve">and </w:t>
      </w:r>
      <w:r w:rsidR="00EC0041" w:rsidRPr="00803973">
        <w:rPr>
          <w:rFonts w:ascii="Palatino Linotype" w:hAnsi="Palatino Linotype" w:cs="Calibri"/>
          <w:sz w:val="22"/>
          <w:lang w:val="en-GB"/>
        </w:rPr>
        <w:t xml:space="preserve">low-rise building in suburb </w:t>
      </w:r>
      <w:r w:rsidRPr="00803973">
        <w:rPr>
          <w:rFonts w:ascii="Palatino Linotype" w:hAnsi="Palatino Linotype" w:cs="Calibri"/>
          <w:sz w:val="22"/>
          <w:lang w:val="en-GB"/>
        </w:rPr>
        <w:t>is (</w:t>
      </w:r>
      <m:oMath>
        <m:sSub>
          <m:sSubPr>
            <m:ctrlPr>
              <w:rPr>
                <w:rFonts w:ascii="Cambria Math" w:hAnsi="Cambria Math" w:cs="Calibri"/>
                <w:sz w:val="22"/>
                <w:lang w:val="en-GB"/>
              </w:rPr>
            </m:ctrlPr>
          </m:sSubPr>
          <m:e>
            <m:r>
              <m:rPr>
                <m:sty m:val="p"/>
              </m:rPr>
              <w:rPr>
                <w:rFonts w:ascii="Cambria Math" w:hAnsi="Cambria Math" w:cs="Calibri"/>
                <w:sz w:val="22"/>
                <w:lang w:val="en-GB"/>
              </w:rPr>
              <m:t>γ</m:t>
            </m:r>
          </m:e>
          <m:sub>
            <m:r>
              <m:rPr>
                <m:sty m:val="p"/>
              </m:rPr>
              <w:rPr>
                <w:rFonts w:ascii="Cambria Math" w:hAnsi="Cambria Math" w:cs="Calibri"/>
                <w:sz w:val="22"/>
                <w:lang w:val="en-GB"/>
              </w:rPr>
              <m:t>21</m:t>
            </m:r>
          </m:sub>
        </m:sSub>
        <m:r>
          <m:rPr>
            <m:sty m:val="p"/>
          </m:rPr>
          <w:rPr>
            <w:rFonts w:ascii="Cambria Math" w:hAnsi="Cambria Math" w:cs="Calibri"/>
            <w:sz w:val="22"/>
            <w:lang w:val="en-GB"/>
          </w:rPr>
          <m:t>+</m:t>
        </m:r>
        <m:sSub>
          <m:sSubPr>
            <m:ctrlPr>
              <w:rPr>
                <w:rFonts w:ascii="Cambria Math" w:hAnsi="Cambria Math" w:cs="Calibri"/>
                <w:sz w:val="22"/>
                <w:lang w:val="en-GB"/>
              </w:rPr>
            </m:ctrlPr>
          </m:sSubPr>
          <m:e>
            <m:r>
              <m:rPr>
                <m:sty m:val="p"/>
              </m:rPr>
              <w:rPr>
                <w:rFonts w:ascii="Cambria Math" w:hAnsi="Cambria Math" w:cs="Calibri"/>
                <w:sz w:val="22"/>
                <w:lang w:val="en-GB"/>
              </w:rPr>
              <m:t>γ</m:t>
            </m:r>
          </m:e>
          <m:sub>
            <m:r>
              <m:rPr>
                <m:sty m:val="p"/>
              </m:rPr>
              <w:rPr>
                <w:rFonts w:ascii="Cambria Math" w:hAnsi="Cambria Math" w:cs="Calibri"/>
                <w:sz w:val="22"/>
                <w:lang w:val="en-GB"/>
              </w:rPr>
              <m:t>23</m:t>
            </m:r>
          </m:sub>
        </m:sSub>
        <m:r>
          <m:rPr>
            <m:sty m:val="p"/>
          </m:rPr>
          <w:rPr>
            <w:rFonts w:ascii="Cambria Math" w:hAnsi="Cambria Math" w:cs="Calibri"/>
            <w:sz w:val="22"/>
            <w:lang w:val="en-GB"/>
          </w:rPr>
          <m:t>+</m:t>
        </m:r>
        <m:sSub>
          <m:sSubPr>
            <m:ctrlPr>
              <w:rPr>
                <w:rFonts w:ascii="Cambria Math" w:hAnsi="Cambria Math" w:cs="Calibri"/>
                <w:sz w:val="22"/>
                <w:lang w:val="en-GB"/>
              </w:rPr>
            </m:ctrlPr>
          </m:sSubPr>
          <m:e>
            <m:r>
              <m:rPr>
                <m:sty m:val="p"/>
              </m:rPr>
              <w:rPr>
                <w:rFonts w:ascii="Cambria Math" w:hAnsi="Cambria Math" w:cs="Calibri"/>
                <w:sz w:val="22"/>
                <w:lang w:val="en-GB"/>
              </w:rPr>
              <m:t>γ</m:t>
            </m:r>
          </m:e>
          <m:sub>
            <m:r>
              <m:rPr>
                <m:sty m:val="p"/>
              </m:rPr>
              <w:rPr>
                <w:rFonts w:ascii="Cambria Math" w:hAnsi="Cambria Math" w:cs="Calibri"/>
                <w:sz w:val="22"/>
                <w:lang w:val="en-GB"/>
              </w:rPr>
              <m:t>25</m:t>
            </m:r>
          </m:sub>
        </m:sSub>
        <m:r>
          <m:rPr>
            <m:sty m:val="p"/>
          </m:rPr>
          <w:rPr>
            <w:rFonts w:ascii="Cambria Math" w:hAnsi="Cambria Math" w:cs="Calibri"/>
            <w:sz w:val="22"/>
            <w:lang w:val="en-GB"/>
          </w:rPr>
          <m:t xml:space="preserve">)- </m:t>
        </m:r>
        <m:sSub>
          <m:sSubPr>
            <m:ctrlPr>
              <w:rPr>
                <w:rFonts w:ascii="Cambria Math" w:hAnsi="Cambria Math" w:cs="Calibri"/>
                <w:sz w:val="22"/>
                <w:lang w:val="en-GB"/>
              </w:rPr>
            </m:ctrlPr>
          </m:sSubPr>
          <m:e>
            <m:r>
              <m:rPr>
                <m:sty m:val="p"/>
              </m:rPr>
              <w:rPr>
                <w:rFonts w:ascii="Cambria Math" w:hAnsi="Cambria Math" w:cs="Calibri"/>
                <w:sz w:val="22"/>
                <w:lang w:val="en-GB"/>
              </w:rPr>
              <m:t>γ</m:t>
            </m:r>
          </m:e>
          <m:sub>
            <m:r>
              <m:rPr>
                <m:sty m:val="p"/>
              </m:rPr>
              <w:rPr>
                <w:rFonts w:ascii="Cambria Math" w:hAnsi="Cambria Math" w:cs="Calibri"/>
                <w:sz w:val="22"/>
                <w:lang w:val="en-GB"/>
              </w:rPr>
              <m:t>22</m:t>
            </m:r>
          </m:sub>
        </m:sSub>
      </m:oMath>
      <w:r w:rsidR="00D35C94" w:rsidRPr="00803973">
        <w:rPr>
          <w:rFonts w:ascii="Palatino Linotype" w:hAnsi="Palatino Linotype" w:cs="Calibri"/>
          <w:sz w:val="22"/>
          <w:lang w:val="en-GB"/>
        </w:rPr>
        <w:t>.</w:t>
      </w:r>
      <w:r w:rsidRPr="00803973">
        <w:rPr>
          <w:rFonts w:ascii="Palatino Linotype" w:hAnsi="Palatino Linotype" w:cs="Calibri"/>
          <w:sz w:val="22"/>
          <w:lang w:val="en-GB"/>
        </w:rPr>
        <w:t xml:space="preserve"> The complete regression results are demonstrated in Table </w:t>
      </w:r>
      <w:r w:rsidR="00BB2C43" w:rsidRPr="00803973">
        <w:rPr>
          <w:rFonts w:ascii="Palatino Linotype" w:hAnsi="Palatino Linotype" w:cs="Calibri"/>
          <w:sz w:val="22"/>
          <w:lang w:val="en-GB"/>
        </w:rPr>
        <w:t>3</w:t>
      </w:r>
      <w:r w:rsidR="00216FB2" w:rsidRPr="00803973">
        <w:rPr>
          <w:rFonts w:ascii="Palatino Linotype" w:hAnsi="Palatino Linotype" w:cs="Calibri"/>
          <w:sz w:val="22"/>
          <w:lang w:val="en-GB"/>
        </w:rPr>
        <w:t xml:space="preserve"> and </w:t>
      </w:r>
      <w:r w:rsidR="00BB2C43" w:rsidRPr="00803973">
        <w:rPr>
          <w:rFonts w:ascii="Palatino Linotype" w:hAnsi="Palatino Linotype" w:cs="Calibri"/>
          <w:sz w:val="22"/>
          <w:lang w:val="en-GB"/>
        </w:rPr>
        <w:t>4</w:t>
      </w:r>
      <w:r w:rsidRPr="00803973">
        <w:rPr>
          <w:rFonts w:ascii="Palatino Linotype" w:hAnsi="Palatino Linotype" w:cs="Calibri"/>
          <w:sz w:val="22"/>
          <w:lang w:val="en-GB"/>
        </w:rPr>
        <w:t>.</w:t>
      </w:r>
    </w:p>
    <w:p w:rsidR="00E95614" w:rsidRDefault="00E95614" w:rsidP="004A5EAD">
      <w:pPr>
        <w:spacing w:after="120" w:line="276" w:lineRule="auto"/>
        <w:jc w:val="left"/>
        <w:rPr>
          <w:rFonts w:ascii="Palatino Linotype" w:hAnsi="Palatino Linotype" w:cs="Calibri"/>
          <w:sz w:val="22"/>
          <w:lang w:val="en-GB"/>
        </w:rPr>
      </w:pPr>
    </w:p>
    <w:p w:rsidR="00E95614" w:rsidRDefault="00E95614" w:rsidP="004A5EAD">
      <w:pPr>
        <w:spacing w:after="120" w:line="276" w:lineRule="auto"/>
        <w:jc w:val="left"/>
        <w:rPr>
          <w:rFonts w:ascii="Palatino Linotype" w:hAnsi="Palatino Linotype" w:cs="Calibri"/>
          <w:sz w:val="22"/>
          <w:lang w:val="en-GB"/>
        </w:rPr>
      </w:pPr>
    </w:p>
    <w:p w:rsidR="00E95614" w:rsidRPr="00803973" w:rsidRDefault="00E95614" w:rsidP="004A5EAD">
      <w:pPr>
        <w:spacing w:after="120" w:line="276" w:lineRule="auto"/>
        <w:jc w:val="left"/>
        <w:rPr>
          <w:rFonts w:ascii="Palatino Linotype" w:hAnsi="Palatino Linotype" w:cs="Calibri"/>
          <w:sz w:val="22"/>
          <w:lang w:val="en-GB"/>
        </w:rPr>
      </w:pPr>
    </w:p>
    <w:p w:rsidR="00B71D91" w:rsidRDefault="00B71D91" w:rsidP="00BA3213">
      <w:pPr>
        <w:spacing w:after="120" w:line="276" w:lineRule="auto"/>
        <w:ind w:firstLine="360"/>
        <w:jc w:val="center"/>
        <w:rPr>
          <w:rFonts w:ascii="Palatino Linotype" w:eastAsia="Calibri" w:hAnsi="Palatino Linotype" w:cs="Calibri"/>
          <w:b/>
          <w:sz w:val="22"/>
        </w:rPr>
      </w:pPr>
    </w:p>
    <w:p w:rsidR="00D40747" w:rsidRPr="00E95614" w:rsidRDefault="00BA3213" w:rsidP="00BA3213">
      <w:pPr>
        <w:spacing w:after="120" w:line="276" w:lineRule="auto"/>
        <w:ind w:firstLine="360"/>
        <w:jc w:val="center"/>
        <w:rPr>
          <w:rFonts w:ascii="Palatino Linotype" w:hAnsi="Palatino Linotype" w:cs="Calibri"/>
          <w:b/>
          <w:sz w:val="20"/>
          <w:szCs w:val="20"/>
          <w:lang w:val="en-GB"/>
        </w:rPr>
      </w:pPr>
      <w:r w:rsidRPr="00E95614">
        <w:rPr>
          <w:rFonts w:ascii="Palatino Linotype" w:eastAsia="Calibri" w:hAnsi="Palatino Linotype" w:cs="Calibri"/>
          <w:b/>
          <w:sz w:val="20"/>
          <w:szCs w:val="20"/>
        </w:rPr>
        <w:lastRenderedPageBreak/>
        <w:t xml:space="preserve">Table </w:t>
      </w:r>
      <w:r w:rsidR="00BB2C43" w:rsidRPr="00E95614">
        <w:rPr>
          <w:rFonts w:ascii="Palatino Linotype" w:hAnsi="Palatino Linotype" w:cs="Calibri"/>
          <w:b/>
          <w:sz w:val="20"/>
          <w:szCs w:val="20"/>
        </w:rPr>
        <w:t>3</w:t>
      </w:r>
      <w:r w:rsidR="00222BDD" w:rsidRPr="00E95614">
        <w:rPr>
          <w:rFonts w:ascii="Palatino Linotype" w:eastAsia="Calibri" w:hAnsi="Palatino Linotype" w:cs="Calibri"/>
          <w:b/>
          <w:sz w:val="20"/>
          <w:szCs w:val="20"/>
        </w:rPr>
        <w:t xml:space="preserve"> </w:t>
      </w:r>
      <w:r w:rsidR="00222BDD" w:rsidRPr="00E95614">
        <w:rPr>
          <w:rFonts w:ascii="Palatino Linotype" w:hAnsi="Palatino Linotype" w:cs="Calibri"/>
          <w:b/>
          <w:sz w:val="20"/>
          <w:szCs w:val="20"/>
        </w:rPr>
        <w:t>Differential effect</w:t>
      </w:r>
      <w:r w:rsidR="00B66B54" w:rsidRPr="00E95614">
        <w:rPr>
          <w:rFonts w:ascii="Palatino Linotype" w:hAnsi="Palatino Linotype" w:cs="Calibri"/>
          <w:b/>
          <w:sz w:val="20"/>
          <w:szCs w:val="20"/>
        </w:rPr>
        <w:t>s</w:t>
      </w:r>
      <w:r w:rsidR="00222BDD" w:rsidRPr="00E95614">
        <w:rPr>
          <w:rFonts w:ascii="Palatino Linotype" w:hAnsi="Palatino Linotype" w:cs="Calibri"/>
          <w:b/>
          <w:sz w:val="20"/>
          <w:szCs w:val="20"/>
        </w:rPr>
        <w:t xml:space="preserve"> of</w:t>
      </w:r>
      <w:r w:rsidRPr="00E95614">
        <w:rPr>
          <w:rFonts w:ascii="Palatino Linotype" w:eastAsia="Calibri" w:hAnsi="Palatino Linotype" w:cs="Calibri"/>
          <w:b/>
          <w:sz w:val="20"/>
          <w:szCs w:val="20"/>
        </w:rPr>
        <w:t xml:space="preserve"> housing supply for different </w:t>
      </w:r>
      <w:r w:rsidRPr="00E95614">
        <w:rPr>
          <w:rFonts w:ascii="Palatino Linotype" w:hAnsi="Palatino Linotype" w:cs="Calibri"/>
          <w:b/>
          <w:sz w:val="20"/>
          <w:szCs w:val="20"/>
        </w:rPr>
        <w:t xml:space="preserve">location and </w:t>
      </w:r>
      <w:r w:rsidRPr="00E95614">
        <w:rPr>
          <w:rFonts w:ascii="Palatino Linotype" w:eastAsia="Calibri" w:hAnsi="Palatino Linotype" w:cs="Calibri"/>
          <w:b/>
          <w:sz w:val="20"/>
          <w:szCs w:val="20"/>
        </w:rPr>
        <w:t>type of housing</w:t>
      </w:r>
      <w:r w:rsidR="008F36FC" w:rsidRPr="00E95614">
        <w:rPr>
          <w:rFonts w:ascii="Palatino Linotype" w:eastAsia="Calibri" w:hAnsi="Palatino Linotype" w:cs="Calibri"/>
          <w:sz w:val="20"/>
          <w:szCs w:val="20"/>
          <w:lang w:val="en-GB"/>
        </w:rPr>
        <w:tab/>
      </w:r>
    </w:p>
    <w:tbl>
      <w:tblPr>
        <w:tblW w:w="8425" w:type="dxa"/>
        <w:tblInd w:w="97" w:type="dxa"/>
        <w:tblLook w:val="04A0" w:firstRow="1" w:lastRow="0" w:firstColumn="1" w:lastColumn="0" w:noHBand="0" w:noVBand="1"/>
      </w:tblPr>
      <w:tblGrid>
        <w:gridCol w:w="1396"/>
        <w:gridCol w:w="979"/>
        <w:gridCol w:w="470"/>
        <w:gridCol w:w="983"/>
        <w:gridCol w:w="355"/>
        <w:gridCol w:w="1527"/>
        <w:gridCol w:w="964"/>
        <w:gridCol w:w="478"/>
        <w:gridCol w:w="939"/>
        <w:gridCol w:w="334"/>
      </w:tblGrid>
      <w:tr w:rsidR="009D6B41" w:rsidRPr="00E95614" w:rsidTr="009D6B41">
        <w:trPr>
          <w:trHeight w:val="280"/>
        </w:trPr>
        <w:tc>
          <w:tcPr>
            <w:tcW w:w="4183" w:type="dxa"/>
            <w:gridSpan w:val="5"/>
            <w:tcBorders>
              <w:top w:val="single" w:sz="8" w:space="0" w:color="auto"/>
              <w:left w:val="nil"/>
              <w:bottom w:val="nil"/>
              <w:right w:val="double" w:sz="6" w:space="0" w:color="000000"/>
            </w:tcBorders>
            <w:shd w:val="clear" w:color="auto" w:fill="auto"/>
            <w:noWrap/>
            <w:vAlign w:val="bottom"/>
            <w:hideMark/>
          </w:tcPr>
          <w:p w:rsidR="009D6B41" w:rsidRPr="00E95614" w:rsidRDefault="009D6B41" w:rsidP="008C33D1">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Dependent Variable:</w:t>
            </w:r>
            <w:r w:rsidR="008C33D1" w:rsidRPr="00E95614">
              <w:rPr>
                <w:rFonts w:ascii="Palatino Linotype" w:eastAsia="SimSun" w:hAnsi="Palatino Linotype" w:cstheme="minorHAnsi"/>
                <w:b/>
                <w:color w:val="000000"/>
                <w:kern w:val="0"/>
                <w:sz w:val="20"/>
                <w:szCs w:val="20"/>
              </w:rPr>
              <w:t xml:space="preserve"> </w:t>
            </w:r>
            <m:oMath>
              <m:sSubSup>
                <m:sSubSupPr>
                  <m:ctrlPr>
                    <w:rPr>
                      <w:rFonts w:ascii="Cambria Math" w:eastAsia="SimSun" w:hAnsi="Cambria Math" w:cstheme="minorHAnsi"/>
                      <w:b/>
                      <w:i/>
                      <w:color w:val="000000"/>
                      <w:kern w:val="0"/>
                      <w:sz w:val="20"/>
                      <w:szCs w:val="20"/>
                    </w:rPr>
                  </m:ctrlPr>
                </m:sSubSupPr>
                <m:e>
                  <m:r>
                    <m:rPr>
                      <m:sty m:val="bi"/>
                    </m:rPr>
                    <w:rPr>
                      <w:rFonts w:ascii="Cambria Math" w:eastAsia="SimSun" w:hAnsi="Cambria Math" w:cstheme="minorHAnsi"/>
                      <w:color w:val="000000"/>
                      <w:kern w:val="0"/>
                      <w:sz w:val="20"/>
                      <w:szCs w:val="20"/>
                    </w:rPr>
                    <m:t>Y</m:t>
                  </m:r>
                </m:e>
                <m:sub>
                  <m:r>
                    <m:rPr>
                      <m:sty m:val="bi"/>
                    </m:rPr>
                    <w:rPr>
                      <w:rFonts w:ascii="Cambria Math" w:eastAsia="SimSun" w:hAnsi="Cambria Math" w:cstheme="minorHAnsi"/>
                      <w:color w:val="000000"/>
                      <w:kern w:val="0"/>
                      <w:sz w:val="20"/>
                      <w:szCs w:val="20"/>
                    </w:rPr>
                    <m:t>1</m:t>
                  </m:r>
                </m:sub>
                <m:sup>
                  <m:r>
                    <m:rPr>
                      <m:sty m:val="bi"/>
                    </m:rPr>
                    <w:rPr>
                      <w:rFonts w:ascii="Cambria Math" w:eastAsia="SimSun" w:hAnsi="Cambria Math" w:cstheme="minorHAnsi"/>
                      <w:color w:val="000000"/>
                      <w:kern w:val="0"/>
                      <w:sz w:val="20"/>
                      <w:szCs w:val="20"/>
                    </w:rPr>
                    <m:t>γ</m:t>
                  </m:r>
                </m:sup>
              </m:sSubSup>
            </m:oMath>
          </w:p>
        </w:tc>
        <w:tc>
          <w:tcPr>
            <w:tcW w:w="4242" w:type="dxa"/>
            <w:gridSpan w:val="5"/>
            <w:tcBorders>
              <w:top w:val="single" w:sz="8" w:space="0" w:color="auto"/>
              <w:left w:val="nil"/>
              <w:bottom w:val="nil"/>
              <w:right w:val="nil"/>
            </w:tcBorders>
            <w:shd w:val="clear" w:color="auto" w:fill="auto"/>
            <w:noWrap/>
            <w:vAlign w:val="bottom"/>
            <w:hideMark/>
          </w:tcPr>
          <w:p w:rsidR="009D6B41" w:rsidRPr="00E95614" w:rsidRDefault="009D6B41" w:rsidP="008C33D1">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 xml:space="preserve">Dependent Variable: </w:t>
            </w:r>
            <m:oMath>
              <m:sSubSup>
                <m:sSubSupPr>
                  <m:ctrlPr>
                    <w:rPr>
                      <w:rFonts w:ascii="Cambria Math" w:eastAsia="SimSun" w:hAnsi="Cambria Math" w:cstheme="minorHAnsi"/>
                      <w:b/>
                      <w:i/>
                      <w:color w:val="000000"/>
                      <w:kern w:val="0"/>
                      <w:sz w:val="20"/>
                      <w:szCs w:val="20"/>
                    </w:rPr>
                  </m:ctrlPr>
                </m:sSubSupPr>
                <m:e>
                  <m:r>
                    <m:rPr>
                      <m:sty m:val="bi"/>
                    </m:rPr>
                    <w:rPr>
                      <w:rFonts w:ascii="Cambria Math" w:eastAsia="SimSun" w:hAnsi="Cambria Math" w:cstheme="minorHAnsi"/>
                      <w:color w:val="000000"/>
                      <w:kern w:val="0"/>
                      <w:sz w:val="20"/>
                      <w:szCs w:val="20"/>
                    </w:rPr>
                    <m:t>Y</m:t>
                  </m:r>
                </m:e>
                <m:sub>
                  <m:r>
                    <m:rPr>
                      <m:sty m:val="bi"/>
                    </m:rPr>
                    <w:rPr>
                      <w:rFonts w:ascii="Cambria Math" w:eastAsia="SimSun" w:hAnsi="Cambria Math" w:cstheme="minorHAnsi"/>
                      <w:color w:val="000000"/>
                      <w:kern w:val="0"/>
                      <w:sz w:val="20"/>
                      <w:szCs w:val="20"/>
                    </w:rPr>
                    <m:t>2</m:t>
                  </m:r>
                </m:sub>
                <m:sup>
                  <m:r>
                    <m:rPr>
                      <m:sty m:val="bi"/>
                    </m:rPr>
                    <w:rPr>
                      <w:rFonts w:ascii="Cambria Math" w:eastAsia="SimSun" w:hAnsi="Cambria Math" w:cstheme="minorHAnsi"/>
                      <w:color w:val="000000"/>
                      <w:kern w:val="0"/>
                      <w:sz w:val="20"/>
                      <w:szCs w:val="20"/>
                    </w:rPr>
                    <m:t>γ</m:t>
                  </m:r>
                </m:sup>
              </m:sSubSup>
            </m:oMath>
          </w:p>
        </w:tc>
      </w:tr>
      <w:tr w:rsidR="009D6B41" w:rsidRPr="00E95614" w:rsidTr="009D6B41">
        <w:trPr>
          <w:trHeight w:val="290"/>
        </w:trPr>
        <w:tc>
          <w:tcPr>
            <w:tcW w:w="4183" w:type="dxa"/>
            <w:gridSpan w:val="5"/>
            <w:tcBorders>
              <w:top w:val="nil"/>
              <w:left w:val="nil"/>
              <w:bottom w:val="single" w:sz="8" w:space="0" w:color="auto"/>
              <w:right w:val="double" w:sz="6" w:space="0" w:color="000000"/>
            </w:tcBorders>
            <w:shd w:val="clear" w:color="auto" w:fill="auto"/>
            <w:noWrap/>
            <w:vAlign w:val="bottom"/>
            <w:hideMark/>
          </w:tcPr>
          <w:p w:rsidR="009D6B41" w:rsidRPr="00E95614" w:rsidRDefault="009D6B41" w:rsidP="00D40747">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Included observations: 8</w:t>
            </w:r>
            <w:r w:rsidR="00393684" w:rsidRPr="00E95614">
              <w:rPr>
                <w:rFonts w:ascii="Palatino Linotype" w:eastAsia="SimSun" w:hAnsi="Palatino Linotype" w:cstheme="minorHAnsi"/>
                <w:b/>
                <w:color w:val="000000"/>
                <w:kern w:val="0"/>
                <w:sz w:val="20"/>
                <w:szCs w:val="20"/>
              </w:rPr>
              <w:t>3</w:t>
            </w:r>
            <w:r w:rsidR="00D40747" w:rsidRPr="00E95614">
              <w:rPr>
                <w:rFonts w:ascii="Palatino Linotype" w:eastAsia="SimSun" w:hAnsi="Palatino Linotype" w:cstheme="minorHAnsi"/>
                <w:b/>
                <w:color w:val="000000"/>
                <w:kern w:val="0"/>
                <w:sz w:val="20"/>
                <w:szCs w:val="20"/>
              </w:rPr>
              <w:t>3</w:t>
            </w:r>
          </w:p>
        </w:tc>
        <w:tc>
          <w:tcPr>
            <w:tcW w:w="4242" w:type="dxa"/>
            <w:gridSpan w:val="5"/>
            <w:tcBorders>
              <w:top w:val="nil"/>
              <w:left w:val="nil"/>
              <w:bottom w:val="single" w:sz="8" w:space="0" w:color="auto"/>
              <w:right w:val="nil"/>
            </w:tcBorders>
            <w:shd w:val="clear" w:color="auto" w:fill="auto"/>
            <w:noWrap/>
            <w:vAlign w:val="bottom"/>
            <w:hideMark/>
          </w:tcPr>
          <w:p w:rsidR="009D6B41" w:rsidRPr="00E95614" w:rsidRDefault="009D6B41" w:rsidP="00D40747">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Included observations: 8</w:t>
            </w:r>
            <w:r w:rsidR="00393684" w:rsidRPr="00E95614">
              <w:rPr>
                <w:rFonts w:ascii="Palatino Linotype" w:eastAsia="SimSun" w:hAnsi="Palatino Linotype" w:cstheme="minorHAnsi"/>
                <w:b/>
                <w:color w:val="000000"/>
                <w:kern w:val="0"/>
                <w:sz w:val="20"/>
                <w:szCs w:val="20"/>
              </w:rPr>
              <w:t>3</w:t>
            </w:r>
            <w:r w:rsidR="00D40747" w:rsidRPr="00E95614">
              <w:rPr>
                <w:rFonts w:ascii="Palatino Linotype" w:eastAsia="SimSun" w:hAnsi="Palatino Linotype" w:cstheme="minorHAnsi"/>
                <w:b/>
                <w:color w:val="000000"/>
                <w:kern w:val="0"/>
                <w:sz w:val="20"/>
                <w:szCs w:val="20"/>
              </w:rPr>
              <w:t>3</w:t>
            </w:r>
          </w:p>
        </w:tc>
      </w:tr>
      <w:tr w:rsidR="009D6B41" w:rsidRPr="00E95614" w:rsidTr="009D6B41">
        <w:trPr>
          <w:trHeight w:val="290"/>
        </w:trPr>
        <w:tc>
          <w:tcPr>
            <w:tcW w:w="1396" w:type="dxa"/>
            <w:tcBorders>
              <w:top w:val="nil"/>
              <w:left w:val="nil"/>
              <w:bottom w:val="single" w:sz="8" w:space="0" w:color="auto"/>
              <w:right w:val="nil"/>
            </w:tcBorders>
            <w:shd w:val="clear" w:color="auto" w:fill="auto"/>
            <w:noWrap/>
            <w:vAlign w:val="bottom"/>
            <w:hideMark/>
          </w:tcPr>
          <w:p w:rsidR="009D6B41" w:rsidRPr="00E95614" w:rsidRDefault="009D6B41" w:rsidP="009D6B41">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Variable</w:t>
            </w:r>
          </w:p>
        </w:tc>
        <w:tc>
          <w:tcPr>
            <w:tcW w:w="1449" w:type="dxa"/>
            <w:gridSpan w:val="2"/>
            <w:tcBorders>
              <w:top w:val="nil"/>
              <w:left w:val="nil"/>
              <w:bottom w:val="single" w:sz="8" w:space="0" w:color="auto"/>
              <w:right w:val="nil"/>
            </w:tcBorders>
            <w:shd w:val="clear" w:color="auto" w:fill="auto"/>
            <w:noWrap/>
            <w:vAlign w:val="bottom"/>
            <w:hideMark/>
          </w:tcPr>
          <w:p w:rsidR="009D6B41" w:rsidRPr="00E95614" w:rsidRDefault="009D6B41" w:rsidP="009D6B41">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Coefficient</w:t>
            </w:r>
          </w:p>
        </w:tc>
        <w:tc>
          <w:tcPr>
            <w:tcW w:w="1338" w:type="dxa"/>
            <w:gridSpan w:val="2"/>
            <w:tcBorders>
              <w:top w:val="nil"/>
              <w:left w:val="nil"/>
              <w:bottom w:val="single" w:sz="8" w:space="0" w:color="auto"/>
              <w:right w:val="double" w:sz="6" w:space="0" w:color="auto"/>
            </w:tcBorders>
            <w:shd w:val="clear" w:color="auto" w:fill="auto"/>
            <w:noWrap/>
            <w:vAlign w:val="bottom"/>
            <w:hideMark/>
          </w:tcPr>
          <w:p w:rsidR="009D6B41" w:rsidRPr="00E95614" w:rsidRDefault="009D6B41" w:rsidP="009D6B41">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Std. Error</w:t>
            </w:r>
          </w:p>
        </w:tc>
        <w:tc>
          <w:tcPr>
            <w:tcW w:w="1527" w:type="dxa"/>
            <w:tcBorders>
              <w:top w:val="nil"/>
              <w:left w:val="nil"/>
              <w:bottom w:val="single" w:sz="8" w:space="0" w:color="auto"/>
              <w:right w:val="nil"/>
            </w:tcBorders>
            <w:shd w:val="clear" w:color="auto" w:fill="auto"/>
            <w:noWrap/>
            <w:vAlign w:val="bottom"/>
            <w:hideMark/>
          </w:tcPr>
          <w:p w:rsidR="009D6B41" w:rsidRPr="00E95614" w:rsidRDefault="009D6B41" w:rsidP="009D6B41">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Variable</w:t>
            </w:r>
          </w:p>
        </w:tc>
        <w:tc>
          <w:tcPr>
            <w:tcW w:w="1442" w:type="dxa"/>
            <w:gridSpan w:val="2"/>
            <w:tcBorders>
              <w:top w:val="nil"/>
              <w:left w:val="nil"/>
              <w:bottom w:val="single" w:sz="8" w:space="0" w:color="auto"/>
              <w:right w:val="nil"/>
            </w:tcBorders>
            <w:shd w:val="clear" w:color="auto" w:fill="auto"/>
            <w:noWrap/>
            <w:vAlign w:val="bottom"/>
            <w:hideMark/>
          </w:tcPr>
          <w:p w:rsidR="009D6B41" w:rsidRPr="00E95614" w:rsidRDefault="009D6B41" w:rsidP="009D6B41">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Coefficient</w:t>
            </w:r>
          </w:p>
        </w:tc>
        <w:tc>
          <w:tcPr>
            <w:tcW w:w="1273" w:type="dxa"/>
            <w:gridSpan w:val="2"/>
            <w:tcBorders>
              <w:top w:val="nil"/>
              <w:left w:val="nil"/>
              <w:bottom w:val="single" w:sz="8" w:space="0" w:color="auto"/>
              <w:right w:val="nil"/>
            </w:tcBorders>
            <w:shd w:val="clear" w:color="auto" w:fill="auto"/>
            <w:noWrap/>
            <w:vAlign w:val="bottom"/>
            <w:hideMark/>
          </w:tcPr>
          <w:p w:rsidR="009D6B41" w:rsidRPr="00E95614" w:rsidRDefault="009D6B41" w:rsidP="009D6B41">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Std. Error</w:t>
            </w:r>
          </w:p>
        </w:tc>
      </w:tr>
      <w:tr w:rsidR="00D40747" w:rsidRPr="00E95614" w:rsidTr="009D6B41">
        <w:trPr>
          <w:trHeight w:val="280"/>
        </w:trPr>
        <w:tc>
          <w:tcPr>
            <w:tcW w:w="1396" w:type="dxa"/>
            <w:tcBorders>
              <w:top w:val="nil"/>
              <w:left w:val="nil"/>
              <w:bottom w:val="nil"/>
              <w:right w:val="nil"/>
            </w:tcBorders>
            <w:shd w:val="clear" w:color="auto" w:fill="auto"/>
            <w:noWrap/>
            <w:vAlign w:val="bottom"/>
            <w:hideMark/>
          </w:tcPr>
          <w:p w:rsidR="00D40747" w:rsidRPr="00E95614" w:rsidRDefault="00D40747" w:rsidP="006B23FD">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D</w:t>
            </w:r>
            <w:r w:rsidRPr="00E95614">
              <w:rPr>
                <w:rFonts w:ascii="Palatino Linotype" w:eastAsia="SimSun" w:hAnsi="Palatino Linotype" w:cstheme="minorHAnsi"/>
                <w:b/>
                <w:color w:val="000000"/>
                <w:kern w:val="0"/>
                <w:sz w:val="20"/>
                <w:szCs w:val="20"/>
                <w:vertAlign w:val="subscript"/>
              </w:rPr>
              <w:t>C</w:t>
            </w:r>
          </w:p>
        </w:tc>
        <w:tc>
          <w:tcPr>
            <w:tcW w:w="1449" w:type="dxa"/>
            <w:gridSpan w:val="2"/>
            <w:tcBorders>
              <w:top w:val="nil"/>
              <w:left w:val="nil"/>
              <w:bottom w:val="nil"/>
              <w:right w:val="nil"/>
            </w:tcBorders>
            <w:shd w:val="clear" w:color="auto" w:fill="auto"/>
            <w:noWrap/>
            <w:vAlign w:val="bottom"/>
            <w:hideMark/>
          </w:tcPr>
          <w:p w:rsidR="00D40747" w:rsidRPr="00E95614" w:rsidRDefault="00D40747" w:rsidP="004E1D07">
            <w:pPr>
              <w:rPr>
                <w:rFonts w:ascii="Palatino Linotype" w:hAnsi="Palatino Linotype" w:cs="Calibri"/>
                <w:color w:val="000000"/>
                <w:sz w:val="20"/>
                <w:szCs w:val="20"/>
              </w:rPr>
            </w:pPr>
            <w:r w:rsidRPr="00E95614">
              <w:rPr>
                <w:rFonts w:ascii="Palatino Linotype" w:hAnsi="Palatino Linotype" w:cs="Calibri"/>
                <w:color w:val="000000"/>
                <w:sz w:val="20"/>
                <w:szCs w:val="20"/>
              </w:rPr>
              <w:t>7</w:t>
            </w:r>
            <w:r w:rsidR="004E1D07" w:rsidRPr="00E95614">
              <w:rPr>
                <w:rFonts w:ascii="Palatino Linotype" w:hAnsi="Palatino Linotype" w:cs="Calibri"/>
                <w:color w:val="000000"/>
                <w:sz w:val="20"/>
                <w:szCs w:val="20"/>
              </w:rPr>
              <w:t>5.867*</w:t>
            </w:r>
            <w:r w:rsidRPr="00E95614">
              <w:rPr>
                <w:rFonts w:ascii="Palatino Linotype" w:hAnsi="Palatino Linotype" w:cs="Calibri"/>
                <w:color w:val="000000"/>
                <w:sz w:val="20"/>
                <w:szCs w:val="20"/>
              </w:rPr>
              <w:t>*</w:t>
            </w:r>
          </w:p>
        </w:tc>
        <w:tc>
          <w:tcPr>
            <w:tcW w:w="1338" w:type="dxa"/>
            <w:gridSpan w:val="2"/>
            <w:tcBorders>
              <w:top w:val="nil"/>
              <w:left w:val="nil"/>
              <w:bottom w:val="nil"/>
              <w:right w:val="double" w:sz="6" w:space="0" w:color="auto"/>
            </w:tcBorders>
            <w:shd w:val="clear" w:color="auto" w:fill="auto"/>
            <w:noWrap/>
            <w:vAlign w:val="bottom"/>
            <w:hideMark/>
          </w:tcPr>
          <w:p w:rsidR="00D40747" w:rsidRPr="00E95614" w:rsidRDefault="00D40747" w:rsidP="00D40747">
            <w:pPr>
              <w:jc w:val="left"/>
              <w:rPr>
                <w:rFonts w:ascii="Palatino Linotype" w:hAnsi="Palatino Linotype" w:cs="Calibri"/>
                <w:color w:val="000000"/>
                <w:sz w:val="20"/>
                <w:szCs w:val="20"/>
              </w:rPr>
            </w:pPr>
            <w:r w:rsidRPr="00E95614">
              <w:rPr>
                <w:rFonts w:ascii="Palatino Linotype" w:hAnsi="Palatino Linotype" w:cs="Calibri"/>
                <w:color w:val="000000"/>
                <w:sz w:val="20"/>
                <w:szCs w:val="20"/>
              </w:rPr>
              <w:t>38.47</w:t>
            </w:r>
          </w:p>
        </w:tc>
        <w:tc>
          <w:tcPr>
            <w:tcW w:w="1527" w:type="dxa"/>
            <w:tcBorders>
              <w:top w:val="nil"/>
              <w:left w:val="nil"/>
              <w:bottom w:val="nil"/>
              <w:right w:val="nil"/>
            </w:tcBorders>
            <w:shd w:val="clear" w:color="auto" w:fill="auto"/>
            <w:noWrap/>
            <w:vAlign w:val="bottom"/>
            <w:hideMark/>
          </w:tcPr>
          <w:p w:rsidR="00D40747" w:rsidRPr="00E95614" w:rsidRDefault="00D40747" w:rsidP="009D6B41">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D</w:t>
            </w:r>
            <w:r w:rsidRPr="00E95614">
              <w:rPr>
                <w:rFonts w:ascii="Palatino Linotype" w:eastAsia="SimSun" w:hAnsi="Palatino Linotype" w:cstheme="minorHAnsi"/>
                <w:b/>
                <w:color w:val="000000"/>
                <w:kern w:val="0"/>
                <w:sz w:val="20"/>
                <w:szCs w:val="20"/>
                <w:vertAlign w:val="subscript"/>
              </w:rPr>
              <w:t>C</w:t>
            </w:r>
          </w:p>
        </w:tc>
        <w:tc>
          <w:tcPr>
            <w:tcW w:w="1442" w:type="dxa"/>
            <w:gridSpan w:val="2"/>
            <w:tcBorders>
              <w:top w:val="nil"/>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121.190***</w:t>
            </w:r>
          </w:p>
        </w:tc>
        <w:tc>
          <w:tcPr>
            <w:tcW w:w="1273" w:type="dxa"/>
            <w:gridSpan w:val="2"/>
            <w:tcBorders>
              <w:top w:val="nil"/>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21.892</w:t>
            </w:r>
          </w:p>
        </w:tc>
      </w:tr>
      <w:tr w:rsidR="00D40747" w:rsidRPr="00E95614" w:rsidTr="009D6B41">
        <w:trPr>
          <w:trHeight w:val="280"/>
        </w:trPr>
        <w:tc>
          <w:tcPr>
            <w:tcW w:w="1396" w:type="dxa"/>
            <w:tcBorders>
              <w:top w:val="nil"/>
              <w:left w:val="nil"/>
              <w:bottom w:val="nil"/>
              <w:right w:val="nil"/>
            </w:tcBorders>
            <w:shd w:val="clear" w:color="auto" w:fill="auto"/>
            <w:noWrap/>
            <w:vAlign w:val="bottom"/>
            <w:hideMark/>
          </w:tcPr>
          <w:p w:rsidR="00D40747" w:rsidRPr="00E95614" w:rsidRDefault="00D40747" w:rsidP="009D6B41">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D</w:t>
            </w:r>
            <w:r w:rsidRPr="00E95614">
              <w:rPr>
                <w:rFonts w:ascii="Palatino Linotype" w:eastAsia="SimSun" w:hAnsi="Palatino Linotype" w:cstheme="minorHAnsi"/>
                <w:b/>
                <w:color w:val="000000"/>
                <w:kern w:val="0"/>
                <w:sz w:val="20"/>
                <w:szCs w:val="20"/>
                <w:vertAlign w:val="subscript"/>
              </w:rPr>
              <w:t>L</w:t>
            </w:r>
          </w:p>
        </w:tc>
        <w:tc>
          <w:tcPr>
            <w:tcW w:w="1449" w:type="dxa"/>
            <w:gridSpan w:val="2"/>
            <w:tcBorders>
              <w:top w:val="nil"/>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32.620***</w:t>
            </w:r>
          </w:p>
        </w:tc>
        <w:tc>
          <w:tcPr>
            <w:tcW w:w="1338" w:type="dxa"/>
            <w:gridSpan w:val="2"/>
            <w:tcBorders>
              <w:top w:val="nil"/>
              <w:left w:val="nil"/>
              <w:bottom w:val="nil"/>
              <w:right w:val="double" w:sz="6" w:space="0" w:color="auto"/>
            </w:tcBorders>
            <w:shd w:val="clear" w:color="auto" w:fill="auto"/>
            <w:noWrap/>
            <w:vAlign w:val="bottom"/>
            <w:hideMark/>
          </w:tcPr>
          <w:p w:rsidR="00D40747" w:rsidRPr="00E95614" w:rsidRDefault="00D40747" w:rsidP="00D40747">
            <w:pPr>
              <w:jc w:val="left"/>
              <w:rPr>
                <w:rFonts w:ascii="Palatino Linotype" w:hAnsi="Palatino Linotype" w:cs="Calibri"/>
                <w:color w:val="000000"/>
                <w:sz w:val="20"/>
                <w:szCs w:val="20"/>
              </w:rPr>
            </w:pPr>
            <w:r w:rsidRPr="00E95614">
              <w:rPr>
                <w:rFonts w:ascii="Palatino Linotype" w:hAnsi="Palatino Linotype" w:cs="Calibri"/>
                <w:color w:val="000000"/>
                <w:sz w:val="20"/>
                <w:szCs w:val="20"/>
              </w:rPr>
              <w:t>5.63</w:t>
            </w:r>
          </w:p>
        </w:tc>
        <w:tc>
          <w:tcPr>
            <w:tcW w:w="1527" w:type="dxa"/>
            <w:tcBorders>
              <w:top w:val="nil"/>
              <w:left w:val="nil"/>
              <w:bottom w:val="nil"/>
              <w:right w:val="nil"/>
            </w:tcBorders>
            <w:shd w:val="clear" w:color="auto" w:fill="auto"/>
            <w:noWrap/>
            <w:vAlign w:val="bottom"/>
            <w:hideMark/>
          </w:tcPr>
          <w:p w:rsidR="00D40747" w:rsidRPr="00E95614" w:rsidRDefault="00D40747" w:rsidP="009D6B41">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D</w:t>
            </w:r>
            <w:r w:rsidRPr="00E95614">
              <w:rPr>
                <w:rFonts w:ascii="Palatino Linotype" w:eastAsia="SimSun" w:hAnsi="Palatino Linotype" w:cstheme="minorHAnsi"/>
                <w:b/>
                <w:color w:val="000000"/>
                <w:kern w:val="0"/>
                <w:sz w:val="20"/>
                <w:szCs w:val="20"/>
                <w:vertAlign w:val="subscript"/>
              </w:rPr>
              <w:t>L</w:t>
            </w:r>
          </w:p>
        </w:tc>
        <w:tc>
          <w:tcPr>
            <w:tcW w:w="1442" w:type="dxa"/>
            <w:gridSpan w:val="2"/>
            <w:tcBorders>
              <w:top w:val="nil"/>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-6.091*</w:t>
            </w:r>
          </w:p>
        </w:tc>
        <w:tc>
          <w:tcPr>
            <w:tcW w:w="1273" w:type="dxa"/>
            <w:gridSpan w:val="2"/>
            <w:tcBorders>
              <w:top w:val="nil"/>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3.204</w:t>
            </w:r>
          </w:p>
        </w:tc>
      </w:tr>
      <w:tr w:rsidR="00D40747" w:rsidRPr="00E95614" w:rsidTr="009D6B41">
        <w:trPr>
          <w:trHeight w:val="280"/>
        </w:trPr>
        <w:tc>
          <w:tcPr>
            <w:tcW w:w="1396" w:type="dxa"/>
            <w:tcBorders>
              <w:top w:val="nil"/>
              <w:left w:val="nil"/>
              <w:bottom w:val="nil"/>
              <w:right w:val="nil"/>
            </w:tcBorders>
            <w:shd w:val="clear" w:color="auto" w:fill="auto"/>
            <w:noWrap/>
            <w:vAlign w:val="bottom"/>
            <w:hideMark/>
          </w:tcPr>
          <w:p w:rsidR="00D40747" w:rsidRPr="00E95614" w:rsidRDefault="00D40747" w:rsidP="009D6B41">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D</w:t>
            </w:r>
            <w:r w:rsidRPr="00E95614">
              <w:rPr>
                <w:rFonts w:ascii="Palatino Linotype" w:eastAsia="SimSun" w:hAnsi="Palatino Linotype" w:cstheme="minorHAnsi"/>
                <w:b/>
                <w:color w:val="000000"/>
                <w:kern w:val="0"/>
                <w:sz w:val="20"/>
                <w:szCs w:val="20"/>
                <w:vertAlign w:val="subscript"/>
              </w:rPr>
              <w:t>H</w:t>
            </w:r>
          </w:p>
        </w:tc>
        <w:tc>
          <w:tcPr>
            <w:tcW w:w="1449" w:type="dxa"/>
            <w:gridSpan w:val="2"/>
            <w:tcBorders>
              <w:top w:val="nil"/>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30.574***</w:t>
            </w:r>
          </w:p>
        </w:tc>
        <w:tc>
          <w:tcPr>
            <w:tcW w:w="1338" w:type="dxa"/>
            <w:gridSpan w:val="2"/>
            <w:tcBorders>
              <w:top w:val="nil"/>
              <w:left w:val="nil"/>
              <w:bottom w:val="nil"/>
              <w:right w:val="double" w:sz="6" w:space="0" w:color="auto"/>
            </w:tcBorders>
            <w:shd w:val="clear" w:color="auto" w:fill="auto"/>
            <w:noWrap/>
            <w:vAlign w:val="bottom"/>
            <w:hideMark/>
          </w:tcPr>
          <w:p w:rsidR="00D40747" w:rsidRPr="00E95614" w:rsidRDefault="00D40747" w:rsidP="00D40747">
            <w:pPr>
              <w:jc w:val="left"/>
              <w:rPr>
                <w:rFonts w:ascii="Palatino Linotype" w:hAnsi="Palatino Linotype" w:cs="Calibri"/>
                <w:color w:val="000000"/>
                <w:sz w:val="20"/>
                <w:szCs w:val="20"/>
              </w:rPr>
            </w:pPr>
            <w:r w:rsidRPr="00E95614">
              <w:rPr>
                <w:rFonts w:ascii="Palatino Linotype" w:hAnsi="Palatino Linotype" w:cs="Calibri"/>
                <w:color w:val="000000"/>
                <w:sz w:val="20"/>
                <w:szCs w:val="20"/>
              </w:rPr>
              <w:t>5.748</w:t>
            </w:r>
          </w:p>
        </w:tc>
        <w:tc>
          <w:tcPr>
            <w:tcW w:w="1527" w:type="dxa"/>
            <w:tcBorders>
              <w:top w:val="nil"/>
              <w:left w:val="nil"/>
              <w:bottom w:val="nil"/>
              <w:right w:val="nil"/>
            </w:tcBorders>
            <w:shd w:val="clear" w:color="auto" w:fill="auto"/>
            <w:noWrap/>
            <w:vAlign w:val="bottom"/>
            <w:hideMark/>
          </w:tcPr>
          <w:p w:rsidR="00D40747" w:rsidRPr="00E95614" w:rsidRDefault="00D40747" w:rsidP="009D6B41">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D</w:t>
            </w:r>
            <w:r w:rsidRPr="00E95614">
              <w:rPr>
                <w:rFonts w:ascii="Palatino Linotype" w:eastAsia="SimSun" w:hAnsi="Palatino Linotype" w:cstheme="minorHAnsi"/>
                <w:b/>
                <w:color w:val="000000"/>
                <w:kern w:val="0"/>
                <w:sz w:val="20"/>
                <w:szCs w:val="20"/>
                <w:vertAlign w:val="subscript"/>
              </w:rPr>
              <w:t>H</w:t>
            </w:r>
          </w:p>
        </w:tc>
        <w:tc>
          <w:tcPr>
            <w:tcW w:w="1442" w:type="dxa"/>
            <w:gridSpan w:val="2"/>
            <w:tcBorders>
              <w:top w:val="nil"/>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-7.633**</w:t>
            </w:r>
          </w:p>
        </w:tc>
        <w:tc>
          <w:tcPr>
            <w:tcW w:w="1273" w:type="dxa"/>
            <w:gridSpan w:val="2"/>
            <w:tcBorders>
              <w:top w:val="nil"/>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3.271</w:t>
            </w:r>
          </w:p>
        </w:tc>
      </w:tr>
      <w:tr w:rsidR="00D40747" w:rsidRPr="00E95614" w:rsidTr="009D6B41">
        <w:trPr>
          <w:trHeight w:val="280"/>
        </w:trPr>
        <w:tc>
          <w:tcPr>
            <w:tcW w:w="1396" w:type="dxa"/>
            <w:tcBorders>
              <w:top w:val="nil"/>
              <w:left w:val="nil"/>
              <w:bottom w:val="nil"/>
              <w:right w:val="nil"/>
            </w:tcBorders>
            <w:shd w:val="clear" w:color="auto" w:fill="auto"/>
            <w:noWrap/>
            <w:vAlign w:val="bottom"/>
            <w:hideMark/>
          </w:tcPr>
          <w:p w:rsidR="00D40747" w:rsidRPr="00E95614" w:rsidRDefault="00D40747" w:rsidP="009D6B41">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D</w:t>
            </w:r>
            <w:r w:rsidRPr="00E95614">
              <w:rPr>
                <w:rFonts w:ascii="Palatino Linotype" w:eastAsia="SimSun" w:hAnsi="Palatino Linotype" w:cstheme="minorHAnsi"/>
                <w:b/>
                <w:color w:val="000000"/>
                <w:kern w:val="0"/>
                <w:sz w:val="20"/>
                <w:szCs w:val="20"/>
                <w:vertAlign w:val="subscript"/>
              </w:rPr>
              <w:t>C</w:t>
            </w:r>
            <w:r w:rsidRPr="00E95614">
              <w:rPr>
                <w:rFonts w:ascii="Palatino Linotype" w:eastAsia="SimSun" w:hAnsi="Palatino Linotype" w:cstheme="minorHAnsi"/>
                <w:b/>
                <w:color w:val="000000"/>
                <w:kern w:val="0"/>
                <w:sz w:val="20"/>
                <w:szCs w:val="20"/>
              </w:rPr>
              <w:t xml:space="preserve"> D</w:t>
            </w:r>
            <w:r w:rsidRPr="00E95614">
              <w:rPr>
                <w:rFonts w:ascii="Palatino Linotype" w:eastAsia="SimSun" w:hAnsi="Palatino Linotype" w:cstheme="minorHAnsi"/>
                <w:b/>
                <w:color w:val="000000"/>
                <w:kern w:val="0"/>
                <w:sz w:val="20"/>
                <w:szCs w:val="20"/>
                <w:vertAlign w:val="subscript"/>
              </w:rPr>
              <w:t>L</w:t>
            </w:r>
          </w:p>
        </w:tc>
        <w:tc>
          <w:tcPr>
            <w:tcW w:w="1449" w:type="dxa"/>
            <w:gridSpan w:val="2"/>
            <w:tcBorders>
              <w:top w:val="nil"/>
              <w:left w:val="nil"/>
              <w:bottom w:val="nil"/>
              <w:right w:val="nil"/>
            </w:tcBorders>
            <w:shd w:val="clear" w:color="auto" w:fill="auto"/>
            <w:noWrap/>
            <w:vAlign w:val="bottom"/>
            <w:hideMark/>
          </w:tcPr>
          <w:p w:rsidR="00D40747" w:rsidRPr="00E95614" w:rsidRDefault="00D40747" w:rsidP="004E1D07">
            <w:pPr>
              <w:rPr>
                <w:rFonts w:ascii="Palatino Linotype" w:hAnsi="Palatino Linotype" w:cs="Calibri"/>
                <w:color w:val="000000"/>
                <w:sz w:val="20"/>
                <w:szCs w:val="20"/>
              </w:rPr>
            </w:pPr>
            <w:r w:rsidRPr="00E95614">
              <w:rPr>
                <w:rFonts w:ascii="Palatino Linotype" w:hAnsi="Palatino Linotype" w:cs="Calibri"/>
                <w:color w:val="000000"/>
                <w:sz w:val="20"/>
                <w:szCs w:val="20"/>
              </w:rPr>
              <w:t>-13</w:t>
            </w:r>
            <w:r w:rsidR="004E1D07" w:rsidRPr="00E95614">
              <w:rPr>
                <w:rFonts w:ascii="Palatino Linotype" w:hAnsi="Palatino Linotype" w:cs="Calibri"/>
                <w:color w:val="000000"/>
                <w:sz w:val="20"/>
                <w:szCs w:val="20"/>
              </w:rPr>
              <w:t>6.114</w:t>
            </w:r>
            <w:r w:rsidRPr="00E95614">
              <w:rPr>
                <w:rFonts w:ascii="Palatino Linotype" w:hAnsi="Palatino Linotype" w:cs="Calibri"/>
                <w:color w:val="000000"/>
                <w:sz w:val="20"/>
                <w:szCs w:val="20"/>
              </w:rPr>
              <w:t>***</w:t>
            </w:r>
          </w:p>
        </w:tc>
        <w:tc>
          <w:tcPr>
            <w:tcW w:w="1338" w:type="dxa"/>
            <w:gridSpan w:val="2"/>
            <w:tcBorders>
              <w:top w:val="nil"/>
              <w:left w:val="nil"/>
              <w:bottom w:val="nil"/>
              <w:right w:val="double" w:sz="6" w:space="0" w:color="auto"/>
            </w:tcBorders>
            <w:shd w:val="clear" w:color="auto" w:fill="auto"/>
            <w:noWrap/>
            <w:vAlign w:val="bottom"/>
            <w:hideMark/>
          </w:tcPr>
          <w:p w:rsidR="00D40747" w:rsidRPr="00E95614" w:rsidRDefault="00D40747" w:rsidP="00D40747">
            <w:pPr>
              <w:jc w:val="left"/>
              <w:rPr>
                <w:rFonts w:ascii="Palatino Linotype" w:hAnsi="Palatino Linotype" w:cs="Calibri"/>
                <w:color w:val="000000"/>
                <w:sz w:val="20"/>
                <w:szCs w:val="20"/>
              </w:rPr>
            </w:pPr>
            <w:r w:rsidRPr="00E95614">
              <w:rPr>
                <w:rFonts w:ascii="Palatino Linotype" w:hAnsi="Palatino Linotype" w:cs="Calibri"/>
                <w:color w:val="000000"/>
                <w:sz w:val="20"/>
                <w:szCs w:val="20"/>
              </w:rPr>
              <w:t>44.439</w:t>
            </w:r>
          </w:p>
        </w:tc>
        <w:tc>
          <w:tcPr>
            <w:tcW w:w="1527" w:type="dxa"/>
            <w:tcBorders>
              <w:top w:val="nil"/>
              <w:left w:val="nil"/>
              <w:bottom w:val="nil"/>
              <w:right w:val="nil"/>
            </w:tcBorders>
            <w:shd w:val="clear" w:color="auto" w:fill="auto"/>
            <w:noWrap/>
            <w:vAlign w:val="bottom"/>
            <w:hideMark/>
          </w:tcPr>
          <w:p w:rsidR="00D40747" w:rsidRPr="00E95614" w:rsidRDefault="00D40747" w:rsidP="009D6B41">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D</w:t>
            </w:r>
            <w:r w:rsidRPr="00E95614">
              <w:rPr>
                <w:rFonts w:ascii="Palatino Linotype" w:eastAsia="SimSun" w:hAnsi="Palatino Linotype" w:cstheme="minorHAnsi"/>
                <w:b/>
                <w:color w:val="000000"/>
                <w:kern w:val="0"/>
                <w:sz w:val="20"/>
                <w:szCs w:val="20"/>
                <w:vertAlign w:val="subscript"/>
              </w:rPr>
              <w:t>C</w:t>
            </w:r>
            <w:r w:rsidRPr="00E95614">
              <w:rPr>
                <w:rFonts w:ascii="Palatino Linotype" w:eastAsia="SimSun" w:hAnsi="Palatino Linotype" w:cstheme="minorHAnsi"/>
                <w:b/>
                <w:color w:val="000000"/>
                <w:kern w:val="0"/>
                <w:sz w:val="20"/>
                <w:szCs w:val="20"/>
              </w:rPr>
              <w:t xml:space="preserve"> D</w:t>
            </w:r>
            <w:r w:rsidRPr="00E95614">
              <w:rPr>
                <w:rFonts w:ascii="Palatino Linotype" w:eastAsia="SimSun" w:hAnsi="Palatino Linotype" w:cstheme="minorHAnsi"/>
                <w:b/>
                <w:color w:val="000000"/>
                <w:kern w:val="0"/>
                <w:sz w:val="20"/>
                <w:szCs w:val="20"/>
                <w:vertAlign w:val="subscript"/>
              </w:rPr>
              <w:t>L</w:t>
            </w:r>
          </w:p>
        </w:tc>
        <w:tc>
          <w:tcPr>
            <w:tcW w:w="1442" w:type="dxa"/>
            <w:gridSpan w:val="2"/>
            <w:tcBorders>
              <w:top w:val="nil"/>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-145.075***</w:t>
            </w:r>
          </w:p>
        </w:tc>
        <w:tc>
          <w:tcPr>
            <w:tcW w:w="1273" w:type="dxa"/>
            <w:gridSpan w:val="2"/>
            <w:tcBorders>
              <w:top w:val="nil"/>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25.289</w:t>
            </w:r>
          </w:p>
        </w:tc>
      </w:tr>
      <w:tr w:rsidR="00D40747" w:rsidRPr="00E95614" w:rsidTr="009D6B41">
        <w:trPr>
          <w:trHeight w:val="280"/>
        </w:trPr>
        <w:tc>
          <w:tcPr>
            <w:tcW w:w="1396" w:type="dxa"/>
            <w:tcBorders>
              <w:top w:val="nil"/>
              <w:left w:val="nil"/>
              <w:bottom w:val="nil"/>
              <w:right w:val="nil"/>
            </w:tcBorders>
            <w:shd w:val="clear" w:color="auto" w:fill="auto"/>
            <w:noWrap/>
            <w:vAlign w:val="bottom"/>
            <w:hideMark/>
          </w:tcPr>
          <w:p w:rsidR="00D40747" w:rsidRPr="00E95614" w:rsidRDefault="00D40747" w:rsidP="009D6B41">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D</w:t>
            </w:r>
            <w:r w:rsidRPr="00E95614">
              <w:rPr>
                <w:rFonts w:ascii="Palatino Linotype" w:eastAsia="SimSun" w:hAnsi="Palatino Linotype" w:cstheme="minorHAnsi"/>
                <w:b/>
                <w:color w:val="000000"/>
                <w:kern w:val="0"/>
                <w:sz w:val="20"/>
                <w:szCs w:val="20"/>
                <w:vertAlign w:val="subscript"/>
              </w:rPr>
              <w:t>C</w:t>
            </w:r>
            <w:r w:rsidRPr="00E95614">
              <w:rPr>
                <w:rFonts w:ascii="Palatino Linotype" w:eastAsia="SimSun" w:hAnsi="Palatino Linotype" w:cstheme="minorHAnsi"/>
                <w:b/>
                <w:color w:val="000000"/>
                <w:kern w:val="0"/>
                <w:sz w:val="20"/>
                <w:szCs w:val="20"/>
              </w:rPr>
              <w:t xml:space="preserve"> D</w:t>
            </w:r>
            <w:r w:rsidRPr="00E95614">
              <w:rPr>
                <w:rFonts w:ascii="Palatino Linotype" w:eastAsia="SimSun" w:hAnsi="Palatino Linotype" w:cstheme="minorHAnsi"/>
                <w:b/>
                <w:color w:val="000000"/>
                <w:kern w:val="0"/>
                <w:sz w:val="20"/>
                <w:szCs w:val="20"/>
                <w:vertAlign w:val="subscript"/>
              </w:rPr>
              <w:t>H</w:t>
            </w:r>
          </w:p>
        </w:tc>
        <w:tc>
          <w:tcPr>
            <w:tcW w:w="1449" w:type="dxa"/>
            <w:gridSpan w:val="2"/>
            <w:tcBorders>
              <w:top w:val="nil"/>
              <w:left w:val="nil"/>
              <w:bottom w:val="nil"/>
              <w:right w:val="nil"/>
            </w:tcBorders>
            <w:shd w:val="clear" w:color="auto" w:fill="auto"/>
            <w:noWrap/>
            <w:vAlign w:val="bottom"/>
            <w:hideMark/>
          </w:tcPr>
          <w:p w:rsidR="00D40747" w:rsidRPr="00E95614" w:rsidRDefault="00D40747" w:rsidP="004E1D07">
            <w:pPr>
              <w:rPr>
                <w:rFonts w:ascii="Palatino Linotype" w:hAnsi="Palatino Linotype" w:cs="Calibri"/>
                <w:color w:val="000000"/>
                <w:sz w:val="20"/>
                <w:szCs w:val="20"/>
              </w:rPr>
            </w:pPr>
            <w:r w:rsidRPr="00E95614">
              <w:rPr>
                <w:rFonts w:ascii="Palatino Linotype" w:hAnsi="Palatino Linotype" w:cs="Calibri"/>
                <w:color w:val="000000"/>
                <w:sz w:val="20"/>
                <w:szCs w:val="20"/>
              </w:rPr>
              <w:t>-9</w:t>
            </w:r>
            <w:r w:rsidR="004E1D07" w:rsidRPr="00E95614">
              <w:rPr>
                <w:rFonts w:ascii="Palatino Linotype" w:hAnsi="Palatino Linotype" w:cs="Calibri"/>
                <w:color w:val="000000"/>
                <w:sz w:val="20"/>
                <w:szCs w:val="20"/>
              </w:rPr>
              <w:t>4.229</w:t>
            </w:r>
            <w:r w:rsidRPr="00E95614">
              <w:rPr>
                <w:rFonts w:ascii="Palatino Linotype" w:hAnsi="Palatino Linotype" w:cs="Calibri"/>
                <w:color w:val="000000"/>
                <w:sz w:val="20"/>
                <w:szCs w:val="20"/>
              </w:rPr>
              <w:t>**</w:t>
            </w:r>
          </w:p>
        </w:tc>
        <w:tc>
          <w:tcPr>
            <w:tcW w:w="1338" w:type="dxa"/>
            <w:gridSpan w:val="2"/>
            <w:tcBorders>
              <w:top w:val="nil"/>
              <w:left w:val="nil"/>
              <w:bottom w:val="nil"/>
              <w:right w:val="double" w:sz="6" w:space="0" w:color="auto"/>
            </w:tcBorders>
            <w:shd w:val="clear" w:color="auto" w:fill="auto"/>
            <w:noWrap/>
            <w:vAlign w:val="bottom"/>
            <w:hideMark/>
          </w:tcPr>
          <w:p w:rsidR="00D40747" w:rsidRPr="00E95614" w:rsidRDefault="00D40747" w:rsidP="00D40747">
            <w:pPr>
              <w:jc w:val="left"/>
              <w:rPr>
                <w:rFonts w:ascii="Palatino Linotype" w:hAnsi="Palatino Linotype" w:cs="Calibri"/>
                <w:color w:val="000000"/>
                <w:sz w:val="20"/>
                <w:szCs w:val="20"/>
              </w:rPr>
            </w:pPr>
            <w:r w:rsidRPr="00E95614">
              <w:rPr>
                <w:rFonts w:ascii="Palatino Linotype" w:hAnsi="Palatino Linotype" w:cs="Calibri"/>
                <w:color w:val="000000"/>
                <w:sz w:val="20"/>
                <w:szCs w:val="20"/>
              </w:rPr>
              <w:t>38.992</w:t>
            </w:r>
          </w:p>
        </w:tc>
        <w:tc>
          <w:tcPr>
            <w:tcW w:w="1527" w:type="dxa"/>
            <w:tcBorders>
              <w:top w:val="nil"/>
              <w:left w:val="nil"/>
              <w:bottom w:val="nil"/>
              <w:right w:val="nil"/>
            </w:tcBorders>
            <w:shd w:val="clear" w:color="auto" w:fill="auto"/>
            <w:noWrap/>
            <w:vAlign w:val="bottom"/>
            <w:hideMark/>
          </w:tcPr>
          <w:p w:rsidR="00D40747" w:rsidRPr="00E95614" w:rsidRDefault="00D40747" w:rsidP="009D6B41">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D</w:t>
            </w:r>
            <w:r w:rsidRPr="00E95614">
              <w:rPr>
                <w:rFonts w:ascii="Palatino Linotype" w:eastAsia="SimSun" w:hAnsi="Palatino Linotype" w:cstheme="minorHAnsi"/>
                <w:b/>
                <w:color w:val="000000"/>
                <w:kern w:val="0"/>
                <w:sz w:val="20"/>
                <w:szCs w:val="20"/>
                <w:vertAlign w:val="subscript"/>
              </w:rPr>
              <w:t>C</w:t>
            </w:r>
            <w:r w:rsidRPr="00E95614">
              <w:rPr>
                <w:rFonts w:ascii="Palatino Linotype" w:eastAsia="SimSun" w:hAnsi="Palatino Linotype" w:cstheme="minorHAnsi"/>
                <w:b/>
                <w:color w:val="000000"/>
                <w:kern w:val="0"/>
                <w:sz w:val="20"/>
                <w:szCs w:val="20"/>
              </w:rPr>
              <w:t xml:space="preserve"> D</w:t>
            </w:r>
            <w:r w:rsidRPr="00E95614">
              <w:rPr>
                <w:rFonts w:ascii="Palatino Linotype" w:eastAsia="SimSun" w:hAnsi="Palatino Linotype" w:cstheme="minorHAnsi"/>
                <w:b/>
                <w:color w:val="000000"/>
                <w:kern w:val="0"/>
                <w:sz w:val="20"/>
                <w:szCs w:val="20"/>
                <w:vertAlign w:val="subscript"/>
              </w:rPr>
              <w:t>H</w:t>
            </w:r>
          </w:p>
        </w:tc>
        <w:tc>
          <w:tcPr>
            <w:tcW w:w="1442" w:type="dxa"/>
            <w:gridSpan w:val="2"/>
            <w:tcBorders>
              <w:top w:val="nil"/>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-103.950***</w:t>
            </w:r>
          </w:p>
        </w:tc>
        <w:tc>
          <w:tcPr>
            <w:tcW w:w="1273" w:type="dxa"/>
            <w:gridSpan w:val="2"/>
            <w:tcBorders>
              <w:top w:val="nil"/>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22.190</w:t>
            </w:r>
          </w:p>
        </w:tc>
      </w:tr>
      <w:tr w:rsidR="00D40747" w:rsidRPr="00E95614" w:rsidTr="009D6B41">
        <w:trPr>
          <w:trHeight w:val="290"/>
        </w:trPr>
        <w:tc>
          <w:tcPr>
            <w:tcW w:w="1396" w:type="dxa"/>
            <w:tcBorders>
              <w:top w:val="nil"/>
              <w:left w:val="nil"/>
              <w:bottom w:val="nil"/>
              <w:right w:val="nil"/>
            </w:tcBorders>
            <w:shd w:val="clear" w:color="auto" w:fill="auto"/>
            <w:noWrap/>
            <w:vAlign w:val="bottom"/>
            <w:hideMark/>
          </w:tcPr>
          <w:p w:rsidR="00D40747" w:rsidRPr="00E95614" w:rsidRDefault="00CD6B02" w:rsidP="00C515F1">
            <w:pPr>
              <w:widowControl/>
              <w:jc w:val="left"/>
              <w:rPr>
                <w:rFonts w:ascii="Palatino Linotype" w:eastAsia="SimSun" w:hAnsi="Palatino Linotype" w:cstheme="minorHAnsi"/>
                <w:b/>
                <w:color w:val="000000"/>
                <w:kern w:val="0"/>
                <w:sz w:val="20"/>
                <w:szCs w:val="20"/>
              </w:rPr>
            </w:pPr>
            <m:oMathPara>
              <m:oMathParaPr>
                <m:jc m:val="left"/>
              </m:oMathParaPr>
              <m:oMath>
                <m:sSub>
                  <m:sSubPr>
                    <m:ctrlPr>
                      <w:rPr>
                        <w:rFonts w:ascii="Cambria Math" w:eastAsia="SimSun" w:hAnsi="Cambria Math" w:cs="SimSun"/>
                        <w:b/>
                        <w:color w:val="000000"/>
                        <w:kern w:val="0"/>
                        <w:sz w:val="20"/>
                        <w:szCs w:val="20"/>
                      </w:rPr>
                    </m:ctrlPr>
                  </m:sSubPr>
                  <m:e>
                    <m:r>
                      <m:rPr>
                        <m:sty m:val="b"/>
                      </m:rPr>
                      <w:rPr>
                        <w:rFonts w:ascii="Cambria Math" w:eastAsia="SimSun" w:hAnsi="Cambria Math" w:cs="SimSun"/>
                        <w:color w:val="000000"/>
                        <w:kern w:val="0"/>
                        <w:sz w:val="20"/>
                        <w:szCs w:val="20"/>
                      </w:rPr>
                      <m:t>γ</m:t>
                    </m:r>
                  </m:e>
                  <m:sub>
                    <m:r>
                      <m:rPr>
                        <m:sty m:val="b"/>
                      </m:rPr>
                      <w:rPr>
                        <w:rFonts w:ascii="Cambria Math" w:eastAsia="SimSun" w:hAnsi="Cambria Math" w:cs="SimSun"/>
                        <w:color w:val="000000"/>
                        <w:kern w:val="0"/>
                        <w:sz w:val="20"/>
                        <w:szCs w:val="20"/>
                      </w:rPr>
                      <m:t>10</m:t>
                    </m:r>
                  </m:sub>
                </m:sSub>
              </m:oMath>
            </m:oMathPara>
          </w:p>
        </w:tc>
        <w:tc>
          <w:tcPr>
            <w:tcW w:w="1449" w:type="dxa"/>
            <w:gridSpan w:val="2"/>
            <w:tcBorders>
              <w:top w:val="nil"/>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43.190***</w:t>
            </w:r>
          </w:p>
        </w:tc>
        <w:tc>
          <w:tcPr>
            <w:tcW w:w="1338" w:type="dxa"/>
            <w:gridSpan w:val="2"/>
            <w:tcBorders>
              <w:top w:val="nil"/>
              <w:left w:val="nil"/>
              <w:bottom w:val="nil"/>
              <w:right w:val="double" w:sz="6" w:space="0" w:color="auto"/>
            </w:tcBorders>
            <w:shd w:val="clear" w:color="auto" w:fill="auto"/>
            <w:noWrap/>
            <w:vAlign w:val="bottom"/>
            <w:hideMark/>
          </w:tcPr>
          <w:p w:rsidR="00D40747" w:rsidRPr="00E95614" w:rsidRDefault="00D40747" w:rsidP="00D40747">
            <w:pPr>
              <w:jc w:val="left"/>
              <w:rPr>
                <w:rFonts w:ascii="Palatino Linotype" w:hAnsi="Palatino Linotype" w:cs="Calibri"/>
                <w:color w:val="000000"/>
                <w:sz w:val="20"/>
                <w:szCs w:val="20"/>
              </w:rPr>
            </w:pPr>
            <w:r w:rsidRPr="00E95614">
              <w:rPr>
                <w:rFonts w:ascii="Palatino Linotype" w:hAnsi="Palatino Linotype" w:cs="Calibri"/>
                <w:color w:val="000000"/>
                <w:sz w:val="20"/>
                <w:szCs w:val="20"/>
              </w:rPr>
              <w:t>4.753</w:t>
            </w:r>
          </w:p>
        </w:tc>
        <w:tc>
          <w:tcPr>
            <w:tcW w:w="1527" w:type="dxa"/>
            <w:tcBorders>
              <w:top w:val="nil"/>
              <w:left w:val="nil"/>
              <w:bottom w:val="nil"/>
              <w:right w:val="nil"/>
            </w:tcBorders>
            <w:shd w:val="clear" w:color="auto" w:fill="auto"/>
            <w:noWrap/>
            <w:vAlign w:val="bottom"/>
            <w:hideMark/>
          </w:tcPr>
          <w:p w:rsidR="00D40747" w:rsidRPr="00E95614" w:rsidRDefault="00CD6B02" w:rsidP="009D6B41">
            <w:pPr>
              <w:widowControl/>
              <w:jc w:val="left"/>
              <w:rPr>
                <w:rFonts w:ascii="Palatino Linotype" w:eastAsia="SimSun" w:hAnsi="Palatino Linotype" w:cstheme="minorHAnsi"/>
                <w:b/>
                <w:color w:val="000000"/>
                <w:kern w:val="0"/>
                <w:sz w:val="20"/>
                <w:szCs w:val="20"/>
              </w:rPr>
            </w:pPr>
            <m:oMathPara>
              <m:oMathParaPr>
                <m:jc m:val="left"/>
              </m:oMathParaPr>
              <m:oMath>
                <m:sSub>
                  <m:sSubPr>
                    <m:ctrlPr>
                      <w:rPr>
                        <w:rFonts w:ascii="Cambria Math" w:eastAsia="SimSun" w:hAnsi="Cambria Math" w:cs="SimSun"/>
                        <w:b/>
                        <w:color w:val="000000"/>
                        <w:kern w:val="0"/>
                        <w:sz w:val="20"/>
                        <w:szCs w:val="20"/>
                      </w:rPr>
                    </m:ctrlPr>
                  </m:sSubPr>
                  <m:e>
                    <m:r>
                      <m:rPr>
                        <m:sty m:val="b"/>
                      </m:rPr>
                      <w:rPr>
                        <w:rFonts w:ascii="Cambria Math" w:eastAsia="SimSun" w:hAnsi="Cambria Math" w:cs="SimSun"/>
                        <w:color w:val="000000"/>
                        <w:kern w:val="0"/>
                        <w:sz w:val="20"/>
                        <w:szCs w:val="20"/>
                      </w:rPr>
                      <m:t>γ</m:t>
                    </m:r>
                  </m:e>
                  <m:sub>
                    <m:r>
                      <m:rPr>
                        <m:sty m:val="b"/>
                      </m:rPr>
                      <w:rPr>
                        <w:rFonts w:ascii="Cambria Math" w:eastAsia="SimSun" w:hAnsi="Cambria Math" w:cs="SimSun"/>
                        <w:color w:val="000000"/>
                        <w:kern w:val="0"/>
                        <w:sz w:val="20"/>
                        <w:szCs w:val="20"/>
                      </w:rPr>
                      <m:t>20</m:t>
                    </m:r>
                  </m:sub>
                </m:sSub>
              </m:oMath>
            </m:oMathPara>
          </w:p>
        </w:tc>
        <w:tc>
          <w:tcPr>
            <w:tcW w:w="1442" w:type="dxa"/>
            <w:gridSpan w:val="2"/>
            <w:tcBorders>
              <w:top w:val="nil"/>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51.310***</w:t>
            </w:r>
          </w:p>
        </w:tc>
        <w:tc>
          <w:tcPr>
            <w:tcW w:w="1273" w:type="dxa"/>
            <w:gridSpan w:val="2"/>
            <w:tcBorders>
              <w:top w:val="nil"/>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2.705</w:t>
            </w:r>
          </w:p>
        </w:tc>
      </w:tr>
      <w:tr w:rsidR="00D40747" w:rsidRPr="00E95614" w:rsidTr="009D6B41">
        <w:trPr>
          <w:trHeight w:val="280"/>
        </w:trPr>
        <w:tc>
          <w:tcPr>
            <w:tcW w:w="2375" w:type="dxa"/>
            <w:gridSpan w:val="2"/>
            <w:tcBorders>
              <w:top w:val="single" w:sz="8" w:space="0" w:color="auto"/>
              <w:left w:val="nil"/>
              <w:bottom w:val="nil"/>
              <w:right w:val="nil"/>
            </w:tcBorders>
            <w:shd w:val="clear" w:color="auto" w:fill="auto"/>
            <w:noWrap/>
            <w:vAlign w:val="bottom"/>
            <w:hideMark/>
          </w:tcPr>
          <w:p w:rsidR="00D40747" w:rsidRPr="00E95614" w:rsidRDefault="00D40747" w:rsidP="009D6B41">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R-squared</w:t>
            </w:r>
          </w:p>
        </w:tc>
        <w:tc>
          <w:tcPr>
            <w:tcW w:w="1453" w:type="dxa"/>
            <w:gridSpan w:val="2"/>
            <w:tcBorders>
              <w:top w:val="single" w:sz="8" w:space="0" w:color="auto"/>
              <w:left w:val="nil"/>
              <w:bottom w:val="nil"/>
              <w:right w:val="nil"/>
            </w:tcBorders>
            <w:shd w:val="clear" w:color="auto" w:fill="auto"/>
            <w:noWrap/>
            <w:vAlign w:val="bottom"/>
            <w:hideMark/>
          </w:tcPr>
          <w:p w:rsidR="00D40747" w:rsidRPr="00E95614" w:rsidRDefault="00D40747" w:rsidP="00D40747">
            <w:pPr>
              <w:jc w:val="left"/>
              <w:rPr>
                <w:rFonts w:ascii="Palatino Linotype" w:hAnsi="Palatino Linotype" w:cs="Calibri"/>
                <w:color w:val="000000"/>
                <w:sz w:val="20"/>
                <w:szCs w:val="20"/>
              </w:rPr>
            </w:pPr>
            <w:r w:rsidRPr="00E95614">
              <w:rPr>
                <w:rFonts w:ascii="Palatino Linotype" w:hAnsi="Palatino Linotype" w:cs="Calibri"/>
                <w:color w:val="000000"/>
                <w:sz w:val="20"/>
                <w:szCs w:val="20"/>
              </w:rPr>
              <w:t>0.057</w:t>
            </w:r>
          </w:p>
        </w:tc>
        <w:tc>
          <w:tcPr>
            <w:tcW w:w="355" w:type="dxa"/>
            <w:tcBorders>
              <w:top w:val="single" w:sz="8" w:space="0" w:color="auto"/>
              <w:left w:val="nil"/>
              <w:bottom w:val="nil"/>
              <w:right w:val="double" w:sz="6" w:space="0" w:color="auto"/>
            </w:tcBorders>
            <w:shd w:val="clear" w:color="auto" w:fill="auto"/>
            <w:noWrap/>
            <w:vAlign w:val="bottom"/>
            <w:hideMark/>
          </w:tcPr>
          <w:p w:rsidR="00D40747" w:rsidRPr="00E95614" w:rsidRDefault="00D40747" w:rsidP="009D6B41">
            <w:pPr>
              <w:widowControl/>
              <w:jc w:val="left"/>
              <w:rPr>
                <w:rFonts w:ascii="Palatino Linotype" w:eastAsia="SimSun" w:hAnsi="Palatino Linotype" w:cstheme="minorHAnsi"/>
                <w:color w:val="000000"/>
                <w:kern w:val="0"/>
                <w:sz w:val="20"/>
                <w:szCs w:val="20"/>
              </w:rPr>
            </w:pPr>
            <w:r w:rsidRPr="00E95614">
              <w:rPr>
                <w:rFonts w:ascii="Palatino Linotype" w:eastAsia="SimSun" w:hAnsi="Palatino Linotype" w:cstheme="minorHAnsi"/>
                <w:color w:val="000000"/>
                <w:kern w:val="0"/>
                <w:sz w:val="20"/>
                <w:szCs w:val="20"/>
              </w:rPr>
              <w:t xml:space="preserve">　</w:t>
            </w:r>
          </w:p>
        </w:tc>
        <w:tc>
          <w:tcPr>
            <w:tcW w:w="2491" w:type="dxa"/>
            <w:gridSpan w:val="2"/>
            <w:tcBorders>
              <w:top w:val="single" w:sz="8" w:space="0" w:color="auto"/>
              <w:left w:val="nil"/>
              <w:bottom w:val="nil"/>
              <w:right w:val="nil"/>
            </w:tcBorders>
            <w:shd w:val="clear" w:color="auto" w:fill="auto"/>
            <w:noWrap/>
            <w:vAlign w:val="bottom"/>
            <w:hideMark/>
          </w:tcPr>
          <w:p w:rsidR="00D40747" w:rsidRPr="00E95614" w:rsidRDefault="00D40747" w:rsidP="009D6B41">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R-squared</w:t>
            </w:r>
          </w:p>
        </w:tc>
        <w:tc>
          <w:tcPr>
            <w:tcW w:w="1417" w:type="dxa"/>
            <w:gridSpan w:val="2"/>
            <w:tcBorders>
              <w:top w:val="single" w:sz="8" w:space="0" w:color="auto"/>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0.072</w:t>
            </w:r>
          </w:p>
        </w:tc>
        <w:tc>
          <w:tcPr>
            <w:tcW w:w="334" w:type="dxa"/>
            <w:tcBorders>
              <w:top w:val="single" w:sz="8" w:space="0" w:color="auto"/>
              <w:left w:val="nil"/>
              <w:bottom w:val="nil"/>
              <w:right w:val="nil"/>
            </w:tcBorders>
            <w:shd w:val="clear" w:color="auto" w:fill="auto"/>
            <w:noWrap/>
            <w:vAlign w:val="bottom"/>
            <w:hideMark/>
          </w:tcPr>
          <w:p w:rsidR="00D40747" w:rsidRPr="00E95614" w:rsidRDefault="00D40747" w:rsidP="009D6B41">
            <w:pPr>
              <w:widowControl/>
              <w:jc w:val="left"/>
              <w:rPr>
                <w:rFonts w:ascii="Palatino Linotype" w:eastAsia="SimSun" w:hAnsi="Palatino Linotype" w:cstheme="minorHAnsi"/>
                <w:color w:val="000000"/>
                <w:kern w:val="0"/>
                <w:sz w:val="20"/>
                <w:szCs w:val="20"/>
              </w:rPr>
            </w:pPr>
            <w:r w:rsidRPr="00E95614">
              <w:rPr>
                <w:rFonts w:ascii="Palatino Linotype" w:eastAsia="SimSun" w:hAnsi="Palatino Linotype" w:cstheme="minorHAnsi"/>
                <w:color w:val="000000"/>
                <w:kern w:val="0"/>
                <w:sz w:val="20"/>
                <w:szCs w:val="20"/>
              </w:rPr>
              <w:t xml:space="preserve">　</w:t>
            </w:r>
          </w:p>
        </w:tc>
      </w:tr>
      <w:tr w:rsidR="00D40747" w:rsidRPr="00E95614" w:rsidTr="009D6B41">
        <w:trPr>
          <w:trHeight w:val="280"/>
        </w:trPr>
        <w:tc>
          <w:tcPr>
            <w:tcW w:w="2375" w:type="dxa"/>
            <w:gridSpan w:val="2"/>
            <w:tcBorders>
              <w:top w:val="nil"/>
              <w:left w:val="nil"/>
              <w:bottom w:val="nil"/>
              <w:right w:val="nil"/>
            </w:tcBorders>
            <w:shd w:val="clear" w:color="auto" w:fill="auto"/>
            <w:noWrap/>
            <w:vAlign w:val="bottom"/>
            <w:hideMark/>
          </w:tcPr>
          <w:p w:rsidR="00D40747" w:rsidRPr="00E95614" w:rsidRDefault="00D40747" w:rsidP="009D6B41">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Adjusted R-squared</w:t>
            </w:r>
          </w:p>
        </w:tc>
        <w:tc>
          <w:tcPr>
            <w:tcW w:w="1453" w:type="dxa"/>
            <w:gridSpan w:val="2"/>
            <w:tcBorders>
              <w:top w:val="nil"/>
              <w:left w:val="nil"/>
              <w:bottom w:val="nil"/>
              <w:right w:val="nil"/>
            </w:tcBorders>
            <w:shd w:val="clear" w:color="auto" w:fill="auto"/>
            <w:noWrap/>
            <w:vAlign w:val="bottom"/>
            <w:hideMark/>
          </w:tcPr>
          <w:p w:rsidR="00D40747" w:rsidRPr="00E95614" w:rsidRDefault="00D40747" w:rsidP="00D40747">
            <w:pPr>
              <w:jc w:val="left"/>
              <w:rPr>
                <w:rFonts w:ascii="Palatino Linotype" w:hAnsi="Palatino Linotype" w:cs="Calibri"/>
                <w:color w:val="000000"/>
                <w:sz w:val="20"/>
                <w:szCs w:val="20"/>
              </w:rPr>
            </w:pPr>
            <w:r w:rsidRPr="00E95614">
              <w:rPr>
                <w:rFonts w:ascii="Palatino Linotype" w:hAnsi="Palatino Linotype" w:cs="Calibri"/>
                <w:color w:val="000000"/>
                <w:sz w:val="20"/>
                <w:szCs w:val="20"/>
              </w:rPr>
              <w:t>0.051</w:t>
            </w:r>
          </w:p>
        </w:tc>
        <w:tc>
          <w:tcPr>
            <w:tcW w:w="355" w:type="dxa"/>
            <w:tcBorders>
              <w:top w:val="nil"/>
              <w:left w:val="nil"/>
              <w:bottom w:val="nil"/>
              <w:right w:val="double" w:sz="6" w:space="0" w:color="auto"/>
            </w:tcBorders>
            <w:shd w:val="clear" w:color="auto" w:fill="auto"/>
            <w:noWrap/>
            <w:vAlign w:val="bottom"/>
            <w:hideMark/>
          </w:tcPr>
          <w:p w:rsidR="00D40747" w:rsidRPr="00E95614" w:rsidRDefault="00D40747" w:rsidP="009D6B41">
            <w:pPr>
              <w:widowControl/>
              <w:jc w:val="left"/>
              <w:rPr>
                <w:rFonts w:ascii="Palatino Linotype" w:eastAsia="SimSun" w:hAnsi="Palatino Linotype" w:cstheme="minorHAnsi"/>
                <w:color w:val="000000"/>
                <w:kern w:val="0"/>
                <w:sz w:val="20"/>
                <w:szCs w:val="20"/>
              </w:rPr>
            </w:pPr>
            <w:r w:rsidRPr="00E95614">
              <w:rPr>
                <w:rFonts w:ascii="Palatino Linotype" w:eastAsia="SimSun" w:hAnsi="Palatino Linotype" w:cstheme="minorHAnsi"/>
                <w:color w:val="000000"/>
                <w:kern w:val="0"/>
                <w:sz w:val="20"/>
                <w:szCs w:val="20"/>
              </w:rPr>
              <w:t xml:space="preserve">　</w:t>
            </w:r>
          </w:p>
        </w:tc>
        <w:tc>
          <w:tcPr>
            <w:tcW w:w="2491" w:type="dxa"/>
            <w:gridSpan w:val="2"/>
            <w:tcBorders>
              <w:top w:val="nil"/>
              <w:left w:val="nil"/>
              <w:bottom w:val="nil"/>
              <w:right w:val="nil"/>
            </w:tcBorders>
            <w:shd w:val="clear" w:color="auto" w:fill="auto"/>
            <w:noWrap/>
            <w:vAlign w:val="bottom"/>
            <w:hideMark/>
          </w:tcPr>
          <w:p w:rsidR="00D40747" w:rsidRPr="00E95614" w:rsidRDefault="00D40747" w:rsidP="009D6B41">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Adjusted R-squared</w:t>
            </w:r>
          </w:p>
        </w:tc>
        <w:tc>
          <w:tcPr>
            <w:tcW w:w="1417" w:type="dxa"/>
            <w:gridSpan w:val="2"/>
            <w:tcBorders>
              <w:top w:val="nil"/>
              <w:left w:val="nil"/>
              <w:bottom w:val="nil"/>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0.066</w:t>
            </w:r>
          </w:p>
        </w:tc>
        <w:tc>
          <w:tcPr>
            <w:tcW w:w="334" w:type="dxa"/>
            <w:tcBorders>
              <w:top w:val="nil"/>
              <w:left w:val="nil"/>
              <w:bottom w:val="nil"/>
              <w:right w:val="nil"/>
            </w:tcBorders>
            <w:shd w:val="clear" w:color="auto" w:fill="auto"/>
            <w:noWrap/>
            <w:vAlign w:val="bottom"/>
            <w:hideMark/>
          </w:tcPr>
          <w:p w:rsidR="00D40747" w:rsidRPr="00E95614" w:rsidRDefault="00D40747" w:rsidP="009D6B41">
            <w:pPr>
              <w:widowControl/>
              <w:jc w:val="left"/>
              <w:rPr>
                <w:rFonts w:ascii="Palatino Linotype" w:eastAsia="SimSun" w:hAnsi="Palatino Linotype" w:cstheme="minorHAnsi"/>
                <w:color w:val="000000"/>
                <w:kern w:val="0"/>
                <w:sz w:val="20"/>
                <w:szCs w:val="20"/>
              </w:rPr>
            </w:pPr>
          </w:p>
        </w:tc>
      </w:tr>
      <w:tr w:rsidR="00D40747" w:rsidRPr="00E95614" w:rsidTr="009D6B41">
        <w:trPr>
          <w:trHeight w:val="290"/>
        </w:trPr>
        <w:tc>
          <w:tcPr>
            <w:tcW w:w="2375" w:type="dxa"/>
            <w:gridSpan w:val="2"/>
            <w:tcBorders>
              <w:top w:val="nil"/>
              <w:left w:val="nil"/>
              <w:bottom w:val="single" w:sz="8" w:space="0" w:color="auto"/>
              <w:right w:val="nil"/>
            </w:tcBorders>
            <w:shd w:val="clear" w:color="auto" w:fill="auto"/>
            <w:noWrap/>
            <w:vAlign w:val="bottom"/>
            <w:hideMark/>
          </w:tcPr>
          <w:p w:rsidR="00D40747" w:rsidRPr="00E95614" w:rsidRDefault="00D40747" w:rsidP="009D6B41">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F-statistic</w:t>
            </w:r>
          </w:p>
        </w:tc>
        <w:tc>
          <w:tcPr>
            <w:tcW w:w="1453" w:type="dxa"/>
            <w:gridSpan w:val="2"/>
            <w:tcBorders>
              <w:top w:val="nil"/>
              <w:left w:val="nil"/>
              <w:bottom w:val="single" w:sz="8" w:space="0" w:color="auto"/>
              <w:right w:val="nil"/>
            </w:tcBorders>
            <w:shd w:val="clear" w:color="auto" w:fill="auto"/>
            <w:noWrap/>
            <w:vAlign w:val="bottom"/>
            <w:hideMark/>
          </w:tcPr>
          <w:p w:rsidR="00D40747" w:rsidRPr="00E95614" w:rsidRDefault="00D40747" w:rsidP="004E1D07">
            <w:pPr>
              <w:jc w:val="left"/>
              <w:rPr>
                <w:rFonts w:ascii="Palatino Linotype" w:hAnsi="Palatino Linotype" w:cs="Calibri"/>
                <w:color w:val="000000"/>
                <w:sz w:val="20"/>
                <w:szCs w:val="20"/>
              </w:rPr>
            </w:pPr>
            <w:r w:rsidRPr="00E95614">
              <w:rPr>
                <w:rFonts w:ascii="Palatino Linotype" w:hAnsi="Palatino Linotype" w:cs="Calibri"/>
                <w:color w:val="000000"/>
                <w:sz w:val="20"/>
                <w:szCs w:val="20"/>
              </w:rPr>
              <w:t>9.9</w:t>
            </w:r>
            <w:r w:rsidR="004E1D07" w:rsidRPr="00E95614">
              <w:rPr>
                <w:rFonts w:ascii="Palatino Linotype" w:hAnsi="Palatino Linotype" w:cs="Calibri"/>
                <w:color w:val="000000"/>
                <w:sz w:val="20"/>
                <w:szCs w:val="20"/>
              </w:rPr>
              <w:t>42</w:t>
            </w:r>
          </w:p>
        </w:tc>
        <w:tc>
          <w:tcPr>
            <w:tcW w:w="355" w:type="dxa"/>
            <w:tcBorders>
              <w:top w:val="nil"/>
              <w:left w:val="nil"/>
              <w:bottom w:val="single" w:sz="8" w:space="0" w:color="auto"/>
              <w:right w:val="double" w:sz="6" w:space="0" w:color="auto"/>
            </w:tcBorders>
            <w:shd w:val="clear" w:color="auto" w:fill="auto"/>
            <w:noWrap/>
            <w:vAlign w:val="bottom"/>
            <w:hideMark/>
          </w:tcPr>
          <w:p w:rsidR="00D40747" w:rsidRPr="00E95614" w:rsidRDefault="00D40747" w:rsidP="009D6B41">
            <w:pPr>
              <w:widowControl/>
              <w:jc w:val="left"/>
              <w:rPr>
                <w:rFonts w:ascii="Palatino Linotype" w:eastAsia="SimSun" w:hAnsi="Palatino Linotype" w:cstheme="minorHAnsi"/>
                <w:color w:val="000000"/>
                <w:kern w:val="0"/>
                <w:sz w:val="20"/>
                <w:szCs w:val="20"/>
              </w:rPr>
            </w:pPr>
            <w:r w:rsidRPr="00E95614">
              <w:rPr>
                <w:rFonts w:ascii="Palatino Linotype" w:eastAsia="SimSun" w:hAnsi="Palatino Linotype" w:cstheme="minorHAnsi"/>
                <w:color w:val="000000"/>
                <w:kern w:val="0"/>
                <w:sz w:val="20"/>
                <w:szCs w:val="20"/>
              </w:rPr>
              <w:t xml:space="preserve">　</w:t>
            </w:r>
          </w:p>
        </w:tc>
        <w:tc>
          <w:tcPr>
            <w:tcW w:w="2491" w:type="dxa"/>
            <w:gridSpan w:val="2"/>
            <w:tcBorders>
              <w:top w:val="nil"/>
              <w:left w:val="nil"/>
              <w:bottom w:val="single" w:sz="8" w:space="0" w:color="auto"/>
              <w:right w:val="nil"/>
            </w:tcBorders>
            <w:shd w:val="clear" w:color="auto" w:fill="auto"/>
            <w:noWrap/>
            <w:vAlign w:val="bottom"/>
            <w:hideMark/>
          </w:tcPr>
          <w:p w:rsidR="00D40747" w:rsidRPr="00E95614" w:rsidRDefault="00D40747" w:rsidP="009D6B41">
            <w:pPr>
              <w:widowControl/>
              <w:jc w:val="left"/>
              <w:rPr>
                <w:rFonts w:ascii="Palatino Linotype" w:eastAsia="SimSun" w:hAnsi="Palatino Linotype" w:cstheme="minorHAnsi"/>
                <w:b/>
                <w:color w:val="000000"/>
                <w:kern w:val="0"/>
                <w:sz w:val="20"/>
                <w:szCs w:val="20"/>
              </w:rPr>
            </w:pPr>
            <w:r w:rsidRPr="00E95614">
              <w:rPr>
                <w:rFonts w:ascii="Palatino Linotype" w:eastAsia="SimSun" w:hAnsi="Palatino Linotype" w:cstheme="minorHAnsi"/>
                <w:b/>
                <w:color w:val="000000"/>
                <w:kern w:val="0"/>
                <w:sz w:val="20"/>
                <w:szCs w:val="20"/>
              </w:rPr>
              <w:t>F-statistic</w:t>
            </w:r>
          </w:p>
        </w:tc>
        <w:tc>
          <w:tcPr>
            <w:tcW w:w="1417" w:type="dxa"/>
            <w:gridSpan w:val="2"/>
            <w:tcBorders>
              <w:top w:val="nil"/>
              <w:left w:val="nil"/>
              <w:bottom w:val="single" w:sz="8" w:space="0" w:color="auto"/>
              <w:right w:val="nil"/>
            </w:tcBorders>
            <w:shd w:val="clear" w:color="auto" w:fill="auto"/>
            <w:noWrap/>
            <w:vAlign w:val="bottom"/>
            <w:hideMark/>
          </w:tcPr>
          <w:p w:rsidR="00D40747" w:rsidRPr="00E95614" w:rsidRDefault="00D40747">
            <w:pPr>
              <w:rPr>
                <w:rFonts w:ascii="Palatino Linotype" w:hAnsi="Palatino Linotype" w:cs="Calibri"/>
                <w:color w:val="000000"/>
                <w:sz w:val="20"/>
                <w:szCs w:val="20"/>
              </w:rPr>
            </w:pPr>
            <w:r w:rsidRPr="00E95614">
              <w:rPr>
                <w:rFonts w:ascii="Palatino Linotype" w:hAnsi="Palatino Linotype" w:cs="Calibri"/>
                <w:color w:val="000000"/>
                <w:sz w:val="20"/>
                <w:szCs w:val="20"/>
              </w:rPr>
              <w:t>12.807</w:t>
            </w:r>
          </w:p>
        </w:tc>
        <w:tc>
          <w:tcPr>
            <w:tcW w:w="334" w:type="dxa"/>
            <w:tcBorders>
              <w:top w:val="nil"/>
              <w:left w:val="nil"/>
              <w:bottom w:val="single" w:sz="8" w:space="0" w:color="auto"/>
              <w:right w:val="nil"/>
            </w:tcBorders>
            <w:shd w:val="clear" w:color="auto" w:fill="auto"/>
            <w:noWrap/>
            <w:vAlign w:val="bottom"/>
            <w:hideMark/>
          </w:tcPr>
          <w:p w:rsidR="00D40747" w:rsidRPr="00E95614" w:rsidRDefault="00D40747" w:rsidP="009D6B41">
            <w:pPr>
              <w:widowControl/>
              <w:jc w:val="left"/>
              <w:rPr>
                <w:rFonts w:ascii="Palatino Linotype" w:eastAsia="SimSun" w:hAnsi="Palatino Linotype" w:cstheme="minorHAnsi"/>
                <w:color w:val="000000"/>
                <w:kern w:val="0"/>
                <w:sz w:val="20"/>
                <w:szCs w:val="20"/>
              </w:rPr>
            </w:pPr>
            <w:r w:rsidRPr="00E95614">
              <w:rPr>
                <w:rFonts w:ascii="Palatino Linotype" w:eastAsia="SimSun" w:hAnsi="Palatino Linotype" w:cstheme="minorHAnsi"/>
                <w:color w:val="000000"/>
                <w:kern w:val="0"/>
                <w:sz w:val="20"/>
                <w:szCs w:val="20"/>
              </w:rPr>
              <w:t xml:space="preserve">　</w:t>
            </w:r>
          </w:p>
        </w:tc>
      </w:tr>
    </w:tbl>
    <w:p w:rsidR="00562A6B" w:rsidRPr="00E95614" w:rsidRDefault="00562A6B" w:rsidP="00562A6B">
      <w:pPr>
        <w:spacing w:after="120"/>
        <w:jc w:val="left"/>
        <w:rPr>
          <w:rFonts w:ascii="Palatino Linotype" w:hAnsi="Palatino Linotype" w:cs="Calibri"/>
          <w:sz w:val="20"/>
          <w:szCs w:val="20"/>
          <w:lang w:val="en-GB"/>
        </w:rPr>
      </w:pPr>
      <w:r w:rsidRPr="00E95614">
        <w:rPr>
          <w:rFonts w:ascii="Palatino Linotype" w:hAnsi="Palatino Linotype" w:cs="Calibri"/>
          <w:sz w:val="20"/>
          <w:szCs w:val="20"/>
          <w:lang w:val="en-GB"/>
        </w:rPr>
        <w:t>Note: “*” denotes statistical significance at 10% confidence, “**” at 5% and “***” at 1%.</w:t>
      </w:r>
    </w:p>
    <w:p w:rsidR="00B71D91" w:rsidRDefault="00BB2C43" w:rsidP="00B71D91">
      <w:pPr>
        <w:spacing w:after="120" w:line="276" w:lineRule="auto"/>
        <w:ind w:firstLine="360"/>
        <w:jc w:val="left"/>
        <w:rPr>
          <w:rFonts w:ascii="Palatino Linotype" w:hAnsi="Palatino Linotype" w:cs="Calibri"/>
          <w:sz w:val="22"/>
          <w:lang w:val="en-GB"/>
        </w:rPr>
      </w:pPr>
      <w:r w:rsidRPr="00803973">
        <w:rPr>
          <w:rFonts w:ascii="Palatino Linotype" w:hAnsi="Palatino Linotype" w:cs="Calibri"/>
          <w:sz w:val="22"/>
          <w:lang w:val="en-GB"/>
        </w:rPr>
        <w:t xml:space="preserve">The differential effects of supply </w:t>
      </w:r>
      <w:r w:rsidR="001D4E89" w:rsidRPr="00803973">
        <w:rPr>
          <w:rFonts w:ascii="Palatino Linotype" w:hAnsi="Palatino Linotype" w:cs="Calibri"/>
          <w:sz w:val="22"/>
          <w:lang w:val="en-GB"/>
        </w:rPr>
        <w:t>involving interaction</w:t>
      </w:r>
      <w:r w:rsidRPr="00803973">
        <w:rPr>
          <w:rFonts w:ascii="Palatino Linotype" w:hAnsi="Palatino Linotype" w:cs="Calibri"/>
          <w:sz w:val="22"/>
          <w:lang w:val="en-GB"/>
        </w:rPr>
        <w:t xml:space="preserve"> terms are demonstrated in Table 3 and the average supply quantity and supply time for three types of housing in the centre or suburb are summarised in Table 4. Considering that there are only two projects of house in centre and six of low-rise in centre in our data collection, and that house (or villa) locates at the top end of housing market, we focus on these three housing categories in the following analysis for effective housing supply: low-rise in suburb, high-rise in suburb and high-rise in centre.</w:t>
      </w:r>
    </w:p>
    <w:p w:rsidR="009C7BC3" w:rsidRPr="00E95614" w:rsidRDefault="009C7BC3" w:rsidP="00B71D91">
      <w:pPr>
        <w:spacing w:after="120" w:line="276" w:lineRule="auto"/>
        <w:ind w:firstLine="360"/>
        <w:jc w:val="left"/>
        <w:rPr>
          <w:rFonts w:ascii="Palatino Linotype" w:hAnsi="Palatino Linotype" w:cs="Calibri"/>
          <w:b/>
          <w:sz w:val="20"/>
          <w:szCs w:val="20"/>
          <w:lang w:val="en-GB"/>
        </w:rPr>
      </w:pPr>
      <w:r w:rsidRPr="00E95614">
        <w:rPr>
          <w:rFonts w:ascii="Palatino Linotype" w:hAnsi="Palatino Linotype" w:cs="Calibri"/>
          <w:b/>
          <w:sz w:val="20"/>
          <w:szCs w:val="20"/>
          <w:lang w:val="en-GB"/>
        </w:rPr>
        <w:t xml:space="preserve">Table </w:t>
      </w:r>
      <w:r w:rsidR="00BB2C43" w:rsidRPr="00E95614">
        <w:rPr>
          <w:rFonts w:ascii="Palatino Linotype" w:hAnsi="Palatino Linotype" w:cs="Calibri"/>
          <w:b/>
          <w:sz w:val="20"/>
          <w:szCs w:val="20"/>
          <w:lang w:val="en-GB"/>
        </w:rPr>
        <w:t>4</w:t>
      </w:r>
      <w:r w:rsidRPr="00E95614">
        <w:rPr>
          <w:rFonts w:ascii="Palatino Linotype" w:hAnsi="Palatino Linotype" w:cs="Calibri"/>
          <w:b/>
          <w:sz w:val="20"/>
          <w:szCs w:val="20"/>
          <w:lang w:val="en-GB"/>
        </w:rPr>
        <w:t xml:space="preserve"> Mean supply quantity and time for </w:t>
      </w:r>
      <w:r w:rsidR="00530324" w:rsidRPr="00E95614">
        <w:rPr>
          <w:rFonts w:ascii="Palatino Linotype" w:hAnsi="Palatino Linotype" w:cs="Calibri"/>
          <w:b/>
          <w:sz w:val="20"/>
          <w:szCs w:val="20"/>
          <w:lang w:val="en-GB"/>
        </w:rPr>
        <w:t>six</w:t>
      </w:r>
      <w:r w:rsidR="00BB58F8" w:rsidRPr="00E95614">
        <w:rPr>
          <w:rFonts w:ascii="Palatino Linotype" w:hAnsi="Palatino Linotype" w:cs="Calibri"/>
          <w:b/>
          <w:sz w:val="20"/>
          <w:szCs w:val="20"/>
          <w:lang w:val="en-GB"/>
        </w:rPr>
        <w:t xml:space="preserve"> housing categor</w:t>
      </w:r>
      <w:r w:rsidR="00530324" w:rsidRPr="00E95614">
        <w:rPr>
          <w:rFonts w:ascii="Palatino Linotype" w:hAnsi="Palatino Linotype" w:cs="Calibri"/>
          <w:b/>
          <w:sz w:val="20"/>
          <w:szCs w:val="20"/>
          <w:lang w:val="en-GB"/>
        </w:rPr>
        <w:t>ies</w:t>
      </w:r>
    </w:p>
    <w:tbl>
      <w:tblPr>
        <w:tblW w:w="7750" w:type="dxa"/>
        <w:jc w:val="center"/>
        <w:tblLook w:val="04A0" w:firstRow="1" w:lastRow="0" w:firstColumn="1" w:lastColumn="0" w:noHBand="0" w:noVBand="1"/>
      </w:tblPr>
      <w:tblGrid>
        <w:gridCol w:w="1014"/>
        <w:gridCol w:w="1193"/>
        <w:gridCol w:w="2107"/>
        <w:gridCol w:w="1718"/>
        <w:gridCol w:w="1718"/>
      </w:tblGrid>
      <w:tr w:rsidR="00BB0222" w:rsidRPr="00E95614" w:rsidTr="003A4745">
        <w:trPr>
          <w:trHeight w:val="342"/>
          <w:jc w:val="center"/>
        </w:trPr>
        <w:tc>
          <w:tcPr>
            <w:tcW w:w="1014" w:type="dxa"/>
            <w:tcBorders>
              <w:top w:val="single" w:sz="4" w:space="0" w:color="auto"/>
              <w:left w:val="nil"/>
              <w:bottom w:val="single" w:sz="4" w:space="0" w:color="auto"/>
              <w:right w:val="nil"/>
            </w:tcBorders>
            <w:shd w:val="clear" w:color="auto" w:fill="auto"/>
            <w:noWrap/>
            <w:vAlign w:val="bottom"/>
            <w:hideMark/>
          </w:tcPr>
          <w:p w:rsidR="00BB0222" w:rsidRPr="00E95614" w:rsidRDefault="00BB58F8" w:rsidP="00BB58F8">
            <w:pPr>
              <w:widowControl/>
              <w:rPr>
                <w:rFonts w:ascii="Palatino Linotype" w:eastAsia="Times New Roman" w:hAnsi="Palatino Linotype" w:cs="Calibri"/>
                <w:b/>
                <w:bCs/>
                <w:color w:val="000000"/>
                <w:kern w:val="0"/>
                <w:sz w:val="20"/>
                <w:szCs w:val="20"/>
                <w:lang w:val="en-GB"/>
              </w:rPr>
            </w:pPr>
            <w:r w:rsidRPr="00E95614">
              <w:rPr>
                <w:rFonts w:ascii="Palatino Linotype" w:hAnsi="Palatino Linotype"/>
                <w:sz w:val="20"/>
                <w:szCs w:val="20"/>
              </w:rPr>
              <w:br w:type="page"/>
            </w:r>
            <w:r w:rsidR="00BB0222" w:rsidRPr="00E95614">
              <w:rPr>
                <w:rFonts w:ascii="Palatino Linotype" w:eastAsia="Times New Roman" w:hAnsi="Palatino Linotype" w:cs="Calibri"/>
                <w:b/>
                <w:bCs/>
                <w:color w:val="000000"/>
                <w:kern w:val="0"/>
                <w:sz w:val="20"/>
                <w:szCs w:val="20"/>
                <w:lang w:val="en-GB"/>
              </w:rPr>
              <w:t>Location</w:t>
            </w:r>
          </w:p>
          <w:p w:rsidR="00BB0222" w:rsidRPr="00E95614" w:rsidRDefault="00BB0222" w:rsidP="00BB58F8">
            <w:pPr>
              <w:widowControl/>
              <w:rPr>
                <w:rFonts w:ascii="Palatino Linotype" w:eastAsia="Times New Roman" w:hAnsi="Palatino Linotype" w:cs="Calibri"/>
                <w:b/>
                <w:bCs/>
                <w:color w:val="000000"/>
                <w:kern w:val="0"/>
                <w:sz w:val="20"/>
                <w:szCs w:val="20"/>
                <w:lang w:val="en-GB"/>
              </w:rPr>
            </w:pPr>
          </w:p>
        </w:tc>
        <w:tc>
          <w:tcPr>
            <w:tcW w:w="1193" w:type="dxa"/>
            <w:tcBorders>
              <w:top w:val="single" w:sz="4" w:space="0" w:color="auto"/>
              <w:left w:val="nil"/>
              <w:bottom w:val="single" w:sz="4" w:space="0" w:color="auto"/>
              <w:right w:val="nil"/>
            </w:tcBorders>
            <w:shd w:val="clear" w:color="auto" w:fill="auto"/>
            <w:noWrap/>
            <w:vAlign w:val="bottom"/>
            <w:hideMark/>
          </w:tcPr>
          <w:p w:rsidR="00BB0222" w:rsidRPr="00E95614" w:rsidRDefault="00BB0222" w:rsidP="00EF329E">
            <w:pPr>
              <w:widowControl/>
              <w:jc w:val="left"/>
              <w:rPr>
                <w:rFonts w:ascii="Palatino Linotype" w:eastAsia="Times New Roman" w:hAnsi="Palatino Linotype" w:cs="Calibri"/>
                <w:b/>
                <w:bCs/>
                <w:color w:val="000000"/>
                <w:kern w:val="0"/>
                <w:sz w:val="20"/>
                <w:szCs w:val="20"/>
                <w:lang w:val="en-GB"/>
              </w:rPr>
            </w:pPr>
            <w:r w:rsidRPr="00E95614">
              <w:rPr>
                <w:rFonts w:ascii="Palatino Linotype" w:eastAsia="Times New Roman" w:hAnsi="Palatino Linotype" w:cs="Calibri"/>
                <w:b/>
                <w:bCs/>
                <w:color w:val="000000"/>
                <w:kern w:val="0"/>
                <w:sz w:val="20"/>
                <w:szCs w:val="20"/>
                <w:lang w:val="en-GB"/>
              </w:rPr>
              <w:t>Housing Type</w:t>
            </w:r>
          </w:p>
        </w:tc>
        <w:tc>
          <w:tcPr>
            <w:tcW w:w="2107" w:type="dxa"/>
            <w:tcBorders>
              <w:top w:val="single" w:sz="4" w:space="0" w:color="auto"/>
              <w:left w:val="nil"/>
              <w:bottom w:val="single" w:sz="4" w:space="0" w:color="auto"/>
              <w:right w:val="nil"/>
            </w:tcBorders>
            <w:shd w:val="clear" w:color="auto" w:fill="auto"/>
            <w:noWrap/>
            <w:vAlign w:val="bottom"/>
            <w:hideMark/>
          </w:tcPr>
          <w:p w:rsidR="00BB0222" w:rsidRPr="00E95614" w:rsidRDefault="00BB0222" w:rsidP="00EF329E">
            <w:pPr>
              <w:widowControl/>
              <w:jc w:val="center"/>
              <w:rPr>
                <w:rFonts w:ascii="Palatino Linotype" w:eastAsia="Times New Roman" w:hAnsi="Palatino Linotype" w:cs="Calibri"/>
                <w:b/>
                <w:bCs/>
                <w:color w:val="000000"/>
                <w:kern w:val="0"/>
                <w:sz w:val="20"/>
                <w:szCs w:val="20"/>
                <w:lang w:val="en-GB"/>
              </w:rPr>
            </w:pPr>
            <w:r w:rsidRPr="00E95614">
              <w:rPr>
                <w:rFonts w:ascii="Palatino Linotype" w:eastAsia="Times New Roman" w:hAnsi="Palatino Linotype" w:cs="Calibri"/>
                <w:b/>
                <w:bCs/>
                <w:color w:val="000000"/>
                <w:kern w:val="0"/>
                <w:sz w:val="20"/>
                <w:szCs w:val="20"/>
                <w:lang w:val="en-GB"/>
              </w:rPr>
              <w:t xml:space="preserve">Supply Quantity </w:t>
            </w:r>
          </w:p>
          <w:p w:rsidR="00BB0222" w:rsidRPr="00E95614" w:rsidRDefault="00BB0222" w:rsidP="00EF329E">
            <w:pPr>
              <w:widowControl/>
              <w:jc w:val="center"/>
              <w:rPr>
                <w:rFonts w:ascii="Palatino Linotype" w:eastAsia="Times New Roman" w:hAnsi="Palatino Linotype" w:cs="Calibri"/>
                <w:b/>
                <w:bCs/>
                <w:color w:val="000000"/>
                <w:kern w:val="0"/>
                <w:sz w:val="20"/>
                <w:szCs w:val="20"/>
                <w:lang w:val="en-GB"/>
              </w:rPr>
            </w:pPr>
            <w:r w:rsidRPr="00E95614">
              <w:rPr>
                <w:rFonts w:ascii="Palatino Linotype" w:eastAsia="Times New Roman" w:hAnsi="Palatino Linotype" w:cs="Calibri"/>
                <w:b/>
                <w:bCs/>
                <w:color w:val="000000"/>
                <w:kern w:val="0"/>
                <w:sz w:val="20"/>
                <w:szCs w:val="20"/>
                <w:lang w:val="en-GB"/>
              </w:rPr>
              <w:t>(‘000 m</w:t>
            </w:r>
            <w:r w:rsidRPr="00E95614">
              <w:rPr>
                <w:rFonts w:ascii="Palatino Linotype" w:eastAsia="Times New Roman" w:hAnsi="Palatino Linotype" w:cs="Calibri"/>
                <w:b/>
                <w:bCs/>
                <w:color w:val="000000"/>
                <w:kern w:val="0"/>
                <w:sz w:val="20"/>
                <w:szCs w:val="20"/>
                <w:vertAlign w:val="superscript"/>
                <w:lang w:val="en-GB"/>
              </w:rPr>
              <w:t>2</w:t>
            </w:r>
            <w:r w:rsidRPr="00E95614">
              <w:rPr>
                <w:rFonts w:ascii="Palatino Linotype" w:eastAsia="Times New Roman" w:hAnsi="Palatino Linotype" w:cs="Calibri"/>
                <w:b/>
                <w:bCs/>
                <w:color w:val="000000"/>
                <w:kern w:val="0"/>
                <w:sz w:val="20"/>
                <w:szCs w:val="20"/>
                <w:lang w:val="en-GB"/>
              </w:rPr>
              <w:t>)</w:t>
            </w:r>
          </w:p>
        </w:tc>
        <w:tc>
          <w:tcPr>
            <w:tcW w:w="1718" w:type="dxa"/>
            <w:tcBorders>
              <w:top w:val="single" w:sz="4" w:space="0" w:color="auto"/>
              <w:left w:val="nil"/>
              <w:bottom w:val="single" w:sz="4" w:space="0" w:color="auto"/>
              <w:right w:val="nil"/>
            </w:tcBorders>
            <w:shd w:val="clear" w:color="auto" w:fill="auto"/>
            <w:noWrap/>
            <w:vAlign w:val="bottom"/>
            <w:hideMark/>
          </w:tcPr>
          <w:p w:rsidR="00BB0222" w:rsidRPr="00E95614" w:rsidRDefault="00BB0222" w:rsidP="00EF329E">
            <w:pPr>
              <w:widowControl/>
              <w:jc w:val="center"/>
              <w:rPr>
                <w:rFonts w:ascii="Palatino Linotype" w:eastAsia="Times New Roman" w:hAnsi="Palatino Linotype" w:cs="Calibri"/>
                <w:b/>
                <w:bCs/>
                <w:color w:val="000000"/>
                <w:kern w:val="0"/>
                <w:sz w:val="20"/>
                <w:szCs w:val="20"/>
                <w:lang w:val="en-GB"/>
              </w:rPr>
            </w:pPr>
            <w:r w:rsidRPr="00E95614">
              <w:rPr>
                <w:rFonts w:ascii="Palatino Linotype" w:eastAsia="Times New Roman" w:hAnsi="Palatino Linotype" w:cs="Calibri"/>
                <w:b/>
                <w:bCs/>
                <w:color w:val="000000"/>
                <w:kern w:val="0"/>
                <w:sz w:val="20"/>
                <w:szCs w:val="20"/>
                <w:lang w:val="en-GB"/>
              </w:rPr>
              <w:t xml:space="preserve">Supply Time </w:t>
            </w:r>
          </w:p>
          <w:p w:rsidR="00BB0222" w:rsidRPr="00E95614" w:rsidRDefault="00BB0222" w:rsidP="00EF329E">
            <w:pPr>
              <w:widowControl/>
              <w:jc w:val="center"/>
              <w:rPr>
                <w:rFonts w:ascii="Palatino Linotype" w:eastAsia="Times New Roman" w:hAnsi="Palatino Linotype" w:cs="Calibri"/>
                <w:b/>
                <w:bCs/>
                <w:color w:val="000000"/>
                <w:kern w:val="0"/>
                <w:sz w:val="20"/>
                <w:szCs w:val="20"/>
                <w:lang w:val="en-GB"/>
              </w:rPr>
            </w:pPr>
            <w:r w:rsidRPr="00E95614">
              <w:rPr>
                <w:rFonts w:ascii="Palatino Linotype" w:eastAsia="Times New Roman" w:hAnsi="Palatino Linotype" w:cs="Calibri"/>
                <w:b/>
                <w:bCs/>
                <w:color w:val="000000"/>
                <w:kern w:val="0"/>
                <w:sz w:val="20"/>
                <w:szCs w:val="20"/>
                <w:lang w:val="en-GB"/>
              </w:rPr>
              <w:t>(week)</w:t>
            </w:r>
          </w:p>
        </w:tc>
        <w:tc>
          <w:tcPr>
            <w:tcW w:w="1718" w:type="dxa"/>
            <w:tcBorders>
              <w:top w:val="single" w:sz="4" w:space="0" w:color="auto"/>
              <w:left w:val="nil"/>
              <w:bottom w:val="single" w:sz="4" w:space="0" w:color="auto"/>
              <w:right w:val="nil"/>
            </w:tcBorders>
            <w:vAlign w:val="bottom"/>
          </w:tcPr>
          <w:p w:rsidR="00BB0222" w:rsidRPr="00E95614" w:rsidRDefault="00BB0222" w:rsidP="003A4745">
            <w:pPr>
              <w:widowControl/>
              <w:jc w:val="center"/>
              <w:rPr>
                <w:rFonts w:ascii="Palatino Linotype" w:eastAsia="Times New Roman" w:hAnsi="Palatino Linotype" w:cs="Calibri"/>
                <w:b/>
                <w:bCs/>
                <w:color w:val="000000"/>
                <w:kern w:val="0"/>
                <w:sz w:val="20"/>
                <w:szCs w:val="20"/>
                <w:lang w:val="en-GB"/>
              </w:rPr>
            </w:pPr>
            <w:r w:rsidRPr="00E95614">
              <w:rPr>
                <w:rFonts w:ascii="Palatino Linotype" w:eastAsia="Times New Roman" w:hAnsi="Palatino Linotype" w:cs="Calibri"/>
                <w:b/>
                <w:bCs/>
                <w:color w:val="000000"/>
                <w:kern w:val="0"/>
                <w:sz w:val="20"/>
                <w:szCs w:val="20"/>
                <w:lang w:val="en-GB"/>
              </w:rPr>
              <w:t xml:space="preserve">First Period </w:t>
            </w:r>
          </w:p>
          <w:p w:rsidR="00BB0222" w:rsidRPr="00E95614" w:rsidRDefault="00BB0222" w:rsidP="003A4745">
            <w:pPr>
              <w:widowControl/>
              <w:jc w:val="center"/>
              <w:rPr>
                <w:rFonts w:ascii="Palatino Linotype" w:eastAsia="Times New Roman" w:hAnsi="Palatino Linotype" w:cs="Calibri"/>
                <w:b/>
                <w:bCs/>
                <w:color w:val="000000"/>
                <w:kern w:val="0"/>
                <w:sz w:val="20"/>
                <w:szCs w:val="20"/>
                <w:lang w:val="en-GB"/>
              </w:rPr>
            </w:pPr>
            <w:r w:rsidRPr="00E95614">
              <w:rPr>
                <w:rFonts w:ascii="Palatino Linotype" w:eastAsia="Times New Roman" w:hAnsi="Palatino Linotype" w:cs="Calibri"/>
                <w:b/>
                <w:bCs/>
                <w:color w:val="000000"/>
                <w:kern w:val="0"/>
                <w:sz w:val="20"/>
                <w:szCs w:val="20"/>
                <w:lang w:val="en-GB"/>
              </w:rPr>
              <w:t>(week)</w:t>
            </w:r>
          </w:p>
        </w:tc>
      </w:tr>
      <w:tr w:rsidR="00D40747" w:rsidRPr="00E95614" w:rsidTr="003A4745">
        <w:trPr>
          <w:trHeight w:val="342"/>
          <w:jc w:val="center"/>
        </w:trPr>
        <w:tc>
          <w:tcPr>
            <w:tcW w:w="1014" w:type="dxa"/>
            <w:vMerge w:val="restart"/>
            <w:tcBorders>
              <w:top w:val="nil"/>
              <w:left w:val="nil"/>
              <w:bottom w:val="single" w:sz="4" w:space="0" w:color="000000"/>
              <w:right w:val="nil"/>
            </w:tcBorders>
            <w:shd w:val="clear" w:color="auto" w:fill="auto"/>
            <w:noWrap/>
            <w:vAlign w:val="center"/>
            <w:hideMark/>
          </w:tcPr>
          <w:p w:rsidR="00D40747" w:rsidRPr="00E95614" w:rsidRDefault="00D40747" w:rsidP="00EF329E">
            <w:pPr>
              <w:widowControl/>
              <w:jc w:val="center"/>
              <w:rPr>
                <w:rFonts w:ascii="Palatino Linotype" w:eastAsia="Times New Roman" w:hAnsi="Palatino Linotype" w:cs="Calibri"/>
                <w:b/>
                <w:bCs/>
                <w:color w:val="000000"/>
                <w:kern w:val="0"/>
                <w:sz w:val="20"/>
                <w:szCs w:val="20"/>
                <w:lang w:val="en-GB"/>
              </w:rPr>
            </w:pPr>
            <w:r w:rsidRPr="00E95614">
              <w:rPr>
                <w:rFonts w:ascii="Palatino Linotype" w:eastAsia="Times New Roman" w:hAnsi="Palatino Linotype" w:cs="Calibri"/>
                <w:b/>
                <w:bCs/>
                <w:color w:val="000000"/>
                <w:kern w:val="0"/>
                <w:sz w:val="20"/>
                <w:szCs w:val="20"/>
                <w:lang w:val="en-GB"/>
              </w:rPr>
              <w:t>Suburb</w:t>
            </w:r>
          </w:p>
        </w:tc>
        <w:tc>
          <w:tcPr>
            <w:tcW w:w="1193" w:type="dxa"/>
            <w:tcBorders>
              <w:top w:val="nil"/>
              <w:left w:val="nil"/>
              <w:bottom w:val="nil"/>
              <w:right w:val="nil"/>
            </w:tcBorders>
            <w:shd w:val="clear" w:color="auto" w:fill="auto"/>
            <w:noWrap/>
            <w:vAlign w:val="bottom"/>
            <w:hideMark/>
          </w:tcPr>
          <w:p w:rsidR="00D40747" w:rsidRPr="00E95614" w:rsidRDefault="00D40747" w:rsidP="00EF329E">
            <w:pPr>
              <w:widowControl/>
              <w:jc w:val="left"/>
              <w:rPr>
                <w:rFonts w:ascii="Palatino Linotype" w:eastAsia="Times New Roman" w:hAnsi="Palatino Linotype" w:cs="Calibri"/>
                <w:b/>
                <w:bCs/>
                <w:color w:val="000000"/>
                <w:kern w:val="0"/>
                <w:sz w:val="20"/>
                <w:szCs w:val="20"/>
                <w:lang w:val="en-GB"/>
              </w:rPr>
            </w:pPr>
            <w:r w:rsidRPr="00E95614">
              <w:rPr>
                <w:rFonts w:ascii="Palatino Linotype" w:eastAsia="Times New Roman" w:hAnsi="Palatino Linotype" w:cs="Calibri"/>
                <w:b/>
                <w:bCs/>
                <w:color w:val="000000"/>
                <w:kern w:val="0"/>
                <w:sz w:val="20"/>
                <w:szCs w:val="20"/>
                <w:lang w:val="en-GB"/>
              </w:rPr>
              <w:t>House</w:t>
            </w:r>
          </w:p>
        </w:tc>
        <w:tc>
          <w:tcPr>
            <w:tcW w:w="2107" w:type="dxa"/>
            <w:tcBorders>
              <w:top w:val="nil"/>
              <w:left w:val="nil"/>
              <w:bottom w:val="nil"/>
              <w:right w:val="nil"/>
            </w:tcBorders>
            <w:shd w:val="clear" w:color="auto" w:fill="auto"/>
            <w:noWrap/>
            <w:vAlign w:val="bottom"/>
            <w:hideMark/>
          </w:tcPr>
          <w:p w:rsidR="00D40747" w:rsidRPr="00E95614" w:rsidRDefault="00D40747" w:rsidP="00D40747">
            <w:pPr>
              <w:jc w:val="center"/>
              <w:rPr>
                <w:rFonts w:ascii="Palatino Linotype" w:hAnsi="Palatino Linotype" w:cs="Calibri"/>
                <w:color w:val="000000"/>
                <w:sz w:val="20"/>
                <w:szCs w:val="20"/>
              </w:rPr>
            </w:pPr>
            <w:r w:rsidRPr="00E95614">
              <w:rPr>
                <w:rFonts w:ascii="Palatino Linotype" w:hAnsi="Palatino Linotype" w:cs="Calibri"/>
                <w:color w:val="000000"/>
                <w:sz w:val="20"/>
                <w:szCs w:val="20"/>
              </w:rPr>
              <w:t>43.2</w:t>
            </w:r>
          </w:p>
        </w:tc>
        <w:tc>
          <w:tcPr>
            <w:tcW w:w="1718" w:type="dxa"/>
            <w:tcBorders>
              <w:top w:val="nil"/>
              <w:left w:val="nil"/>
              <w:bottom w:val="nil"/>
              <w:right w:val="nil"/>
            </w:tcBorders>
            <w:shd w:val="clear" w:color="auto" w:fill="auto"/>
            <w:noWrap/>
            <w:vAlign w:val="bottom"/>
            <w:hideMark/>
          </w:tcPr>
          <w:p w:rsidR="00D40747" w:rsidRPr="00E95614" w:rsidRDefault="00D40747" w:rsidP="00D40747">
            <w:pPr>
              <w:jc w:val="center"/>
              <w:rPr>
                <w:rFonts w:ascii="Palatino Linotype" w:hAnsi="Palatino Linotype" w:cs="Calibri"/>
                <w:color w:val="000000"/>
                <w:sz w:val="20"/>
                <w:szCs w:val="20"/>
              </w:rPr>
            </w:pPr>
            <w:r w:rsidRPr="00E95614">
              <w:rPr>
                <w:rFonts w:ascii="Palatino Linotype" w:hAnsi="Palatino Linotype" w:cs="Calibri"/>
                <w:color w:val="000000"/>
                <w:sz w:val="20"/>
                <w:szCs w:val="20"/>
              </w:rPr>
              <w:t>51.3</w:t>
            </w:r>
          </w:p>
        </w:tc>
        <w:tc>
          <w:tcPr>
            <w:tcW w:w="1718" w:type="dxa"/>
            <w:tcBorders>
              <w:top w:val="nil"/>
              <w:left w:val="nil"/>
              <w:bottom w:val="nil"/>
              <w:right w:val="nil"/>
            </w:tcBorders>
            <w:vAlign w:val="bottom"/>
          </w:tcPr>
          <w:p w:rsidR="00D40747" w:rsidRPr="00E95614" w:rsidRDefault="00D40747" w:rsidP="00D40747">
            <w:pPr>
              <w:jc w:val="center"/>
              <w:rPr>
                <w:rFonts w:ascii="Palatino Linotype" w:hAnsi="Palatino Linotype" w:cs="Calibri"/>
                <w:color w:val="000000"/>
                <w:sz w:val="20"/>
                <w:szCs w:val="20"/>
              </w:rPr>
            </w:pPr>
            <w:r w:rsidRPr="00E95614">
              <w:rPr>
                <w:rFonts w:ascii="Palatino Linotype" w:hAnsi="Palatino Linotype" w:cs="Calibri"/>
                <w:color w:val="000000"/>
                <w:sz w:val="20"/>
                <w:szCs w:val="20"/>
              </w:rPr>
              <w:t>36.6</w:t>
            </w:r>
          </w:p>
        </w:tc>
      </w:tr>
      <w:tr w:rsidR="00D40747" w:rsidRPr="00E95614" w:rsidTr="003A4745">
        <w:trPr>
          <w:trHeight w:val="342"/>
          <w:jc w:val="center"/>
        </w:trPr>
        <w:tc>
          <w:tcPr>
            <w:tcW w:w="1014" w:type="dxa"/>
            <w:vMerge/>
            <w:tcBorders>
              <w:top w:val="nil"/>
              <w:left w:val="nil"/>
              <w:bottom w:val="single" w:sz="4" w:space="0" w:color="000000"/>
              <w:right w:val="nil"/>
            </w:tcBorders>
            <w:vAlign w:val="center"/>
            <w:hideMark/>
          </w:tcPr>
          <w:p w:rsidR="00D40747" w:rsidRPr="00E95614" w:rsidRDefault="00D40747" w:rsidP="00EF329E">
            <w:pPr>
              <w:widowControl/>
              <w:jc w:val="center"/>
              <w:rPr>
                <w:rFonts w:ascii="Palatino Linotype" w:eastAsia="Times New Roman" w:hAnsi="Palatino Linotype" w:cs="Calibri"/>
                <w:b/>
                <w:bCs/>
                <w:color w:val="000000"/>
                <w:kern w:val="0"/>
                <w:sz w:val="20"/>
                <w:szCs w:val="20"/>
                <w:lang w:val="en-GB"/>
              </w:rPr>
            </w:pPr>
          </w:p>
        </w:tc>
        <w:tc>
          <w:tcPr>
            <w:tcW w:w="1193" w:type="dxa"/>
            <w:tcBorders>
              <w:top w:val="nil"/>
              <w:left w:val="nil"/>
              <w:bottom w:val="nil"/>
              <w:right w:val="nil"/>
            </w:tcBorders>
            <w:shd w:val="clear" w:color="auto" w:fill="auto"/>
            <w:noWrap/>
            <w:vAlign w:val="bottom"/>
            <w:hideMark/>
          </w:tcPr>
          <w:p w:rsidR="00D40747" w:rsidRPr="00E95614" w:rsidRDefault="00D40747" w:rsidP="00EF329E">
            <w:pPr>
              <w:widowControl/>
              <w:jc w:val="left"/>
              <w:rPr>
                <w:rFonts w:ascii="Palatino Linotype" w:eastAsia="Times New Roman" w:hAnsi="Palatino Linotype" w:cs="Calibri"/>
                <w:b/>
                <w:bCs/>
                <w:color w:val="000000"/>
                <w:kern w:val="0"/>
                <w:sz w:val="20"/>
                <w:szCs w:val="20"/>
                <w:lang w:val="en-GB"/>
              </w:rPr>
            </w:pPr>
            <w:r w:rsidRPr="00E95614">
              <w:rPr>
                <w:rFonts w:ascii="Palatino Linotype" w:eastAsia="Times New Roman" w:hAnsi="Palatino Linotype" w:cs="Calibri"/>
                <w:b/>
                <w:bCs/>
                <w:color w:val="000000"/>
                <w:kern w:val="0"/>
                <w:sz w:val="20"/>
                <w:szCs w:val="20"/>
                <w:lang w:val="en-GB"/>
              </w:rPr>
              <w:t>Low-rise</w:t>
            </w:r>
          </w:p>
        </w:tc>
        <w:tc>
          <w:tcPr>
            <w:tcW w:w="2107" w:type="dxa"/>
            <w:tcBorders>
              <w:top w:val="nil"/>
              <w:left w:val="nil"/>
              <w:bottom w:val="nil"/>
              <w:right w:val="nil"/>
            </w:tcBorders>
            <w:shd w:val="clear" w:color="auto" w:fill="auto"/>
            <w:noWrap/>
            <w:vAlign w:val="bottom"/>
            <w:hideMark/>
          </w:tcPr>
          <w:p w:rsidR="00D40747" w:rsidRPr="00E95614" w:rsidRDefault="00D40747" w:rsidP="00D40747">
            <w:pPr>
              <w:jc w:val="center"/>
              <w:rPr>
                <w:rFonts w:ascii="Palatino Linotype" w:hAnsi="Palatino Linotype" w:cs="Calibri"/>
                <w:color w:val="000000"/>
                <w:sz w:val="20"/>
                <w:szCs w:val="20"/>
              </w:rPr>
            </w:pPr>
            <w:r w:rsidRPr="00E95614">
              <w:rPr>
                <w:rFonts w:ascii="Palatino Linotype" w:hAnsi="Palatino Linotype" w:cs="Calibri"/>
                <w:color w:val="000000"/>
                <w:sz w:val="20"/>
                <w:szCs w:val="20"/>
              </w:rPr>
              <w:t>75.8</w:t>
            </w:r>
          </w:p>
        </w:tc>
        <w:tc>
          <w:tcPr>
            <w:tcW w:w="1718" w:type="dxa"/>
            <w:tcBorders>
              <w:top w:val="nil"/>
              <w:left w:val="nil"/>
              <w:bottom w:val="nil"/>
              <w:right w:val="nil"/>
            </w:tcBorders>
            <w:shd w:val="clear" w:color="auto" w:fill="auto"/>
            <w:noWrap/>
            <w:vAlign w:val="bottom"/>
            <w:hideMark/>
          </w:tcPr>
          <w:p w:rsidR="00D40747" w:rsidRPr="00E95614" w:rsidRDefault="00D40747" w:rsidP="00D40747">
            <w:pPr>
              <w:jc w:val="center"/>
              <w:rPr>
                <w:rFonts w:ascii="Palatino Linotype" w:hAnsi="Palatino Linotype" w:cs="Calibri"/>
                <w:color w:val="000000"/>
                <w:sz w:val="20"/>
                <w:szCs w:val="20"/>
              </w:rPr>
            </w:pPr>
            <w:r w:rsidRPr="00E95614">
              <w:rPr>
                <w:rFonts w:ascii="Palatino Linotype" w:hAnsi="Palatino Linotype" w:cs="Calibri"/>
                <w:color w:val="000000"/>
                <w:sz w:val="20"/>
                <w:szCs w:val="20"/>
              </w:rPr>
              <w:t>45.2</w:t>
            </w:r>
          </w:p>
        </w:tc>
        <w:tc>
          <w:tcPr>
            <w:tcW w:w="1718" w:type="dxa"/>
            <w:tcBorders>
              <w:top w:val="nil"/>
              <w:left w:val="nil"/>
              <w:bottom w:val="nil"/>
              <w:right w:val="nil"/>
            </w:tcBorders>
            <w:vAlign w:val="bottom"/>
          </w:tcPr>
          <w:p w:rsidR="00D40747" w:rsidRPr="00E95614" w:rsidRDefault="00D40747" w:rsidP="00D40747">
            <w:pPr>
              <w:jc w:val="center"/>
              <w:rPr>
                <w:rFonts w:ascii="Palatino Linotype" w:hAnsi="Palatino Linotype" w:cs="Calibri"/>
                <w:color w:val="000000"/>
                <w:sz w:val="20"/>
                <w:szCs w:val="20"/>
              </w:rPr>
            </w:pPr>
            <w:r w:rsidRPr="00E95614">
              <w:rPr>
                <w:rFonts w:ascii="Palatino Linotype" w:hAnsi="Palatino Linotype" w:cs="Calibri"/>
                <w:color w:val="000000"/>
                <w:sz w:val="20"/>
                <w:szCs w:val="20"/>
              </w:rPr>
              <w:t>30.1</w:t>
            </w:r>
          </w:p>
        </w:tc>
      </w:tr>
      <w:tr w:rsidR="00D40747" w:rsidRPr="00E95614" w:rsidTr="003A4745">
        <w:trPr>
          <w:trHeight w:val="342"/>
          <w:jc w:val="center"/>
        </w:trPr>
        <w:tc>
          <w:tcPr>
            <w:tcW w:w="1014" w:type="dxa"/>
            <w:vMerge/>
            <w:tcBorders>
              <w:top w:val="nil"/>
              <w:left w:val="nil"/>
              <w:bottom w:val="single" w:sz="4" w:space="0" w:color="000000"/>
              <w:right w:val="nil"/>
            </w:tcBorders>
            <w:vAlign w:val="center"/>
            <w:hideMark/>
          </w:tcPr>
          <w:p w:rsidR="00D40747" w:rsidRPr="00E95614" w:rsidRDefault="00D40747" w:rsidP="00EF329E">
            <w:pPr>
              <w:widowControl/>
              <w:jc w:val="center"/>
              <w:rPr>
                <w:rFonts w:ascii="Palatino Linotype" w:eastAsia="Times New Roman" w:hAnsi="Palatino Linotype" w:cs="Calibri"/>
                <w:b/>
                <w:bCs/>
                <w:color w:val="000000"/>
                <w:kern w:val="0"/>
                <w:sz w:val="20"/>
                <w:szCs w:val="20"/>
                <w:lang w:val="en-GB"/>
              </w:rPr>
            </w:pPr>
          </w:p>
        </w:tc>
        <w:tc>
          <w:tcPr>
            <w:tcW w:w="1193" w:type="dxa"/>
            <w:tcBorders>
              <w:top w:val="nil"/>
              <w:left w:val="nil"/>
              <w:bottom w:val="nil"/>
              <w:right w:val="nil"/>
            </w:tcBorders>
            <w:shd w:val="clear" w:color="auto" w:fill="auto"/>
            <w:noWrap/>
            <w:vAlign w:val="bottom"/>
            <w:hideMark/>
          </w:tcPr>
          <w:p w:rsidR="00D40747" w:rsidRPr="00E95614" w:rsidRDefault="00D40747" w:rsidP="00EF329E">
            <w:pPr>
              <w:widowControl/>
              <w:jc w:val="left"/>
              <w:rPr>
                <w:rFonts w:ascii="Palatino Linotype" w:eastAsia="Times New Roman" w:hAnsi="Palatino Linotype" w:cs="Calibri"/>
                <w:b/>
                <w:bCs/>
                <w:color w:val="000000"/>
                <w:kern w:val="0"/>
                <w:sz w:val="20"/>
                <w:szCs w:val="20"/>
                <w:lang w:val="en-GB"/>
              </w:rPr>
            </w:pPr>
            <w:r w:rsidRPr="00E95614">
              <w:rPr>
                <w:rFonts w:ascii="Palatino Linotype" w:eastAsia="Times New Roman" w:hAnsi="Palatino Linotype" w:cs="Calibri"/>
                <w:b/>
                <w:bCs/>
                <w:color w:val="000000"/>
                <w:kern w:val="0"/>
                <w:sz w:val="20"/>
                <w:szCs w:val="20"/>
                <w:lang w:val="en-GB"/>
              </w:rPr>
              <w:t>High-rise</w:t>
            </w:r>
          </w:p>
        </w:tc>
        <w:tc>
          <w:tcPr>
            <w:tcW w:w="2107" w:type="dxa"/>
            <w:tcBorders>
              <w:top w:val="nil"/>
              <w:left w:val="nil"/>
              <w:bottom w:val="nil"/>
              <w:right w:val="nil"/>
            </w:tcBorders>
            <w:shd w:val="clear" w:color="auto" w:fill="auto"/>
            <w:noWrap/>
            <w:vAlign w:val="bottom"/>
            <w:hideMark/>
          </w:tcPr>
          <w:p w:rsidR="00D40747" w:rsidRPr="00E95614" w:rsidRDefault="00D40747" w:rsidP="004E1D07">
            <w:pPr>
              <w:jc w:val="center"/>
              <w:rPr>
                <w:rFonts w:ascii="Palatino Linotype" w:hAnsi="Palatino Linotype" w:cs="Calibri"/>
                <w:color w:val="000000"/>
                <w:sz w:val="20"/>
                <w:szCs w:val="20"/>
              </w:rPr>
            </w:pPr>
            <w:r w:rsidRPr="00E95614">
              <w:rPr>
                <w:rFonts w:ascii="Palatino Linotype" w:hAnsi="Palatino Linotype" w:cs="Calibri"/>
                <w:color w:val="000000"/>
                <w:sz w:val="20"/>
                <w:szCs w:val="20"/>
              </w:rPr>
              <w:t>73.</w:t>
            </w:r>
            <w:r w:rsidR="004E1D07" w:rsidRPr="00E95614">
              <w:rPr>
                <w:rFonts w:ascii="Palatino Linotype" w:hAnsi="Palatino Linotype" w:cs="Calibri"/>
                <w:color w:val="000000"/>
                <w:sz w:val="20"/>
                <w:szCs w:val="20"/>
              </w:rPr>
              <w:t>8</w:t>
            </w:r>
          </w:p>
        </w:tc>
        <w:tc>
          <w:tcPr>
            <w:tcW w:w="1718" w:type="dxa"/>
            <w:tcBorders>
              <w:top w:val="nil"/>
              <w:left w:val="nil"/>
              <w:bottom w:val="nil"/>
              <w:right w:val="nil"/>
            </w:tcBorders>
            <w:shd w:val="clear" w:color="auto" w:fill="auto"/>
            <w:noWrap/>
            <w:vAlign w:val="bottom"/>
            <w:hideMark/>
          </w:tcPr>
          <w:p w:rsidR="00D40747" w:rsidRPr="00E95614" w:rsidRDefault="00D40747" w:rsidP="00D40747">
            <w:pPr>
              <w:jc w:val="center"/>
              <w:rPr>
                <w:rFonts w:ascii="Palatino Linotype" w:hAnsi="Palatino Linotype" w:cs="Calibri"/>
                <w:color w:val="000000"/>
                <w:sz w:val="20"/>
                <w:szCs w:val="20"/>
              </w:rPr>
            </w:pPr>
            <w:r w:rsidRPr="00E95614">
              <w:rPr>
                <w:rFonts w:ascii="Palatino Linotype" w:hAnsi="Palatino Linotype" w:cs="Calibri"/>
                <w:color w:val="000000"/>
                <w:sz w:val="20"/>
                <w:szCs w:val="20"/>
              </w:rPr>
              <w:t>43.7</w:t>
            </w:r>
          </w:p>
        </w:tc>
        <w:tc>
          <w:tcPr>
            <w:tcW w:w="1718" w:type="dxa"/>
            <w:tcBorders>
              <w:top w:val="nil"/>
              <w:left w:val="nil"/>
              <w:bottom w:val="nil"/>
              <w:right w:val="nil"/>
            </w:tcBorders>
            <w:vAlign w:val="bottom"/>
          </w:tcPr>
          <w:p w:rsidR="00D40747" w:rsidRPr="00E95614" w:rsidRDefault="00D40747" w:rsidP="00D40747">
            <w:pPr>
              <w:jc w:val="center"/>
              <w:rPr>
                <w:rFonts w:ascii="Palatino Linotype" w:hAnsi="Palatino Linotype" w:cs="Calibri"/>
                <w:color w:val="000000"/>
                <w:sz w:val="20"/>
                <w:szCs w:val="20"/>
              </w:rPr>
            </w:pPr>
            <w:r w:rsidRPr="00E95614">
              <w:rPr>
                <w:rFonts w:ascii="Palatino Linotype" w:hAnsi="Palatino Linotype" w:cs="Calibri"/>
                <w:color w:val="000000"/>
                <w:sz w:val="20"/>
                <w:szCs w:val="20"/>
              </w:rPr>
              <w:t>30.2</w:t>
            </w:r>
          </w:p>
        </w:tc>
      </w:tr>
      <w:tr w:rsidR="00D40747" w:rsidRPr="00E95614" w:rsidTr="003A4745">
        <w:trPr>
          <w:trHeight w:val="342"/>
          <w:jc w:val="center"/>
        </w:trPr>
        <w:tc>
          <w:tcPr>
            <w:tcW w:w="1014" w:type="dxa"/>
            <w:vMerge w:val="restart"/>
            <w:tcBorders>
              <w:top w:val="single" w:sz="4" w:space="0" w:color="auto"/>
              <w:left w:val="nil"/>
              <w:bottom w:val="single" w:sz="4" w:space="0" w:color="000000"/>
              <w:right w:val="nil"/>
            </w:tcBorders>
            <w:shd w:val="clear" w:color="auto" w:fill="auto"/>
            <w:noWrap/>
            <w:vAlign w:val="center"/>
            <w:hideMark/>
          </w:tcPr>
          <w:p w:rsidR="00D40747" w:rsidRPr="00E95614" w:rsidRDefault="00D40747" w:rsidP="00EF329E">
            <w:pPr>
              <w:widowControl/>
              <w:jc w:val="center"/>
              <w:rPr>
                <w:rFonts w:ascii="Palatino Linotype" w:eastAsia="Times New Roman" w:hAnsi="Palatino Linotype" w:cs="Calibri"/>
                <w:b/>
                <w:bCs/>
                <w:color w:val="000000"/>
                <w:kern w:val="0"/>
                <w:sz w:val="20"/>
                <w:szCs w:val="20"/>
                <w:lang w:val="en-GB"/>
              </w:rPr>
            </w:pPr>
            <w:r w:rsidRPr="00E95614">
              <w:rPr>
                <w:rFonts w:ascii="Palatino Linotype" w:eastAsia="Times New Roman" w:hAnsi="Palatino Linotype" w:cs="Calibri"/>
                <w:b/>
                <w:bCs/>
                <w:color w:val="000000"/>
                <w:kern w:val="0"/>
                <w:sz w:val="20"/>
                <w:szCs w:val="20"/>
                <w:lang w:val="en-GB"/>
              </w:rPr>
              <w:t>Centre</w:t>
            </w:r>
          </w:p>
        </w:tc>
        <w:tc>
          <w:tcPr>
            <w:tcW w:w="1193" w:type="dxa"/>
            <w:tcBorders>
              <w:top w:val="single" w:sz="4" w:space="0" w:color="auto"/>
              <w:left w:val="nil"/>
              <w:bottom w:val="nil"/>
              <w:right w:val="nil"/>
            </w:tcBorders>
            <w:shd w:val="clear" w:color="auto" w:fill="auto"/>
            <w:noWrap/>
            <w:vAlign w:val="bottom"/>
            <w:hideMark/>
          </w:tcPr>
          <w:p w:rsidR="00D40747" w:rsidRPr="00E95614" w:rsidRDefault="00D40747" w:rsidP="00EF329E">
            <w:pPr>
              <w:widowControl/>
              <w:jc w:val="left"/>
              <w:rPr>
                <w:rFonts w:ascii="Palatino Linotype" w:eastAsia="Times New Roman" w:hAnsi="Palatino Linotype" w:cs="Calibri"/>
                <w:b/>
                <w:bCs/>
                <w:color w:val="000000"/>
                <w:kern w:val="0"/>
                <w:sz w:val="20"/>
                <w:szCs w:val="20"/>
                <w:lang w:val="en-GB"/>
              </w:rPr>
            </w:pPr>
            <w:r w:rsidRPr="00E95614">
              <w:rPr>
                <w:rFonts w:ascii="Palatino Linotype" w:eastAsia="Times New Roman" w:hAnsi="Palatino Linotype" w:cs="Calibri"/>
                <w:b/>
                <w:bCs/>
                <w:color w:val="000000"/>
                <w:kern w:val="0"/>
                <w:sz w:val="20"/>
                <w:szCs w:val="20"/>
                <w:lang w:val="en-GB"/>
              </w:rPr>
              <w:t>House</w:t>
            </w:r>
          </w:p>
        </w:tc>
        <w:tc>
          <w:tcPr>
            <w:tcW w:w="2107" w:type="dxa"/>
            <w:tcBorders>
              <w:top w:val="single" w:sz="4" w:space="0" w:color="auto"/>
              <w:left w:val="nil"/>
              <w:bottom w:val="nil"/>
              <w:right w:val="nil"/>
            </w:tcBorders>
            <w:shd w:val="clear" w:color="auto" w:fill="auto"/>
            <w:noWrap/>
            <w:vAlign w:val="bottom"/>
            <w:hideMark/>
          </w:tcPr>
          <w:p w:rsidR="00D40747" w:rsidRPr="00E95614" w:rsidRDefault="00D40747" w:rsidP="00714E3A">
            <w:pPr>
              <w:jc w:val="center"/>
              <w:rPr>
                <w:rFonts w:ascii="Palatino Linotype" w:hAnsi="Palatino Linotype" w:cs="Calibri"/>
                <w:color w:val="000000"/>
                <w:sz w:val="20"/>
                <w:szCs w:val="20"/>
              </w:rPr>
            </w:pPr>
            <w:r w:rsidRPr="00E95614">
              <w:rPr>
                <w:rFonts w:ascii="Palatino Linotype" w:hAnsi="Palatino Linotype" w:cs="Calibri"/>
                <w:color w:val="000000"/>
                <w:sz w:val="20"/>
                <w:szCs w:val="20"/>
              </w:rPr>
              <w:t>11</w:t>
            </w:r>
            <w:r w:rsidR="00714E3A" w:rsidRPr="00E95614">
              <w:rPr>
                <w:rFonts w:ascii="Palatino Linotype" w:hAnsi="Palatino Linotype" w:cs="Calibri"/>
                <w:color w:val="000000"/>
                <w:sz w:val="20"/>
                <w:szCs w:val="20"/>
              </w:rPr>
              <w:t>9.1</w:t>
            </w:r>
          </w:p>
        </w:tc>
        <w:tc>
          <w:tcPr>
            <w:tcW w:w="1718" w:type="dxa"/>
            <w:tcBorders>
              <w:top w:val="single" w:sz="4" w:space="0" w:color="auto"/>
              <w:left w:val="nil"/>
              <w:bottom w:val="nil"/>
              <w:right w:val="nil"/>
            </w:tcBorders>
            <w:shd w:val="clear" w:color="auto" w:fill="auto"/>
            <w:noWrap/>
            <w:vAlign w:val="bottom"/>
            <w:hideMark/>
          </w:tcPr>
          <w:p w:rsidR="00D40747" w:rsidRPr="00E95614" w:rsidRDefault="00D40747" w:rsidP="00D40747">
            <w:pPr>
              <w:jc w:val="center"/>
              <w:rPr>
                <w:rFonts w:ascii="Palatino Linotype" w:hAnsi="Palatino Linotype" w:cs="Calibri"/>
                <w:color w:val="000000"/>
                <w:sz w:val="20"/>
                <w:szCs w:val="20"/>
              </w:rPr>
            </w:pPr>
            <w:r w:rsidRPr="00E95614">
              <w:rPr>
                <w:rFonts w:ascii="Palatino Linotype" w:hAnsi="Palatino Linotype" w:cs="Calibri"/>
                <w:color w:val="000000"/>
                <w:sz w:val="20"/>
                <w:szCs w:val="20"/>
              </w:rPr>
              <w:t>172.5</w:t>
            </w:r>
          </w:p>
        </w:tc>
        <w:tc>
          <w:tcPr>
            <w:tcW w:w="1718" w:type="dxa"/>
            <w:tcBorders>
              <w:top w:val="single" w:sz="4" w:space="0" w:color="auto"/>
              <w:left w:val="nil"/>
              <w:bottom w:val="nil"/>
              <w:right w:val="nil"/>
            </w:tcBorders>
            <w:vAlign w:val="bottom"/>
          </w:tcPr>
          <w:p w:rsidR="00D40747" w:rsidRPr="00E95614" w:rsidRDefault="00D40747" w:rsidP="00D40747">
            <w:pPr>
              <w:jc w:val="center"/>
              <w:rPr>
                <w:rFonts w:ascii="Palatino Linotype" w:hAnsi="Palatino Linotype" w:cs="Calibri"/>
                <w:color w:val="000000"/>
                <w:sz w:val="20"/>
                <w:szCs w:val="20"/>
              </w:rPr>
            </w:pPr>
            <w:r w:rsidRPr="00E95614">
              <w:rPr>
                <w:rFonts w:ascii="Palatino Linotype" w:hAnsi="Palatino Linotype" w:cs="Calibri"/>
                <w:color w:val="000000"/>
                <w:sz w:val="20"/>
                <w:szCs w:val="20"/>
              </w:rPr>
              <w:t>127.5</w:t>
            </w:r>
          </w:p>
        </w:tc>
      </w:tr>
      <w:tr w:rsidR="00D40747" w:rsidRPr="00E95614" w:rsidTr="003A4745">
        <w:trPr>
          <w:trHeight w:val="342"/>
          <w:jc w:val="center"/>
        </w:trPr>
        <w:tc>
          <w:tcPr>
            <w:tcW w:w="1014" w:type="dxa"/>
            <w:vMerge/>
            <w:tcBorders>
              <w:top w:val="single" w:sz="4" w:space="0" w:color="auto"/>
              <w:left w:val="nil"/>
              <w:bottom w:val="single" w:sz="4" w:space="0" w:color="000000"/>
              <w:right w:val="nil"/>
            </w:tcBorders>
            <w:vAlign w:val="center"/>
            <w:hideMark/>
          </w:tcPr>
          <w:p w:rsidR="00D40747" w:rsidRPr="00E95614" w:rsidRDefault="00D40747" w:rsidP="00EF329E">
            <w:pPr>
              <w:widowControl/>
              <w:jc w:val="left"/>
              <w:rPr>
                <w:rFonts w:ascii="Palatino Linotype" w:eastAsia="Times New Roman" w:hAnsi="Palatino Linotype" w:cs="Calibri"/>
                <w:b/>
                <w:bCs/>
                <w:color w:val="000000"/>
                <w:kern w:val="0"/>
                <w:sz w:val="20"/>
                <w:szCs w:val="20"/>
                <w:lang w:val="en-GB"/>
              </w:rPr>
            </w:pPr>
          </w:p>
        </w:tc>
        <w:tc>
          <w:tcPr>
            <w:tcW w:w="1193" w:type="dxa"/>
            <w:tcBorders>
              <w:top w:val="nil"/>
              <w:left w:val="nil"/>
              <w:bottom w:val="nil"/>
              <w:right w:val="nil"/>
            </w:tcBorders>
            <w:shd w:val="clear" w:color="auto" w:fill="auto"/>
            <w:noWrap/>
            <w:vAlign w:val="bottom"/>
            <w:hideMark/>
          </w:tcPr>
          <w:p w:rsidR="00D40747" w:rsidRPr="00E95614" w:rsidRDefault="00D40747" w:rsidP="00EF329E">
            <w:pPr>
              <w:widowControl/>
              <w:jc w:val="left"/>
              <w:rPr>
                <w:rFonts w:ascii="Palatino Linotype" w:eastAsia="Times New Roman" w:hAnsi="Palatino Linotype" w:cs="Calibri"/>
                <w:b/>
                <w:bCs/>
                <w:color w:val="000000"/>
                <w:kern w:val="0"/>
                <w:sz w:val="20"/>
                <w:szCs w:val="20"/>
                <w:lang w:val="en-GB"/>
              </w:rPr>
            </w:pPr>
            <w:r w:rsidRPr="00E95614">
              <w:rPr>
                <w:rFonts w:ascii="Palatino Linotype" w:eastAsia="Times New Roman" w:hAnsi="Palatino Linotype" w:cs="Calibri"/>
                <w:b/>
                <w:bCs/>
                <w:color w:val="000000"/>
                <w:kern w:val="0"/>
                <w:sz w:val="20"/>
                <w:szCs w:val="20"/>
                <w:lang w:val="en-GB"/>
              </w:rPr>
              <w:t>Low-rise</w:t>
            </w:r>
          </w:p>
        </w:tc>
        <w:tc>
          <w:tcPr>
            <w:tcW w:w="2107" w:type="dxa"/>
            <w:tcBorders>
              <w:top w:val="nil"/>
              <w:left w:val="nil"/>
              <w:bottom w:val="nil"/>
              <w:right w:val="nil"/>
            </w:tcBorders>
            <w:shd w:val="clear" w:color="auto" w:fill="auto"/>
            <w:noWrap/>
            <w:vAlign w:val="bottom"/>
            <w:hideMark/>
          </w:tcPr>
          <w:p w:rsidR="00D40747" w:rsidRPr="00E95614" w:rsidRDefault="00D40747" w:rsidP="00D40747">
            <w:pPr>
              <w:jc w:val="center"/>
              <w:rPr>
                <w:rFonts w:ascii="Palatino Linotype" w:hAnsi="Palatino Linotype" w:cs="Calibri"/>
                <w:color w:val="000000"/>
                <w:sz w:val="20"/>
                <w:szCs w:val="20"/>
              </w:rPr>
            </w:pPr>
            <w:r w:rsidRPr="00E95614">
              <w:rPr>
                <w:rFonts w:ascii="Palatino Linotype" w:hAnsi="Palatino Linotype" w:cs="Calibri"/>
                <w:color w:val="000000"/>
                <w:sz w:val="20"/>
                <w:szCs w:val="20"/>
              </w:rPr>
              <w:t>15.6</w:t>
            </w:r>
          </w:p>
        </w:tc>
        <w:tc>
          <w:tcPr>
            <w:tcW w:w="1718" w:type="dxa"/>
            <w:tcBorders>
              <w:top w:val="nil"/>
              <w:left w:val="nil"/>
              <w:bottom w:val="nil"/>
              <w:right w:val="nil"/>
            </w:tcBorders>
            <w:shd w:val="clear" w:color="auto" w:fill="auto"/>
            <w:noWrap/>
            <w:vAlign w:val="bottom"/>
            <w:hideMark/>
          </w:tcPr>
          <w:p w:rsidR="00D40747" w:rsidRPr="00E95614" w:rsidRDefault="00D40747" w:rsidP="00D40747">
            <w:pPr>
              <w:jc w:val="center"/>
              <w:rPr>
                <w:rFonts w:ascii="Palatino Linotype" w:hAnsi="Palatino Linotype" w:cs="Calibri"/>
                <w:color w:val="000000"/>
                <w:sz w:val="20"/>
                <w:szCs w:val="20"/>
              </w:rPr>
            </w:pPr>
            <w:r w:rsidRPr="00E95614">
              <w:rPr>
                <w:rFonts w:ascii="Palatino Linotype" w:hAnsi="Palatino Linotype" w:cs="Calibri"/>
                <w:color w:val="000000"/>
                <w:sz w:val="20"/>
                <w:szCs w:val="20"/>
              </w:rPr>
              <w:t>21.3</w:t>
            </w:r>
          </w:p>
        </w:tc>
        <w:tc>
          <w:tcPr>
            <w:tcW w:w="1718" w:type="dxa"/>
            <w:tcBorders>
              <w:top w:val="nil"/>
              <w:left w:val="nil"/>
              <w:bottom w:val="nil"/>
              <w:right w:val="nil"/>
            </w:tcBorders>
            <w:vAlign w:val="bottom"/>
          </w:tcPr>
          <w:p w:rsidR="00D40747" w:rsidRPr="00E95614" w:rsidRDefault="00D40747" w:rsidP="00D40747">
            <w:pPr>
              <w:jc w:val="center"/>
              <w:rPr>
                <w:rFonts w:ascii="Palatino Linotype" w:hAnsi="Palatino Linotype" w:cs="Calibri"/>
                <w:color w:val="000000"/>
                <w:sz w:val="20"/>
                <w:szCs w:val="20"/>
              </w:rPr>
            </w:pPr>
            <w:r w:rsidRPr="00E95614">
              <w:rPr>
                <w:rFonts w:ascii="Palatino Linotype" w:hAnsi="Palatino Linotype" w:cs="Calibri"/>
                <w:color w:val="000000"/>
                <w:sz w:val="20"/>
                <w:szCs w:val="20"/>
              </w:rPr>
              <w:t>18.8</w:t>
            </w:r>
          </w:p>
        </w:tc>
      </w:tr>
      <w:tr w:rsidR="00D40747" w:rsidRPr="00E95614" w:rsidTr="003A4745">
        <w:trPr>
          <w:trHeight w:val="342"/>
          <w:jc w:val="center"/>
        </w:trPr>
        <w:tc>
          <w:tcPr>
            <w:tcW w:w="1014" w:type="dxa"/>
            <w:vMerge/>
            <w:tcBorders>
              <w:top w:val="single" w:sz="4" w:space="0" w:color="auto"/>
              <w:left w:val="nil"/>
              <w:bottom w:val="single" w:sz="4" w:space="0" w:color="000000"/>
              <w:right w:val="nil"/>
            </w:tcBorders>
            <w:vAlign w:val="center"/>
            <w:hideMark/>
          </w:tcPr>
          <w:p w:rsidR="00D40747" w:rsidRPr="00E95614" w:rsidRDefault="00D40747" w:rsidP="00EF329E">
            <w:pPr>
              <w:widowControl/>
              <w:jc w:val="left"/>
              <w:rPr>
                <w:rFonts w:ascii="Palatino Linotype" w:eastAsia="Times New Roman" w:hAnsi="Palatino Linotype" w:cs="Calibri"/>
                <w:b/>
                <w:bCs/>
                <w:color w:val="000000"/>
                <w:kern w:val="0"/>
                <w:sz w:val="20"/>
                <w:szCs w:val="20"/>
                <w:lang w:val="en-GB"/>
              </w:rPr>
            </w:pPr>
          </w:p>
        </w:tc>
        <w:tc>
          <w:tcPr>
            <w:tcW w:w="1193" w:type="dxa"/>
            <w:tcBorders>
              <w:top w:val="nil"/>
              <w:left w:val="nil"/>
              <w:bottom w:val="single" w:sz="4" w:space="0" w:color="auto"/>
              <w:right w:val="nil"/>
            </w:tcBorders>
            <w:shd w:val="clear" w:color="auto" w:fill="auto"/>
            <w:noWrap/>
            <w:vAlign w:val="bottom"/>
            <w:hideMark/>
          </w:tcPr>
          <w:p w:rsidR="00D40747" w:rsidRPr="00E95614" w:rsidRDefault="00D40747" w:rsidP="00EF329E">
            <w:pPr>
              <w:widowControl/>
              <w:jc w:val="left"/>
              <w:rPr>
                <w:rFonts w:ascii="Palatino Linotype" w:eastAsia="Times New Roman" w:hAnsi="Palatino Linotype" w:cs="Calibri"/>
                <w:b/>
                <w:bCs/>
                <w:color w:val="000000"/>
                <w:kern w:val="0"/>
                <w:sz w:val="20"/>
                <w:szCs w:val="20"/>
                <w:lang w:val="en-GB"/>
              </w:rPr>
            </w:pPr>
            <w:r w:rsidRPr="00E95614">
              <w:rPr>
                <w:rFonts w:ascii="Palatino Linotype" w:eastAsia="Times New Roman" w:hAnsi="Palatino Linotype" w:cs="Calibri"/>
                <w:b/>
                <w:bCs/>
                <w:color w:val="000000"/>
                <w:kern w:val="0"/>
                <w:sz w:val="20"/>
                <w:szCs w:val="20"/>
                <w:lang w:val="en-GB"/>
              </w:rPr>
              <w:t>High-rise</w:t>
            </w:r>
          </w:p>
        </w:tc>
        <w:tc>
          <w:tcPr>
            <w:tcW w:w="2107" w:type="dxa"/>
            <w:tcBorders>
              <w:top w:val="nil"/>
              <w:left w:val="nil"/>
              <w:bottom w:val="single" w:sz="4" w:space="0" w:color="auto"/>
              <w:right w:val="nil"/>
            </w:tcBorders>
            <w:shd w:val="clear" w:color="auto" w:fill="auto"/>
            <w:noWrap/>
            <w:vAlign w:val="bottom"/>
            <w:hideMark/>
          </w:tcPr>
          <w:p w:rsidR="00D40747" w:rsidRPr="00E95614" w:rsidRDefault="00D40747" w:rsidP="00D40747">
            <w:pPr>
              <w:jc w:val="center"/>
              <w:rPr>
                <w:rFonts w:ascii="Palatino Linotype" w:hAnsi="Palatino Linotype" w:cs="Calibri"/>
                <w:color w:val="000000"/>
                <w:sz w:val="20"/>
                <w:szCs w:val="20"/>
              </w:rPr>
            </w:pPr>
            <w:r w:rsidRPr="00E95614">
              <w:rPr>
                <w:rFonts w:ascii="Palatino Linotype" w:hAnsi="Palatino Linotype" w:cs="Calibri"/>
                <w:color w:val="000000"/>
                <w:sz w:val="20"/>
                <w:szCs w:val="20"/>
              </w:rPr>
              <w:t>55.4</w:t>
            </w:r>
          </w:p>
        </w:tc>
        <w:tc>
          <w:tcPr>
            <w:tcW w:w="1718" w:type="dxa"/>
            <w:tcBorders>
              <w:top w:val="nil"/>
              <w:left w:val="nil"/>
              <w:bottom w:val="single" w:sz="4" w:space="0" w:color="auto"/>
              <w:right w:val="nil"/>
            </w:tcBorders>
            <w:shd w:val="clear" w:color="auto" w:fill="auto"/>
            <w:noWrap/>
            <w:vAlign w:val="bottom"/>
            <w:hideMark/>
          </w:tcPr>
          <w:p w:rsidR="00D40747" w:rsidRPr="00E95614" w:rsidRDefault="00D40747" w:rsidP="00D40747">
            <w:pPr>
              <w:jc w:val="center"/>
              <w:rPr>
                <w:rFonts w:ascii="Palatino Linotype" w:hAnsi="Palatino Linotype" w:cs="Calibri"/>
                <w:color w:val="000000"/>
                <w:sz w:val="20"/>
                <w:szCs w:val="20"/>
              </w:rPr>
            </w:pPr>
            <w:r w:rsidRPr="00E95614">
              <w:rPr>
                <w:rFonts w:ascii="Palatino Linotype" w:hAnsi="Palatino Linotype" w:cs="Calibri"/>
                <w:color w:val="000000"/>
                <w:sz w:val="20"/>
                <w:szCs w:val="20"/>
              </w:rPr>
              <w:t>60.9</w:t>
            </w:r>
          </w:p>
        </w:tc>
        <w:tc>
          <w:tcPr>
            <w:tcW w:w="1718" w:type="dxa"/>
            <w:tcBorders>
              <w:top w:val="nil"/>
              <w:left w:val="nil"/>
              <w:bottom w:val="single" w:sz="4" w:space="0" w:color="auto"/>
              <w:right w:val="nil"/>
            </w:tcBorders>
            <w:vAlign w:val="bottom"/>
          </w:tcPr>
          <w:p w:rsidR="00D40747" w:rsidRPr="00E95614" w:rsidRDefault="00D40747" w:rsidP="00D40747">
            <w:pPr>
              <w:jc w:val="center"/>
              <w:rPr>
                <w:rFonts w:ascii="Palatino Linotype" w:hAnsi="Palatino Linotype" w:cs="Calibri"/>
                <w:color w:val="000000"/>
                <w:sz w:val="20"/>
                <w:szCs w:val="20"/>
              </w:rPr>
            </w:pPr>
            <w:r w:rsidRPr="00E95614">
              <w:rPr>
                <w:rFonts w:ascii="Palatino Linotype" w:hAnsi="Palatino Linotype" w:cs="Calibri"/>
                <w:color w:val="000000"/>
                <w:sz w:val="20"/>
                <w:szCs w:val="20"/>
              </w:rPr>
              <w:t>46.3</w:t>
            </w:r>
          </w:p>
        </w:tc>
      </w:tr>
    </w:tbl>
    <w:p w:rsidR="009C7BC3" w:rsidRPr="00E95614" w:rsidRDefault="009C7BC3">
      <w:pPr>
        <w:spacing w:after="120" w:line="276" w:lineRule="auto"/>
        <w:ind w:firstLine="360"/>
        <w:jc w:val="left"/>
        <w:rPr>
          <w:rFonts w:ascii="Palatino Linotype" w:hAnsi="Palatino Linotype" w:cs="Calibri"/>
          <w:sz w:val="20"/>
          <w:szCs w:val="20"/>
          <w:lang w:val="en-GB"/>
        </w:rPr>
      </w:pPr>
    </w:p>
    <w:p w:rsidR="008E363A" w:rsidRPr="00803973" w:rsidRDefault="009006F7">
      <w:pPr>
        <w:spacing w:after="120" w:line="276" w:lineRule="auto"/>
        <w:ind w:firstLine="360"/>
        <w:jc w:val="left"/>
        <w:rPr>
          <w:rFonts w:ascii="Palatino Linotype" w:hAnsi="Palatino Linotype" w:cs="Calibri"/>
          <w:sz w:val="22"/>
          <w:lang w:val="en-GB"/>
        </w:rPr>
      </w:pPr>
      <w:r w:rsidRPr="00803973">
        <w:rPr>
          <w:rFonts w:ascii="Palatino Linotype" w:hAnsi="Palatino Linotype" w:cs="Calibri"/>
          <w:sz w:val="22"/>
          <w:lang w:val="en-GB"/>
        </w:rPr>
        <w:t xml:space="preserve">Let’s compare high-rise in </w:t>
      </w:r>
      <w:r w:rsidR="0071251B" w:rsidRPr="00803973">
        <w:rPr>
          <w:rFonts w:ascii="Palatino Linotype" w:hAnsi="Palatino Linotype" w:cs="Calibri"/>
          <w:sz w:val="22"/>
          <w:lang w:val="en-GB"/>
        </w:rPr>
        <w:t xml:space="preserve">the centre with low-rise </w:t>
      </w:r>
      <w:r w:rsidRPr="00803973">
        <w:rPr>
          <w:rFonts w:ascii="Palatino Linotype" w:hAnsi="Palatino Linotype" w:cs="Calibri"/>
          <w:sz w:val="22"/>
          <w:lang w:val="en-GB"/>
        </w:rPr>
        <w:t xml:space="preserve">and high-rise in </w:t>
      </w:r>
      <w:r w:rsidR="0071251B" w:rsidRPr="00803973">
        <w:rPr>
          <w:rFonts w:ascii="Palatino Linotype" w:hAnsi="Palatino Linotype" w:cs="Calibri"/>
          <w:sz w:val="22"/>
          <w:lang w:val="en-GB"/>
        </w:rPr>
        <w:t xml:space="preserve">the </w:t>
      </w:r>
      <w:r w:rsidRPr="00803973">
        <w:rPr>
          <w:rFonts w:ascii="Palatino Linotype" w:hAnsi="Palatino Linotype" w:cs="Calibri"/>
          <w:sz w:val="22"/>
          <w:lang w:val="en-GB"/>
        </w:rPr>
        <w:t xml:space="preserve">suburb. </w:t>
      </w:r>
      <w:r w:rsidR="000524E6" w:rsidRPr="00803973">
        <w:rPr>
          <w:rFonts w:ascii="Palatino Linotype" w:hAnsi="Palatino Linotype" w:cs="Calibri"/>
          <w:sz w:val="22"/>
          <w:lang w:val="en-GB"/>
        </w:rPr>
        <w:t>Undoubtedly</w:t>
      </w:r>
      <w:r w:rsidR="0071251B" w:rsidRPr="00803973">
        <w:rPr>
          <w:rFonts w:ascii="Palatino Linotype" w:hAnsi="Palatino Linotype" w:cs="Calibri"/>
          <w:sz w:val="22"/>
          <w:lang w:val="en-GB"/>
        </w:rPr>
        <w:t>,</w:t>
      </w:r>
      <w:r w:rsidRPr="00803973">
        <w:rPr>
          <w:rFonts w:ascii="Palatino Linotype" w:hAnsi="Palatino Linotype" w:cs="Calibri"/>
          <w:sz w:val="22"/>
          <w:lang w:val="en-GB"/>
        </w:rPr>
        <w:t xml:space="preserve"> the </w:t>
      </w:r>
      <w:r w:rsidR="000524E6" w:rsidRPr="00803973">
        <w:rPr>
          <w:rFonts w:ascii="Palatino Linotype" w:hAnsi="Palatino Linotype" w:cs="Calibri"/>
          <w:sz w:val="22"/>
          <w:lang w:val="en-GB"/>
        </w:rPr>
        <w:t xml:space="preserve">high-rise in </w:t>
      </w:r>
      <w:r w:rsidR="0071251B" w:rsidRPr="00803973">
        <w:rPr>
          <w:rFonts w:ascii="Palatino Linotype" w:hAnsi="Palatino Linotype" w:cs="Calibri"/>
          <w:sz w:val="22"/>
          <w:lang w:val="en-GB"/>
        </w:rPr>
        <w:t xml:space="preserve">the </w:t>
      </w:r>
      <w:r w:rsidR="000524E6" w:rsidRPr="00803973">
        <w:rPr>
          <w:rFonts w:ascii="Palatino Linotype" w:hAnsi="Palatino Linotype" w:cs="Calibri"/>
          <w:sz w:val="22"/>
          <w:lang w:val="en-GB"/>
        </w:rPr>
        <w:t>centre is lagging behind both</w:t>
      </w:r>
      <w:r w:rsidRPr="00803973">
        <w:rPr>
          <w:rFonts w:ascii="Palatino Linotype" w:hAnsi="Palatino Linotype" w:cs="Calibri"/>
          <w:sz w:val="22"/>
          <w:lang w:val="en-GB"/>
        </w:rPr>
        <w:t xml:space="preserve"> </w:t>
      </w:r>
      <w:r w:rsidR="0071251B" w:rsidRPr="00803973">
        <w:rPr>
          <w:rFonts w:ascii="Palatino Linotype" w:hAnsi="Palatino Linotype" w:cs="Calibri"/>
          <w:sz w:val="22"/>
          <w:lang w:val="en-GB"/>
        </w:rPr>
        <w:t xml:space="preserve">low-rise and high-rise of the </w:t>
      </w:r>
      <w:r w:rsidR="000524E6" w:rsidRPr="00803973">
        <w:rPr>
          <w:rFonts w:ascii="Palatino Linotype" w:hAnsi="Palatino Linotype" w:cs="Calibri"/>
          <w:sz w:val="22"/>
          <w:lang w:val="en-GB"/>
        </w:rPr>
        <w:t xml:space="preserve">suburb </w:t>
      </w:r>
      <w:r w:rsidR="0071251B" w:rsidRPr="00803973">
        <w:rPr>
          <w:rFonts w:ascii="Palatino Linotype" w:hAnsi="Palatino Linotype" w:cs="Calibri"/>
          <w:sz w:val="22"/>
          <w:lang w:val="en-GB"/>
        </w:rPr>
        <w:t>in</w:t>
      </w:r>
      <w:r w:rsidRPr="00803973">
        <w:rPr>
          <w:rFonts w:ascii="Palatino Linotype" w:hAnsi="Palatino Linotype" w:cs="Calibri"/>
          <w:sz w:val="22"/>
          <w:lang w:val="en-GB"/>
        </w:rPr>
        <w:t xml:space="preserve"> </w:t>
      </w:r>
      <w:r w:rsidR="00F95578" w:rsidRPr="00803973">
        <w:rPr>
          <w:rFonts w:ascii="Palatino Linotype" w:hAnsi="Palatino Linotype" w:cs="Calibri"/>
          <w:sz w:val="22"/>
          <w:lang w:val="en-GB"/>
        </w:rPr>
        <w:t xml:space="preserve">both </w:t>
      </w:r>
      <w:r w:rsidRPr="00803973">
        <w:rPr>
          <w:rFonts w:ascii="Palatino Linotype" w:hAnsi="Palatino Linotype" w:cs="Calibri"/>
          <w:sz w:val="22"/>
          <w:lang w:val="en-GB"/>
        </w:rPr>
        <w:t>supply quantity and supply time</w:t>
      </w:r>
      <w:r w:rsidR="003D489C" w:rsidRPr="00803973">
        <w:rPr>
          <w:rFonts w:ascii="Palatino Linotype" w:hAnsi="Palatino Linotype" w:cs="Calibri"/>
          <w:sz w:val="22"/>
          <w:lang w:val="en-GB"/>
        </w:rPr>
        <w:t xml:space="preserve"> (Table </w:t>
      </w:r>
      <w:r w:rsidR="00BB2C43" w:rsidRPr="00803973">
        <w:rPr>
          <w:rFonts w:ascii="Palatino Linotype" w:hAnsi="Palatino Linotype" w:cs="Calibri"/>
          <w:sz w:val="22"/>
          <w:lang w:val="en-GB"/>
        </w:rPr>
        <w:t>4</w:t>
      </w:r>
      <w:r w:rsidR="003D489C" w:rsidRPr="00803973">
        <w:rPr>
          <w:rFonts w:ascii="Palatino Linotype" w:hAnsi="Palatino Linotype" w:cs="Calibri"/>
          <w:sz w:val="22"/>
          <w:lang w:val="en-GB"/>
        </w:rPr>
        <w:t>)</w:t>
      </w:r>
      <w:r w:rsidRPr="00803973">
        <w:rPr>
          <w:rFonts w:ascii="Palatino Linotype" w:hAnsi="Palatino Linotype" w:cs="Calibri"/>
          <w:sz w:val="22"/>
          <w:lang w:val="en-GB"/>
        </w:rPr>
        <w:t xml:space="preserve">. </w:t>
      </w:r>
      <w:r w:rsidR="00F924F2" w:rsidRPr="00803973">
        <w:rPr>
          <w:rFonts w:ascii="Palatino Linotype" w:hAnsi="Palatino Linotype" w:cs="Calibri"/>
          <w:sz w:val="22"/>
          <w:lang w:val="en-GB"/>
        </w:rPr>
        <w:t>The cluster</w:t>
      </w:r>
      <w:r w:rsidR="003A5730" w:rsidRPr="00803973">
        <w:rPr>
          <w:rFonts w:ascii="Palatino Linotype" w:hAnsi="Palatino Linotype" w:cs="Calibri"/>
          <w:sz w:val="22"/>
          <w:lang w:val="en-GB"/>
        </w:rPr>
        <w:t>ing</w:t>
      </w:r>
      <w:r w:rsidR="00F924F2" w:rsidRPr="00803973">
        <w:rPr>
          <w:rFonts w:ascii="Palatino Linotype" w:hAnsi="Palatino Linotype" w:cs="Calibri"/>
          <w:sz w:val="22"/>
          <w:lang w:val="en-GB"/>
        </w:rPr>
        <w:t xml:space="preserve"> of resi</w:t>
      </w:r>
      <w:r w:rsidR="00971FC7" w:rsidRPr="00803973">
        <w:rPr>
          <w:rFonts w:ascii="Palatino Linotype" w:hAnsi="Palatino Linotype" w:cs="Calibri"/>
          <w:sz w:val="22"/>
          <w:lang w:val="en-GB"/>
        </w:rPr>
        <w:t>dential skyscraper</w:t>
      </w:r>
      <w:r w:rsidR="00CB050E" w:rsidRPr="00803973">
        <w:rPr>
          <w:rFonts w:ascii="Palatino Linotype" w:hAnsi="Palatino Linotype" w:cs="Calibri"/>
          <w:sz w:val="22"/>
          <w:lang w:val="en-GB"/>
        </w:rPr>
        <w:t>s in downtown Shanghai</w:t>
      </w:r>
      <w:r w:rsidR="00F924F2" w:rsidRPr="00803973">
        <w:rPr>
          <w:rFonts w:ascii="Palatino Linotype" w:hAnsi="Palatino Linotype" w:cs="Calibri"/>
          <w:sz w:val="22"/>
          <w:lang w:val="en-GB"/>
        </w:rPr>
        <w:t xml:space="preserve"> </w:t>
      </w:r>
      <w:r w:rsidR="003A5730" w:rsidRPr="00803973">
        <w:rPr>
          <w:rFonts w:ascii="Palatino Linotype" w:hAnsi="Palatino Linotype" w:cs="Calibri"/>
          <w:sz w:val="22"/>
          <w:lang w:val="en-GB"/>
        </w:rPr>
        <w:t xml:space="preserve">verifies </w:t>
      </w:r>
      <w:r w:rsidR="00433D35" w:rsidRPr="00803973">
        <w:rPr>
          <w:rFonts w:ascii="Palatino Linotype" w:hAnsi="Palatino Linotype" w:cs="Calibri"/>
          <w:sz w:val="22"/>
          <w:lang w:val="en-GB"/>
        </w:rPr>
        <w:t xml:space="preserve">the </w:t>
      </w:r>
      <w:r w:rsidR="003A5730" w:rsidRPr="00803973">
        <w:rPr>
          <w:rFonts w:ascii="Palatino Linotype" w:hAnsi="Palatino Linotype" w:cs="Calibri"/>
          <w:sz w:val="22"/>
          <w:lang w:val="en-GB"/>
        </w:rPr>
        <w:t>principle of</w:t>
      </w:r>
      <w:r w:rsidR="00F924F2" w:rsidRPr="00803973">
        <w:rPr>
          <w:rFonts w:ascii="Palatino Linotype" w:hAnsi="Palatino Linotype" w:cs="Calibri"/>
          <w:sz w:val="22"/>
          <w:lang w:val="en-GB"/>
        </w:rPr>
        <w:t xml:space="preserve"> “subst</w:t>
      </w:r>
      <w:r w:rsidR="000524E6" w:rsidRPr="00803973">
        <w:rPr>
          <w:rFonts w:ascii="Palatino Linotype" w:hAnsi="Palatino Linotype" w:cs="Calibri"/>
          <w:sz w:val="22"/>
          <w:lang w:val="en-GB"/>
        </w:rPr>
        <w:t>itu</w:t>
      </w:r>
      <w:r w:rsidR="00F924F2" w:rsidRPr="00803973">
        <w:rPr>
          <w:rFonts w:ascii="Palatino Linotype" w:hAnsi="Palatino Linotype" w:cs="Calibri"/>
          <w:sz w:val="22"/>
          <w:lang w:val="en-GB"/>
        </w:rPr>
        <w:t>tion of capital for land”</w:t>
      </w:r>
      <w:r w:rsidR="00433D35" w:rsidRPr="00803973">
        <w:rPr>
          <w:rFonts w:ascii="Palatino Linotype" w:hAnsi="Palatino Linotype" w:cs="Calibri"/>
          <w:sz w:val="22"/>
          <w:lang w:val="en-GB"/>
        </w:rPr>
        <w:t xml:space="preserve"> which is rightly reflected </w:t>
      </w:r>
      <w:r w:rsidR="00F924F2" w:rsidRPr="00803973">
        <w:rPr>
          <w:rFonts w:ascii="Palatino Linotype" w:hAnsi="Palatino Linotype" w:cs="Calibri"/>
          <w:sz w:val="22"/>
          <w:lang w:val="en-GB"/>
        </w:rPr>
        <w:t>in our data</w:t>
      </w:r>
      <w:r w:rsidR="00433D35" w:rsidRPr="00803973">
        <w:rPr>
          <w:rFonts w:ascii="Palatino Linotype" w:hAnsi="Palatino Linotype" w:cs="Calibri"/>
          <w:sz w:val="22"/>
          <w:lang w:val="en-GB"/>
        </w:rPr>
        <w:t xml:space="preserve"> (</w:t>
      </w:r>
      <w:r w:rsidR="008D72A9" w:rsidRPr="00803973">
        <w:rPr>
          <w:rFonts w:ascii="Palatino Linotype" w:hAnsi="Palatino Linotype" w:cs="Calibri"/>
          <w:sz w:val="22"/>
          <w:lang w:val="en-GB"/>
        </w:rPr>
        <w:t>the mean p</w:t>
      </w:r>
      <w:r w:rsidR="00F924F2" w:rsidRPr="00803973">
        <w:rPr>
          <w:rFonts w:ascii="Palatino Linotype" w:hAnsi="Palatino Linotype" w:cs="Calibri"/>
          <w:sz w:val="22"/>
          <w:lang w:val="en-GB"/>
        </w:rPr>
        <w:t xml:space="preserve">lot </w:t>
      </w:r>
      <w:r w:rsidR="008D72A9" w:rsidRPr="00803973">
        <w:rPr>
          <w:rFonts w:ascii="Palatino Linotype" w:hAnsi="Palatino Linotype" w:cs="Calibri"/>
          <w:sz w:val="22"/>
          <w:lang w:val="en-GB"/>
        </w:rPr>
        <w:t>r</w:t>
      </w:r>
      <w:r w:rsidR="00F924F2" w:rsidRPr="00803973">
        <w:rPr>
          <w:rFonts w:ascii="Palatino Linotype" w:hAnsi="Palatino Linotype" w:cs="Calibri"/>
          <w:sz w:val="22"/>
          <w:lang w:val="en-GB"/>
        </w:rPr>
        <w:t>atio</w:t>
      </w:r>
      <w:r w:rsidR="00433D35" w:rsidRPr="00803973">
        <w:rPr>
          <w:rFonts w:ascii="Palatino Linotype" w:hAnsi="Palatino Linotype" w:cs="Calibri"/>
          <w:sz w:val="22"/>
          <w:lang w:val="en-GB"/>
        </w:rPr>
        <w:t xml:space="preserve"> of projects in centre</w:t>
      </w:r>
      <w:r w:rsidR="00F924F2" w:rsidRPr="00803973">
        <w:rPr>
          <w:rFonts w:ascii="Palatino Linotype" w:hAnsi="Palatino Linotype" w:cs="Calibri"/>
          <w:sz w:val="22"/>
          <w:lang w:val="en-GB"/>
        </w:rPr>
        <w:t xml:space="preserve"> is 2.</w:t>
      </w:r>
      <w:r w:rsidR="001F2197" w:rsidRPr="00803973">
        <w:rPr>
          <w:rFonts w:ascii="Palatino Linotype" w:hAnsi="Palatino Linotype" w:cs="Calibri"/>
          <w:sz w:val="22"/>
          <w:lang w:val="en-GB"/>
        </w:rPr>
        <w:t>89</w:t>
      </w:r>
      <w:r w:rsidR="00433D35" w:rsidRPr="00803973">
        <w:rPr>
          <w:rFonts w:ascii="Palatino Linotype" w:hAnsi="Palatino Linotype" w:cs="Calibri"/>
          <w:sz w:val="22"/>
          <w:lang w:val="en-GB"/>
        </w:rPr>
        <w:t xml:space="preserve">, while that in suburb is 1.42). </w:t>
      </w:r>
      <w:r w:rsidR="007E4E99" w:rsidRPr="00803973">
        <w:rPr>
          <w:rFonts w:ascii="Palatino Linotype" w:hAnsi="Palatino Linotype" w:cs="Calibri"/>
          <w:sz w:val="22"/>
          <w:lang w:val="en-GB"/>
        </w:rPr>
        <w:t>However</w:t>
      </w:r>
      <w:r w:rsidR="005E3CF0" w:rsidRPr="00803973">
        <w:rPr>
          <w:rFonts w:ascii="Palatino Linotype" w:hAnsi="Palatino Linotype" w:cs="Calibri"/>
          <w:sz w:val="22"/>
          <w:lang w:val="en-GB"/>
        </w:rPr>
        <w:t>,</w:t>
      </w:r>
      <w:r w:rsidR="007E4E99" w:rsidRPr="00803973">
        <w:rPr>
          <w:rFonts w:ascii="Palatino Linotype" w:hAnsi="Palatino Linotype" w:cs="Calibri"/>
          <w:sz w:val="22"/>
          <w:lang w:val="en-GB"/>
        </w:rPr>
        <w:t xml:space="preserve"> the results in </w:t>
      </w:r>
      <w:r w:rsidR="003D489C" w:rsidRPr="00803973">
        <w:rPr>
          <w:rFonts w:ascii="Palatino Linotype" w:hAnsi="Palatino Linotype" w:cs="Calibri"/>
          <w:sz w:val="22"/>
          <w:lang w:val="en-GB"/>
        </w:rPr>
        <w:t>T</w:t>
      </w:r>
      <w:r w:rsidR="007E4E99" w:rsidRPr="00803973">
        <w:rPr>
          <w:rFonts w:ascii="Palatino Linotype" w:hAnsi="Palatino Linotype" w:cs="Calibri"/>
          <w:sz w:val="22"/>
          <w:lang w:val="en-GB"/>
        </w:rPr>
        <w:t xml:space="preserve">able </w:t>
      </w:r>
      <w:r w:rsidR="00BB2C43" w:rsidRPr="00803973">
        <w:rPr>
          <w:rFonts w:ascii="Palatino Linotype" w:hAnsi="Palatino Linotype" w:cs="Calibri"/>
          <w:sz w:val="22"/>
          <w:lang w:val="en-GB"/>
        </w:rPr>
        <w:t>3</w:t>
      </w:r>
      <w:r w:rsidR="00E800BD" w:rsidRPr="00803973">
        <w:rPr>
          <w:rFonts w:ascii="Palatino Linotype" w:hAnsi="Palatino Linotype" w:cs="Calibri"/>
          <w:sz w:val="22"/>
          <w:lang w:val="en-GB"/>
        </w:rPr>
        <w:t xml:space="preserve"> and </w:t>
      </w:r>
      <w:r w:rsidR="00BB2C43" w:rsidRPr="00803973">
        <w:rPr>
          <w:rFonts w:ascii="Palatino Linotype" w:hAnsi="Palatino Linotype" w:cs="Calibri"/>
          <w:sz w:val="22"/>
          <w:lang w:val="en-GB"/>
        </w:rPr>
        <w:t>4</w:t>
      </w:r>
      <w:r w:rsidR="007E4E99" w:rsidRPr="00803973">
        <w:rPr>
          <w:rFonts w:ascii="Palatino Linotype" w:hAnsi="Palatino Linotype" w:cs="Calibri"/>
          <w:sz w:val="22"/>
          <w:lang w:val="en-GB"/>
        </w:rPr>
        <w:t xml:space="preserve"> </w:t>
      </w:r>
      <w:r w:rsidR="001F2197" w:rsidRPr="00803973">
        <w:rPr>
          <w:rFonts w:ascii="Palatino Linotype" w:hAnsi="Palatino Linotype" w:cs="Calibri"/>
          <w:sz w:val="22"/>
          <w:lang w:val="en-GB"/>
        </w:rPr>
        <w:t xml:space="preserve">point to </w:t>
      </w:r>
      <w:r w:rsidR="007E4E99" w:rsidRPr="00803973">
        <w:rPr>
          <w:rFonts w:ascii="Palatino Linotype" w:hAnsi="Palatino Linotype" w:cs="Calibri"/>
          <w:sz w:val="22"/>
          <w:lang w:val="en-GB"/>
        </w:rPr>
        <w:t xml:space="preserve">the </w:t>
      </w:r>
      <w:r w:rsidR="001F2197" w:rsidRPr="00803973">
        <w:rPr>
          <w:rFonts w:ascii="Palatino Linotype" w:hAnsi="Palatino Linotype" w:cs="Calibri"/>
          <w:sz w:val="22"/>
          <w:lang w:val="en-GB"/>
        </w:rPr>
        <w:t xml:space="preserve">lower </w:t>
      </w:r>
      <w:r w:rsidR="007E4E99" w:rsidRPr="00803973">
        <w:rPr>
          <w:rFonts w:ascii="Palatino Linotype" w:hAnsi="Palatino Linotype" w:cs="Calibri"/>
          <w:sz w:val="22"/>
          <w:lang w:val="en-GB"/>
        </w:rPr>
        <w:t>supply quantity</w:t>
      </w:r>
      <w:r w:rsidR="00F95578" w:rsidRPr="00803973">
        <w:rPr>
          <w:rFonts w:ascii="Palatino Linotype" w:hAnsi="Palatino Linotype" w:cs="Calibri"/>
          <w:sz w:val="22"/>
          <w:lang w:val="en-GB"/>
        </w:rPr>
        <w:t xml:space="preserve"> of high-rise</w:t>
      </w:r>
      <w:r w:rsidR="001F2197" w:rsidRPr="00803973">
        <w:rPr>
          <w:rFonts w:ascii="Palatino Linotype" w:hAnsi="Palatino Linotype" w:cs="Calibri"/>
          <w:sz w:val="22"/>
          <w:lang w:val="en-GB"/>
        </w:rPr>
        <w:t xml:space="preserve"> in centre compared with</w:t>
      </w:r>
      <w:r w:rsidR="005E3CF0" w:rsidRPr="00803973">
        <w:rPr>
          <w:rFonts w:ascii="Palatino Linotype" w:hAnsi="Palatino Linotype" w:cs="Calibri"/>
          <w:sz w:val="22"/>
          <w:lang w:val="en-GB"/>
        </w:rPr>
        <w:t xml:space="preserve"> </w:t>
      </w:r>
      <w:r w:rsidR="00F95578" w:rsidRPr="00803973">
        <w:rPr>
          <w:rFonts w:ascii="Palatino Linotype" w:hAnsi="Palatino Linotype" w:cs="Calibri"/>
          <w:sz w:val="22"/>
          <w:lang w:val="en-GB"/>
        </w:rPr>
        <w:t>those of high-rise and low-rise</w:t>
      </w:r>
      <w:r w:rsidR="007E4E99" w:rsidRPr="00803973">
        <w:rPr>
          <w:rFonts w:ascii="Palatino Linotype" w:hAnsi="Palatino Linotype" w:cs="Calibri"/>
          <w:sz w:val="22"/>
          <w:lang w:val="en-GB"/>
        </w:rPr>
        <w:t xml:space="preserve"> </w:t>
      </w:r>
      <w:r w:rsidR="00282804" w:rsidRPr="00803973">
        <w:rPr>
          <w:rFonts w:ascii="Palatino Linotype" w:hAnsi="Palatino Linotype" w:cs="Calibri"/>
          <w:sz w:val="22"/>
          <w:lang w:val="en-GB"/>
        </w:rPr>
        <w:t>in suburb</w:t>
      </w:r>
      <w:r w:rsidR="001F2197" w:rsidRPr="00803973">
        <w:rPr>
          <w:rFonts w:ascii="Palatino Linotype" w:hAnsi="Palatino Linotype" w:cs="Calibri"/>
          <w:sz w:val="22"/>
          <w:lang w:val="en-GB"/>
        </w:rPr>
        <w:t xml:space="preserve"> per project</w:t>
      </w:r>
      <w:r w:rsidR="00282804" w:rsidRPr="00803973">
        <w:rPr>
          <w:rFonts w:ascii="Palatino Linotype" w:hAnsi="Palatino Linotype" w:cs="Calibri"/>
          <w:sz w:val="22"/>
          <w:lang w:val="en-GB"/>
        </w:rPr>
        <w:t xml:space="preserve">, probably the </w:t>
      </w:r>
      <w:r w:rsidR="001F2197" w:rsidRPr="00803973">
        <w:rPr>
          <w:rFonts w:ascii="Palatino Linotype" w:hAnsi="Palatino Linotype" w:cs="Calibri"/>
          <w:sz w:val="22"/>
          <w:lang w:val="en-GB"/>
        </w:rPr>
        <w:t>consequence</w:t>
      </w:r>
      <w:r w:rsidR="00282804" w:rsidRPr="00803973">
        <w:rPr>
          <w:rFonts w:ascii="Palatino Linotype" w:hAnsi="Palatino Linotype" w:cs="Calibri"/>
          <w:sz w:val="22"/>
          <w:lang w:val="en-GB"/>
        </w:rPr>
        <w:t xml:space="preserve"> of </w:t>
      </w:r>
      <w:r w:rsidR="00F021D2" w:rsidRPr="00803973">
        <w:rPr>
          <w:rFonts w:ascii="Palatino Linotype" w:hAnsi="Palatino Linotype" w:cs="Calibri"/>
          <w:sz w:val="22"/>
          <w:lang w:val="en-GB"/>
        </w:rPr>
        <w:t xml:space="preserve">the </w:t>
      </w:r>
      <w:r w:rsidR="00F021D2" w:rsidRPr="00803973">
        <w:rPr>
          <w:rFonts w:ascii="Palatino Linotype" w:hAnsi="Palatino Linotype" w:cs="Calibri"/>
          <w:sz w:val="22"/>
          <w:lang w:val="en-GB"/>
        </w:rPr>
        <w:lastRenderedPageBreak/>
        <w:t xml:space="preserve">markedly </w:t>
      </w:r>
      <w:r w:rsidR="00282804" w:rsidRPr="00803973">
        <w:rPr>
          <w:rFonts w:ascii="Palatino Linotype" w:hAnsi="Palatino Linotype" w:cs="Calibri"/>
          <w:sz w:val="22"/>
          <w:lang w:val="en-GB"/>
        </w:rPr>
        <w:t>smaller allowed area</w:t>
      </w:r>
      <w:r w:rsidR="006F3E11" w:rsidRPr="00803973">
        <w:rPr>
          <w:rFonts w:ascii="Palatino Linotype" w:hAnsi="Palatino Linotype" w:cs="Calibri"/>
          <w:sz w:val="22"/>
          <w:lang w:val="en-GB"/>
        </w:rPr>
        <w:t xml:space="preserve"> (details provided in Appendix 1)</w:t>
      </w:r>
      <w:r w:rsidR="008E363A" w:rsidRPr="00803973">
        <w:rPr>
          <w:rFonts w:ascii="Palatino Linotype" w:hAnsi="Palatino Linotype" w:cs="Calibri"/>
          <w:sz w:val="22"/>
          <w:lang w:val="en-GB"/>
        </w:rPr>
        <w:t>:</w:t>
      </w:r>
    </w:p>
    <w:p w:rsidR="008E363A" w:rsidRPr="00803973" w:rsidRDefault="008E363A">
      <w:pPr>
        <w:spacing w:after="120" w:line="276" w:lineRule="auto"/>
        <w:ind w:firstLine="360"/>
        <w:jc w:val="left"/>
        <w:rPr>
          <w:rFonts w:ascii="Palatino Linotype" w:hAnsi="Palatino Linotype" w:cs="Calibri"/>
          <w:sz w:val="22"/>
        </w:rPr>
      </w:pPr>
      <w:r w:rsidRPr="00803973">
        <w:rPr>
          <w:rFonts w:ascii="Palatino Linotype" w:hAnsi="Palatino Linotype" w:cs="Calibri"/>
          <w:sz w:val="22"/>
          <w:lang w:val="en-GB"/>
        </w:rPr>
        <w:t xml:space="preserve">The allowed areas of high-rise in centre = 22951 </w:t>
      </w:r>
      <m:oMath>
        <m:r>
          <w:rPr>
            <w:rFonts w:ascii="Cambria Math" w:hAnsi="Cambria Math" w:cs="Calibri"/>
            <w:sz w:val="22"/>
          </w:rPr>
          <m:t>×</m:t>
        </m:r>
      </m:oMath>
      <w:r w:rsidRPr="00803973">
        <w:rPr>
          <w:rFonts w:ascii="Palatino Linotype" w:hAnsi="Palatino Linotype" w:cs="Calibri"/>
          <w:sz w:val="22"/>
        </w:rPr>
        <w:t xml:space="preserve"> 3.04 = </w:t>
      </w:r>
      <w:r w:rsidR="006F3E11" w:rsidRPr="00803973">
        <w:rPr>
          <w:rFonts w:ascii="Palatino Linotype" w:hAnsi="Palatino Linotype" w:cs="Calibri"/>
          <w:sz w:val="22"/>
          <w:lang w:val="en-GB"/>
        </w:rPr>
        <w:t>69771</w:t>
      </w:r>
      <w:r w:rsidR="00282804" w:rsidRPr="00803973">
        <w:rPr>
          <w:rFonts w:ascii="Palatino Linotype" w:hAnsi="Palatino Linotype" w:cs="Calibri"/>
          <w:sz w:val="22"/>
          <w:lang w:val="en-GB"/>
        </w:rPr>
        <w:t>m</w:t>
      </w:r>
      <w:r w:rsidR="00282804" w:rsidRPr="00803973">
        <w:rPr>
          <w:rFonts w:ascii="Palatino Linotype" w:hAnsi="Palatino Linotype" w:cs="Calibri"/>
          <w:sz w:val="22"/>
          <w:vertAlign w:val="superscript"/>
          <w:lang w:val="en-GB"/>
        </w:rPr>
        <w:t>2</w:t>
      </w:r>
      <w:r w:rsidRPr="00803973">
        <w:rPr>
          <w:rFonts w:ascii="Palatino Linotype" w:hAnsi="Palatino Linotype" w:cs="Calibri"/>
          <w:sz w:val="22"/>
          <w:lang w:val="en-GB"/>
        </w:rPr>
        <w:t xml:space="preserve"> </w:t>
      </w:r>
    </w:p>
    <w:p w:rsidR="006F3E11" w:rsidRPr="00803973" w:rsidRDefault="006F3E11" w:rsidP="006F3E11">
      <w:pPr>
        <w:spacing w:after="120" w:line="276" w:lineRule="auto"/>
        <w:ind w:firstLine="360"/>
        <w:jc w:val="left"/>
        <w:rPr>
          <w:rFonts w:ascii="Palatino Linotype" w:hAnsi="Palatino Linotype" w:cs="Calibri"/>
          <w:sz w:val="22"/>
          <w:lang w:val="en-GB"/>
        </w:rPr>
      </w:pPr>
      <w:r w:rsidRPr="00803973">
        <w:rPr>
          <w:rFonts w:ascii="Palatino Linotype" w:hAnsi="Palatino Linotype" w:cs="Calibri"/>
          <w:sz w:val="22"/>
          <w:lang w:val="en-GB"/>
        </w:rPr>
        <w:t>The allowed areas of high-rise in suburb = 45</w:t>
      </w:r>
      <w:r w:rsidR="00115F4C" w:rsidRPr="00803973">
        <w:rPr>
          <w:rFonts w:ascii="Palatino Linotype" w:hAnsi="Palatino Linotype" w:cs="Calibri"/>
          <w:sz w:val="22"/>
          <w:lang w:val="en-GB"/>
        </w:rPr>
        <w:t>586</w:t>
      </w:r>
      <w:r w:rsidRPr="00803973">
        <w:rPr>
          <w:rFonts w:ascii="Palatino Linotype" w:hAnsi="Palatino Linotype" w:cs="Calibri"/>
          <w:sz w:val="22"/>
          <w:lang w:val="en-GB"/>
        </w:rPr>
        <w:t xml:space="preserve"> </w:t>
      </w:r>
      <m:oMath>
        <m:r>
          <w:rPr>
            <w:rFonts w:ascii="Cambria Math" w:hAnsi="Cambria Math" w:cs="Calibri"/>
            <w:sz w:val="22"/>
          </w:rPr>
          <m:t>×</m:t>
        </m:r>
      </m:oMath>
      <w:r w:rsidRPr="00803973">
        <w:rPr>
          <w:rFonts w:ascii="Palatino Linotype" w:hAnsi="Palatino Linotype" w:cs="Calibri"/>
          <w:sz w:val="22"/>
        </w:rPr>
        <w:t xml:space="preserve"> 2.02 = </w:t>
      </w:r>
      <w:r w:rsidRPr="00803973">
        <w:rPr>
          <w:rFonts w:ascii="Palatino Linotype" w:hAnsi="Palatino Linotype" w:cs="Calibri"/>
          <w:sz w:val="22"/>
          <w:lang w:val="en-GB"/>
        </w:rPr>
        <w:t>9</w:t>
      </w:r>
      <w:r w:rsidR="00115F4C" w:rsidRPr="00803973">
        <w:rPr>
          <w:rFonts w:ascii="Palatino Linotype" w:hAnsi="Palatino Linotype" w:cs="Calibri"/>
          <w:sz w:val="22"/>
          <w:lang w:val="en-GB"/>
        </w:rPr>
        <w:t>2084</w:t>
      </w:r>
      <w:r w:rsidRPr="00803973">
        <w:rPr>
          <w:rFonts w:ascii="Palatino Linotype" w:hAnsi="Palatino Linotype" w:cs="Calibri"/>
          <w:sz w:val="22"/>
          <w:lang w:val="en-GB"/>
        </w:rPr>
        <w:t>m</w:t>
      </w:r>
      <w:r w:rsidRPr="00803973">
        <w:rPr>
          <w:rFonts w:ascii="Palatino Linotype" w:hAnsi="Palatino Linotype" w:cs="Calibri"/>
          <w:sz w:val="22"/>
          <w:vertAlign w:val="superscript"/>
          <w:lang w:val="en-GB"/>
        </w:rPr>
        <w:t>2</w:t>
      </w:r>
      <w:r w:rsidRPr="00803973">
        <w:rPr>
          <w:rFonts w:ascii="Palatino Linotype" w:hAnsi="Palatino Linotype" w:cs="Calibri"/>
          <w:sz w:val="22"/>
          <w:lang w:val="en-GB"/>
        </w:rPr>
        <w:t xml:space="preserve"> </w:t>
      </w:r>
    </w:p>
    <w:p w:rsidR="00F021D2" w:rsidRPr="00803973" w:rsidRDefault="00F021D2" w:rsidP="006F3E11">
      <w:pPr>
        <w:spacing w:after="120" w:line="276" w:lineRule="auto"/>
        <w:ind w:firstLine="360"/>
        <w:jc w:val="left"/>
        <w:rPr>
          <w:rFonts w:ascii="Palatino Linotype" w:hAnsi="Palatino Linotype" w:cs="Calibri"/>
          <w:sz w:val="22"/>
          <w:lang w:val="en-GB"/>
        </w:rPr>
      </w:pPr>
      <w:r w:rsidRPr="00803973">
        <w:rPr>
          <w:rFonts w:ascii="Palatino Linotype" w:hAnsi="Palatino Linotype" w:cs="Calibri"/>
          <w:sz w:val="22"/>
          <w:lang w:val="en-GB"/>
        </w:rPr>
        <w:t xml:space="preserve">                                                                                                     = 1.32</w:t>
      </w:r>
      <m:oMath>
        <m:r>
          <w:rPr>
            <w:rFonts w:ascii="Cambria Math" w:hAnsi="Cambria Math" w:cs="Calibri"/>
            <w:sz w:val="22"/>
            <w:lang w:val="en-GB"/>
          </w:rPr>
          <m:t xml:space="preserve"> </m:t>
        </m:r>
        <m:r>
          <w:rPr>
            <w:rFonts w:ascii="Cambria Math" w:hAnsi="Cambria Math" w:cs="Calibri"/>
            <w:sz w:val="22"/>
          </w:rPr>
          <m:t>×</m:t>
        </m:r>
      </m:oMath>
      <w:r w:rsidRPr="00803973">
        <w:rPr>
          <w:rFonts w:ascii="Palatino Linotype" w:hAnsi="Palatino Linotype" w:cs="Calibri"/>
          <w:sz w:val="22"/>
          <w:lang w:val="en-GB"/>
        </w:rPr>
        <w:t xml:space="preserve"> 69771m</w:t>
      </w:r>
      <w:r w:rsidRPr="00803973">
        <w:rPr>
          <w:rFonts w:ascii="Palatino Linotype" w:hAnsi="Palatino Linotype" w:cs="Calibri"/>
          <w:sz w:val="22"/>
          <w:vertAlign w:val="superscript"/>
          <w:lang w:val="en-GB"/>
        </w:rPr>
        <w:t>2</w:t>
      </w:r>
    </w:p>
    <w:p w:rsidR="006F3E11" w:rsidRPr="00803973" w:rsidRDefault="006F3E11" w:rsidP="006F3E11">
      <w:pPr>
        <w:spacing w:after="120" w:line="276" w:lineRule="auto"/>
        <w:ind w:firstLine="360"/>
        <w:jc w:val="left"/>
        <w:rPr>
          <w:rFonts w:ascii="Palatino Linotype" w:hAnsi="Palatino Linotype" w:cs="Calibri"/>
          <w:sz w:val="22"/>
          <w:lang w:val="en-GB"/>
        </w:rPr>
      </w:pPr>
      <w:r w:rsidRPr="00803973">
        <w:rPr>
          <w:rFonts w:ascii="Palatino Linotype" w:hAnsi="Palatino Linotype" w:cs="Calibri"/>
          <w:sz w:val="22"/>
          <w:lang w:val="en-GB"/>
        </w:rPr>
        <w:t>The allowed areas of high-rise in suburb = 69</w:t>
      </w:r>
      <w:r w:rsidR="00115F4C" w:rsidRPr="00803973">
        <w:rPr>
          <w:rFonts w:ascii="Palatino Linotype" w:hAnsi="Palatino Linotype" w:cs="Calibri"/>
          <w:sz w:val="22"/>
          <w:lang w:val="en-GB"/>
        </w:rPr>
        <w:t>844</w:t>
      </w:r>
      <w:r w:rsidRPr="00803973">
        <w:rPr>
          <w:rFonts w:ascii="Palatino Linotype" w:hAnsi="Palatino Linotype" w:cs="Calibri"/>
          <w:sz w:val="22"/>
          <w:lang w:val="en-GB"/>
        </w:rPr>
        <w:t xml:space="preserve"> </w:t>
      </w:r>
      <m:oMath>
        <m:r>
          <w:rPr>
            <w:rFonts w:ascii="Cambria Math" w:hAnsi="Cambria Math" w:cs="Calibri"/>
            <w:sz w:val="22"/>
          </w:rPr>
          <m:t>×</m:t>
        </m:r>
      </m:oMath>
      <w:r w:rsidRPr="00803973">
        <w:rPr>
          <w:rFonts w:ascii="Palatino Linotype" w:hAnsi="Palatino Linotype" w:cs="Calibri"/>
          <w:sz w:val="22"/>
        </w:rPr>
        <w:t xml:space="preserve"> 1.24 = </w:t>
      </w:r>
      <w:r w:rsidRPr="00803973">
        <w:rPr>
          <w:rFonts w:ascii="Palatino Linotype" w:hAnsi="Palatino Linotype" w:cs="Calibri"/>
          <w:sz w:val="22"/>
          <w:lang w:val="en-GB"/>
        </w:rPr>
        <w:t>8</w:t>
      </w:r>
      <w:r w:rsidR="00115F4C" w:rsidRPr="00803973">
        <w:rPr>
          <w:rFonts w:ascii="Palatino Linotype" w:hAnsi="Palatino Linotype" w:cs="Calibri"/>
          <w:sz w:val="22"/>
          <w:lang w:val="en-GB"/>
        </w:rPr>
        <w:t>660</w:t>
      </w:r>
      <w:r w:rsidRPr="00803973">
        <w:rPr>
          <w:rFonts w:ascii="Palatino Linotype" w:hAnsi="Palatino Linotype" w:cs="Calibri"/>
          <w:sz w:val="22"/>
          <w:lang w:val="en-GB"/>
        </w:rPr>
        <w:t>7m</w:t>
      </w:r>
      <w:r w:rsidRPr="00803973">
        <w:rPr>
          <w:rFonts w:ascii="Palatino Linotype" w:hAnsi="Palatino Linotype" w:cs="Calibri"/>
          <w:sz w:val="22"/>
          <w:vertAlign w:val="superscript"/>
          <w:lang w:val="en-GB"/>
        </w:rPr>
        <w:t>2</w:t>
      </w:r>
      <w:r w:rsidRPr="00803973">
        <w:rPr>
          <w:rFonts w:ascii="Palatino Linotype" w:hAnsi="Palatino Linotype" w:cs="Calibri"/>
          <w:sz w:val="22"/>
          <w:lang w:val="en-GB"/>
        </w:rPr>
        <w:t xml:space="preserve"> </w:t>
      </w:r>
    </w:p>
    <w:p w:rsidR="00F021D2" w:rsidRPr="00803973" w:rsidRDefault="00F021D2" w:rsidP="006F3E11">
      <w:pPr>
        <w:spacing w:after="120" w:line="276" w:lineRule="auto"/>
        <w:ind w:firstLine="360"/>
        <w:jc w:val="left"/>
        <w:rPr>
          <w:rFonts w:ascii="Palatino Linotype" w:hAnsi="Palatino Linotype" w:cs="Calibri"/>
          <w:sz w:val="22"/>
          <w:lang w:val="en-GB"/>
        </w:rPr>
      </w:pPr>
      <w:r w:rsidRPr="00803973">
        <w:rPr>
          <w:rFonts w:ascii="Palatino Linotype" w:hAnsi="Palatino Linotype" w:cs="Calibri"/>
          <w:sz w:val="22"/>
          <w:lang w:val="en-GB"/>
        </w:rPr>
        <w:t xml:space="preserve">                                                                                                     = 1.2</w:t>
      </w:r>
      <w:r w:rsidR="00115F4C" w:rsidRPr="00803973">
        <w:rPr>
          <w:rFonts w:ascii="Palatino Linotype" w:hAnsi="Palatino Linotype" w:cs="Calibri"/>
          <w:sz w:val="22"/>
          <w:lang w:val="en-GB"/>
        </w:rPr>
        <w:t>4</w:t>
      </w:r>
      <w:r w:rsidRPr="00803973">
        <w:rPr>
          <w:rFonts w:ascii="Palatino Linotype" w:hAnsi="Palatino Linotype" w:cs="Calibri"/>
          <w:sz w:val="22"/>
          <w:lang w:val="en-GB"/>
        </w:rPr>
        <w:t xml:space="preserve"> </w:t>
      </w:r>
      <m:oMath>
        <m:r>
          <w:rPr>
            <w:rFonts w:ascii="Cambria Math" w:hAnsi="Cambria Math" w:cs="Calibri"/>
            <w:sz w:val="22"/>
          </w:rPr>
          <m:t>×</m:t>
        </m:r>
      </m:oMath>
      <w:r w:rsidRPr="00803973">
        <w:rPr>
          <w:rFonts w:ascii="Palatino Linotype" w:hAnsi="Palatino Linotype" w:cs="Calibri"/>
          <w:sz w:val="22"/>
          <w:lang w:val="en-GB"/>
        </w:rPr>
        <w:t xml:space="preserve"> 69771m</w:t>
      </w:r>
      <w:r w:rsidRPr="00803973">
        <w:rPr>
          <w:rFonts w:ascii="Palatino Linotype" w:hAnsi="Palatino Linotype" w:cs="Calibri"/>
          <w:sz w:val="22"/>
          <w:vertAlign w:val="superscript"/>
          <w:lang w:val="en-GB"/>
        </w:rPr>
        <w:t>2</w:t>
      </w:r>
    </w:p>
    <w:p w:rsidR="00530F53" w:rsidRPr="00803973" w:rsidRDefault="00F95578">
      <w:pPr>
        <w:spacing w:after="120" w:line="276" w:lineRule="auto"/>
        <w:ind w:firstLine="360"/>
        <w:jc w:val="left"/>
        <w:rPr>
          <w:rFonts w:ascii="Palatino Linotype" w:hAnsi="Palatino Linotype" w:cs="Calibri"/>
          <w:sz w:val="22"/>
          <w:lang w:val="en-GB"/>
        </w:rPr>
      </w:pPr>
      <w:r w:rsidRPr="00803973">
        <w:rPr>
          <w:rFonts w:ascii="Palatino Linotype" w:hAnsi="Palatino Linotype" w:cs="Calibri"/>
          <w:sz w:val="22"/>
          <w:lang w:val="en-GB"/>
        </w:rPr>
        <w:t xml:space="preserve">The supply time of high-rise in </w:t>
      </w:r>
      <w:r w:rsidR="0071251B" w:rsidRPr="00803973">
        <w:rPr>
          <w:rFonts w:ascii="Palatino Linotype" w:hAnsi="Palatino Linotype" w:cs="Calibri"/>
          <w:sz w:val="22"/>
          <w:lang w:val="en-GB"/>
        </w:rPr>
        <w:t xml:space="preserve">the </w:t>
      </w:r>
      <w:r w:rsidRPr="00803973">
        <w:rPr>
          <w:rFonts w:ascii="Palatino Linotype" w:hAnsi="Palatino Linotype" w:cs="Calibri"/>
          <w:sz w:val="22"/>
          <w:lang w:val="en-GB"/>
        </w:rPr>
        <w:t xml:space="preserve">centre is longer than those of </w:t>
      </w:r>
      <w:r w:rsidR="0071251B" w:rsidRPr="00803973">
        <w:rPr>
          <w:rFonts w:ascii="Palatino Linotype" w:hAnsi="Palatino Linotype" w:cs="Calibri"/>
          <w:sz w:val="22"/>
          <w:lang w:val="en-GB"/>
        </w:rPr>
        <w:t xml:space="preserve">suburban </w:t>
      </w:r>
      <w:r w:rsidRPr="00803973">
        <w:rPr>
          <w:rFonts w:ascii="Palatino Linotype" w:hAnsi="Palatino Linotype" w:cs="Calibri"/>
          <w:sz w:val="22"/>
          <w:lang w:val="en-GB"/>
        </w:rPr>
        <w:t xml:space="preserve">high-rise </w:t>
      </w:r>
      <w:r w:rsidR="0071251B" w:rsidRPr="00803973">
        <w:rPr>
          <w:rFonts w:ascii="Palatino Linotype" w:hAnsi="Palatino Linotype" w:cs="Calibri"/>
          <w:sz w:val="22"/>
          <w:lang w:val="en-GB"/>
        </w:rPr>
        <w:t xml:space="preserve">and low-rise </w:t>
      </w:r>
      <w:r w:rsidR="003A4745" w:rsidRPr="00803973">
        <w:rPr>
          <w:rFonts w:ascii="Palatino Linotype" w:hAnsi="Palatino Linotype" w:cs="Calibri"/>
          <w:sz w:val="22"/>
          <w:lang w:val="en-GB"/>
        </w:rPr>
        <w:t>and i</w:t>
      </w:r>
      <w:r w:rsidR="0013487A" w:rsidRPr="00803973">
        <w:rPr>
          <w:rFonts w:ascii="Palatino Linotype" w:hAnsi="Palatino Linotype" w:cs="Calibri"/>
          <w:sz w:val="22"/>
          <w:lang w:val="en-GB"/>
        </w:rPr>
        <w:t xml:space="preserve">t comes to </w:t>
      </w:r>
      <w:r w:rsidRPr="00803973">
        <w:rPr>
          <w:rFonts w:ascii="Palatino Linotype" w:hAnsi="Palatino Linotype" w:cs="Calibri"/>
          <w:sz w:val="22"/>
          <w:lang w:val="en-GB"/>
        </w:rPr>
        <w:t xml:space="preserve">the same </w:t>
      </w:r>
      <w:r w:rsidR="0013487A" w:rsidRPr="00803973">
        <w:rPr>
          <w:rFonts w:ascii="Palatino Linotype" w:hAnsi="Palatino Linotype" w:cs="Calibri"/>
          <w:sz w:val="22"/>
          <w:lang w:val="en-GB"/>
        </w:rPr>
        <w:t>conclusion when we use</w:t>
      </w:r>
      <w:r w:rsidRPr="00803973">
        <w:rPr>
          <w:rFonts w:ascii="Palatino Linotype" w:hAnsi="Palatino Linotype" w:cs="Calibri"/>
          <w:sz w:val="22"/>
          <w:lang w:val="en-GB"/>
        </w:rPr>
        <w:t xml:space="preserve"> “first period”. </w:t>
      </w:r>
      <w:r w:rsidR="008B4694" w:rsidRPr="00803973">
        <w:rPr>
          <w:rFonts w:ascii="Palatino Linotype" w:hAnsi="Palatino Linotype" w:cs="Calibri"/>
          <w:sz w:val="22"/>
          <w:lang w:val="en-GB"/>
        </w:rPr>
        <w:t>The explanations may lie with urban resettlement</w:t>
      </w:r>
      <w:r w:rsidR="00A705F1" w:rsidRPr="00803973">
        <w:rPr>
          <w:rFonts w:ascii="Palatino Linotype" w:hAnsi="Palatino Linotype" w:cs="Calibri"/>
          <w:sz w:val="22"/>
          <w:lang w:val="en-GB"/>
        </w:rPr>
        <w:t xml:space="preserve"> which has been discussed above. </w:t>
      </w:r>
      <w:r w:rsidR="003B4394" w:rsidRPr="00803973">
        <w:rPr>
          <w:rFonts w:ascii="Palatino Linotype" w:hAnsi="Palatino Linotype" w:cs="Calibri"/>
          <w:sz w:val="22"/>
          <w:lang w:val="en-GB"/>
        </w:rPr>
        <w:t>Additionally,</w:t>
      </w:r>
      <w:r w:rsidR="00A705F1" w:rsidRPr="00803973">
        <w:rPr>
          <w:rFonts w:ascii="Palatino Linotype" w:hAnsi="Palatino Linotype" w:cs="Calibri"/>
          <w:sz w:val="22"/>
          <w:lang w:val="en-GB"/>
        </w:rPr>
        <w:t xml:space="preserve"> </w:t>
      </w:r>
      <w:r w:rsidR="0018230C" w:rsidRPr="00803973">
        <w:rPr>
          <w:rFonts w:ascii="Palatino Linotype" w:hAnsi="Palatino Linotype" w:cs="Calibri"/>
          <w:sz w:val="22"/>
          <w:lang w:val="en-GB"/>
        </w:rPr>
        <w:t xml:space="preserve">the </w:t>
      </w:r>
      <w:r w:rsidR="009E0456" w:rsidRPr="00803973">
        <w:rPr>
          <w:rFonts w:ascii="Palatino Linotype" w:hAnsi="Palatino Linotype" w:cs="Calibri"/>
          <w:sz w:val="22"/>
          <w:lang w:val="en-GB"/>
        </w:rPr>
        <w:t xml:space="preserve">complexity </w:t>
      </w:r>
      <w:r w:rsidR="00082C47" w:rsidRPr="00803973">
        <w:rPr>
          <w:rFonts w:ascii="Palatino Linotype" w:hAnsi="Palatino Linotype" w:cs="Calibri"/>
          <w:sz w:val="22"/>
          <w:lang w:val="en-GB"/>
        </w:rPr>
        <w:t>in relation to</w:t>
      </w:r>
      <w:r w:rsidR="009E0456" w:rsidRPr="00803973">
        <w:rPr>
          <w:rFonts w:ascii="Palatino Linotype" w:hAnsi="Palatino Linotype" w:cs="Calibri"/>
          <w:sz w:val="22"/>
          <w:lang w:val="en-GB"/>
        </w:rPr>
        <w:t xml:space="preserve"> construction procurement,</w:t>
      </w:r>
      <w:r w:rsidR="008B4694" w:rsidRPr="00803973">
        <w:rPr>
          <w:rFonts w:ascii="Palatino Linotype" w:hAnsi="Palatino Linotype" w:cs="Calibri"/>
          <w:sz w:val="22"/>
          <w:lang w:val="en-GB"/>
        </w:rPr>
        <w:t xml:space="preserve"> building structure </w:t>
      </w:r>
      <w:r w:rsidR="00E97B59" w:rsidRPr="00803973">
        <w:rPr>
          <w:rFonts w:ascii="Palatino Linotype" w:hAnsi="Palatino Linotype" w:cs="Calibri"/>
          <w:sz w:val="22"/>
          <w:lang w:val="en-GB"/>
        </w:rPr>
        <w:t xml:space="preserve">and site management </w:t>
      </w:r>
      <w:r w:rsidR="0018230C" w:rsidRPr="00803973">
        <w:rPr>
          <w:rFonts w:ascii="Palatino Linotype" w:hAnsi="Palatino Linotype" w:cs="Calibri"/>
          <w:sz w:val="22"/>
          <w:lang w:val="en-GB"/>
        </w:rPr>
        <w:t xml:space="preserve">for high-rise projects </w:t>
      </w:r>
      <w:r w:rsidR="00971FC7" w:rsidRPr="00803973">
        <w:rPr>
          <w:rFonts w:ascii="Palatino Linotype" w:hAnsi="Palatino Linotype" w:cs="Calibri"/>
          <w:sz w:val="22"/>
          <w:lang w:val="en-GB"/>
        </w:rPr>
        <w:t xml:space="preserve">in centre </w:t>
      </w:r>
      <w:r w:rsidR="008B4694" w:rsidRPr="00803973">
        <w:rPr>
          <w:rFonts w:ascii="Palatino Linotype" w:hAnsi="Palatino Linotype" w:cs="Calibri"/>
          <w:sz w:val="22"/>
          <w:lang w:val="en-GB"/>
        </w:rPr>
        <w:t xml:space="preserve">may </w:t>
      </w:r>
      <w:r w:rsidR="00E97B59" w:rsidRPr="00803973">
        <w:rPr>
          <w:rFonts w:ascii="Palatino Linotype" w:hAnsi="Palatino Linotype" w:cs="Calibri"/>
          <w:sz w:val="22"/>
          <w:lang w:val="en-GB"/>
        </w:rPr>
        <w:t xml:space="preserve">also </w:t>
      </w:r>
      <w:r w:rsidR="0018230C" w:rsidRPr="00803973">
        <w:rPr>
          <w:rFonts w:ascii="Palatino Linotype" w:hAnsi="Palatino Linotype" w:cs="Calibri"/>
          <w:sz w:val="22"/>
          <w:lang w:val="en-GB"/>
        </w:rPr>
        <w:t>contribute t</w:t>
      </w:r>
      <w:r w:rsidR="00971FC7" w:rsidRPr="00803973">
        <w:rPr>
          <w:rFonts w:ascii="Palatino Linotype" w:hAnsi="Palatino Linotype" w:cs="Calibri"/>
          <w:sz w:val="22"/>
          <w:lang w:val="en-GB"/>
        </w:rPr>
        <w:t xml:space="preserve">o </w:t>
      </w:r>
      <w:r w:rsidR="003B4394" w:rsidRPr="00803973">
        <w:rPr>
          <w:rFonts w:ascii="Palatino Linotype" w:hAnsi="Palatino Linotype" w:cs="Calibri"/>
          <w:sz w:val="22"/>
          <w:lang w:val="en-GB"/>
        </w:rPr>
        <w:t xml:space="preserve">a </w:t>
      </w:r>
      <w:r w:rsidR="00971FC7" w:rsidRPr="00803973">
        <w:rPr>
          <w:rFonts w:ascii="Palatino Linotype" w:hAnsi="Palatino Linotype" w:cs="Calibri"/>
          <w:sz w:val="22"/>
          <w:lang w:val="en-GB"/>
        </w:rPr>
        <w:t>longer supply time</w:t>
      </w:r>
      <w:r w:rsidR="00532D1A" w:rsidRPr="00803973">
        <w:rPr>
          <w:rFonts w:ascii="Palatino Linotype" w:hAnsi="Palatino Linotype" w:cs="Calibri"/>
          <w:sz w:val="22"/>
          <w:lang w:val="en-GB"/>
        </w:rPr>
        <w:t xml:space="preserve">. </w:t>
      </w:r>
    </w:p>
    <w:p w:rsidR="0014748A" w:rsidRPr="00803973" w:rsidRDefault="009D3535">
      <w:pPr>
        <w:spacing w:after="120" w:line="276" w:lineRule="auto"/>
        <w:ind w:firstLine="360"/>
        <w:jc w:val="left"/>
        <w:rPr>
          <w:rFonts w:ascii="Palatino Linotype" w:hAnsi="Palatino Linotype" w:cs="Calibri"/>
          <w:sz w:val="22"/>
          <w:lang w:val="en-GB"/>
        </w:rPr>
      </w:pPr>
      <w:r w:rsidRPr="00803973">
        <w:rPr>
          <w:rFonts w:ascii="Palatino Linotype" w:hAnsi="Palatino Linotype" w:cs="Calibri"/>
          <w:sz w:val="22"/>
          <w:lang w:val="en-GB"/>
        </w:rPr>
        <w:t>Next</w:t>
      </w:r>
      <w:r w:rsidR="00AC10C8" w:rsidRPr="00803973">
        <w:rPr>
          <w:rFonts w:ascii="Palatino Linotype" w:hAnsi="Palatino Linotype" w:cs="Calibri"/>
          <w:sz w:val="22"/>
          <w:lang w:val="en-GB"/>
        </w:rPr>
        <w:t xml:space="preserve">, we compare </w:t>
      </w:r>
      <w:r w:rsidR="0071251B" w:rsidRPr="00803973">
        <w:rPr>
          <w:rFonts w:ascii="Palatino Linotype" w:hAnsi="Palatino Linotype" w:cs="Calibri"/>
          <w:sz w:val="22"/>
          <w:lang w:val="en-GB"/>
        </w:rPr>
        <w:t xml:space="preserve">suburban low-rise </w:t>
      </w:r>
      <w:r w:rsidR="00AC10C8" w:rsidRPr="00803973">
        <w:rPr>
          <w:rFonts w:ascii="Palatino Linotype" w:hAnsi="Palatino Linotype" w:cs="Calibri"/>
          <w:sz w:val="22"/>
          <w:lang w:val="en-GB"/>
        </w:rPr>
        <w:t xml:space="preserve">with </w:t>
      </w:r>
      <w:r w:rsidR="0071251B" w:rsidRPr="00803973">
        <w:rPr>
          <w:rFonts w:ascii="Palatino Linotype" w:hAnsi="Palatino Linotype" w:cs="Calibri"/>
          <w:sz w:val="22"/>
          <w:lang w:val="en-GB"/>
        </w:rPr>
        <w:t>suburban high-rise</w:t>
      </w:r>
      <w:r w:rsidR="00AC10C8" w:rsidRPr="00803973">
        <w:rPr>
          <w:rFonts w:ascii="Palatino Linotype" w:hAnsi="Palatino Linotype" w:cs="Calibri"/>
          <w:sz w:val="22"/>
          <w:lang w:val="en-GB"/>
        </w:rPr>
        <w:t xml:space="preserve">. </w:t>
      </w:r>
      <w:r w:rsidR="0064169D" w:rsidRPr="00803973">
        <w:rPr>
          <w:rFonts w:ascii="Palatino Linotype" w:eastAsia="Calibri" w:hAnsi="Palatino Linotype" w:cs="Calibri"/>
          <w:sz w:val="22"/>
          <w:lang w:val="en-GB"/>
        </w:rPr>
        <w:t xml:space="preserve">The mean supply quantity of </w:t>
      </w:r>
      <w:r w:rsidR="0064169D" w:rsidRPr="00803973">
        <w:rPr>
          <w:rFonts w:ascii="Palatino Linotype" w:hAnsi="Palatino Linotype" w:cs="Calibri"/>
          <w:sz w:val="22"/>
          <w:lang w:val="en-GB"/>
        </w:rPr>
        <w:t xml:space="preserve">low-rise in suburb is </w:t>
      </w:r>
      <w:r w:rsidR="008E363A" w:rsidRPr="00803973">
        <w:rPr>
          <w:rFonts w:ascii="Palatino Linotype" w:hAnsi="Palatino Linotype" w:cs="Calibri"/>
          <w:sz w:val="22"/>
          <w:lang w:val="en-GB"/>
        </w:rPr>
        <w:t xml:space="preserve">2.6% </w:t>
      </w:r>
      <w:r w:rsidR="0064169D" w:rsidRPr="00803973">
        <w:rPr>
          <w:rFonts w:ascii="Palatino Linotype" w:hAnsi="Palatino Linotype" w:cs="Calibri"/>
          <w:sz w:val="22"/>
          <w:lang w:val="en-GB"/>
        </w:rPr>
        <w:t xml:space="preserve">higher than that of high-rise in suburb. </w:t>
      </w:r>
      <w:r w:rsidR="003534C4" w:rsidRPr="00803973">
        <w:rPr>
          <w:rFonts w:ascii="Palatino Linotype" w:hAnsi="Palatino Linotype" w:cs="Calibri"/>
          <w:sz w:val="22"/>
          <w:lang w:val="en-GB"/>
        </w:rPr>
        <w:t>As we explained above, the allowed area is the maximum floor space the developer is allowed by planning auth</w:t>
      </w:r>
      <w:r w:rsidR="00137C9E" w:rsidRPr="00803973">
        <w:rPr>
          <w:rFonts w:ascii="Palatino Linotype" w:hAnsi="Palatino Linotype" w:cs="Calibri"/>
          <w:sz w:val="22"/>
          <w:lang w:val="en-GB"/>
        </w:rPr>
        <w:t>ority t</w:t>
      </w:r>
      <w:r w:rsidR="0071251B" w:rsidRPr="00803973">
        <w:rPr>
          <w:rFonts w:ascii="Palatino Linotype" w:hAnsi="Palatino Linotype" w:cs="Calibri"/>
          <w:sz w:val="22"/>
          <w:lang w:val="en-GB"/>
        </w:rPr>
        <w:t>o construct for sale purpose</w:t>
      </w:r>
      <w:r w:rsidR="001F2197" w:rsidRPr="00803973">
        <w:rPr>
          <w:rFonts w:ascii="Palatino Linotype" w:hAnsi="Palatino Linotype" w:cs="Calibri"/>
          <w:sz w:val="22"/>
          <w:lang w:val="en-GB"/>
        </w:rPr>
        <w:t>. I</w:t>
      </w:r>
      <w:r w:rsidR="00137C9E" w:rsidRPr="00803973">
        <w:rPr>
          <w:rFonts w:ascii="Palatino Linotype" w:hAnsi="Palatino Linotype" w:cs="Calibri"/>
          <w:sz w:val="22"/>
          <w:lang w:val="en-GB"/>
        </w:rPr>
        <w:t xml:space="preserve">t </w:t>
      </w:r>
      <w:r w:rsidR="001F2197" w:rsidRPr="00803973">
        <w:rPr>
          <w:rFonts w:ascii="Palatino Linotype" w:hAnsi="Palatino Linotype" w:cs="Calibri"/>
          <w:sz w:val="22"/>
          <w:lang w:val="en-GB"/>
        </w:rPr>
        <w:t xml:space="preserve">therefore </w:t>
      </w:r>
      <w:r w:rsidR="003534C4" w:rsidRPr="00803973">
        <w:rPr>
          <w:rFonts w:ascii="Palatino Linotype" w:hAnsi="Palatino Linotype" w:cs="Calibri"/>
          <w:sz w:val="22"/>
          <w:lang w:val="en-GB"/>
        </w:rPr>
        <w:t>determin</w:t>
      </w:r>
      <w:r w:rsidR="0071251B" w:rsidRPr="00803973">
        <w:rPr>
          <w:rFonts w:ascii="Palatino Linotype" w:hAnsi="Palatino Linotype" w:cs="Calibri"/>
          <w:sz w:val="22"/>
          <w:lang w:val="en-GB"/>
        </w:rPr>
        <w:t>es the maximum supply quantity. However,</w:t>
      </w:r>
      <w:r w:rsidR="009568D5" w:rsidRPr="00803973">
        <w:rPr>
          <w:rFonts w:ascii="Palatino Linotype" w:hAnsi="Palatino Linotype" w:cs="Calibri"/>
          <w:sz w:val="22"/>
          <w:lang w:val="en-GB"/>
        </w:rPr>
        <w:t xml:space="preserve"> the allowed area of low-rise in suburb is 8</w:t>
      </w:r>
      <w:r w:rsidR="00A661C0" w:rsidRPr="00803973">
        <w:rPr>
          <w:rFonts w:ascii="Palatino Linotype" w:hAnsi="Palatino Linotype" w:cs="Calibri"/>
          <w:sz w:val="22"/>
          <w:lang w:val="en-GB"/>
        </w:rPr>
        <w:t>660</w:t>
      </w:r>
      <w:r w:rsidR="009568D5" w:rsidRPr="00803973">
        <w:rPr>
          <w:rFonts w:ascii="Palatino Linotype" w:hAnsi="Palatino Linotype" w:cs="Calibri"/>
          <w:sz w:val="22"/>
          <w:lang w:val="en-GB"/>
        </w:rPr>
        <w:t>7m</w:t>
      </w:r>
      <w:r w:rsidR="009568D5" w:rsidRPr="00803973">
        <w:rPr>
          <w:rFonts w:ascii="Palatino Linotype" w:hAnsi="Palatino Linotype" w:cs="Calibri"/>
          <w:sz w:val="22"/>
          <w:vertAlign w:val="superscript"/>
          <w:lang w:val="en-GB"/>
        </w:rPr>
        <w:t>2</w:t>
      </w:r>
      <w:r w:rsidR="009568D5" w:rsidRPr="00803973">
        <w:rPr>
          <w:rFonts w:ascii="Palatino Linotype" w:hAnsi="Palatino Linotype" w:cs="Calibri"/>
          <w:sz w:val="22"/>
          <w:lang w:val="en-GB"/>
        </w:rPr>
        <w:t xml:space="preserve">, </w:t>
      </w:r>
      <w:r w:rsidR="0071251B" w:rsidRPr="00803973">
        <w:rPr>
          <w:rFonts w:ascii="Palatino Linotype" w:hAnsi="Palatino Linotype" w:cs="Calibri"/>
          <w:sz w:val="22"/>
          <w:lang w:val="en-GB"/>
        </w:rPr>
        <w:t>slightly smaller than the allowable 92084m</w:t>
      </w:r>
      <w:r w:rsidR="0071251B" w:rsidRPr="00803973">
        <w:rPr>
          <w:rFonts w:ascii="Palatino Linotype" w:hAnsi="Palatino Linotype" w:cs="Calibri"/>
          <w:sz w:val="22"/>
          <w:vertAlign w:val="superscript"/>
          <w:lang w:val="en-GB"/>
        </w:rPr>
        <w:t>2</w:t>
      </w:r>
      <w:r w:rsidR="0071251B" w:rsidRPr="00803973">
        <w:rPr>
          <w:rFonts w:ascii="Palatino Linotype" w:hAnsi="Palatino Linotype" w:cs="Calibri"/>
          <w:sz w:val="22"/>
          <w:lang w:val="en-GB"/>
        </w:rPr>
        <w:t xml:space="preserve"> of high-rise in the suburb.</w:t>
      </w:r>
      <w:r w:rsidR="009568D5" w:rsidRPr="00803973">
        <w:rPr>
          <w:rFonts w:ascii="Palatino Linotype" w:hAnsi="Palatino Linotype" w:cs="Calibri"/>
          <w:sz w:val="22"/>
          <w:lang w:val="en-GB"/>
        </w:rPr>
        <w:t xml:space="preserve"> </w:t>
      </w:r>
      <w:r w:rsidR="007E5876" w:rsidRPr="00803973">
        <w:rPr>
          <w:rFonts w:ascii="Palatino Linotype" w:hAnsi="Palatino Linotype" w:cs="Calibri"/>
          <w:sz w:val="22"/>
          <w:lang w:val="en-GB"/>
        </w:rPr>
        <w:t xml:space="preserve">The main reason for higher supply quantity of low-rise in </w:t>
      </w:r>
      <w:r w:rsidR="0071251B" w:rsidRPr="00803973">
        <w:rPr>
          <w:rFonts w:ascii="Palatino Linotype" w:hAnsi="Palatino Linotype" w:cs="Calibri"/>
          <w:sz w:val="22"/>
          <w:lang w:val="en-GB"/>
        </w:rPr>
        <w:t xml:space="preserve">the </w:t>
      </w:r>
      <w:r w:rsidR="007E5876" w:rsidRPr="00803973">
        <w:rPr>
          <w:rFonts w:ascii="Palatino Linotype" w:hAnsi="Palatino Linotype" w:cs="Calibri"/>
          <w:sz w:val="22"/>
          <w:lang w:val="en-GB"/>
        </w:rPr>
        <w:t xml:space="preserve">suburb may be related with its higher utilization of the allowed area, which is </w:t>
      </w:r>
      <w:r w:rsidR="00895779" w:rsidRPr="00803973">
        <w:rPr>
          <w:rFonts w:ascii="Palatino Linotype" w:hAnsi="Palatino Linotype" w:cs="Calibri"/>
          <w:sz w:val="22"/>
          <w:lang w:val="en-GB"/>
        </w:rPr>
        <w:t>86.8</w:t>
      </w:r>
      <w:r w:rsidR="007E5876" w:rsidRPr="00803973">
        <w:rPr>
          <w:rFonts w:ascii="Palatino Linotype" w:hAnsi="Palatino Linotype" w:cs="Calibri"/>
          <w:sz w:val="22"/>
          <w:lang w:val="en-GB"/>
        </w:rPr>
        <w:t>%</w:t>
      </w:r>
      <w:r w:rsidR="00CA0A74" w:rsidRPr="00803973">
        <w:rPr>
          <w:rFonts w:ascii="Palatino Linotype" w:hAnsi="Palatino Linotype" w:cs="Calibri"/>
          <w:sz w:val="22"/>
          <w:lang w:val="en-GB"/>
        </w:rPr>
        <w:t xml:space="preserve">, noticeably higher than </w:t>
      </w:r>
      <w:r w:rsidR="007E5876" w:rsidRPr="00803973">
        <w:rPr>
          <w:rFonts w:ascii="Palatino Linotype" w:hAnsi="Palatino Linotype" w:cs="Calibri"/>
          <w:sz w:val="22"/>
          <w:lang w:val="en-GB"/>
        </w:rPr>
        <w:t>8</w:t>
      </w:r>
      <w:r w:rsidR="00895779" w:rsidRPr="00803973">
        <w:rPr>
          <w:rFonts w:ascii="Palatino Linotype" w:hAnsi="Palatino Linotype" w:cs="Calibri"/>
          <w:sz w:val="22"/>
          <w:lang w:val="en-GB"/>
        </w:rPr>
        <w:t>0.1</w:t>
      </w:r>
      <w:r w:rsidR="007E5876" w:rsidRPr="00803973">
        <w:rPr>
          <w:rFonts w:ascii="Palatino Linotype" w:hAnsi="Palatino Linotype" w:cs="Calibri"/>
          <w:sz w:val="22"/>
          <w:lang w:val="en-GB"/>
        </w:rPr>
        <w:t xml:space="preserve">% </w:t>
      </w:r>
      <w:r w:rsidR="00CA0A74" w:rsidRPr="00803973">
        <w:rPr>
          <w:rFonts w:ascii="Palatino Linotype" w:hAnsi="Palatino Linotype" w:cs="Calibri"/>
          <w:sz w:val="22"/>
          <w:lang w:val="en-GB"/>
        </w:rPr>
        <w:t xml:space="preserve">for high-rise in suburb (Table </w:t>
      </w:r>
      <w:r w:rsidR="0038773A" w:rsidRPr="00803973">
        <w:rPr>
          <w:rFonts w:ascii="Palatino Linotype" w:hAnsi="Palatino Linotype" w:cs="Calibri"/>
          <w:sz w:val="22"/>
          <w:lang w:val="en-GB"/>
        </w:rPr>
        <w:t>5</w:t>
      </w:r>
      <w:r w:rsidR="00CA0A74" w:rsidRPr="00803973">
        <w:rPr>
          <w:rFonts w:ascii="Palatino Linotype" w:hAnsi="Palatino Linotype" w:cs="Calibri"/>
          <w:sz w:val="22"/>
          <w:lang w:val="en-GB"/>
        </w:rPr>
        <w:t>).</w:t>
      </w:r>
      <w:r w:rsidR="00EB69DF" w:rsidRPr="00803973">
        <w:rPr>
          <w:rFonts w:ascii="Palatino Linotype" w:hAnsi="Palatino Linotype" w:cs="Calibri"/>
          <w:sz w:val="22"/>
          <w:lang w:val="en-GB"/>
        </w:rPr>
        <w:t xml:space="preserve"> </w:t>
      </w:r>
      <w:r w:rsidR="00F417A5" w:rsidRPr="00803973">
        <w:rPr>
          <w:rFonts w:ascii="Palatino Linotype" w:hAnsi="Palatino Linotype" w:cs="Calibri"/>
          <w:sz w:val="22"/>
          <w:lang w:val="en-GB"/>
        </w:rPr>
        <w:t>In passing, the higher utilization also plays critical role when we compared supply quantity for two locations in model 1 and three categories of housing in model 3.</w:t>
      </w:r>
    </w:p>
    <w:p w:rsidR="00F95A2E" w:rsidRPr="00803973" w:rsidRDefault="000540E6">
      <w:pPr>
        <w:spacing w:after="120" w:line="276" w:lineRule="auto"/>
        <w:ind w:firstLine="360"/>
        <w:jc w:val="left"/>
        <w:rPr>
          <w:rFonts w:ascii="Palatino Linotype" w:eastAsia="Calibri" w:hAnsi="Palatino Linotype" w:cs="Calibri"/>
          <w:sz w:val="22"/>
          <w:lang w:val="en-GB"/>
        </w:rPr>
      </w:pPr>
      <w:r w:rsidRPr="00803973">
        <w:rPr>
          <w:rFonts w:ascii="Palatino Linotype" w:hAnsi="Palatino Linotype" w:cs="Calibri"/>
          <w:sz w:val="22"/>
          <w:lang w:val="en-GB"/>
        </w:rPr>
        <w:t>T</w:t>
      </w:r>
      <w:r w:rsidR="0079045E" w:rsidRPr="00803973">
        <w:rPr>
          <w:rFonts w:ascii="Palatino Linotype" w:hAnsi="Palatino Linotype" w:cs="Calibri"/>
          <w:sz w:val="22"/>
          <w:lang w:val="en-GB"/>
        </w:rPr>
        <w:t>he allowed area is vital</w:t>
      </w:r>
      <w:r w:rsidRPr="00803973">
        <w:rPr>
          <w:rFonts w:ascii="Palatino Linotype" w:hAnsi="Palatino Linotype" w:cs="Calibri"/>
          <w:sz w:val="22"/>
          <w:lang w:val="en-GB"/>
        </w:rPr>
        <w:t xml:space="preserve"> in determining the quantity of housing supply</w:t>
      </w:r>
      <w:r w:rsidR="0071251B" w:rsidRPr="00803973">
        <w:rPr>
          <w:rFonts w:ascii="Palatino Linotype" w:hAnsi="Palatino Linotype" w:cs="Calibri"/>
          <w:sz w:val="22"/>
          <w:lang w:val="en-GB"/>
        </w:rPr>
        <w:t xml:space="preserve"> – the greater</w:t>
      </w:r>
      <w:r w:rsidR="004D6C44" w:rsidRPr="00803973">
        <w:rPr>
          <w:rFonts w:ascii="Palatino Linotype" w:hAnsi="Palatino Linotype" w:cs="Calibri"/>
          <w:sz w:val="22"/>
          <w:lang w:val="en-GB"/>
        </w:rPr>
        <w:t xml:space="preserve"> the </w:t>
      </w:r>
      <w:r w:rsidR="0071251B" w:rsidRPr="00803973">
        <w:rPr>
          <w:rFonts w:ascii="Palatino Linotype" w:hAnsi="Palatino Linotype" w:cs="Calibri"/>
          <w:sz w:val="22"/>
          <w:lang w:val="en-GB"/>
        </w:rPr>
        <w:t>allowable area</w:t>
      </w:r>
      <w:r w:rsidR="00593E92" w:rsidRPr="00803973">
        <w:rPr>
          <w:rFonts w:ascii="Palatino Linotype" w:hAnsi="Palatino Linotype" w:cs="Calibri"/>
          <w:sz w:val="22"/>
          <w:lang w:val="en-GB"/>
        </w:rPr>
        <w:t>s</w:t>
      </w:r>
      <w:r w:rsidR="0071251B" w:rsidRPr="00803973">
        <w:rPr>
          <w:rFonts w:ascii="Palatino Linotype" w:hAnsi="Palatino Linotype" w:cs="Calibri"/>
          <w:sz w:val="22"/>
          <w:lang w:val="en-GB"/>
        </w:rPr>
        <w:t xml:space="preserve">, the more </w:t>
      </w:r>
      <w:r w:rsidR="00F65B2D" w:rsidRPr="00803973">
        <w:rPr>
          <w:rFonts w:ascii="Palatino Linotype" w:hAnsi="Palatino Linotype" w:cs="Calibri"/>
          <w:sz w:val="22"/>
          <w:lang w:val="en-GB"/>
        </w:rPr>
        <w:t>the saleable areas</w:t>
      </w:r>
      <w:r w:rsidR="0071251B" w:rsidRPr="00803973">
        <w:rPr>
          <w:rFonts w:ascii="Palatino Linotype" w:hAnsi="Palatino Linotype" w:cs="Calibri"/>
          <w:sz w:val="22"/>
          <w:lang w:val="en-GB"/>
        </w:rPr>
        <w:t xml:space="preserve"> and the higher the developers</w:t>
      </w:r>
      <w:r w:rsidR="00F65B2D" w:rsidRPr="00803973">
        <w:rPr>
          <w:rFonts w:ascii="Palatino Linotype" w:hAnsi="Palatino Linotype" w:cs="Calibri"/>
          <w:sz w:val="22"/>
          <w:lang w:val="en-GB"/>
        </w:rPr>
        <w:t>’ earning</w:t>
      </w:r>
      <w:r w:rsidR="00593E92" w:rsidRPr="00803973">
        <w:rPr>
          <w:rFonts w:ascii="Palatino Linotype" w:hAnsi="Palatino Linotype" w:cs="Calibri"/>
          <w:sz w:val="22"/>
          <w:lang w:val="en-GB"/>
        </w:rPr>
        <w:t>s</w:t>
      </w:r>
      <w:r w:rsidR="0071251B" w:rsidRPr="00803973">
        <w:rPr>
          <w:rFonts w:ascii="Palatino Linotype" w:hAnsi="Palatino Linotype" w:cs="Calibri"/>
          <w:sz w:val="22"/>
          <w:lang w:val="en-GB"/>
        </w:rPr>
        <w:t>.</w:t>
      </w:r>
      <w:r w:rsidR="001A4D9A" w:rsidRPr="00803973">
        <w:rPr>
          <w:rFonts w:ascii="Palatino Linotype" w:hAnsi="Palatino Linotype" w:cs="Calibri"/>
          <w:sz w:val="22"/>
          <w:lang w:val="en-GB"/>
        </w:rPr>
        <w:t xml:space="preserve"> </w:t>
      </w:r>
      <w:r w:rsidR="00572AB4" w:rsidRPr="00803973">
        <w:rPr>
          <w:rFonts w:ascii="Palatino Linotype" w:hAnsi="Palatino Linotype" w:cs="Calibri"/>
          <w:sz w:val="22"/>
          <w:lang w:val="en-GB"/>
        </w:rPr>
        <w:t>Housing developers</w:t>
      </w:r>
      <w:r w:rsidR="001A4D9A" w:rsidRPr="00803973">
        <w:rPr>
          <w:rFonts w:ascii="Palatino Linotype" w:hAnsi="Palatino Linotype" w:cs="Calibri"/>
          <w:sz w:val="22"/>
          <w:lang w:val="en-GB"/>
        </w:rPr>
        <w:t xml:space="preserve"> are </w:t>
      </w:r>
      <w:r w:rsidR="004D6C44" w:rsidRPr="00803973">
        <w:rPr>
          <w:rFonts w:ascii="Palatino Linotype" w:hAnsi="Palatino Linotype" w:cs="Calibri"/>
          <w:sz w:val="22"/>
          <w:lang w:val="en-GB"/>
        </w:rPr>
        <w:t>thus</w:t>
      </w:r>
      <w:r w:rsidR="0079045E" w:rsidRPr="00803973">
        <w:rPr>
          <w:rFonts w:ascii="Palatino Linotype" w:hAnsi="Palatino Linotype" w:cs="Calibri"/>
          <w:sz w:val="22"/>
          <w:lang w:val="en-GB"/>
        </w:rPr>
        <w:t xml:space="preserve"> incentiviz</w:t>
      </w:r>
      <w:r w:rsidR="001A4D9A" w:rsidRPr="00803973">
        <w:rPr>
          <w:rFonts w:ascii="Palatino Linotype" w:hAnsi="Palatino Linotype" w:cs="Calibri"/>
          <w:sz w:val="22"/>
          <w:lang w:val="en-GB"/>
        </w:rPr>
        <w:t xml:space="preserve">ed to </w:t>
      </w:r>
      <w:r w:rsidR="004D6C44" w:rsidRPr="00803973">
        <w:rPr>
          <w:rFonts w:ascii="Palatino Linotype" w:hAnsi="Palatino Linotype" w:cs="Calibri"/>
          <w:sz w:val="22"/>
          <w:lang w:val="en-GB"/>
        </w:rPr>
        <w:t>maximize the use of the allowed areas. However</w:t>
      </w:r>
      <w:r w:rsidRPr="00803973">
        <w:rPr>
          <w:rFonts w:ascii="Palatino Linotype" w:hAnsi="Palatino Linotype" w:cs="Calibri"/>
          <w:sz w:val="22"/>
          <w:lang w:val="en-GB"/>
        </w:rPr>
        <w:t>,</w:t>
      </w:r>
      <w:r w:rsidR="004D6C44" w:rsidRPr="00803973">
        <w:rPr>
          <w:rFonts w:ascii="Palatino Linotype" w:hAnsi="Palatino Linotype" w:cs="Calibri"/>
          <w:sz w:val="22"/>
          <w:lang w:val="en-GB"/>
        </w:rPr>
        <w:t xml:space="preserve"> the </w:t>
      </w:r>
      <w:r w:rsidR="00085B7E" w:rsidRPr="00803973">
        <w:rPr>
          <w:rFonts w:ascii="Palatino Linotype" w:hAnsi="Palatino Linotype" w:cs="Calibri"/>
          <w:sz w:val="22"/>
          <w:lang w:val="en-GB"/>
        </w:rPr>
        <w:t>maximization will inevitably result in higher density and subsequent</w:t>
      </w:r>
      <w:r w:rsidRPr="00803973">
        <w:rPr>
          <w:rFonts w:ascii="Palatino Linotype" w:hAnsi="Palatino Linotype" w:cs="Calibri"/>
          <w:sz w:val="22"/>
          <w:lang w:val="en-GB"/>
        </w:rPr>
        <w:t xml:space="preserve"> deterioration of </w:t>
      </w:r>
      <w:r w:rsidR="009333A8" w:rsidRPr="00803973">
        <w:rPr>
          <w:rFonts w:ascii="Palatino Linotype" w:hAnsi="Palatino Linotype" w:cs="Calibri"/>
          <w:sz w:val="22"/>
          <w:lang w:val="en-GB"/>
        </w:rPr>
        <w:t xml:space="preserve">living environment in terms of privacy, lighting, ventilation, health and safety.  The problems </w:t>
      </w:r>
      <w:r w:rsidR="00F95A2E" w:rsidRPr="00803973">
        <w:rPr>
          <w:rFonts w:ascii="Palatino Linotype" w:hAnsi="Palatino Linotype" w:cs="Calibri"/>
          <w:sz w:val="22"/>
          <w:lang w:val="en-GB"/>
        </w:rPr>
        <w:t xml:space="preserve">could </w:t>
      </w:r>
      <w:r w:rsidR="009333A8" w:rsidRPr="00803973">
        <w:rPr>
          <w:rFonts w:ascii="Palatino Linotype" w:hAnsi="Palatino Linotype" w:cs="Calibri"/>
          <w:sz w:val="22"/>
          <w:lang w:val="en-GB"/>
        </w:rPr>
        <w:t>become much worse for high-rise residential blocks</w:t>
      </w:r>
      <w:r w:rsidR="00361E87" w:rsidRPr="00803973">
        <w:rPr>
          <w:rFonts w:ascii="Palatino Linotype" w:hAnsi="Palatino Linotype" w:cs="Calibri"/>
          <w:sz w:val="22"/>
          <w:lang w:val="en-GB"/>
        </w:rPr>
        <w:t xml:space="preserve"> and could depress the price </w:t>
      </w:r>
      <w:r w:rsidR="00CA7EE5" w:rsidRPr="00803973">
        <w:rPr>
          <w:rFonts w:ascii="Palatino Linotype" w:hAnsi="Palatino Linotype" w:cs="Calibri"/>
          <w:sz w:val="22"/>
          <w:lang w:val="en-GB"/>
        </w:rPr>
        <w:t>seriously</w:t>
      </w:r>
      <w:r w:rsidR="00361E87" w:rsidRPr="00803973">
        <w:rPr>
          <w:rFonts w:ascii="Palatino Linotype" w:hAnsi="Palatino Linotype" w:cs="Calibri"/>
          <w:sz w:val="22"/>
          <w:lang w:val="en-GB"/>
        </w:rPr>
        <w:t xml:space="preserve">. </w:t>
      </w:r>
      <w:r w:rsidR="009333A8" w:rsidRPr="00803973">
        <w:rPr>
          <w:rFonts w:ascii="Palatino Linotype" w:hAnsi="Palatino Linotype" w:cs="Calibri"/>
          <w:sz w:val="22"/>
          <w:lang w:val="en-GB"/>
        </w:rPr>
        <w:t xml:space="preserve"> </w:t>
      </w:r>
      <w:r w:rsidR="00D07085" w:rsidRPr="00803973">
        <w:rPr>
          <w:rFonts w:ascii="Palatino Linotype" w:hAnsi="Palatino Linotype" w:cs="Calibri"/>
          <w:sz w:val="22"/>
          <w:lang w:val="en-GB"/>
        </w:rPr>
        <w:t>Hence</w:t>
      </w:r>
      <w:r w:rsidR="00CA7EE5" w:rsidRPr="00803973">
        <w:rPr>
          <w:rFonts w:ascii="Palatino Linotype" w:hAnsi="Palatino Linotype" w:cs="Calibri"/>
          <w:sz w:val="22"/>
          <w:lang w:val="en-GB"/>
        </w:rPr>
        <w:t xml:space="preserve"> the developer must strike a delicate balance between the utilization of the allowed area and the dwelling environment. </w:t>
      </w:r>
    </w:p>
    <w:p w:rsidR="00B71D91" w:rsidRDefault="00B71D91" w:rsidP="007D3402">
      <w:pPr>
        <w:spacing w:after="120" w:line="276" w:lineRule="auto"/>
        <w:jc w:val="left"/>
        <w:rPr>
          <w:rFonts w:ascii="Palatino Linotype" w:eastAsia="Calibri" w:hAnsi="Palatino Linotype" w:cs="Calibri"/>
          <w:b/>
          <w:sz w:val="22"/>
          <w:lang w:val="en-GB"/>
        </w:rPr>
      </w:pPr>
    </w:p>
    <w:p w:rsidR="00E95614" w:rsidRDefault="00E95614" w:rsidP="007D3402">
      <w:pPr>
        <w:spacing w:after="120" w:line="276" w:lineRule="auto"/>
        <w:jc w:val="left"/>
        <w:rPr>
          <w:rFonts w:ascii="Palatino Linotype" w:eastAsia="Calibri" w:hAnsi="Palatino Linotype" w:cs="Calibri"/>
          <w:b/>
          <w:sz w:val="22"/>
          <w:lang w:val="en-GB"/>
        </w:rPr>
      </w:pPr>
    </w:p>
    <w:p w:rsidR="00E95614" w:rsidRDefault="00E95614" w:rsidP="007D3402">
      <w:pPr>
        <w:spacing w:after="120" w:line="276" w:lineRule="auto"/>
        <w:jc w:val="left"/>
        <w:rPr>
          <w:rFonts w:ascii="Palatino Linotype" w:eastAsia="Calibri" w:hAnsi="Palatino Linotype" w:cs="Calibri"/>
          <w:b/>
          <w:sz w:val="22"/>
          <w:lang w:val="en-GB"/>
        </w:rPr>
      </w:pPr>
    </w:p>
    <w:p w:rsidR="0014748A" w:rsidRPr="00E95614" w:rsidRDefault="003153E1" w:rsidP="00E95614">
      <w:pPr>
        <w:spacing w:after="120" w:line="276" w:lineRule="auto"/>
        <w:jc w:val="center"/>
        <w:rPr>
          <w:rFonts w:ascii="Palatino Linotype" w:eastAsia="Calibri" w:hAnsi="Palatino Linotype" w:cs="Calibri"/>
          <w:b/>
          <w:sz w:val="20"/>
          <w:szCs w:val="20"/>
          <w:lang w:val="en-GB"/>
        </w:rPr>
      </w:pPr>
      <w:r w:rsidRPr="00E95614">
        <w:rPr>
          <w:rFonts w:ascii="Palatino Linotype" w:eastAsia="Calibri" w:hAnsi="Palatino Linotype" w:cs="Calibri"/>
          <w:b/>
          <w:sz w:val="20"/>
          <w:szCs w:val="20"/>
          <w:lang w:val="en-GB"/>
        </w:rPr>
        <w:lastRenderedPageBreak/>
        <w:t xml:space="preserve">Table </w:t>
      </w:r>
      <w:r w:rsidR="0038773A" w:rsidRPr="00E95614">
        <w:rPr>
          <w:rFonts w:ascii="Palatino Linotype" w:eastAsia="Calibri" w:hAnsi="Palatino Linotype" w:cs="Calibri"/>
          <w:b/>
          <w:sz w:val="20"/>
          <w:szCs w:val="20"/>
          <w:lang w:val="en-GB"/>
        </w:rPr>
        <w:t>5</w:t>
      </w:r>
      <w:r w:rsidRPr="00E95614">
        <w:rPr>
          <w:rFonts w:ascii="Palatino Linotype" w:eastAsia="Calibri" w:hAnsi="Palatino Linotype" w:cs="Calibri"/>
          <w:b/>
          <w:sz w:val="20"/>
          <w:szCs w:val="20"/>
          <w:lang w:val="en-GB"/>
        </w:rPr>
        <w:t xml:space="preserve"> </w:t>
      </w:r>
      <w:r w:rsidR="007D3402" w:rsidRPr="00E95614">
        <w:rPr>
          <w:rFonts w:ascii="Palatino Linotype" w:eastAsia="Calibri" w:hAnsi="Palatino Linotype" w:cs="Calibri"/>
          <w:b/>
          <w:sz w:val="20"/>
          <w:szCs w:val="20"/>
          <w:lang w:val="en-GB"/>
        </w:rPr>
        <w:t>The comparison of supply for</w:t>
      </w:r>
      <w:r w:rsidR="007D3402" w:rsidRPr="00E95614">
        <w:rPr>
          <w:rFonts w:ascii="Palatino Linotype" w:hAnsi="Palatino Linotype" w:cs="Calibri"/>
          <w:b/>
          <w:sz w:val="20"/>
          <w:szCs w:val="20"/>
          <w:lang w:val="en-GB"/>
        </w:rPr>
        <w:t xml:space="preserve"> low-rise and high-rise outside of Inner Ring</w:t>
      </w:r>
    </w:p>
    <w:tbl>
      <w:tblPr>
        <w:tblW w:w="8222" w:type="dxa"/>
        <w:tblInd w:w="108" w:type="dxa"/>
        <w:tblLook w:val="04A0" w:firstRow="1" w:lastRow="0" w:firstColumn="1" w:lastColumn="0" w:noHBand="0" w:noVBand="1"/>
      </w:tblPr>
      <w:tblGrid>
        <w:gridCol w:w="1985"/>
        <w:gridCol w:w="1134"/>
        <w:gridCol w:w="992"/>
        <w:gridCol w:w="992"/>
        <w:gridCol w:w="993"/>
        <w:gridCol w:w="2126"/>
      </w:tblGrid>
      <w:tr w:rsidR="00BE1E46" w:rsidRPr="00E95614" w:rsidTr="00486FC4">
        <w:trPr>
          <w:trHeight w:val="63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69D" w:rsidRPr="00E95614" w:rsidRDefault="0064169D" w:rsidP="00DE52EA">
            <w:pPr>
              <w:widowControl/>
              <w:rPr>
                <w:rFonts w:ascii="Palatino Linotype" w:eastAsia="SimSun" w:hAnsi="Palatino Linotype" w:cs="SimSun"/>
                <w:color w:val="000000"/>
                <w:kern w:val="0"/>
                <w:sz w:val="20"/>
                <w:szCs w:val="20"/>
                <w:lang w:val="en-GB"/>
              </w:rPr>
            </w:pPr>
          </w:p>
        </w:tc>
        <w:tc>
          <w:tcPr>
            <w:tcW w:w="1134" w:type="dxa"/>
            <w:tcBorders>
              <w:top w:val="single" w:sz="4" w:space="0" w:color="auto"/>
              <w:left w:val="nil"/>
              <w:bottom w:val="single" w:sz="4" w:space="0" w:color="auto"/>
              <w:right w:val="single" w:sz="4" w:space="0" w:color="auto"/>
              <w:tl2br w:val="single" w:sz="4" w:space="0" w:color="auto"/>
            </w:tcBorders>
            <w:shd w:val="clear" w:color="auto" w:fill="auto"/>
            <w:hideMark/>
          </w:tcPr>
          <w:p w:rsidR="00C527FC" w:rsidRPr="00E95614" w:rsidRDefault="0064169D" w:rsidP="0064169D">
            <w:pPr>
              <w:widowControl/>
              <w:jc w:val="left"/>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 xml:space="preserve">   MR(H)</w:t>
            </w:r>
            <w:r w:rsidRPr="00E95614">
              <w:rPr>
                <w:rFonts w:ascii="Palatino Linotype" w:eastAsia="SimSun" w:hAnsi="Palatino Linotype" w:cs="SimSun"/>
                <w:b/>
                <w:bCs/>
                <w:color w:val="000000"/>
                <w:kern w:val="0"/>
                <w:sz w:val="20"/>
                <w:szCs w:val="20"/>
              </w:rPr>
              <w:br/>
            </w:r>
          </w:p>
          <w:p w:rsidR="00A773FD" w:rsidRPr="00E95614" w:rsidRDefault="00A773FD" w:rsidP="0064169D">
            <w:pPr>
              <w:widowControl/>
              <w:jc w:val="left"/>
              <w:rPr>
                <w:rFonts w:ascii="Palatino Linotype" w:eastAsia="SimSun" w:hAnsi="Palatino Linotype" w:cs="SimSun"/>
                <w:b/>
                <w:bCs/>
                <w:color w:val="000000"/>
                <w:kern w:val="0"/>
                <w:sz w:val="20"/>
                <w:szCs w:val="20"/>
              </w:rPr>
            </w:pPr>
          </w:p>
          <w:p w:rsidR="0064169D" w:rsidRPr="00E95614" w:rsidRDefault="0064169D" w:rsidP="0064169D">
            <w:pPr>
              <w:widowControl/>
              <w:jc w:val="left"/>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MR(L)</w:t>
            </w:r>
          </w:p>
        </w:tc>
        <w:tc>
          <w:tcPr>
            <w:tcW w:w="992"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C527FC" w:rsidRPr="00E95614" w:rsidRDefault="0064169D" w:rsidP="0064169D">
            <w:pPr>
              <w:widowControl/>
              <w:jc w:val="left"/>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 xml:space="preserve">   OR(H)</w:t>
            </w:r>
            <w:r w:rsidRPr="00E95614">
              <w:rPr>
                <w:rFonts w:ascii="Palatino Linotype" w:eastAsia="SimSun" w:hAnsi="Palatino Linotype" w:cs="SimSun"/>
                <w:b/>
                <w:bCs/>
                <w:color w:val="000000"/>
                <w:kern w:val="0"/>
                <w:sz w:val="20"/>
                <w:szCs w:val="20"/>
              </w:rPr>
              <w:br/>
            </w:r>
          </w:p>
          <w:p w:rsidR="00A773FD" w:rsidRPr="00E95614" w:rsidRDefault="00A773FD" w:rsidP="0064169D">
            <w:pPr>
              <w:widowControl/>
              <w:jc w:val="left"/>
              <w:rPr>
                <w:rFonts w:ascii="Palatino Linotype" w:eastAsia="SimSun" w:hAnsi="Palatino Linotype" w:cs="SimSun"/>
                <w:b/>
                <w:bCs/>
                <w:color w:val="000000"/>
                <w:kern w:val="0"/>
                <w:sz w:val="20"/>
                <w:szCs w:val="20"/>
              </w:rPr>
            </w:pPr>
          </w:p>
          <w:p w:rsidR="0064169D" w:rsidRPr="00E95614" w:rsidRDefault="0064169D" w:rsidP="0064169D">
            <w:pPr>
              <w:widowControl/>
              <w:jc w:val="left"/>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OR(L)</w:t>
            </w:r>
          </w:p>
        </w:tc>
        <w:tc>
          <w:tcPr>
            <w:tcW w:w="992"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C527FC" w:rsidRPr="00E95614" w:rsidRDefault="0064169D" w:rsidP="0064169D">
            <w:pPr>
              <w:widowControl/>
              <w:jc w:val="left"/>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 xml:space="preserve">   SR(H)</w:t>
            </w:r>
            <w:r w:rsidRPr="00E95614">
              <w:rPr>
                <w:rFonts w:ascii="Palatino Linotype" w:eastAsia="SimSun" w:hAnsi="Palatino Linotype" w:cs="SimSun"/>
                <w:b/>
                <w:bCs/>
                <w:color w:val="000000"/>
                <w:kern w:val="0"/>
                <w:sz w:val="20"/>
                <w:szCs w:val="20"/>
              </w:rPr>
              <w:br/>
            </w:r>
          </w:p>
          <w:p w:rsidR="00A773FD" w:rsidRPr="00E95614" w:rsidRDefault="00A773FD" w:rsidP="0064169D">
            <w:pPr>
              <w:widowControl/>
              <w:jc w:val="left"/>
              <w:rPr>
                <w:rFonts w:ascii="Palatino Linotype" w:eastAsia="SimSun" w:hAnsi="Palatino Linotype" w:cs="SimSun"/>
                <w:b/>
                <w:bCs/>
                <w:color w:val="000000"/>
                <w:kern w:val="0"/>
                <w:sz w:val="20"/>
                <w:szCs w:val="20"/>
              </w:rPr>
            </w:pPr>
          </w:p>
          <w:p w:rsidR="0064169D" w:rsidRPr="00E95614" w:rsidRDefault="0064169D" w:rsidP="0064169D">
            <w:pPr>
              <w:widowControl/>
              <w:jc w:val="left"/>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SR(L)</w:t>
            </w:r>
          </w:p>
        </w:tc>
        <w:tc>
          <w:tcPr>
            <w:tcW w:w="993" w:type="dxa"/>
            <w:tcBorders>
              <w:top w:val="single" w:sz="4" w:space="0" w:color="auto"/>
              <w:left w:val="single" w:sz="4" w:space="0" w:color="auto"/>
              <w:bottom w:val="single" w:sz="4" w:space="0" w:color="auto"/>
              <w:right w:val="double" w:sz="4" w:space="0" w:color="auto"/>
              <w:tl2br w:val="single" w:sz="4" w:space="0" w:color="auto"/>
            </w:tcBorders>
            <w:shd w:val="clear" w:color="auto" w:fill="auto"/>
            <w:hideMark/>
          </w:tcPr>
          <w:p w:rsidR="00C527FC" w:rsidRPr="00E95614" w:rsidRDefault="0064169D" w:rsidP="0064169D">
            <w:pPr>
              <w:widowControl/>
              <w:jc w:val="left"/>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 xml:space="preserve">  </w:t>
            </w:r>
            <w:r w:rsidR="00DE52EA" w:rsidRPr="00E95614">
              <w:rPr>
                <w:rFonts w:ascii="Palatino Linotype" w:eastAsia="SimSun" w:hAnsi="Palatino Linotype" w:cs="SimSun"/>
                <w:b/>
                <w:bCs/>
                <w:color w:val="000000"/>
                <w:kern w:val="0"/>
                <w:sz w:val="20"/>
                <w:szCs w:val="20"/>
              </w:rPr>
              <w:t xml:space="preserve"> </w:t>
            </w:r>
            <w:r w:rsidRPr="00E95614">
              <w:rPr>
                <w:rFonts w:ascii="Palatino Linotype" w:eastAsia="SimSun" w:hAnsi="Palatino Linotype" w:cs="SimSun"/>
                <w:b/>
                <w:bCs/>
                <w:color w:val="000000"/>
                <w:kern w:val="0"/>
                <w:sz w:val="20"/>
                <w:szCs w:val="20"/>
              </w:rPr>
              <w:t>OSR(H)</w:t>
            </w:r>
            <w:r w:rsidRPr="00E95614">
              <w:rPr>
                <w:rFonts w:ascii="Palatino Linotype" w:eastAsia="SimSun" w:hAnsi="Palatino Linotype" w:cs="SimSun"/>
                <w:b/>
                <w:bCs/>
                <w:color w:val="000000"/>
                <w:kern w:val="0"/>
                <w:sz w:val="20"/>
                <w:szCs w:val="20"/>
              </w:rPr>
              <w:br/>
            </w:r>
          </w:p>
          <w:p w:rsidR="00A773FD" w:rsidRPr="00E95614" w:rsidRDefault="00A773FD" w:rsidP="0064169D">
            <w:pPr>
              <w:widowControl/>
              <w:jc w:val="left"/>
              <w:rPr>
                <w:rFonts w:ascii="Palatino Linotype" w:eastAsia="SimSun" w:hAnsi="Palatino Linotype" w:cs="SimSun"/>
                <w:b/>
                <w:bCs/>
                <w:color w:val="000000"/>
                <w:kern w:val="0"/>
                <w:sz w:val="20"/>
                <w:szCs w:val="20"/>
              </w:rPr>
            </w:pPr>
          </w:p>
          <w:p w:rsidR="0064169D" w:rsidRPr="00E95614" w:rsidRDefault="0064169D" w:rsidP="0064169D">
            <w:pPr>
              <w:widowControl/>
              <w:jc w:val="left"/>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OSR(L)</w:t>
            </w:r>
          </w:p>
        </w:tc>
        <w:tc>
          <w:tcPr>
            <w:tcW w:w="2126" w:type="dxa"/>
            <w:tcBorders>
              <w:top w:val="single" w:sz="4" w:space="0" w:color="auto"/>
              <w:left w:val="double" w:sz="4" w:space="0" w:color="auto"/>
              <w:bottom w:val="single" w:sz="4" w:space="0" w:color="auto"/>
              <w:right w:val="single" w:sz="4" w:space="0" w:color="auto"/>
              <w:tl2br w:val="single" w:sz="4" w:space="0" w:color="auto"/>
            </w:tcBorders>
            <w:shd w:val="clear" w:color="auto" w:fill="auto"/>
            <w:hideMark/>
          </w:tcPr>
          <w:p w:rsidR="00A773FD" w:rsidRPr="00E95614" w:rsidRDefault="00C527FC" w:rsidP="00C527FC">
            <w:pPr>
              <w:widowControl/>
              <w:jc w:val="left"/>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 xml:space="preserve">     </w:t>
            </w:r>
            <w:r w:rsidR="00F021D2" w:rsidRPr="00E95614">
              <w:rPr>
                <w:rFonts w:ascii="Palatino Linotype" w:eastAsia="SimSun" w:hAnsi="Palatino Linotype" w:cs="SimSun"/>
                <w:b/>
                <w:bCs/>
                <w:color w:val="000000"/>
                <w:kern w:val="0"/>
                <w:sz w:val="20"/>
                <w:szCs w:val="20"/>
              </w:rPr>
              <w:t xml:space="preserve">      </w:t>
            </w:r>
            <w:r w:rsidRPr="00E95614">
              <w:rPr>
                <w:rFonts w:ascii="Palatino Linotype" w:eastAsia="SimSun" w:hAnsi="Palatino Linotype" w:cs="SimSun"/>
                <w:b/>
                <w:bCs/>
                <w:color w:val="000000"/>
                <w:kern w:val="0"/>
                <w:sz w:val="20"/>
                <w:szCs w:val="20"/>
              </w:rPr>
              <w:t>Total</w:t>
            </w:r>
            <w:r w:rsidR="0064169D" w:rsidRPr="00E95614">
              <w:rPr>
                <w:rFonts w:ascii="Palatino Linotype" w:eastAsia="SimSun" w:hAnsi="Palatino Linotype" w:cs="SimSun"/>
                <w:b/>
                <w:bCs/>
                <w:color w:val="000000"/>
                <w:kern w:val="0"/>
                <w:sz w:val="20"/>
                <w:szCs w:val="20"/>
              </w:rPr>
              <w:t>(H)</w:t>
            </w:r>
            <w:r w:rsidR="00A773FD" w:rsidRPr="00E95614">
              <w:rPr>
                <w:rFonts w:ascii="Palatino Linotype" w:eastAsia="SimSun" w:hAnsi="Palatino Linotype" w:cs="SimSun"/>
                <w:b/>
                <w:bCs/>
                <w:color w:val="000000"/>
                <w:kern w:val="0"/>
                <w:sz w:val="20"/>
                <w:szCs w:val="20"/>
              </w:rPr>
              <w:t xml:space="preserve"> or</w:t>
            </w:r>
          </w:p>
          <w:p w:rsidR="0064169D" w:rsidRPr="00E95614" w:rsidRDefault="00A773FD" w:rsidP="00C527FC">
            <w:pPr>
              <w:widowControl/>
              <w:jc w:val="left"/>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 xml:space="preserve">         </w:t>
            </w:r>
            <w:r w:rsidR="00F021D2" w:rsidRPr="00E95614">
              <w:rPr>
                <w:rFonts w:ascii="Palatino Linotype" w:eastAsia="SimSun" w:hAnsi="Palatino Linotype" w:cs="SimSun"/>
                <w:b/>
                <w:bCs/>
                <w:color w:val="000000"/>
                <w:kern w:val="0"/>
                <w:sz w:val="20"/>
                <w:szCs w:val="20"/>
              </w:rPr>
              <w:t xml:space="preserve">      </w:t>
            </w:r>
            <w:r w:rsidR="00FE561B" w:rsidRPr="00E95614">
              <w:rPr>
                <w:rFonts w:ascii="Palatino Linotype" w:eastAsia="SimSun" w:hAnsi="Palatino Linotype" w:cs="SimSun"/>
                <w:b/>
                <w:bCs/>
                <w:color w:val="000000"/>
                <w:kern w:val="0"/>
                <w:sz w:val="20"/>
                <w:szCs w:val="20"/>
              </w:rPr>
              <w:t xml:space="preserve">      </w:t>
            </w:r>
            <w:r w:rsidRPr="00E95614">
              <w:rPr>
                <w:rFonts w:ascii="Palatino Linotype" w:eastAsia="SimSun" w:hAnsi="Palatino Linotype" w:cs="SimSun"/>
                <w:b/>
                <w:bCs/>
                <w:color w:val="000000"/>
                <w:kern w:val="0"/>
                <w:sz w:val="20"/>
                <w:szCs w:val="20"/>
              </w:rPr>
              <w:t>Mean(H)</w:t>
            </w:r>
            <w:r w:rsidR="0064169D" w:rsidRPr="00E95614">
              <w:rPr>
                <w:rFonts w:ascii="Palatino Linotype" w:eastAsia="SimSun" w:hAnsi="Palatino Linotype" w:cs="SimSun"/>
                <w:b/>
                <w:bCs/>
                <w:color w:val="000000"/>
                <w:kern w:val="0"/>
                <w:sz w:val="20"/>
                <w:szCs w:val="20"/>
              </w:rPr>
              <w:br/>
            </w:r>
            <w:r w:rsidR="00C527FC" w:rsidRPr="00E95614">
              <w:rPr>
                <w:rFonts w:ascii="Palatino Linotype" w:eastAsia="SimSun" w:hAnsi="Palatino Linotype" w:cs="SimSun"/>
                <w:b/>
                <w:bCs/>
                <w:color w:val="000000"/>
                <w:kern w:val="0"/>
                <w:sz w:val="20"/>
                <w:szCs w:val="20"/>
              </w:rPr>
              <w:t>Total</w:t>
            </w:r>
            <w:r w:rsidR="0064169D" w:rsidRPr="00E95614">
              <w:rPr>
                <w:rFonts w:ascii="Palatino Linotype" w:eastAsia="SimSun" w:hAnsi="Palatino Linotype" w:cs="SimSun"/>
                <w:b/>
                <w:bCs/>
                <w:color w:val="000000"/>
                <w:kern w:val="0"/>
                <w:sz w:val="20"/>
                <w:szCs w:val="20"/>
              </w:rPr>
              <w:t>(L)</w:t>
            </w:r>
          </w:p>
          <w:p w:rsidR="00A773FD" w:rsidRPr="00E95614" w:rsidRDefault="00A773FD" w:rsidP="00C527FC">
            <w:pPr>
              <w:widowControl/>
              <w:jc w:val="left"/>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or Mean (L)</w:t>
            </w:r>
          </w:p>
        </w:tc>
      </w:tr>
      <w:tr w:rsidR="00486FC4" w:rsidRPr="00E95614" w:rsidTr="00486FC4">
        <w:trPr>
          <w:trHeight w:val="63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FC4" w:rsidRPr="00E95614" w:rsidRDefault="00486FC4">
            <w:pPr>
              <w:jc w:val="center"/>
              <w:rPr>
                <w:rFonts w:ascii="Palatino Linotype" w:eastAsia="SimSun" w:hAnsi="Palatino Linotype" w:cs="SimSun"/>
                <w:b/>
                <w:bCs/>
                <w:color w:val="000000"/>
                <w:sz w:val="20"/>
                <w:szCs w:val="20"/>
              </w:rPr>
            </w:pPr>
            <w:r w:rsidRPr="00E95614">
              <w:rPr>
                <w:rFonts w:ascii="Palatino Linotype" w:hAnsi="Palatino Linotype"/>
                <w:b/>
                <w:bCs/>
                <w:color w:val="000000"/>
                <w:sz w:val="20"/>
                <w:szCs w:val="20"/>
              </w:rPr>
              <w:t>P</w:t>
            </w:r>
            <w:r w:rsidR="0085668B" w:rsidRPr="00E95614">
              <w:rPr>
                <w:rFonts w:ascii="Palatino Linotype" w:hAnsi="Palatino Linotype"/>
                <w:b/>
                <w:bCs/>
                <w:color w:val="000000"/>
                <w:sz w:val="20"/>
                <w:szCs w:val="20"/>
              </w:rPr>
              <w:t>roject</w:t>
            </w:r>
          </w:p>
        </w:tc>
        <w:tc>
          <w:tcPr>
            <w:tcW w:w="1134" w:type="dxa"/>
            <w:tcBorders>
              <w:top w:val="single" w:sz="4" w:space="0" w:color="auto"/>
              <w:left w:val="nil"/>
              <w:bottom w:val="single" w:sz="4" w:space="0" w:color="auto"/>
              <w:right w:val="single" w:sz="4" w:space="0" w:color="auto"/>
              <w:tl2br w:val="single" w:sz="4" w:space="0" w:color="auto"/>
            </w:tcBorders>
            <w:shd w:val="clear" w:color="auto" w:fill="auto"/>
            <w:hideMark/>
          </w:tcPr>
          <w:p w:rsidR="00486FC4" w:rsidRPr="00E95614" w:rsidRDefault="00486FC4">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72</w:t>
            </w:r>
            <w:r w:rsidRPr="00E95614">
              <w:rPr>
                <w:rFonts w:ascii="Palatino Linotype" w:hAnsi="Palatino Linotype"/>
                <w:color w:val="000000"/>
                <w:sz w:val="20"/>
                <w:szCs w:val="20"/>
              </w:rPr>
              <w:br/>
              <w:t>19</w:t>
            </w:r>
          </w:p>
        </w:tc>
        <w:tc>
          <w:tcPr>
            <w:tcW w:w="992"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486FC4" w:rsidRPr="00E95614" w:rsidRDefault="00486FC4">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79</w:t>
            </w:r>
            <w:r w:rsidRPr="00E95614">
              <w:rPr>
                <w:rFonts w:ascii="Palatino Linotype" w:hAnsi="Palatino Linotype"/>
                <w:color w:val="000000"/>
                <w:sz w:val="20"/>
                <w:szCs w:val="20"/>
              </w:rPr>
              <w:br/>
              <w:t>50</w:t>
            </w:r>
          </w:p>
        </w:tc>
        <w:tc>
          <w:tcPr>
            <w:tcW w:w="992"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486FC4" w:rsidRPr="00E95614" w:rsidRDefault="00486FC4">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94</w:t>
            </w:r>
            <w:r w:rsidRPr="00E95614">
              <w:rPr>
                <w:rFonts w:ascii="Palatino Linotype" w:hAnsi="Palatino Linotype"/>
                <w:color w:val="000000"/>
                <w:sz w:val="20"/>
                <w:szCs w:val="20"/>
              </w:rPr>
              <w:br/>
              <w:t>164</w:t>
            </w:r>
          </w:p>
        </w:tc>
        <w:tc>
          <w:tcPr>
            <w:tcW w:w="993" w:type="dxa"/>
            <w:tcBorders>
              <w:top w:val="single" w:sz="4" w:space="0" w:color="auto"/>
              <w:left w:val="single" w:sz="4" w:space="0" w:color="auto"/>
              <w:bottom w:val="single" w:sz="4" w:space="0" w:color="auto"/>
              <w:right w:val="double" w:sz="4" w:space="0" w:color="auto"/>
              <w:tl2br w:val="single" w:sz="4" w:space="0" w:color="auto"/>
            </w:tcBorders>
            <w:shd w:val="clear" w:color="auto" w:fill="auto"/>
            <w:hideMark/>
          </w:tcPr>
          <w:p w:rsidR="00486FC4" w:rsidRPr="00E95614" w:rsidRDefault="00486FC4">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34 </w:t>
            </w:r>
            <w:r w:rsidRPr="00E95614">
              <w:rPr>
                <w:rFonts w:ascii="Palatino Linotype" w:hAnsi="Palatino Linotype"/>
                <w:color w:val="000000"/>
                <w:sz w:val="20"/>
                <w:szCs w:val="20"/>
              </w:rPr>
              <w:br/>
              <w:t>87</w:t>
            </w:r>
          </w:p>
        </w:tc>
        <w:tc>
          <w:tcPr>
            <w:tcW w:w="2126" w:type="dxa"/>
            <w:tcBorders>
              <w:top w:val="single" w:sz="4" w:space="0" w:color="auto"/>
              <w:left w:val="double" w:sz="4" w:space="0" w:color="auto"/>
              <w:bottom w:val="single" w:sz="4" w:space="0" w:color="auto"/>
              <w:right w:val="single" w:sz="4" w:space="0" w:color="auto"/>
              <w:tl2br w:val="single" w:sz="4" w:space="0" w:color="auto"/>
            </w:tcBorders>
            <w:shd w:val="clear" w:color="auto" w:fill="auto"/>
            <w:hideMark/>
          </w:tcPr>
          <w:p w:rsidR="00486FC4" w:rsidRPr="00E95614" w:rsidRDefault="00486FC4">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279</w:t>
            </w:r>
            <w:r w:rsidRPr="00E95614">
              <w:rPr>
                <w:rFonts w:ascii="Palatino Linotype" w:hAnsi="Palatino Linotype"/>
                <w:color w:val="000000"/>
                <w:sz w:val="20"/>
                <w:szCs w:val="20"/>
              </w:rPr>
              <w:br/>
              <w:t>320</w:t>
            </w:r>
          </w:p>
        </w:tc>
      </w:tr>
      <w:tr w:rsidR="00B768CA" w:rsidRPr="00E95614" w:rsidTr="00486FC4">
        <w:trPr>
          <w:trHeight w:val="63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CA" w:rsidRPr="00E95614" w:rsidRDefault="00B768CA" w:rsidP="0064169D">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Supply Quantity</w:t>
            </w:r>
          </w:p>
          <w:p w:rsidR="00B768CA" w:rsidRPr="00E95614" w:rsidRDefault="00B768CA" w:rsidP="0064169D">
            <w:pPr>
              <w:widowControl/>
              <w:jc w:val="center"/>
              <w:rPr>
                <w:rFonts w:ascii="Palatino Linotype" w:eastAsia="SimSun" w:hAnsi="Palatino Linotype" w:cs="SimSun"/>
                <w:bCs/>
                <w:color w:val="000000"/>
                <w:kern w:val="0"/>
                <w:sz w:val="20"/>
                <w:szCs w:val="20"/>
              </w:rPr>
            </w:pPr>
            <w:r w:rsidRPr="00E95614">
              <w:rPr>
                <w:rFonts w:ascii="Palatino Linotype" w:eastAsia="SimSun" w:hAnsi="Palatino Linotype" w:cs="SimSun"/>
                <w:bCs/>
                <w:color w:val="000000"/>
                <w:kern w:val="0"/>
                <w:sz w:val="20"/>
                <w:szCs w:val="20"/>
              </w:rPr>
              <w:t>(‘000m</w:t>
            </w:r>
            <w:r w:rsidRPr="00E95614">
              <w:rPr>
                <w:rFonts w:ascii="Palatino Linotype" w:eastAsia="SimSun" w:hAnsi="Palatino Linotype" w:cs="SimSun"/>
                <w:bCs/>
                <w:color w:val="000000"/>
                <w:kern w:val="0"/>
                <w:sz w:val="20"/>
                <w:szCs w:val="20"/>
                <w:vertAlign w:val="superscript"/>
              </w:rPr>
              <w:t>2</w:t>
            </w:r>
            <w:r w:rsidRPr="00E95614">
              <w:rPr>
                <w:rFonts w:ascii="Palatino Linotype" w:eastAsia="SimSun" w:hAnsi="Palatino Linotype" w:cs="SimSun"/>
                <w:bCs/>
                <w:color w:val="000000"/>
                <w:kern w:val="0"/>
                <w:sz w:val="20"/>
                <w:szCs w:val="20"/>
              </w:rPr>
              <w:t>)</w:t>
            </w:r>
          </w:p>
        </w:tc>
        <w:tc>
          <w:tcPr>
            <w:tcW w:w="1134" w:type="dxa"/>
            <w:tcBorders>
              <w:top w:val="single" w:sz="4" w:space="0" w:color="auto"/>
              <w:left w:val="nil"/>
              <w:bottom w:val="single" w:sz="4" w:space="0" w:color="auto"/>
              <w:right w:val="single" w:sz="4" w:space="0" w:color="auto"/>
              <w:tl2br w:val="single" w:sz="4" w:space="0" w:color="auto"/>
            </w:tcBorders>
            <w:shd w:val="clear" w:color="auto" w:fill="auto"/>
            <w:hideMark/>
          </w:tcPr>
          <w:p w:rsidR="00B768CA" w:rsidRPr="00E95614" w:rsidRDefault="00B768CA">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67.1</w:t>
            </w:r>
            <w:r w:rsidRPr="00E95614">
              <w:rPr>
                <w:rFonts w:ascii="Palatino Linotype" w:hAnsi="Palatino Linotype"/>
                <w:color w:val="000000"/>
                <w:sz w:val="20"/>
                <w:szCs w:val="20"/>
              </w:rPr>
              <w:br/>
              <w:t>53.7</w:t>
            </w:r>
          </w:p>
        </w:tc>
        <w:tc>
          <w:tcPr>
            <w:tcW w:w="992"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B768CA" w:rsidRPr="00E95614" w:rsidRDefault="00B768CA">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71.9</w:t>
            </w:r>
            <w:r w:rsidRPr="00E95614">
              <w:rPr>
                <w:rFonts w:ascii="Palatino Linotype" w:hAnsi="Palatino Linotype"/>
                <w:color w:val="000000"/>
                <w:sz w:val="20"/>
                <w:szCs w:val="20"/>
              </w:rPr>
              <w:br/>
              <w:t>69</w:t>
            </w:r>
          </w:p>
        </w:tc>
        <w:tc>
          <w:tcPr>
            <w:tcW w:w="992"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B768CA" w:rsidRPr="00E95614" w:rsidRDefault="00B768CA">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83.5</w:t>
            </w:r>
            <w:r w:rsidRPr="00E95614">
              <w:rPr>
                <w:rFonts w:ascii="Palatino Linotype" w:hAnsi="Palatino Linotype"/>
                <w:color w:val="000000"/>
                <w:sz w:val="20"/>
                <w:szCs w:val="20"/>
              </w:rPr>
              <w:br/>
              <w:t>81.8</w:t>
            </w:r>
          </w:p>
        </w:tc>
        <w:tc>
          <w:tcPr>
            <w:tcW w:w="993" w:type="dxa"/>
            <w:tcBorders>
              <w:top w:val="single" w:sz="4" w:space="0" w:color="auto"/>
              <w:left w:val="single" w:sz="4" w:space="0" w:color="auto"/>
              <w:bottom w:val="single" w:sz="4" w:space="0" w:color="auto"/>
              <w:right w:val="double" w:sz="4" w:space="0" w:color="auto"/>
              <w:tl2br w:val="single" w:sz="4" w:space="0" w:color="auto"/>
            </w:tcBorders>
            <w:shd w:val="clear" w:color="auto" w:fill="auto"/>
            <w:hideMark/>
          </w:tcPr>
          <w:p w:rsidR="00B768CA" w:rsidRPr="00E95614" w:rsidRDefault="00B768CA">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65.4</w:t>
            </w:r>
            <w:r w:rsidRPr="00E95614">
              <w:rPr>
                <w:rFonts w:ascii="Palatino Linotype" w:hAnsi="Palatino Linotype"/>
                <w:color w:val="000000"/>
                <w:sz w:val="20"/>
                <w:szCs w:val="20"/>
              </w:rPr>
              <w:br/>
              <w:t>73.2</w:t>
            </w:r>
          </w:p>
        </w:tc>
        <w:tc>
          <w:tcPr>
            <w:tcW w:w="2126" w:type="dxa"/>
            <w:tcBorders>
              <w:top w:val="single" w:sz="4" w:space="0" w:color="auto"/>
              <w:left w:val="double" w:sz="4" w:space="0" w:color="auto"/>
              <w:bottom w:val="single" w:sz="4" w:space="0" w:color="auto"/>
              <w:right w:val="single" w:sz="4" w:space="0" w:color="auto"/>
              <w:tl2br w:val="single" w:sz="4" w:space="0" w:color="auto"/>
            </w:tcBorders>
            <w:shd w:val="clear" w:color="auto" w:fill="auto"/>
            <w:hideMark/>
          </w:tcPr>
          <w:p w:rsidR="00B768CA" w:rsidRPr="00E95614" w:rsidRDefault="00B768CA">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73.8</w:t>
            </w:r>
            <w:r w:rsidRPr="00E95614">
              <w:rPr>
                <w:rFonts w:ascii="Palatino Linotype" w:hAnsi="Palatino Linotype"/>
                <w:color w:val="000000"/>
                <w:sz w:val="20"/>
                <w:szCs w:val="20"/>
              </w:rPr>
              <w:br/>
              <w:t>75.8</w:t>
            </w:r>
          </w:p>
        </w:tc>
      </w:tr>
      <w:tr w:rsidR="00B768CA" w:rsidRPr="00E95614" w:rsidTr="00486FC4">
        <w:trPr>
          <w:trHeight w:val="63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CA" w:rsidRPr="00E95614" w:rsidRDefault="00B768CA" w:rsidP="0064169D">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Supply Time</w:t>
            </w:r>
          </w:p>
          <w:p w:rsidR="00B768CA" w:rsidRPr="00E95614" w:rsidRDefault="00B768CA" w:rsidP="0064169D">
            <w:pPr>
              <w:widowControl/>
              <w:jc w:val="center"/>
              <w:rPr>
                <w:rFonts w:ascii="Palatino Linotype" w:eastAsia="SimSun" w:hAnsi="Palatino Linotype" w:cs="SimSun"/>
                <w:bCs/>
                <w:color w:val="000000"/>
                <w:kern w:val="0"/>
                <w:sz w:val="20"/>
                <w:szCs w:val="20"/>
              </w:rPr>
            </w:pPr>
            <w:r w:rsidRPr="00E95614">
              <w:rPr>
                <w:rFonts w:ascii="Palatino Linotype" w:eastAsia="SimSun" w:hAnsi="Palatino Linotype" w:cs="SimSun"/>
                <w:bCs/>
                <w:color w:val="000000"/>
                <w:kern w:val="0"/>
                <w:sz w:val="20"/>
                <w:szCs w:val="20"/>
              </w:rPr>
              <w:t>(week)</w:t>
            </w:r>
          </w:p>
        </w:tc>
        <w:tc>
          <w:tcPr>
            <w:tcW w:w="1134" w:type="dxa"/>
            <w:tcBorders>
              <w:top w:val="single" w:sz="4" w:space="0" w:color="auto"/>
              <w:left w:val="nil"/>
              <w:bottom w:val="single" w:sz="4" w:space="0" w:color="auto"/>
              <w:right w:val="single" w:sz="4" w:space="0" w:color="auto"/>
              <w:tl2br w:val="single" w:sz="4" w:space="0" w:color="auto"/>
            </w:tcBorders>
            <w:shd w:val="clear" w:color="auto" w:fill="auto"/>
            <w:hideMark/>
          </w:tcPr>
          <w:p w:rsidR="00B768CA" w:rsidRPr="00E95614" w:rsidRDefault="00B768CA">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51</w:t>
            </w:r>
            <w:r w:rsidRPr="00E95614">
              <w:rPr>
                <w:rFonts w:ascii="Palatino Linotype" w:hAnsi="Palatino Linotype"/>
                <w:color w:val="000000"/>
                <w:sz w:val="20"/>
                <w:szCs w:val="20"/>
              </w:rPr>
              <w:br/>
              <w:t>45.5</w:t>
            </w:r>
          </w:p>
        </w:tc>
        <w:tc>
          <w:tcPr>
            <w:tcW w:w="992"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B768CA" w:rsidRPr="00E95614" w:rsidRDefault="00B768CA">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38.2</w:t>
            </w:r>
            <w:r w:rsidRPr="00E95614">
              <w:rPr>
                <w:rFonts w:ascii="Palatino Linotype" w:hAnsi="Palatino Linotype"/>
                <w:color w:val="000000"/>
                <w:sz w:val="20"/>
                <w:szCs w:val="20"/>
              </w:rPr>
              <w:br/>
              <w:t>41.7</w:t>
            </w:r>
          </w:p>
        </w:tc>
        <w:tc>
          <w:tcPr>
            <w:tcW w:w="992"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B768CA" w:rsidRPr="00E95614" w:rsidRDefault="00B768CA">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47.5</w:t>
            </w:r>
            <w:r w:rsidRPr="00E95614">
              <w:rPr>
                <w:rFonts w:ascii="Palatino Linotype" w:hAnsi="Palatino Linotype"/>
                <w:color w:val="000000"/>
                <w:sz w:val="20"/>
                <w:szCs w:val="20"/>
              </w:rPr>
              <w:br/>
              <w:t>47.1</w:t>
            </w:r>
          </w:p>
        </w:tc>
        <w:tc>
          <w:tcPr>
            <w:tcW w:w="993" w:type="dxa"/>
            <w:tcBorders>
              <w:top w:val="single" w:sz="4" w:space="0" w:color="auto"/>
              <w:left w:val="single" w:sz="4" w:space="0" w:color="auto"/>
              <w:bottom w:val="single" w:sz="4" w:space="0" w:color="auto"/>
              <w:right w:val="double" w:sz="4" w:space="0" w:color="auto"/>
              <w:tl2br w:val="single" w:sz="4" w:space="0" w:color="auto"/>
            </w:tcBorders>
            <w:shd w:val="clear" w:color="auto" w:fill="auto"/>
            <w:hideMark/>
          </w:tcPr>
          <w:p w:rsidR="00B768CA" w:rsidRPr="00E95614" w:rsidRDefault="00B768CA">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30.4</w:t>
            </w:r>
            <w:r w:rsidRPr="00E95614">
              <w:rPr>
                <w:rFonts w:ascii="Palatino Linotype" w:hAnsi="Palatino Linotype"/>
                <w:color w:val="000000"/>
                <w:sz w:val="20"/>
                <w:szCs w:val="20"/>
              </w:rPr>
              <w:br/>
              <w:t>43.6</w:t>
            </w:r>
          </w:p>
        </w:tc>
        <w:tc>
          <w:tcPr>
            <w:tcW w:w="2126" w:type="dxa"/>
            <w:tcBorders>
              <w:top w:val="single" w:sz="4" w:space="0" w:color="auto"/>
              <w:left w:val="double" w:sz="4" w:space="0" w:color="auto"/>
              <w:bottom w:val="single" w:sz="4" w:space="0" w:color="auto"/>
              <w:right w:val="single" w:sz="4" w:space="0" w:color="auto"/>
              <w:tl2br w:val="single" w:sz="4" w:space="0" w:color="auto"/>
            </w:tcBorders>
            <w:shd w:val="clear" w:color="auto" w:fill="auto"/>
            <w:hideMark/>
          </w:tcPr>
          <w:p w:rsidR="00B768CA" w:rsidRPr="00E95614" w:rsidRDefault="00B768CA">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43.7</w:t>
            </w:r>
            <w:r w:rsidRPr="00E95614">
              <w:rPr>
                <w:rFonts w:ascii="Palatino Linotype" w:hAnsi="Palatino Linotype"/>
                <w:color w:val="000000"/>
                <w:sz w:val="20"/>
                <w:szCs w:val="20"/>
              </w:rPr>
              <w:br/>
              <w:t>45.2</w:t>
            </w:r>
          </w:p>
        </w:tc>
      </w:tr>
      <w:tr w:rsidR="00B768CA" w:rsidRPr="00E95614" w:rsidTr="00486FC4">
        <w:trPr>
          <w:trHeight w:val="63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CA" w:rsidRPr="00E95614" w:rsidRDefault="00B768CA" w:rsidP="0064169D">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Site Area</w:t>
            </w:r>
          </w:p>
          <w:p w:rsidR="00B768CA" w:rsidRPr="00E95614" w:rsidRDefault="00B768CA" w:rsidP="0064169D">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Cs/>
                <w:color w:val="000000"/>
                <w:kern w:val="0"/>
                <w:sz w:val="20"/>
                <w:szCs w:val="20"/>
              </w:rPr>
              <w:t>(‘000m</w:t>
            </w:r>
            <w:r w:rsidRPr="00E95614">
              <w:rPr>
                <w:rFonts w:ascii="Palatino Linotype" w:eastAsia="SimSun" w:hAnsi="Palatino Linotype" w:cs="SimSun"/>
                <w:bCs/>
                <w:color w:val="000000"/>
                <w:kern w:val="0"/>
                <w:sz w:val="20"/>
                <w:szCs w:val="20"/>
                <w:vertAlign w:val="superscript"/>
              </w:rPr>
              <w:t>2</w:t>
            </w:r>
            <w:r w:rsidRPr="00E95614">
              <w:rPr>
                <w:rFonts w:ascii="Palatino Linotype" w:eastAsia="SimSun" w:hAnsi="Palatino Linotype" w:cs="SimSun"/>
                <w:bCs/>
                <w:color w:val="000000"/>
                <w:kern w:val="0"/>
                <w:sz w:val="20"/>
                <w:szCs w:val="20"/>
              </w:rPr>
              <w:t>)</w:t>
            </w:r>
          </w:p>
        </w:tc>
        <w:tc>
          <w:tcPr>
            <w:tcW w:w="1134" w:type="dxa"/>
            <w:tcBorders>
              <w:top w:val="single" w:sz="4" w:space="0" w:color="auto"/>
              <w:left w:val="nil"/>
              <w:bottom w:val="single" w:sz="4" w:space="0" w:color="auto"/>
              <w:right w:val="single" w:sz="4" w:space="0" w:color="auto"/>
              <w:tl2br w:val="single" w:sz="4" w:space="0" w:color="auto"/>
            </w:tcBorders>
            <w:shd w:val="clear" w:color="auto" w:fill="auto"/>
            <w:hideMark/>
          </w:tcPr>
          <w:p w:rsidR="00B768CA" w:rsidRPr="00E95614" w:rsidRDefault="00B768CA">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33.4</w:t>
            </w:r>
            <w:r w:rsidRPr="00E95614">
              <w:rPr>
                <w:rFonts w:ascii="Palatino Linotype" w:hAnsi="Palatino Linotype"/>
                <w:color w:val="000000"/>
                <w:sz w:val="20"/>
                <w:szCs w:val="20"/>
              </w:rPr>
              <w:br/>
              <w:t>43.4</w:t>
            </w:r>
          </w:p>
        </w:tc>
        <w:tc>
          <w:tcPr>
            <w:tcW w:w="992"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B768CA" w:rsidRPr="00E95614" w:rsidRDefault="00B768CA">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45.1</w:t>
            </w:r>
            <w:r w:rsidRPr="00E95614">
              <w:rPr>
                <w:rFonts w:ascii="Palatino Linotype" w:hAnsi="Palatino Linotype"/>
                <w:color w:val="000000"/>
                <w:sz w:val="20"/>
                <w:szCs w:val="20"/>
              </w:rPr>
              <w:br/>
              <w:t>55.4</w:t>
            </w:r>
          </w:p>
        </w:tc>
        <w:tc>
          <w:tcPr>
            <w:tcW w:w="992"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B768CA" w:rsidRPr="00E95614" w:rsidRDefault="00B768CA">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56.4</w:t>
            </w:r>
            <w:r w:rsidRPr="00E95614">
              <w:rPr>
                <w:rFonts w:ascii="Palatino Linotype" w:hAnsi="Palatino Linotype"/>
                <w:color w:val="000000"/>
                <w:sz w:val="20"/>
                <w:szCs w:val="20"/>
              </w:rPr>
              <w:br/>
              <w:t>78.4</w:t>
            </w:r>
          </w:p>
        </w:tc>
        <w:tc>
          <w:tcPr>
            <w:tcW w:w="993" w:type="dxa"/>
            <w:tcBorders>
              <w:top w:val="single" w:sz="4" w:space="0" w:color="auto"/>
              <w:left w:val="single" w:sz="4" w:space="0" w:color="auto"/>
              <w:bottom w:val="single" w:sz="4" w:space="0" w:color="auto"/>
              <w:right w:val="double" w:sz="4" w:space="0" w:color="auto"/>
              <w:tl2br w:val="single" w:sz="4" w:space="0" w:color="auto"/>
            </w:tcBorders>
            <w:shd w:val="clear" w:color="auto" w:fill="auto"/>
            <w:hideMark/>
          </w:tcPr>
          <w:p w:rsidR="00B768CA" w:rsidRPr="00E95614" w:rsidRDefault="00B768CA">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42.7</w:t>
            </w:r>
            <w:r w:rsidRPr="00E95614">
              <w:rPr>
                <w:rFonts w:ascii="Palatino Linotype" w:hAnsi="Palatino Linotype"/>
                <w:color w:val="000000"/>
                <w:sz w:val="20"/>
                <w:szCs w:val="20"/>
              </w:rPr>
              <w:br/>
              <w:t>67.8</w:t>
            </w:r>
          </w:p>
        </w:tc>
        <w:tc>
          <w:tcPr>
            <w:tcW w:w="2126" w:type="dxa"/>
            <w:tcBorders>
              <w:top w:val="single" w:sz="4" w:space="0" w:color="auto"/>
              <w:left w:val="double" w:sz="4" w:space="0" w:color="auto"/>
              <w:bottom w:val="single" w:sz="4" w:space="0" w:color="auto"/>
              <w:right w:val="single" w:sz="4" w:space="0" w:color="auto"/>
              <w:tl2br w:val="single" w:sz="4" w:space="0" w:color="auto"/>
            </w:tcBorders>
            <w:shd w:val="clear" w:color="auto" w:fill="auto"/>
            <w:hideMark/>
          </w:tcPr>
          <w:p w:rsidR="00B768CA" w:rsidRPr="00E95614" w:rsidRDefault="00B768CA">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45.6</w:t>
            </w:r>
            <w:r w:rsidRPr="00E95614">
              <w:rPr>
                <w:rFonts w:ascii="Palatino Linotype" w:hAnsi="Palatino Linotype"/>
                <w:color w:val="000000"/>
                <w:sz w:val="20"/>
                <w:szCs w:val="20"/>
              </w:rPr>
              <w:br/>
              <w:t>69.8</w:t>
            </w:r>
          </w:p>
        </w:tc>
      </w:tr>
      <w:tr w:rsidR="00B768CA" w:rsidRPr="00E95614" w:rsidTr="00486FC4">
        <w:trPr>
          <w:trHeight w:val="63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68CA" w:rsidRPr="00E95614" w:rsidRDefault="00B768CA" w:rsidP="0064169D">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Plot Ratio</w:t>
            </w:r>
          </w:p>
        </w:tc>
        <w:tc>
          <w:tcPr>
            <w:tcW w:w="1134" w:type="dxa"/>
            <w:tcBorders>
              <w:top w:val="single" w:sz="4" w:space="0" w:color="auto"/>
              <w:left w:val="nil"/>
              <w:bottom w:val="single" w:sz="4" w:space="0" w:color="auto"/>
              <w:right w:val="single" w:sz="4" w:space="0" w:color="auto"/>
              <w:tl2br w:val="single" w:sz="4" w:space="0" w:color="auto"/>
            </w:tcBorders>
            <w:shd w:val="clear" w:color="auto" w:fill="auto"/>
            <w:hideMark/>
          </w:tcPr>
          <w:p w:rsidR="00B768CA" w:rsidRPr="00E95614" w:rsidRDefault="00B768CA">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2.43</w:t>
            </w:r>
            <w:r w:rsidRPr="00E95614">
              <w:rPr>
                <w:rFonts w:ascii="Palatino Linotype" w:hAnsi="Palatino Linotype"/>
                <w:color w:val="000000"/>
                <w:sz w:val="20"/>
                <w:szCs w:val="20"/>
              </w:rPr>
              <w:br/>
              <w:t>1.26</w:t>
            </w:r>
          </w:p>
        </w:tc>
        <w:tc>
          <w:tcPr>
            <w:tcW w:w="992"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B768CA" w:rsidRPr="00E95614" w:rsidRDefault="00B768CA">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1.9</w:t>
            </w:r>
            <w:r w:rsidRPr="00E95614">
              <w:rPr>
                <w:rFonts w:ascii="Palatino Linotype" w:hAnsi="Palatino Linotype"/>
                <w:color w:val="000000"/>
                <w:sz w:val="20"/>
                <w:szCs w:val="20"/>
              </w:rPr>
              <w:br/>
              <w:t>1.32</w:t>
            </w:r>
          </w:p>
        </w:tc>
        <w:tc>
          <w:tcPr>
            <w:tcW w:w="992"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B768CA" w:rsidRPr="00E95614" w:rsidRDefault="00B768CA">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1.84</w:t>
            </w:r>
            <w:r w:rsidRPr="00E95614">
              <w:rPr>
                <w:rFonts w:ascii="Palatino Linotype" w:hAnsi="Palatino Linotype"/>
                <w:color w:val="000000"/>
                <w:sz w:val="20"/>
                <w:szCs w:val="20"/>
              </w:rPr>
              <w:br/>
              <w:t>1.25</w:t>
            </w:r>
          </w:p>
        </w:tc>
        <w:tc>
          <w:tcPr>
            <w:tcW w:w="993" w:type="dxa"/>
            <w:tcBorders>
              <w:top w:val="single" w:sz="4" w:space="0" w:color="auto"/>
              <w:left w:val="single" w:sz="4" w:space="0" w:color="auto"/>
              <w:bottom w:val="single" w:sz="4" w:space="0" w:color="auto"/>
              <w:right w:val="double" w:sz="4" w:space="0" w:color="auto"/>
              <w:tl2br w:val="single" w:sz="4" w:space="0" w:color="auto"/>
            </w:tcBorders>
            <w:shd w:val="clear" w:color="auto" w:fill="auto"/>
            <w:hideMark/>
          </w:tcPr>
          <w:p w:rsidR="00B768CA" w:rsidRPr="00E95614" w:rsidRDefault="00B768CA">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1.9</w:t>
            </w:r>
            <w:r w:rsidRPr="00E95614">
              <w:rPr>
                <w:rFonts w:ascii="Palatino Linotype" w:hAnsi="Palatino Linotype"/>
                <w:color w:val="000000"/>
                <w:sz w:val="20"/>
                <w:szCs w:val="20"/>
              </w:rPr>
              <w:br/>
              <w:t>1.19</w:t>
            </w:r>
          </w:p>
        </w:tc>
        <w:tc>
          <w:tcPr>
            <w:tcW w:w="2126" w:type="dxa"/>
            <w:tcBorders>
              <w:top w:val="single" w:sz="4" w:space="0" w:color="auto"/>
              <w:left w:val="double" w:sz="4" w:space="0" w:color="auto"/>
              <w:bottom w:val="single" w:sz="4" w:space="0" w:color="auto"/>
              <w:right w:val="single" w:sz="4" w:space="0" w:color="auto"/>
              <w:tl2br w:val="single" w:sz="4" w:space="0" w:color="auto"/>
            </w:tcBorders>
            <w:shd w:val="clear" w:color="auto" w:fill="auto"/>
            <w:hideMark/>
          </w:tcPr>
          <w:p w:rsidR="00B768CA" w:rsidRPr="00E95614" w:rsidRDefault="00B768CA">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w:t>
            </w:r>
            <w:r w:rsidR="0085668B" w:rsidRPr="00E95614">
              <w:rPr>
                <w:rFonts w:ascii="Palatino Linotype" w:hAnsi="Palatino Linotype"/>
                <w:color w:val="000000"/>
                <w:sz w:val="20"/>
                <w:szCs w:val="20"/>
              </w:rPr>
              <w:t xml:space="preserve"> </w:t>
            </w:r>
            <w:r w:rsidRPr="00E95614">
              <w:rPr>
                <w:rFonts w:ascii="Palatino Linotype" w:hAnsi="Palatino Linotype"/>
                <w:color w:val="000000"/>
                <w:sz w:val="20"/>
                <w:szCs w:val="20"/>
              </w:rPr>
              <w:t>2.02</w:t>
            </w:r>
            <w:r w:rsidRPr="00E95614">
              <w:rPr>
                <w:rFonts w:ascii="Palatino Linotype" w:hAnsi="Palatino Linotype"/>
                <w:color w:val="000000"/>
                <w:sz w:val="20"/>
                <w:szCs w:val="20"/>
              </w:rPr>
              <w:br/>
              <w:t>1.25</w:t>
            </w:r>
          </w:p>
        </w:tc>
      </w:tr>
      <w:tr w:rsidR="00635B2A" w:rsidRPr="00E95614" w:rsidTr="00486FC4">
        <w:trPr>
          <w:trHeight w:val="63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B2A" w:rsidRPr="00E95614" w:rsidRDefault="00635B2A" w:rsidP="0064169D">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Allowed Area</w:t>
            </w:r>
          </w:p>
          <w:p w:rsidR="00635B2A" w:rsidRPr="00E95614" w:rsidRDefault="00635B2A" w:rsidP="0064169D">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Cs/>
                <w:color w:val="000000"/>
                <w:kern w:val="0"/>
                <w:sz w:val="20"/>
                <w:szCs w:val="20"/>
              </w:rPr>
              <w:t>(‘000m</w:t>
            </w:r>
            <w:r w:rsidRPr="00E95614">
              <w:rPr>
                <w:rFonts w:ascii="Palatino Linotype" w:eastAsia="SimSun" w:hAnsi="Palatino Linotype" w:cs="SimSun"/>
                <w:bCs/>
                <w:color w:val="000000"/>
                <w:kern w:val="0"/>
                <w:sz w:val="20"/>
                <w:szCs w:val="20"/>
                <w:vertAlign w:val="superscript"/>
              </w:rPr>
              <w:t>2</w:t>
            </w:r>
            <w:r w:rsidRPr="00E95614">
              <w:rPr>
                <w:rFonts w:ascii="Palatino Linotype" w:eastAsia="SimSun" w:hAnsi="Palatino Linotype" w:cs="SimSun"/>
                <w:bCs/>
                <w:color w:val="000000"/>
                <w:kern w:val="0"/>
                <w:sz w:val="20"/>
                <w:szCs w:val="20"/>
              </w:rPr>
              <w:t>)</w:t>
            </w:r>
          </w:p>
        </w:tc>
        <w:tc>
          <w:tcPr>
            <w:tcW w:w="1134" w:type="dxa"/>
            <w:tcBorders>
              <w:top w:val="single" w:sz="4" w:space="0" w:color="auto"/>
              <w:left w:val="nil"/>
              <w:bottom w:val="single" w:sz="4" w:space="0" w:color="auto"/>
              <w:right w:val="single" w:sz="4" w:space="0" w:color="auto"/>
              <w:tl2br w:val="single" w:sz="4" w:space="0" w:color="auto"/>
            </w:tcBorders>
            <w:shd w:val="clear" w:color="auto" w:fill="auto"/>
            <w:hideMark/>
          </w:tcPr>
          <w:p w:rsidR="00635B2A" w:rsidRPr="00E95614" w:rsidRDefault="00635B2A">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w:t>
            </w:r>
            <w:r w:rsidR="00895779" w:rsidRPr="00E95614">
              <w:rPr>
                <w:rFonts w:ascii="Palatino Linotype" w:hAnsi="Palatino Linotype"/>
                <w:color w:val="000000"/>
                <w:sz w:val="20"/>
                <w:szCs w:val="20"/>
              </w:rPr>
              <w:t xml:space="preserve">  </w:t>
            </w:r>
            <w:r w:rsidRPr="00E95614">
              <w:rPr>
                <w:rFonts w:ascii="Palatino Linotype" w:hAnsi="Palatino Linotype"/>
                <w:color w:val="000000"/>
                <w:sz w:val="20"/>
                <w:szCs w:val="20"/>
              </w:rPr>
              <w:t>81.2</w:t>
            </w:r>
            <w:r w:rsidRPr="00E95614">
              <w:rPr>
                <w:rFonts w:ascii="Palatino Linotype" w:hAnsi="Palatino Linotype"/>
                <w:color w:val="000000"/>
                <w:sz w:val="20"/>
                <w:szCs w:val="20"/>
              </w:rPr>
              <w:br/>
              <w:t>54.7</w:t>
            </w:r>
          </w:p>
        </w:tc>
        <w:tc>
          <w:tcPr>
            <w:tcW w:w="992"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635B2A" w:rsidRPr="00E95614" w:rsidRDefault="00635B2A">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w:t>
            </w:r>
            <w:r w:rsidR="00895779" w:rsidRPr="00E95614">
              <w:rPr>
                <w:rFonts w:ascii="Palatino Linotype" w:hAnsi="Palatino Linotype"/>
                <w:color w:val="000000"/>
                <w:sz w:val="20"/>
                <w:szCs w:val="20"/>
              </w:rPr>
              <w:t xml:space="preserve">  </w:t>
            </w:r>
            <w:r w:rsidRPr="00E95614">
              <w:rPr>
                <w:rFonts w:ascii="Palatino Linotype" w:hAnsi="Palatino Linotype"/>
                <w:color w:val="000000"/>
                <w:sz w:val="20"/>
                <w:szCs w:val="20"/>
              </w:rPr>
              <w:t>85.7</w:t>
            </w:r>
            <w:r w:rsidRPr="00E95614">
              <w:rPr>
                <w:rFonts w:ascii="Palatino Linotype" w:hAnsi="Palatino Linotype"/>
                <w:color w:val="000000"/>
                <w:sz w:val="20"/>
                <w:szCs w:val="20"/>
              </w:rPr>
              <w:br/>
              <w:t>73.1</w:t>
            </w:r>
          </w:p>
        </w:tc>
        <w:tc>
          <w:tcPr>
            <w:tcW w:w="992"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635B2A" w:rsidRPr="00E95614" w:rsidRDefault="00635B2A">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w:t>
            </w:r>
            <w:r w:rsidR="00895779" w:rsidRPr="00E95614">
              <w:rPr>
                <w:rFonts w:ascii="Palatino Linotype" w:hAnsi="Palatino Linotype"/>
                <w:color w:val="000000"/>
                <w:sz w:val="20"/>
                <w:szCs w:val="20"/>
              </w:rPr>
              <w:t xml:space="preserve">  </w:t>
            </w:r>
            <w:r w:rsidRPr="00E95614">
              <w:rPr>
                <w:rFonts w:ascii="Palatino Linotype" w:hAnsi="Palatino Linotype"/>
                <w:color w:val="000000"/>
                <w:sz w:val="20"/>
                <w:szCs w:val="20"/>
              </w:rPr>
              <w:t>103.8</w:t>
            </w:r>
            <w:r w:rsidRPr="00E95614">
              <w:rPr>
                <w:rFonts w:ascii="Palatino Linotype" w:hAnsi="Palatino Linotype"/>
                <w:color w:val="000000"/>
                <w:sz w:val="20"/>
                <w:szCs w:val="20"/>
              </w:rPr>
              <w:br/>
              <w:t>98</w:t>
            </w:r>
          </w:p>
        </w:tc>
        <w:tc>
          <w:tcPr>
            <w:tcW w:w="993" w:type="dxa"/>
            <w:tcBorders>
              <w:top w:val="single" w:sz="4" w:space="0" w:color="auto"/>
              <w:left w:val="single" w:sz="4" w:space="0" w:color="auto"/>
              <w:bottom w:val="single" w:sz="4" w:space="0" w:color="auto"/>
              <w:right w:val="double" w:sz="4" w:space="0" w:color="auto"/>
              <w:tl2br w:val="single" w:sz="4" w:space="0" w:color="auto"/>
            </w:tcBorders>
            <w:shd w:val="clear" w:color="auto" w:fill="auto"/>
            <w:hideMark/>
          </w:tcPr>
          <w:p w:rsidR="00635B2A" w:rsidRPr="00E95614" w:rsidRDefault="00635B2A">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w:t>
            </w:r>
            <w:r w:rsidR="00895779" w:rsidRPr="00E95614">
              <w:rPr>
                <w:rFonts w:ascii="Palatino Linotype" w:hAnsi="Palatino Linotype"/>
                <w:color w:val="000000"/>
                <w:sz w:val="20"/>
                <w:szCs w:val="20"/>
              </w:rPr>
              <w:t xml:space="preserve">  </w:t>
            </w:r>
            <w:r w:rsidRPr="00E95614">
              <w:rPr>
                <w:rFonts w:ascii="Palatino Linotype" w:hAnsi="Palatino Linotype"/>
                <w:color w:val="000000"/>
                <w:sz w:val="20"/>
                <w:szCs w:val="20"/>
              </w:rPr>
              <w:t>81.1</w:t>
            </w:r>
            <w:r w:rsidRPr="00E95614">
              <w:rPr>
                <w:rFonts w:ascii="Palatino Linotype" w:hAnsi="Palatino Linotype"/>
                <w:color w:val="000000"/>
                <w:sz w:val="20"/>
                <w:szCs w:val="20"/>
              </w:rPr>
              <w:br/>
              <w:t>80.7</w:t>
            </w:r>
          </w:p>
        </w:tc>
        <w:tc>
          <w:tcPr>
            <w:tcW w:w="2126" w:type="dxa"/>
            <w:tcBorders>
              <w:top w:val="single" w:sz="4" w:space="0" w:color="auto"/>
              <w:left w:val="double" w:sz="4" w:space="0" w:color="auto"/>
              <w:bottom w:val="single" w:sz="4" w:space="0" w:color="auto"/>
              <w:right w:val="single" w:sz="4" w:space="0" w:color="auto"/>
              <w:tl2br w:val="single" w:sz="4" w:space="0" w:color="auto"/>
            </w:tcBorders>
            <w:shd w:val="clear" w:color="auto" w:fill="auto"/>
            <w:hideMark/>
          </w:tcPr>
          <w:p w:rsidR="00635B2A" w:rsidRPr="00E95614" w:rsidRDefault="00635B2A">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w:t>
            </w:r>
            <w:r w:rsidR="00895779" w:rsidRPr="00E95614">
              <w:rPr>
                <w:rFonts w:ascii="Palatino Linotype" w:hAnsi="Palatino Linotype"/>
                <w:color w:val="000000"/>
                <w:sz w:val="20"/>
                <w:szCs w:val="20"/>
              </w:rPr>
              <w:t xml:space="preserve">          </w:t>
            </w:r>
            <w:r w:rsidR="0085668B" w:rsidRPr="00E95614">
              <w:rPr>
                <w:rFonts w:ascii="Palatino Linotype" w:hAnsi="Palatino Linotype"/>
                <w:color w:val="000000"/>
                <w:sz w:val="20"/>
                <w:szCs w:val="20"/>
              </w:rPr>
              <w:t xml:space="preserve"> </w:t>
            </w:r>
            <w:r w:rsidRPr="00E95614">
              <w:rPr>
                <w:rFonts w:ascii="Palatino Linotype" w:hAnsi="Palatino Linotype"/>
                <w:color w:val="000000"/>
                <w:sz w:val="20"/>
                <w:szCs w:val="20"/>
              </w:rPr>
              <w:t>92.1</w:t>
            </w:r>
            <w:r w:rsidRPr="00E95614">
              <w:rPr>
                <w:rFonts w:ascii="Palatino Linotype" w:hAnsi="Palatino Linotype"/>
                <w:color w:val="000000"/>
                <w:sz w:val="20"/>
                <w:szCs w:val="20"/>
              </w:rPr>
              <w:br/>
              <w:t>87.3</w:t>
            </w:r>
          </w:p>
        </w:tc>
      </w:tr>
      <w:tr w:rsidR="00635B2A" w:rsidRPr="00E95614" w:rsidTr="00486FC4">
        <w:trPr>
          <w:trHeight w:val="63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B2A" w:rsidRPr="00E95614" w:rsidRDefault="00635B2A" w:rsidP="00BE1E46">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Supply Quantity</w:t>
            </w:r>
          </w:p>
          <w:p w:rsidR="00635B2A" w:rsidRPr="00E95614" w:rsidRDefault="00635B2A" w:rsidP="00BE1E46">
            <w:pPr>
              <w:widowControl/>
              <w:jc w:val="center"/>
              <w:rPr>
                <w:rFonts w:ascii="Palatino Linotype" w:eastAsia="SimSun" w:hAnsi="Palatino Linotype" w:cs="SimSun"/>
                <w:bCs/>
                <w:color w:val="000000"/>
                <w:kern w:val="0"/>
                <w:sz w:val="20"/>
                <w:szCs w:val="20"/>
              </w:rPr>
            </w:pPr>
            <w:r w:rsidRPr="00E95614">
              <w:rPr>
                <w:rFonts w:ascii="Palatino Linotype" w:eastAsia="SimSun" w:hAnsi="Palatino Linotype" w:cs="SimSun"/>
                <w:b/>
                <w:bCs/>
                <w:color w:val="000000"/>
                <w:kern w:val="0"/>
                <w:sz w:val="20"/>
                <w:szCs w:val="20"/>
              </w:rPr>
              <w:t xml:space="preserve">/Allowed Area </w:t>
            </w:r>
            <w:r w:rsidRPr="00E95614">
              <w:rPr>
                <w:rFonts w:ascii="Palatino Linotype" w:eastAsia="SimSun" w:hAnsi="Palatino Linotype" w:cs="SimSun"/>
                <w:bCs/>
                <w:color w:val="000000"/>
                <w:kern w:val="0"/>
                <w:sz w:val="20"/>
                <w:szCs w:val="20"/>
              </w:rPr>
              <w:t>(%)</w:t>
            </w:r>
          </w:p>
        </w:tc>
        <w:tc>
          <w:tcPr>
            <w:tcW w:w="1134" w:type="dxa"/>
            <w:tcBorders>
              <w:top w:val="single" w:sz="4" w:space="0" w:color="auto"/>
              <w:left w:val="nil"/>
              <w:bottom w:val="single" w:sz="4" w:space="0" w:color="auto"/>
              <w:right w:val="single" w:sz="4" w:space="0" w:color="auto"/>
              <w:tl2br w:val="single" w:sz="4" w:space="0" w:color="auto"/>
            </w:tcBorders>
            <w:shd w:val="clear" w:color="auto" w:fill="auto"/>
            <w:hideMark/>
          </w:tcPr>
          <w:p w:rsidR="00635B2A" w:rsidRPr="00E95614" w:rsidRDefault="00635B2A">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w:t>
            </w:r>
            <w:r w:rsidR="00895779" w:rsidRPr="00E95614">
              <w:rPr>
                <w:rFonts w:ascii="Palatino Linotype" w:hAnsi="Palatino Linotype"/>
                <w:color w:val="000000"/>
                <w:sz w:val="20"/>
                <w:szCs w:val="20"/>
              </w:rPr>
              <w:t xml:space="preserve">  </w:t>
            </w:r>
            <w:r w:rsidRPr="00E95614">
              <w:rPr>
                <w:rFonts w:ascii="Palatino Linotype" w:hAnsi="Palatino Linotype"/>
                <w:color w:val="000000"/>
                <w:sz w:val="20"/>
                <w:szCs w:val="20"/>
              </w:rPr>
              <w:t>82.6</w:t>
            </w:r>
            <w:r w:rsidRPr="00E95614">
              <w:rPr>
                <w:rFonts w:ascii="Palatino Linotype" w:hAnsi="Palatino Linotype"/>
                <w:color w:val="000000"/>
                <w:sz w:val="20"/>
                <w:szCs w:val="20"/>
              </w:rPr>
              <w:br/>
              <w:t>98.2</w:t>
            </w:r>
          </w:p>
        </w:tc>
        <w:tc>
          <w:tcPr>
            <w:tcW w:w="992"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635B2A" w:rsidRPr="00E95614" w:rsidRDefault="00635B2A">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w:t>
            </w:r>
            <w:r w:rsidR="00895779" w:rsidRPr="00E95614">
              <w:rPr>
                <w:rFonts w:ascii="Palatino Linotype" w:hAnsi="Palatino Linotype"/>
                <w:color w:val="000000"/>
                <w:sz w:val="20"/>
                <w:szCs w:val="20"/>
              </w:rPr>
              <w:t xml:space="preserve">  </w:t>
            </w:r>
            <w:r w:rsidRPr="00E95614">
              <w:rPr>
                <w:rFonts w:ascii="Palatino Linotype" w:hAnsi="Palatino Linotype"/>
                <w:color w:val="000000"/>
                <w:sz w:val="20"/>
                <w:szCs w:val="20"/>
              </w:rPr>
              <w:t>83.9</w:t>
            </w:r>
            <w:r w:rsidRPr="00E95614">
              <w:rPr>
                <w:rFonts w:ascii="Palatino Linotype" w:hAnsi="Palatino Linotype"/>
                <w:color w:val="000000"/>
                <w:sz w:val="20"/>
                <w:szCs w:val="20"/>
              </w:rPr>
              <w:br/>
              <w:t>94.4</w:t>
            </w:r>
          </w:p>
        </w:tc>
        <w:tc>
          <w:tcPr>
            <w:tcW w:w="992"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635B2A" w:rsidRPr="00E95614" w:rsidRDefault="00635B2A">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w:t>
            </w:r>
            <w:r w:rsidR="00895779" w:rsidRPr="00E95614">
              <w:rPr>
                <w:rFonts w:ascii="Palatino Linotype" w:hAnsi="Palatino Linotype"/>
                <w:color w:val="000000"/>
                <w:sz w:val="20"/>
                <w:szCs w:val="20"/>
              </w:rPr>
              <w:t xml:space="preserve">  </w:t>
            </w:r>
            <w:r w:rsidRPr="00E95614">
              <w:rPr>
                <w:rFonts w:ascii="Palatino Linotype" w:hAnsi="Palatino Linotype"/>
                <w:color w:val="000000"/>
                <w:sz w:val="20"/>
                <w:szCs w:val="20"/>
              </w:rPr>
              <w:t xml:space="preserve"> 80.4</w:t>
            </w:r>
            <w:r w:rsidRPr="00E95614">
              <w:rPr>
                <w:rFonts w:ascii="Palatino Linotype" w:hAnsi="Palatino Linotype"/>
                <w:color w:val="000000"/>
                <w:sz w:val="20"/>
                <w:szCs w:val="20"/>
              </w:rPr>
              <w:br/>
              <w:t>83.5</w:t>
            </w:r>
          </w:p>
        </w:tc>
        <w:tc>
          <w:tcPr>
            <w:tcW w:w="993" w:type="dxa"/>
            <w:tcBorders>
              <w:top w:val="single" w:sz="4" w:space="0" w:color="auto"/>
              <w:left w:val="single" w:sz="4" w:space="0" w:color="auto"/>
              <w:bottom w:val="single" w:sz="4" w:space="0" w:color="auto"/>
              <w:right w:val="double" w:sz="4" w:space="0" w:color="auto"/>
              <w:tl2br w:val="single" w:sz="4" w:space="0" w:color="auto"/>
            </w:tcBorders>
            <w:shd w:val="clear" w:color="auto" w:fill="auto"/>
            <w:hideMark/>
          </w:tcPr>
          <w:p w:rsidR="00635B2A" w:rsidRPr="00E95614" w:rsidRDefault="00635B2A">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w:t>
            </w:r>
            <w:r w:rsidR="00895779" w:rsidRPr="00E95614">
              <w:rPr>
                <w:rFonts w:ascii="Palatino Linotype" w:hAnsi="Palatino Linotype"/>
                <w:color w:val="000000"/>
                <w:sz w:val="20"/>
                <w:szCs w:val="20"/>
              </w:rPr>
              <w:t xml:space="preserve">  </w:t>
            </w:r>
            <w:r w:rsidRPr="00E95614">
              <w:rPr>
                <w:rFonts w:ascii="Palatino Linotype" w:hAnsi="Palatino Linotype"/>
                <w:color w:val="000000"/>
                <w:sz w:val="20"/>
                <w:szCs w:val="20"/>
              </w:rPr>
              <w:t xml:space="preserve"> 80.6</w:t>
            </w:r>
            <w:r w:rsidRPr="00E95614">
              <w:rPr>
                <w:rFonts w:ascii="Palatino Linotype" w:hAnsi="Palatino Linotype"/>
                <w:color w:val="000000"/>
                <w:sz w:val="20"/>
                <w:szCs w:val="20"/>
              </w:rPr>
              <w:br/>
              <w:t>90.7</w:t>
            </w:r>
          </w:p>
        </w:tc>
        <w:tc>
          <w:tcPr>
            <w:tcW w:w="2126" w:type="dxa"/>
            <w:tcBorders>
              <w:top w:val="single" w:sz="4" w:space="0" w:color="auto"/>
              <w:left w:val="double" w:sz="4" w:space="0" w:color="auto"/>
              <w:bottom w:val="single" w:sz="4" w:space="0" w:color="auto"/>
              <w:right w:val="single" w:sz="4" w:space="0" w:color="auto"/>
              <w:tl2br w:val="single" w:sz="4" w:space="0" w:color="auto"/>
            </w:tcBorders>
            <w:shd w:val="clear" w:color="auto" w:fill="auto"/>
            <w:hideMark/>
          </w:tcPr>
          <w:p w:rsidR="00635B2A" w:rsidRPr="00E95614" w:rsidRDefault="00635B2A">
            <w:pPr>
              <w:rPr>
                <w:rFonts w:ascii="Palatino Linotype" w:eastAsia="SimSun" w:hAnsi="Palatino Linotype" w:cs="SimSun"/>
                <w:color w:val="000000"/>
                <w:sz w:val="20"/>
                <w:szCs w:val="20"/>
              </w:rPr>
            </w:pPr>
            <w:r w:rsidRPr="00E95614">
              <w:rPr>
                <w:rFonts w:ascii="Palatino Linotype" w:hAnsi="Palatino Linotype"/>
                <w:color w:val="000000"/>
                <w:sz w:val="20"/>
                <w:szCs w:val="20"/>
              </w:rPr>
              <w:t xml:space="preserve">    </w:t>
            </w:r>
            <w:r w:rsidR="00895779" w:rsidRPr="00E95614">
              <w:rPr>
                <w:rFonts w:ascii="Palatino Linotype" w:hAnsi="Palatino Linotype"/>
                <w:color w:val="000000"/>
                <w:sz w:val="20"/>
                <w:szCs w:val="20"/>
              </w:rPr>
              <w:t xml:space="preserve">          </w:t>
            </w:r>
            <w:r w:rsidRPr="00E95614">
              <w:rPr>
                <w:rFonts w:ascii="Palatino Linotype" w:hAnsi="Palatino Linotype"/>
                <w:color w:val="000000"/>
                <w:sz w:val="20"/>
                <w:szCs w:val="20"/>
              </w:rPr>
              <w:t>80.1</w:t>
            </w:r>
            <w:r w:rsidRPr="00E95614">
              <w:rPr>
                <w:rFonts w:ascii="Palatino Linotype" w:hAnsi="Palatino Linotype"/>
                <w:color w:val="000000"/>
                <w:sz w:val="20"/>
                <w:szCs w:val="20"/>
              </w:rPr>
              <w:br/>
              <w:t>86.8</w:t>
            </w:r>
          </w:p>
        </w:tc>
      </w:tr>
    </w:tbl>
    <w:p w:rsidR="00895779" w:rsidRPr="00E95614" w:rsidRDefault="00C527FC" w:rsidP="00E95614">
      <w:pPr>
        <w:pStyle w:val="NoSpacing"/>
        <w:rPr>
          <w:rFonts w:ascii="Palatino Linotype" w:hAnsi="Palatino Linotype"/>
          <w:lang w:val="en-GB"/>
        </w:rPr>
      </w:pPr>
      <w:r w:rsidRPr="00E95614">
        <w:rPr>
          <w:rFonts w:ascii="Palatino Linotype" w:hAnsi="Palatino Linotype"/>
          <w:lang w:val="en-GB"/>
        </w:rPr>
        <w:t xml:space="preserve">Notes: (1). </w:t>
      </w:r>
      <w:r w:rsidR="00F021D2" w:rsidRPr="00E95614">
        <w:rPr>
          <w:rFonts w:ascii="Palatino Linotype" w:hAnsi="Palatino Linotype"/>
          <w:lang w:val="en-GB"/>
        </w:rPr>
        <w:t>“</w:t>
      </w:r>
      <w:r w:rsidRPr="00E95614">
        <w:rPr>
          <w:rFonts w:ascii="Palatino Linotype" w:hAnsi="Palatino Linotype"/>
          <w:lang w:val="en-GB"/>
        </w:rPr>
        <w:t>L</w:t>
      </w:r>
      <w:r w:rsidR="00F021D2" w:rsidRPr="00E95614">
        <w:rPr>
          <w:rFonts w:ascii="Palatino Linotype" w:hAnsi="Palatino Linotype"/>
          <w:lang w:val="en-GB"/>
        </w:rPr>
        <w:t>”</w:t>
      </w:r>
      <w:r w:rsidR="00C63AFC" w:rsidRPr="00E95614">
        <w:rPr>
          <w:rFonts w:ascii="Palatino Linotype" w:hAnsi="Palatino Linotype"/>
          <w:lang w:val="en-GB"/>
        </w:rPr>
        <w:t xml:space="preserve"> denotes</w:t>
      </w:r>
      <w:r w:rsidRPr="00E95614">
        <w:rPr>
          <w:rFonts w:ascii="Palatino Linotype" w:hAnsi="Palatino Linotype"/>
          <w:lang w:val="en-GB"/>
        </w:rPr>
        <w:t xml:space="preserve"> low-rise project while </w:t>
      </w:r>
      <w:r w:rsidR="00F021D2" w:rsidRPr="00E95614">
        <w:rPr>
          <w:rFonts w:ascii="Palatino Linotype" w:hAnsi="Palatino Linotype"/>
          <w:lang w:val="en-GB"/>
        </w:rPr>
        <w:t>“</w:t>
      </w:r>
      <w:r w:rsidRPr="00E95614">
        <w:rPr>
          <w:rFonts w:ascii="Palatino Linotype" w:hAnsi="Palatino Linotype"/>
          <w:lang w:val="en-GB"/>
        </w:rPr>
        <w:t>H</w:t>
      </w:r>
      <w:r w:rsidR="00F021D2" w:rsidRPr="00E95614">
        <w:rPr>
          <w:rFonts w:ascii="Palatino Linotype" w:hAnsi="Palatino Linotype"/>
          <w:lang w:val="en-GB"/>
        </w:rPr>
        <w:t>”</w:t>
      </w:r>
      <w:r w:rsidRPr="00E95614">
        <w:rPr>
          <w:rFonts w:ascii="Palatino Linotype" w:hAnsi="Palatino Linotype"/>
          <w:lang w:val="en-GB"/>
        </w:rPr>
        <w:t xml:space="preserve"> high-rise one. </w:t>
      </w:r>
      <w:r w:rsidR="00147673" w:rsidRPr="00E95614">
        <w:rPr>
          <w:rFonts w:ascii="Palatino Linotype" w:hAnsi="Palatino Linotype"/>
          <w:lang w:val="en-GB"/>
        </w:rPr>
        <w:t xml:space="preserve">(2) </w:t>
      </w:r>
      <w:r w:rsidR="00E91F56" w:rsidRPr="00E95614">
        <w:rPr>
          <w:rFonts w:ascii="Palatino Linotype" w:hAnsi="Palatino Linotype"/>
          <w:lang w:val="en-GB"/>
        </w:rPr>
        <w:t>MR</w:t>
      </w:r>
      <w:r w:rsidR="00147673" w:rsidRPr="00E95614">
        <w:rPr>
          <w:rFonts w:ascii="Palatino Linotype" w:hAnsi="Palatino Linotype"/>
          <w:lang w:val="en-GB"/>
        </w:rPr>
        <w:t xml:space="preserve"> indicates the area</w:t>
      </w:r>
      <w:r w:rsidR="00C63AFC" w:rsidRPr="00E95614">
        <w:rPr>
          <w:rFonts w:ascii="Palatino Linotype" w:hAnsi="Palatino Linotype"/>
          <w:lang w:val="en-GB"/>
        </w:rPr>
        <w:t>s</w:t>
      </w:r>
      <w:r w:rsidR="00147673" w:rsidRPr="00E95614">
        <w:rPr>
          <w:rFonts w:ascii="Palatino Linotype" w:hAnsi="Palatino Linotype"/>
          <w:lang w:val="en-GB"/>
        </w:rPr>
        <w:t xml:space="preserve"> between Inner-Ring and Middle-Ring</w:t>
      </w:r>
      <w:r w:rsidR="00E91F56" w:rsidRPr="00E95614">
        <w:rPr>
          <w:rFonts w:ascii="Palatino Linotype" w:hAnsi="Palatino Linotype"/>
          <w:lang w:val="en-GB"/>
        </w:rPr>
        <w:t>,</w:t>
      </w:r>
      <w:r w:rsidR="00147673" w:rsidRPr="00E95614">
        <w:rPr>
          <w:rFonts w:ascii="Palatino Linotype" w:hAnsi="Palatino Linotype"/>
          <w:lang w:val="en-GB"/>
        </w:rPr>
        <w:t xml:space="preserve"> while </w:t>
      </w:r>
      <w:r w:rsidR="00E91F56" w:rsidRPr="00E95614">
        <w:rPr>
          <w:rFonts w:ascii="Palatino Linotype" w:hAnsi="Palatino Linotype"/>
          <w:lang w:val="en-GB"/>
        </w:rPr>
        <w:t xml:space="preserve">OR </w:t>
      </w:r>
      <w:r w:rsidR="00147673" w:rsidRPr="00E95614">
        <w:rPr>
          <w:rFonts w:ascii="Palatino Linotype" w:hAnsi="Palatino Linotype"/>
          <w:lang w:val="en-GB"/>
        </w:rPr>
        <w:t>the area</w:t>
      </w:r>
      <w:r w:rsidR="00C63AFC" w:rsidRPr="00E95614">
        <w:rPr>
          <w:rFonts w:ascii="Palatino Linotype" w:hAnsi="Palatino Linotype"/>
          <w:lang w:val="en-GB"/>
        </w:rPr>
        <w:t>s</w:t>
      </w:r>
      <w:r w:rsidR="00147673" w:rsidRPr="00E95614">
        <w:rPr>
          <w:rFonts w:ascii="Palatino Linotype" w:hAnsi="Palatino Linotype"/>
          <w:lang w:val="en-GB"/>
        </w:rPr>
        <w:t xml:space="preserve"> between Middle-Ring and Outer-Ring </w:t>
      </w:r>
      <w:r w:rsidR="00E91F56" w:rsidRPr="00E95614">
        <w:rPr>
          <w:rFonts w:ascii="Palatino Linotype" w:hAnsi="Palatino Linotype"/>
          <w:lang w:val="en-GB"/>
        </w:rPr>
        <w:t xml:space="preserve">and SR </w:t>
      </w:r>
      <w:r w:rsidR="00147673" w:rsidRPr="00E95614">
        <w:rPr>
          <w:rFonts w:ascii="Palatino Linotype" w:hAnsi="Palatino Linotype"/>
          <w:lang w:val="en-GB"/>
        </w:rPr>
        <w:t>the area</w:t>
      </w:r>
      <w:r w:rsidR="00C63AFC" w:rsidRPr="00E95614">
        <w:rPr>
          <w:rFonts w:ascii="Palatino Linotype" w:hAnsi="Palatino Linotype"/>
          <w:lang w:val="en-GB"/>
        </w:rPr>
        <w:t>s</w:t>
      </w:r>
      <w:r w:rsidR="00147673" w:rsidRPr="00E95614">
        <w:rPr>
          <w:rFonts w:ascii="Palatino Linotype" w:hAnsi="Palatino Linotype"/>
          <w:lang w:val="en-GB"/>
        </w:rPr>
        <w:t xml:space="preserve"> between Outer-Ring and Suburban-Ring.</w:t>
      </w:r>
      <w:r w:rsidR="00E91F56" w:rsidRPr="00E95614">
        <w:rPr>
          <w:rFonts w:ascii="Palatino Linotype" w:hAnsi="Palatino Linotype"/>
          <w:lang w:val="en-GB"/>
        </w:rPr>
        <w:t xml:space="preserve"> OSR </w:t>
      </w:r>
      <w:r w:rsidR="00147673" w:rsidRPr="00E95614">
        <w:rPr>
          <w:rFonts w:ascii="Palatino Linotype" w:hAnsi="Palatino Linotype"/>
          <w:lang w:val="en-GB"/>
        </w:rPr>
        <w:t>indicates the area</w:t>
      </w:r>
      <w:r w:rsidR="00C63AFC" w:rsidRPr="00E95614">
        <w:rPr>
          <w:rFonts w:ascii="Palatino Linotype" w:hAnsi="Palatino Linotype"/>
          <w:lang w:val="en-GB"/>
        </w:rPr>
        <w:t>s</w:t>
      </w:r>
      <w:r w:rsidR="00E91F56" w:rsidRPr="00E95614">
        <w:rPr>
          <w:rFonts w:ascii="Palatino Linotype" w:hAnsi="Palatino Linotype"/>
          <w:lang w:val="en-GB"/>
        </w:rPr>
        <w:t xml:space="preserve"> outside of Suburban Ring.</w:t>
      </w:r>
    </w:p>
    <w:p w:rsidR="00E95614" w:rsidRDefault="00E95614">
      <w:pPr>
        <w:spacing w:after="120" w:line="276" w:lineRule="auto"/>
        <w:ind w:firstLine="360"/>
        <w:jc w:val="left"/>
        <w:rPr>
          <w:rFonts w:ascii="Palatino Linotype" w:eastAsia="Calibri" w:hAnsi="Palatino Linotype" w:cs="Calibri"/>
          <w:sz w:val="22"/>
          <w:lang w:val="en-GB"/>
        </w:rPr>
      </w:pPr>
    </w:p>
    <w:p w:rsidR="0014748A" w:rsidRPr="00803973" w:rsidRDefault="00895779">
      <w:pPr>
        <w:spacing w:after="120" w:line="276" w:lineRule="auto"/>
        <w:ind w:firstLine="360"/>
        <w:jc w:val="left"/>
        <w:rPr>
          <w:rFonts w:ascii="Palatino Linotype" w:eastAsia="Calibri" w:hAnsi="Palatino Linotype" w:cs="Calibri"/>
          <w:sz w:val="22"/>
          <w:lang w:val="en-GB"/>
        </w:rPr>
      </w:pPr>
      <w:r w:rsidRPr="00803973">
        <w:rPr>
          <w:rFonts w:ascii="Palatino Linotype" w:eastAsia="Calibri" w:hAnsi="Palatino Linotype" w:cs="Calibri"/>
          <w:sz w:val="22"/>
          <w:lang w:val="en-GB"/>
        </w:rPr>
        <w:t xml:space="preserve">Table </w:t>
      </w:r>
      <w:r w:rsidR="0038773A" w:rsidRPr="00803973">
        <w:rPr>
          <w:rFonts w:ascii="Palatino Linotype" w:eastAsia="Calibri" w:hAnsi="Palatino Linotype" w:cs="Calibri"/>
          <w:sz w:val="22"/>
          <w:lang w:val="en-GB"/>
        </w:rPr>
        <w:t>5</w:t>
      </w:r>
      <w:r w:rsidRPr="00803973">
        <w:rPr>
          <w:rFonts w:ascii="Palatino Linotype" w:eastAsia="Calibri" w:hAnsi="Palatino Linotype" w:cs="Calibri"/>
          <w:sz w:val="22"/>
          <w:lang w:val="en-GB"/>
        </w:rPr>
        <w:t xml:space="preserve"> details the mean supply quantity and </w:t>
      </w:r>
      <w:r w:rsidR="00906A60" w:rsidRPr="00803973">
        <w:rPr>
          <w:rFonts w:ascii="Palatino Linotype" w:eastAsia="Calibri" w:hAnsi="Palatino Linotype" w:cs="Calibri"/>
          <w:sz w:val="22"/>
          <w:lang w:val="en-GB"/>
        </w:rPr>
        <w:t xml:space="preserve">supply </w:t>
      </w:r>
      <w:r w:rsidR="00801BE9" w:rsidRPr="00803973">
        <w:rPr>
          <w:rFonts w:ascii="Palatino Linotype" w:eastAsia="Calibri" w:hAnsi="Palatino Linotype" w:cs="Calibri"/>
          <w:sz w:val="22"/>
          <w:lang w:val="en-GB"/>
        </w:rPr>
        <w:t>time, the p</w:t>
      </w:r>
      <w:r w:rsidRPr="00803973">
        <w:rPr>
          <w:rFonts w:ascii="Palatino Linotype" w:eastAsia="Calibri" w:hAnsi="Palatino Linotype" w:cs="Calibri"/>
          <w:sz w:val="22"/>
          <w:lang w:val="en-GB"/>
        </w:rPr>
        <w:t xml:space="preserve">lot size, the plot ratio and the allowed area </w:t>
      </w:r>
      <w:r w:rsidR="00906A60" w:rsidRPr="00803973">
        <w:rPr>
          <w:rFonts w:ascii="Palatino Linotype" w:eastAsia="Calibri" w:hAnsi="Palatino Linotype" w:cs="Calibri"/>
          <w:sz w:val="22"/>
          <w:lang w:val="en-GB"/>
        </w:rPr>
        <w:t xml:space="preserve">per project </w:t>
      </w:r>
      <w:r w:rsidRPr="00803973">
        <w:rPr>
          <w:rFonts w:ascii="Palatino Linotype" w:eastAsia="Calibri" w:hAnsi="Palatino Linotype" w:cs="Calibri"/>
          <w:sz w:val="22"/>
          <w:lang w:val="en-GB"/>
        </w:rPr>
        <w:t xml:space="preserve">in four sub-suburb </w:t>
      </w:r>
      <w:r w:rsidR="002F41C7" w:rsidRPr="00803973">
        <w:rPr>
          <w:rFonts w:ascii="Palatino Linotype" w:eastAsia="Calibri" w:hAnsi="Palatino Linotype" w:cs="Calibri"/>
          <w:sz w:val="22"/>
          <w:lang w:val="en-GB"/>
        </w:rPr>
        <w:t>locales divi</w:t>
      </w:r>
      <w:r w:rsidR="00906A60" w:rsidRPr="00803973">
        <w:rPr>
          <w:rFonts w:ascii="Palatino Linotype" w:eastAsia="Calibri" w:hAnsi="Palatino Linotype" w:cs="Calibri"/>
          <w:sz w:val="22"/>
          <w:lang w:val="en-GB"/>
        </w:rPr>
        <w:t>ded by three ring roads (</w:t>
      </w:r>
      <w:r w:rsidR="002F41C7" w:rsidRPr="00803973">
        <w:rPr>
          <w:rFonts w:ascii="Palatino Linotype" w:eastAsia="Calibri" w:hAnsi="Palatino Linotype" w:cs="Calibri"/>
          <w:sz w:val="22"/>
          <w:lang w:val="en-GB"/>
        </w:rPr>
        <w:t xml:space="preserve">see </w:t>
      </w:r>
      <w:r w:rsidR="00A83AC7" w:rsidRPr="00803973">
        <w:rPr>
          <w:rFonts w:ascii="Palatino Linotype" w:eastAsia="Calibri" w:hAnsi="Palatino Linotype" w:cs="Calibri"/>
          <w:sz w:val="22"/>
          <w:lang w:val="en-GB"/>
        </w:rPr>
        <w:t>Figure 1</w:t>
      </w:r>
      <w:r w:rsidR="002F41C7" w:rsidRPr="00803973">
        <w:rPr>
          <w:rFonts w:ascii="Palatino Linotype" w:eastAsia="Calibri" w:hAnsi="Palatino Linotype" w:cs="Calibri"/>
          <w:sz w:val="22"/>
          <w:lang w:val="en-GB"/>
        </w:rPr>
        <w:t xml:space="preserve">). </w:t>
      </w:r>
      <w:r w:rsidR="0085668B" w:rsidRPr="00803973">
        <w:rPr>
          <w:rFonts w:ascii="Palatino Linotype" w:eastAsia="Calibri" w:hAnsi="Palatino Linotype" w:cs="Calibri"/>
          <w:sz w:val="22"/>
          <w:lang w:val="en-GB"/>
        </w:rPr>
        <w:t xml:space="preserve">The distribution of the numbers of project appears to embody </w:t>
      </w:r>
      <w:r w:rsidR="00906A60" w:rsidRPr="00803973">
        <w:rPr>
          <w:rFonts w:ascii="Palatino Linotype" w:eastAsia="Calibri" w:hAnsi="Palatino Linotype" w:cs="Calibri"/>
          <w:sz w:val="22"/>
          <w:lang w:val="en-GB"/>
        </w:rPr>
        <w:t>the sprawl of the city with significant amount of</w:t>
      </w:r>
      <w:r w:rsidR="009B63C7" w:rsidRPr="00803973">
        <w:rPr>
          <w:rFonts w:ascii="Palatino Linotype" w:eastAsia="Calibri" w:hAnsi="Palatino Linotype" w:cs="Calibri"/>
          <w:sz w:val="22"/>
          <w:lang w:val="en-GB"/>
        </w:rPr>
        <w:t xml:space="preserve"> </w:t>
      </w:r>
      <w:r w:rsidR="0085668B" w:rsidRPr="00803973">
        <w:rPr>
          <w:rFonts w:ascii="Palatino Linotype" w:eastAsia="Calibri" w:hAnsi="Palatino Linotype" w:cs="Calibri"/>
          <w:sz w:val="22"/>
          <w:lang w:val="en-GB"/>
        </w:rPr>
        <w:t xml:space="preserve">high-rise residential </w:t>
      </w:r>
      <w:r w:rsidR="00906A60" w:rsidRPr="00803973">
        <w:rPr>
          <w:rFonts w:ascii="Palatino Linotype" w:eastAsia="Calibri" w:hAnsi="Palatino Linotype" w:cs="Calibri"/>
          <w:sz w:val="22"/>
          <w:lang w:val="en-GB"/>
        </w:rPr>
        <w:t>blocks are constructed outside of the Inner-Ring</w:t>
      </w:r>
      <w:r w:rsidR="003F4B19" w:rsidRPr="00803973">
        <w:rPr>
          <w:rFonts w:ascii="Palatino Linotype" w:eastAsia="Calibri" w:hAnsi="Palatino Linotype" w:cs="Calibri"/>
          <w:sz w:val="22"/>
          <w:lang w:val="en-GB"/>
        </w:rPr>
        <w:t>. But the amount</w:t>
      </w:r>
      <w:r w:rsidR="009B63C7" w:rsidRPr="00803973">
        <w:rPr>
          <w:rFonts w:ascii="Palatino Linotype" w:eastAsia="Calibri" w:hAnsi="Palatino Linotype" w:cs="Calibri"/>
          <w:sz w:val="22"/>
          <w:lang w:val="en-GB"/>
        </w:rPr>
        <w:t xml:space="preserve"> of high-ris</w:t>
      </w:r>
      <w:r w:rsidR="00FF1108" w:rsidRPr="00803973">
        <w:rPr>
          <w:rFonts w:ascii="Palatino Linotype" w:eastAsia="Calibri" w:hAnsi="Palatino Linotype" w:cs="Calibri"/>
          <w:sz w:val="22"/>
          <w:lang w:val="en-GB"/>
        </w:rPr>
        <w:t>e projects drops abruptly Outside</w:t>
      </w:r>
      <w:r w:rsidR="009B63C7" w:rsidRPr="00803973">
        <w:rPr>
          <w:rFonts w:ascii="Palatino Linotype" w:eastAsia="Calibri" w:hAnsi="Palatino Linotype" w:cs="Calibri"/>
          <w:sz w:val="22"/>
          <w:lang w:val="en-GB"/>
        </w:rPr>
        <w:t xml:space="preserve"> Suburb</w:t>
      </w:r>
      <w:r w:rsidR="00816598" w:rsidRPr="00803973">
        <w:rPr>
          <w:rFonts w:ascii="Palatino Linotype" w:eastAsia="Calibri" w:hAnsi="Palatino Linotype" w:cs="Calibri"/>
          <w:sz w:val="22"/>
          <w:lang w:val="en-GB"/>
        </w:rPr>
        <w:t>an</w:t>
      </w:r>
      <w:r w:rsidR="009B63C7" w:rsidRPr="00803973">
        <w:rPr>
          <w:rFonts w:ascii="Palatino Linotype" w:eastAsia="Calibri" w:hAnsi="Palatino Linotype" w:cs="Calibri"/>
          <w:sz w:val="22"/>
          <w:lang w:val="en-GB"/>
        </w:rPr>
        <w:t xml:space="preserve">-Ring </w:t>
      </w:r>
      <w:r w:rsidR="000A090F" w:rsidRPr="00803973">
        <w:rPr>
          <w:rFonts w:ascii="Palatino Linotype" w:eastAsia="Calibri" w:hAnsi="Palatino Linotype" w:cs="Calibri"/>
          <w:sz w:val="22"/>
          <w:lang w:val="en-GB"/>
        </w:rPr>
        <w:t>(OSR) despite much larger space OSR</w:t>
      </w:r>
      <w:r w:rsidR="009B63C7" w:rsidRPr="00803973">
        <w:rPr>
          <w:rFonts w:ascii="Palatino Linotype" w:eastAsia="Calibri" w:hAnsi="Palatino Linotype" w:cs="Calibri"/>
          <w:sz w:val="22"/>
          <w:lang w:val="en-GB"/>
        </w:rPr>
        <w:t xml:space="preserve"> covers</w:t>
      </w:r>
      <w:r w:rsidR="003F4B19" w:rsidRPr="00803973">
        <w:rPr>
          <w:rFonts w:ascii="Palatino Linotype" w:eastAsia="Calibri" w:hAnsi="Palatino Linotype" w:cs="Calibri"/>
          <w:sz w:val="22"/>
          <w:lang w:val="en-GB"/>
        </w:rPr>
        <w:t xml:space="preserve"> (project number falls from 94 to 34)</w:t>
      </w:r>
      <w:r w:rsidR="00CC6656" w:rsidRPr="00803973">
        <w:rPr>
          <w:rFonts w:ascii="Palatino Linotype" w:eastAsia="Calibri" w:hAnsi="Palatino Linotype" w:cs="Calibri"/>
          <w:sz w:val="22"/>
          <w:lang w:val="en-GB"/>
        </w:rPr>
        <w:t>. This</w:t>
      </w:r>
      <w:r w:rsidR="009B165E" w:rsidRPr="00803973">
        <w:rPr>
          <w:rFonts w:ascii="Palatino Linotype" w:eastAsia="Calibri" w:hAnsi="Palatino Linotype" w:cs="Calibri"/>
          <w:sz w:val="22"/>
          <w:lang w:val="en-GB"/>
        </w:rPr>
        <w:t xml:space="preserve"> may contribute to the lower</w:t>
      </w:r>
      <w:r w:rsidR="00396C14" w:rsidRPr="00803973">
        <w:rPr>
          <w:rFonts w:ascii="Palatino Linotype" w:eastAsia="Calibri" w:hAnsi="Palatino Linotype" w:cs="Calibri"/>
          <w:sz w:val="22"/>
          <w:lang w:val="en-GB"/>
        </w:rPr>
        <w:t xml:space="preserve"> mean supply quantity of high-rise in suburb as a w</w:t>
      </w:r>
      <w:r w:rsidR="009B165E" w:rsidRPr="00803973">
        <w:rPr>
          <w:rFonts w:ascii="Palatino Linotype" w:eastAsia="Calibri" w:hAnsi="Palatino Linotype" w:cs="Calibri"/>
          <w:sz w:val="22"/>
          <w:lang w:val="en-GB"/>
        </w:rPr>
        <w:t>hole</w:t>
      </w:r>
      <w:r w:rsidR="000A090F" w:rsidRPr="00803973">
        <w:rPr>
          <w:rFonts w:ascii="Palatino Linotype" w:eastAsia="Calibri" w:hAnsi="Palatino Linotype" w:cs="Calibri"/>
          <w:sz w:val="22"/>
          <w:lang w:val="en-GB"/>
        </w:rPr>
        <w:t xml:space="preserve"> (73.8 Vs 75.8)</w:t>
      </w:r>
      <w:r w:rsidR="00396C14" w:rsidRPr="00803973">
        <w:rPr>
          <w:rFonts w:ascii="Palatino Linotype" w:eastAsia="Calibri" w:hAnsi="Palatino Linotype" w:cs="Calibri"/>
          <w:sz w:val="22"/>
          <w:lang w:val="en-GB"/>
        </w:rPr>
        <w:t xml:space="preserve">. </w:t>
      </w:r>
      <w:r w:rsidR="00741FE2" w:rsidRPr="00803973">
        <w:rPr>
          <w:rFonts w:ascii="Palatino Linotype" w:eastAsia="Calibri" w:hAnsi="Palatino Linotype" w:cs="Calibri"/>
          <w:sz w:val="22"/>
          <w:lang w:val="en-GB"/>
        </w:rPr>
        <w:t>Given that the mean allowed areas of high-rise in four regions are uniformly la</w:t>
      </w:r>
      <w:r w:rsidR="009B165E" w:rsidRPr="00803973">
        <w:rPr>
          <w:rFonts w:ascii="Palatino Linotype" w:eastAsia="Calibri" w:hAnsi="Palatino Linotype" w:cs="Calibri"/>
          <w:sz w:val="22"/>
          <w:lang w:val="en-GB"/>
        </w:rPr>
        <w:t>rger than that of low-rise, it appear</w:t>
      </w:r>
      <w:r w:rsidR="00741FE2" w:rsidRPr="00803973">
        <w:rPr>
          <w:rFonts w:ascii="Palatino Linotype" w:eastAsia="Calibri" w:hAnsi="Palatino Linotype" w:cs="Calibri"/>
          <w:sz w:val="22"/>
          <w:lang w:val="en-GB"/>
        </w:rPr>
        <w:t>s easy to conclude that the lower supply</w:t>
      </w:r>
      <w:r w:rsidR="00BE7A8D" w:rsidRPr="00803973">
        <w:rPr>
          <w:rFonts w:ascii="Palatino Linotype" w:eastAsia="Calibri" w:hAnsi="Palatino Linotype" w:cs="Calibri"/>
          <w:sz w:val="22"/>
          <w:lang w:val="en-GB"/>
        </w:rPr>
        <w:t xml:space="preserve"> quantity of high-rise stems from</w:t>
      </w:r>
      <w:r w:rsidR="00741FE2" w:rsidRPr="00803973">
        <w:rPr>
          <w:rFonts w:ascii="Palatino Linotype" w:eastAsia="Calibri" w:hAnsi="Palatino Linotype" w:cs="Calibri"/>
          <w:sz w:val="22"/>
          <w:lang w:val="en-GB"/>
        </w:rPr>
        <w:t xml:space="preserve"> </w:t>
      </w:r>
      <w:r w:rsidR="000A090F" w:rsidRPr="00803973">
        <w:rPr>
          <w:rFonts w:ascii="Palatino Linotype" w:eastAsia="Calibri" w:hAnsi="Palatino Linotype" w:cs="Calibri"/>
          <w:sz w:val="22"/>
          <w:lang w:val="en-GB"/>
        </w:rPr>
        <w:t xml:space="preserve">its </w:t>
      </w:r>
      <w:r w:rsidR="009B165E" w:rsidRPr="00803973">
        <w:rPr>
          <w:rFonts w:ascii="Palatino Linotype" w:eastAsia="Calibri" w:hAnsi="Palatino Linotype" w:cs="Calibri"/>
          <w:sz w:val="22"/>
          <w:lang w:val="en-GB"/>
        </w:rPr>
        <w:t>noticeably</w:t>
      </w:r>
      <w:r w:rsidR="00C669ED" w:rsidRPr="00803973">
        <w:rPr>
          <w:rFonts w:ascii="Palatino Linotype" w:eastAsia="Calibri" w:hAnsi="Palatino Linotype" w:cs="Calibri"/>
          <w:sz w:val="22"/>
          <w:lang w:val="en-GB"/>
        </w:rPr>
        <w:t xml:space="preserve"> </w:t>
      </w:r>
      <w:r w:rsidR="00741FE2" w:rsidRPr="00803973">
        <w:rPr>
          <w:rFonts w:ascii="Palatino Linotype" w:eastAsia="Calibri" w:hAnsi="Palatino Linotype" w:cs="Calibri"/>
          <w:sz w:val="22"/>
          <w:lang w:val="en-GB"/>
        </w:rPr>
        <w:t xml:space="preserve">lower utilization </w:t>
      </w:r>
      <w:r w:rsidR="000A090F" w:rsidRPr="00803973">
        <w:rPr>
          <w:rFonts w:ascii="Palatino Linotype" w:eastAsia="Calibri" w:hAnsi="Palatino Linotype" w:cs="Calibri"/>
          <w:sz w:val="22"/>
          <w:lang w:val="en-GB"/>
        </w:rPr>
        <w:t xml:space="preserve">of the </w:t>
      </w:r>
      <w:r w:rsidR="00741FE2" w:rsidRPr="00803973">
        <w:rPr>
          <w:rFonts w:ascii="Palatino Linotype" w:eastAsia="Calibri" w:hAnsi="Palatino Linotype" w:cs="Calibri"/>
          <w:sz w:val="22"/>
          <w:lang w:val="en-GB"/>
        </w:rPr>
        <w:t>allowed area.</w:t>
      </w:r>
    </w:p>
    <w:p w:rsidR="006A3F59" w:rsidRPr="00803973" w:rsidRDefault="00BE7A8D">
      <w:pPr>
        <w:spacing w:after="120" w:line="276" w:lineRule="auto"/>
        <w:ind w:firstLine="360"/>
        <w:jc w:val="left"/>
        <w:rPr>
          <w:rFonts w:ascii="Palatino Linotype" w:hAnsi="Palatino Linotype" w:cs="Calibri"/>
          <w:sz w:val="22"/>
          <w:lang w:val="en-GB"/>
        </w:rPr>
      </w:pPr>
      <w:r w:rsidRPr="00803973">
        <w:rPr>
          <w:rFonts w:ascii="Palatino Linotype" w:eastAsia="Calibri" w:hAnsi="Palatino Linotype" w:cs="Calibri"/>
          <w:sz w:val="22"/>
          <w:lang w:val="en-GB"/>
        </w:rPr>
        <w:t xml:space="preserve">The supply time of low-rise in </w:t>
      </w:r>
      <w:r w:rsidR="00CC6656" w:rsidRPr="00803973">
        <w:rPr>
          <w:rFonts w:ascii="Palatino Linotype" w:eastAsia="Calibri" w:hAnsi="Palatino Linotype" w:cs="Calibri"/>
          <w:sz w:val="22"/>
          <w:lang w:val="en-GB"/>
        </w:rPr>
        <w:t xml:space="preserve">the </w:t>
      </w:r>
      <w:r w:rsidRPr="00803973">
        <w:rPr>
          <w:rFonts w:ascii="Palatino Linotype" w:eastAsia="Calibri" w:hAnsi="Palatino Linotype" w:cs="Calibri"/>
          <w:sz w:val="22"/>
          <w:lang w:val="en-GB"/>
        </w:rPr>
        <w:t xml:space="preserve">suburb is longer than that of high-rise in suburb. </w:t>
      </w:r>
      <w:r w:rsidR="00895779" w:rsidRPr="00803973">
        <w:rPr>
          <w:rFonts w:ascii="Palatino Linotype" w:hAnsi="Palatino Linotype" w:cs="Calibri"/>
          <w:sz w:val="22"/>
          <w:lang w:val="en-GB"/>
        </w:rPr>
        <w:t xml:space="preserve">Generally speaking, high-rise building is more time-consuming to develop than low-rise one due to its complexity in terms of construction procurement and the impacts on surrounding areas. This may </w:t>
      </w:r>
      <w:r w:rsidR="00CC6656" w:rsidRPr="00803973">
        <w:rPr>
          <w:rFonts w:ascii="Palatino Linotype" w:hAnsi="Palatino Linotype" w:cs="Calibri"/>
          <w:sz w:val="22"/>
          <w:lang w:val="en-GB"/>
        </w:rPr>
        <w:t>have less influence in relatively open/clear suburbs</w:t>
      </w:r>
      <w:r w:rsidR="00895779" w:rsidRPr="00803973">
        <w:rPr>
          <w:rFonts w:ascii="Palatino Linotype" w:hAnsi="Palatino Linotype" w:cs="Calibri"/>
          <w:sz w:val="22"/>
          <w:lang w:val="en-GB"/>
        </w:rPr>
        <w:t xml:space="preserve"> where a considerable proportion of high-rise buildings are in fact </w:t>
      </w:r>
      <w:r w:rsidR="00895779" w:rsidRPr="00803973">
        <w:rPr>
          <w:rFonts w:ascii="Palatino Linotype" w:hAnsi="Palatino Linotype" w:cs="Calibri"/>
          <w:sz w:val="22"/>
          <w:lang w:val="en-GB"/>
        </w:rPr>
        <w:lastRenderedPageBreak/>
        <w:t>moderately high. These so called “</w:t>
      </w:r>
      <w:r w:rsidR="00F01610" w:rsidRPr="00803973">
        <w:rPr>
          <w:rFonts w:ascii="Palatino Linotype" w:hAnsi="Palatino Linotype" w:cs="Calibri"/>
          <w:sz w:val="22"/>
          <w:lang w:val="en-GB"/>
        </w:rPr>
        <w:t>mid</w:t>
      </w:r>
      <w:r w:rsidR="00895779" w:rsidRPr="00803973">
        <w:rPr>
          <w:rFonts w:ascii="Palatino Linotype" w:hAnsi="Palatino Linotype" w:cs="Calibri"/>
          <w:sz w:val="22"/>
          <w:lang w:val="en-GB"/>
        </w:rPr>
        <w:t>-rise apartment</w:t>
      </w:r>
      <w:r w:rsidR="005B483A" w:rsidRPr="00803973">
        <w:rPr>
          <w:rFonts w:ascii="Palatino Linotype" w:hAnsi="Palatino Linotype" w:cs="Calibri"/>
          <w:sz w:val="22"/>
          <w:lang w:val="en-GB"/>
        </w:rPr>
        <w:t>s</w:t>
      </w:r>
      <w:r w:rsidR="00895779" w:rsidRPr="00803973">
        <w:rPr>
          <w:rFonts w:ascii="Palatino Linotype" w:hAnsi="Palatino Linotype" w:cs="Calibri"/>
          <w:sz w:val="22"/>
          <w:lang w:val="en-GB"/>
        </w:rPr>
        <w:t xml:space="preserve">” </w:t>
      </w:r>
      <w:r w:rsidR="00F01610" w:rsidRPr="00803973">
        <w:rPr>
          <w:rFonts w:ascii="Palatino Linotype" w:hAnsi="Palatino Linotype" w:cs="Calibri"/>
          <w:sz w:val="22"/>
          <w:lang w:val="en-GB"/>
        </w:rPr>
        <w:t xml:space="preserve">(or popularly called “mini high-rise) </w:t>
      </w:r>
      <w:r w:rsidR="00895779" w:rsidRPr="00803973">
        <w:rPr>
          <w:rFonts w:ascii="Palatino Linotype" w:hAnsi="Palatino Linotype" w:cs="Calibri"/>
          <w:sz w:val="22"/>
          <w:lang w:val="en-GB"/>
        </w:rPr>
        <w:t>ha</w:t>
      </w:r>
      <w:r w:rsidR="005B483A" w:rsidRPr="00803973">
        <w:rPr>
          <w:rFonts w:ascii="Palatino Linotype" w:hAnsi="Palatino Linotype" w:cs="Calibri"/>
          <w:sz w:val="22"/>
          <w:lang w:val="en-GB"/>
        </w:rPr>
        <w:t>ve</w:t>
      </w:r>
      <w:r w:rsidR="00895779" w:rsidRPr="00803973">
        <w:rPr>
          <w:rFonts w:ascii="Palatino Linotype" w:hAnsi="Palatino Linotype" w:cs="Calibri"/>
          <w:sz w:val="22"/>
          <w:lang w:val="en-GB"/>
        </w:rPr>
        <w:t xml:space="preserve"> recently been in vogue. It is usually 7-14 storeys high with </w:t>
      </w:r>
      <w:r w:rsidR="00F01610" w:rsidRPr="00803973">
        <w:rPr>
          <w:rFonts w:ascii="Palatino Linotype" w:hAnsi="Palatino Linotype" w:cs="Calibri"/>
          <w:sz w:val="22"/>
          <w:lang w:val="en-GB"/>
        </w:rPr>
        <w:t>a plot ratio between 1.5 and 2.0</w:t>
      </w:r>
      <w:r w:rsidR="00895779" w:rsidRPr="00803973">
        <w:rPr>
          <w:rFonts w:ascii="Palatino Linotype" w:hAnsi="Palatino Linotype" w:cs="Calibri"/>
          <w:sz w:val="22"/>
          <w:lang w:val="en-GB"/>
        </w:rPr>
        <w:t>, possessing the merits of both low-rise and high-rise buildings.</w:t>
      </w:r>
    </w:p>
    <w:p w:rsidR="0014748A" w:rsidRPr="00803973" w:rsidRDefault="00CB5ECE">
      <w:pPr>
        <w:spacing w:after="120" w:line="276" w:lineRule="auto"/>
        <w:ind w:firstLine="360"/>
        <w:jc w:val="left"/>
        <w:rPr>
          <w:rFonts w:ascii="Palatino Linotype" w:hAnsi="Palatino Linotype" w:cs="Calibri"/>
          <w:sz w:val="22"/>
          <w:lang w:val="en-GB"/>
        </w:rPr>
      </w:pPr>
      <w:r w:rsidRPr="00803973">
        <w:rPr>
          <w:rFonts w:ascii="Palatino Linotype" w:hAnsi="Palatino Linotype" w:cs="Calibri"/>
          <w:sz w:val="22"/>
          <w:lang w:val="en-GB"/>
        </w:rPr>
        <w:t xml:space="preserve"> The </w:t>
      </w:r>
      <w:r w:rsidR="000C266E" w:rsidRPr="00803973">
        <w:rPr>
          <w:rFonts w:ascii="Palatino Linotype" w:hAnsi="Palatino Linotype" w:cs="Calibri"/>
          <w:sz w:val="22"/>
          <w:lang w:val="en-GB"/>
        </w:rPr>
        <w:t xml:space="preserve">above </w:t>
      </w:r>
      <w:r w:rsidR="006A3F59" w:rsidRPr="00803973">
        <w:rPr>
          <w:rFonts w:ascii="Palatino Linotype" w:hAnsi="Palatino Linotype" w:cs="Calibri"/>
          <w:sz w:val="22"/>
          <w:lang w:val="en-GB"/>
        </w:rPr>
        <w:t xml:space="preserve">comparison of supply time for the two categories </w:t>
      </w:r>
      <w:r w:rsidRPr="00803973">
        <w:rPr>
          <w:rFonts w:ascii="Palatino Linotype" w:hAnsi="Palatino Linotype" w:cs="Calibri"/>
          <w:sz w:val="22"/>
          <w:lang w:val="en-GB"/>
        </w:rPr>
        <w:t xml:space="preserve">is actually </w:t>
      </w:r>
      <w:r w:rsidR="006A3F59" w:rsidRPr="00803973">
        <w:rPr>
          <w:rFonts w:ascii="Palatino Linotype" w:hAnsi="Palatino Linotype" w:cs="Calibri"/>
          <w:sz w:val="22"/>
          <w:lang w:val="en-GB"/>
        </w:rPr>
        <w:t xml:space="preserve">based on “total period” which spans from land leasing to the last sale. The inclusion of marketing time may complicate </w:t>
      </w:r>
      <w:r w:rsidR="00B02850" w:rsidRPr="00803973">
        <w:rPr>
          <w:rFonts w:ascii="Palatino Linotype" w:hAnsi="Palatino Linotype" w:cs="Calibri"/>
          <w:sz w:val="22"/>
          <w:lang w:val="en-GB"/>
        </w:rPr>
        <w:t>the discussion of supply time by embroiling many internal and external factors (from the selection of agent</w:t>
      </w:r>
      <w:r w:rsidR="00A6580E" w:rsidRPr="00803973">
        <w:rPr>
          <w:rFonts w:ascii="Palatino Linotype" w:hAnsi="Palatino Linotype" w:cs="Calibri"/>
          <w:sz w:val="22"/>
          <w:lang w:val="en-GB"/>
        </w:rPr>
        <w:t xml:space="preserve"> to the competition with</w:t>
      </w:r>
      <w:r w:rsidR="007E0BEB" w:rsidRPr="00803973">
        <w:rPr>
          <w:rFonts w:ascii="Palatino Linotype" w:hAnsi="Palatino Linotype" w:cs="Calibri"/>
          <w:sz w:val="22"/>
          <w:lang w:val="en-GB"/>
        </w:rPr>
        <w:t xml:space="preserve"> comp</w:t>
      </w:r>
      <w:r w:rsidR="00C7350E" w:rsidRPr="00803973">
        <w:rPr>
          <w:rFonts w:ascii="Palatino Linotype" w:hAnsi="Palatino Linotype" w:cs="Calibri"/>
          <w:sz w:val="22"/>
          <w:lang w:val="en-GB"/>
        </w:rPr>
        <w:t>etitors, from business management</w:t>
      </w:r>
      <w:r w:rsidR="007E0BEB" w:rsidRPr="00803973">
        <w:rPr>
          <w:rFonts w:ascii="Palatino Linotype" w:hAnsi="Palatino Linotype" w:cs="Calibri"/>
          <w:sz w:val="22"/>
          <w:lang w:val="en-GB"/>
        </w:rPr>
        <w:t xml:space="preserve"> to government intervention). The use of “first period”, which represents the time period from leasing the land to the start of sale, could</w:t>
      </w:r>
      <w:r w:rsidR="00D03381" w:rsidRPr="00803973">
        <w:rPr>
          <w:rFonts w:ascii="Palatino Linotype" w:hAnsi="Palatino Linotype" w:cs="Calibri"/>
          <w:sz w:val="22"/>
          <w:lang w:val="en-GB"/>
        </w:rPr>
        <w:t xml:space="preserve"> simplify the issue</w:t>
      </w:r>
      <w:r w:rsidR="007E0BEB" w:rsidRPr="00803973">
        <w:rPr>
          <w:rFonts w:ascii="Palatino Linotype" w:hAnsi="Palatino Linotype" w:cs="Calibri"/>
          <w:sz w:val="22"/>
          <w:lang w:val="en-GB"/>
        </w:rPr>
        <w:t xml:space="preserve">. The mean first period of low-rise is 30.1 weeks while that of high-rise is 30.2 weeks. </w:t>
      </w:r>
    </w:p>
    <w:p w:rsidR="00382ADF" w:rsidRPr="00803973" w:rsidRDefault="009517B9">
      <w:pPr>
        <w:spacing w:after="120" w:line="276" w:lineRule="auto"/>
        <w:ind w:firstLine="360"/>
        <w:jc w:val="left"/>
        <w:rPr>
          <w:rFonts w:ascii="Palatino Linotype" w:hAnsi="Palatino Linotype" w:cs="Calibri"/>
          <w:sz w:val="22"/>
          <w:lang w:val="en-GB"/>
        </w:rPr>
      </w:pPr>
      <w:r w:rsidRPr="00803973">
        <w:rPr>
          <w:rFonts w:ascii="Palatino Linotype" w:hAnsi="Palatino Linotype" w:cs="Calibri"/>
          <w:sz w:val="22"/>
          <w:lang w:val="en-GB"/>
        </w:rPr>
        <w:t xml:space="preserve">In addition to the </w:t>
      </w:r>
      <w:r w:rsidR="00434333" w:rsidRPr="00803973">
        <w:rPr>
          <w:rFonts w:ascii="Palatino Linotype" w:hAnsi="Palatino Linotype" w:cs="Calibri"/>
          <w:sz w:val="22"/>
          <w:lang w:val="en-GB"/>
        </w:rPr>
        <w:t>advantageous</w:t>
      </w:r>
      <w:r w:rsidRPr="00803973">
        <w:rPr>
          <w:rFonts w:ascii="Palatino Linotype" w:hAnsi="Palatino Linotype" w:cs="Calibri"/>
          <w:sz w:val="22"/>
          <w:lang w:val="en-GB"/>
        </w:rPr>
        <w:t xml:space="preserve"> supply quantity and supply time over high-rise projects, low-rise projects are </w:t>
      </w:r>
      <w:r w:rsidR="009D317C" w:rsidRPr="00803973">
        <w:rPr>
          <w:rFonts w:ascii="Palatino Linotype" w:hAnsi="Palatino Linotype" w:cs="Calibri"/>
          <w:sz w:val="22"/>
          <w:lang w:val="en-GB"/>
        </w:rPr>
        <w:t>strongly supported by the municipal property development policy named “double increase and double decrease”. Introduced in December 2003, the pol</w:t>
      </w:r>
      <w:r w:rsidR="00A66C15" w:rsidRPr="00803973">
        <w:rPr>
          <w:rFonts w:ascii="Palatino Linotype" w:hAnsi="Palatino Linotype" w:cs="Calibri"/>
          <w:sz w:val="22"/>
          <w:lang w:val="en-GB"/>
        </w:rPr>
        <w:t>icy aims to create a more liveable city by increasing green land</w:t>
      </w:r>
      <w:r w:rsidR="009D317C" w:rsidRPr="00803973">
        <w:rPr>
          <w:rFonts w:ascii="Palatino Linotype" w:hAnsi="Palatino Linotype" w:cs="Calibri"/>
          <w:sz w:val="22"/>
          <w:lang w:val="en-GB"/>
        </w:rPr>
        <w:t xml:space="preserve"> and public </w:t>
      </w:r>
      <w:r w:rsidR="00A66C15" w:rsidRPr="00803973">
        <w:rPr>
          <w:rFonts w:ascii="Palatino Linotype" w:hAnsi="Palatino Linotype" w:cs="Calibri"/>
          <w:sz w:val="22"/>
          <w:lang w:val="en-GB"/>
        </w:rPr>
        <w:t xml:space="preserve">space and by reducing building volume and high-rise buildings. </w:t>
      </w:r>
      <w:r w:rsidR="006D4EF4" w:rsidRPr="00803973">
        <w:rPr>
          <w:rFonts w:ascii="Palatino Linotype" w:hAnsi="Palatino Linotype" w:cs="Calibri"/>
          <w:sz w:val="22"/>
          <w:lang w:val="en-GB"/>
        </w:rPr>
        <w:t xml:space="preserve">It even </w:t>
      </w:r>
      <w:r w:rsidR="009D317C" w:rsidRPr="00803973">
        <w:rPr>
          <w:rFonts w:ascii="Palatino Linotype" w:hAnsi="Palatino Linotype" w:cs="Calibri"/>
          <w:sz w:val="22"/>
          <w:lang w:val="en-GB"/>
        </w:rPr>
        <w:t xml:space="preserve">sets </w:t>
      </w:r>
      <w:r w:rsidR="006D4EF4" w:rsidRPr="00803973">
        <w:rPr>
          <w:rFonts w:ascii="Palatino Linotype" w:hAnsi="Palatino Linotype" w:cs="Calibri"/>
          <w:sz w:val="22"/>
          <w:lang w:val="en-GB"/>
        </w:rPr>
        <w:t xml:space="preserve">a cap plot ratio of 2.5 for </w:t>
      </w:r>
      <w:r w:rsidR="009D317C" w:rsidRPr="00803973">
        <w:rPr>
          <w:rFonts w:ascii="Palatino Linotype" w:hAnsi="Palatino Linotype" w:cs="Calibri"/>
          <w:sz w:val="22"/>
          <w:lang w:val="en-GB"/>
        </w:rPr>
        <w:t>residential building</w:t>
      </w:r>
      <w:r w:rsidR="006D4EF4" w:rsidRPr="00803973">
        <w:rPr>
          <w:rFonts w:ascii="Palatino Linotype" w:hAnsi="Palatino Linotype" w:cs="Calibri"/>
          <w:sz w:val="22"/>
          <w:lang w:val="en-GB"/>
        </w:rPr>
        <w:t>s and 4.0 for commercial ones. Initially confined to</w:t>
      </w:r>
      <w:r w:rsidR="009D317C" w:rsidRPr="00803973">
        <w:rPr>
          <w:rFonts w:ascii="Palatino Linotype" w:hAnsi="Palatino Linotype" w:cs="Calibri"/>
          <w:sz w:val="22"/>
          <w:lang w:val="en-GB"/>
        </w:rPr>
        <w:t xml:space="preserve"> the central areas</w:t>
      </w:r>
      <w:r w:rsidR="006D4EF4" w:rsidRPr="00803973">
        <w:rPr>
          <w:rFonts w:ascii="Palatino Linotype" w:hAnsi="Palatino Linotype" w:cs="Calibri"/>
          <w:sz w:val="22"/>
          <w:lang w:val="en-GB"/>
        </w:rPr>
        <w:t xml:space="preserve">, now the policy is applicable to the whole municipality. </w:t>
      </w:r>
    </w:p>
    <w:p w:rsidR="00E52922" w:rsidRPr="00803973" w:rsidRDefault="00E52922">
      <w:pPr>
        <w:spacing w:after="120" w:line="276" w:lineRule="auto"/>
        <w:ind w:firstLine="360"/>
        <w:jc w:val="left"/>
        <w:rPr>
          <w:rFonts w:ascii="Palatino Linotype" w:eastAsia="Calibri" w:hAnsi="Palatino Linotype" w:cs="Calibri"/>
          <w:sz w:val="22"/>
        </w:rPr>
      </w:pPr>
    </w:p>
    <w:p w:rsidR="00382ADF" w:rsidRPr="00803973" w:rsidRDefault="009063CD">
      <w:pPr>
        <w:spacing w:after="120" w:line="276" w:lineRule="auto"/>
        <w:jc w:val="left"/>
        <w:rPr>
          <w:rFonts w:ascii="Palatino Linotype" w:eastAsia="Calibri" w:hAnsi="Palatino Linotype" w:cs="Calibri"/>
          <w:b/>
          <w:sz w:val="22"/>
        </w:rPr>
      </w:pPr>
      <w:r w:rsidRPr="00803973">
        <w:rPr>
          <w:rFonts w:ascii="Palatino Linotype" w:eastAsia="Calibri" w:hAnsi="Palatino Linotype" w:cs="Calibri"/>
          <w:b/>
          <w:sz w:val="22"/>
        </w:rPr>
        <w:t>Conclusion</w:t>
      </w:r>
    </w:p>
    <w:p w:rsidR="004F1B7E" w:rsidRPr="00803973" w:rsidRDefault="007E60FE">
      <w:pPr>
        <w:spacing w:after="120" w:line="276" w:lineRule="auto"/>
        <w:jc w:val="left"/>
        <w:rPr>
          <w:rFonts w:ascii="Palatino Linotype" w:eastAsia="Calibri" w:hAnsi="Palatino Linotype" w:cs="Calibri"/>
          <w:sz w:val="22"/>
        </w:rPr>
      </w:pPr>
      <w:r w:rsidRPr="00803973">
        <w:rPr>
          <w:rFonts w:ascii="Palatino Linotype" w:eastAsia="Calibri" w:hAnsi="Palatino Linotype" w:cs="Calibri"/>
          <w:sz w:val="22"/>
        </w:rPr>
        <w:t xml:space="preserve">Based on </w:t>
      </w:r>
      <w:r w:rsidR="009063CD" w:rsidRPr="00803973">
        <w:rPr>
          <w:rFonts w:ascii="Palatino Linotype" w:eastAsia="Calibri" w:hAnsi="Palatino Linotype" w:cs="Calibri"/>
          <w:sz w:val="22"/>
        </w:rPr>
        <w:t xml:space="preserve">micro-data </w:t>
      </w:r>
      <w:r w:rsidR="00444F13" w:rsidRPr="00803973">
        <w:rPr>
          <w:rFonts w:ascii="Palatino Linotype" w:eastAsia="Calibri" w:hAnsi="Palatino Linotype" w:cs="Calibri"/>
          <w:sz w:val="22"/>
        </w:rPr>
        <w:t xml:space="preserve">of 833 housing projects </w:t>
      </w:r>
      <w:r w:rsidR="00E95B61" w:rsidRPr="00803973">
        <w:rPr>
          <w:rFonts w:ascii="Palatino Linotype" w:eastAsia="Calibri" w:hAnsi="Palatino Linotype" w:cs="Calibri"/>
          <w:sz w:val="22"/>
        </w:rPr>
        <w:t xml:space="preserve">collected </w:t>
      </w:r>
      <w:r w:rsidR="009063CD" w:rsidRPr="00803973">
        <w:rPr>
          <w:rFonts w:ascii="Palatino Linotype" w:eastAsia="Calibri" w:hAnsi="Palatino Linotype" w:cs="Calibri"/>
          <w:sz w:val="22"/>
        </w:rPr>
        <w:t xml:space="preserve">from </w:t>
      </w:r>
      <w:r w:rsidR="00E95B61" w:rsidRPr="00803973">
        <w:rPr>
          <w:rFonts w:ascii="Palatino Linotype" w:eastAsia="Calibri" w:hAnsi="Palatino Linotype" w:cs="Calibri"/>
          <w:sz w:val="22"/>
        </w:rPr>
        <w:t xml:space="preserve">an official source in </w:t>
      </w:r>
      <w:r w:rsidR="00457BC7" w:rsidRPr="00803973">
        <w:rPr>
          <w:rFonts w:ascii="Palatino Linotype" w:eastAsia="Calibri" w:hAnsi="Palatino Linotype" w:cs="Calibri"/>
          <w:sz w:val="22"/>
        </w:rPr>
        <w:t xml:space="preserve">Shanghai, this paper tends to </w:t>
      </w:r>
      <w:r w:rsidR="000C266E" w:rsidRPr="00803973">
        <w:rPr>
          <w:rFonts w:ascii="Palatino Linotype" w:eastAsia="Calibri" w:hAnsi="Palatino Linotype" w:cs="Calibri"/>
          <w:sz w:val="22"/>
        </w:rPr>
        <w:t>shed light on effective</w:t>
      </w:r>
      <w:r w:rsidR="00444F13" w:rsidRPr="00803973">
        <w:rPr>
          <w:rFonts w:ascii="Palatino Linotype" w:eastAsia="Calibri" w:hAnsi="Palatino Linotype" w:cs="Calibri"/>
          <w:sz w:val="22"/>
        </w:rPr>
        <w:t xml:space="preserve"> housing supply in terms of spatial location and the type of housing in Shanghai.</w:t>
      </w:r>
      <w:r w:rsidRPr="00803973">
        <w:rPr>
          <w:rFonts w:ascii="Palatino Linotype" w:eastAsia="Calibri" w:hAnsi="Palatino Linotype" w:cs="Calibri"/>
          <w:sz w:val="22"/>
        </w:rPr>
        <w:t xml:space="preserve"> </w:t>
      </w:r>
      <w:r w:rsidR="00E95B61" w:rsidRPr="00803973">
        <w:rPr>
          <w:rFonts w:ascii="Palatino Linotype" w:eastAsia="Calibri" w:hAnsi="Palatino Linotype" w:cs="Calibri"/>
          <w:sz w:val="22"/>
        </w:rPr>
        <w:t xml:space="preserve">We regroup the 833 projects into six categories according to two locations – centre and suburb and three types of housing – house (villa), low-rise housing and high-rise housing. </w:t>
      </w:r>
    </w:p>
    <w:p w:rsidR="004F1B7E" w:rsidRPr="00803973" w:rsidRDefault="00E95B61">
      <w:pPr>
        <w:spacing w:after="120" w:line="276" w:lineRule="auto"/>
        <w:jc w:val="left"/>
        <w:rPr>
          <w:rFonts w:ascii="Palatino Linotype" w:eastAsia="Calibri" w:hAnsi="Palatino Linotype" w:cs="Calibri"/>
          <w:sz w:val="22"/>
          <w:lang w:val="en-GB"/>
        </w:rPr>
      </w:pPr>
      <w:r w:rsidRPr="00803973">
        <w:rPr>
          <w:rFonts w:ascii="Palatino Linotype" w:eastAsia="Calibri" w:hAnsi="Palatino Linotype" w:cs="Calibri"/>
          <w:sz w:val="22"/>
        </w:rPr>
        <w:t xml:space="preserve"> </w:t>
      </w:r>
      <w:r w:rsidR="00444F13" w:rsidRPr="00803973">
        <w:rPr>
          <w:rFonts w:ascii="Palatino Linotype" w:eastAsia="Calibri" w:hAnsi="Palatino Linotype" w:cs="Calibri"/>
          <w:sz w:val="22"/>
        </w:rPr>
        <w:t xml:space="preserve"> </w:t>
      </w:r>
      <w:r w:rsidR="007E60FE" w:rsidRPr="00803973">
        <w:rPr>
          <w:rFonts w:ascii="Palatino Linotype" w:eastAsia="Calibri" w:hAnsi="Palatino Linotype" w:cs="Calibri"/>
          <w:sz w:val="22"/>
        </w:rPr>
        <w:t xml:space="preserve">    </w:t>
      </w:r>
      <w:r w:rsidR="00457BC7" w:rsidRPr="00803973">
        <w:rPr>
          <w:rFonts w:ascii="Palatino Linotype" w:eastAsia="Calibri" w:hAnsi="Palatino Linotype" w:cs="Calibri"/>
          <w:sz w:val="22"/>
        </w:rPr>
        <w:t xml:space="preserve">The </w:t>
      </w:r>
      <w:r w:rsidR="00D05D29" w:rsidRPr="00803973">
        <w:rPr>
          <w:rFonts w:ascii="Palatino Linotype" w:eastAsia="Calibri" w:hAnsi="Palatino Linotype" w:cs="Calibri"/>
          <w:sz w:val="22"/>
        </w:rPr>
        <w:t>research proceeds</w:t>
      </w:r>
      <w:r w:rsidR="00436B6D" w:rsidRPr="00803973">
        <w:rPr>
          <w:rFonts w:ascii="Palatino Linotype" w:eastAsia="Calibri" w:hAnsi="Palatino Linotype" w:cs="Calibri"/>
          <w:sz w:val="22"/>
        </w:rPr>
        <w:t xml:space="preserve"> in</w:t>
      </w:r>
      <w:r w:rsidR="00457BC7" w:rsidRPr="00803973">
        <w:rPr>
          <w:rFonts w:ascii="Palatino Linotype" w:eastAsia="Calibri" w:hAnsi="Palatino Linotype" w:cs="Calibri"/>
          <w:sz w:val="22"/>
        </w:rPr>
        <w:t xml:space="preserve"> three steps. Firstly, we examine the difference of supply in different location</w:t>
      </w:r>
      <w:r w:rsidR="000C266E" w:rsidRPr="00803973">
        <w:rPr>
          <w:rFonts w:ascii="Palatino Linotype" w:eastAsia="Calibri" w:hAnsi="Palatino Linotype" w:cs="Calibri"/>
          <w:sz w:val="22"/>
        </w:rPr>
        <w:t>s</w:t>
      </w:r>
      <w:r w:rsidR="00457BC7" w:rsidRPr="00803973">
        <w:rPr>
          <w:rFonts w:ascii="Palatino Linotype" w:eastAsia="Calibri" w:hAnsi="Palatino Linotype" w:cs="Calibri"/>
          <w:sz w:val="22"/>
        </w:rPr>
        <w:t xml:space="preserve">. </w:t>
      </w:r>
      <w:r w:rsidR="002C3047" w:rsidRPr="00803973">
        <w:rPr>
          <w:rFonts w:ascii="Palatino Linotype" w:eastAsia="Calibri" w:hAnsi="Palatino Linotype" w:cs="Calibri"/>
          <w:sz w:val="22"/>
        </w:rPr>
        <w:t>By introducing one binary variable in the regression, we prove that the supply quantity is 14979 m</w:t>
      </w:r>
      <w:r w:rsidR="002C3047" w:rsidRPr="00803973">
        <w:rPr>
          <w:rFonts w:ascii="Palatino Linotype" w:eastAsia="Calibri" w:hAnsi="Palatino Linotype" w:cs="Calibri"/>
          <w:sz w:val="22"/>
          <w:vertAlign w:val="superscript"/>
        </w:rPr>
        <w:t>2</w:t>
      </w:r>
      <w:r w:rsidR="002C3047" w:rsidRPr="00803973">
        <w:rPr>
          <w:rFonts w:ascii="Palatino Linotype" w:eastAsia="Calibri" w:hAnsi="Palatino Linotype" w:cs="Calibri"/>
          <w:sz w:val="22"/>
        </w:rPr>
        <w:t xml:space="preserve"> </w:t>
      </w:r>
      <w:r w:rsidR="00C51AAA" w:rsidRPr="00803973">
        <w:rPr>
          <w:rFonts w:ascii="Palatino Linotype" w:eastAsia="Calibri" w:hAnsi="Palatino Linotype" w:cs="Calibri"/>
          <w:sz w:val="22"/>
        </w:rPr>
        <w:t xml:space="preserve">higher </w:t>
      </w:r>
      <w:r w:rsidR="002C3047" w:rsidRPr="00803973">
        <w:rPr>
          <w:rFonts w:ascii="Palatino Linotype" w:eastAsia="Calibri" w:hAnsi="Palatino Linotype" w:cs="Calibri"/>
          <w:sz w:val="22"/>
        </w:rPr>
        <w:t>in suburb than in centre per project and supply time is 15 weeks shorter in suburb per project.</w:t>
      </w:r>
      <w:r w:rsidR="00436B6D" w:rsidRPr="00803973">
        <w:rPr>
          <w:rFonts w:ascii="Palatino Linotype" w:eastAsia="Calibri" w:hAnsi="Palatino Linotype" w:cs="Calibri"/>
          <w:sz w:val="22"/>
        </w:rPr>
        <w:t xml:space="preserve"> Secondly, we compare the supply for three types of housing using multiple regression models with two binary variables. The results show that</w:t>
      </w:r>
      <w:r w:rsidR="00D05D29" w:rsidRPr="00803973">
        <w:rPr>
          <w:rFonts w:ascii="Palatino Linotype" w:eastAsia="Calibri" w:hAnsi="Palatino Linotype" w:cs="Calibri"/>
          <w:sz w:val="22"/>
        </w:rPr>
        <w:t xml:space="preserve"> low-rise is the most efficient type of housing both in </w:t>
      </w:r>
      <w:r w:rsidR="00C7350E" w:rsidRPr="00803973">
        <w:rPr>
          <w:rFonts w:ascii="Palatino Linotype" w:eastAsia="Calibri" w:hAnsi="Palatino Linotype" w:cs="Calibri"/>
          <w:sz w:val="22"/>
        </w:rPr>
        <w:t>supply quantity and supply time</w:t>
      </w:r>
      <w:r w:rsidR="007805AC" w:rsidRPr="00803973">
        <w:rPr>
          <w:rFonts w:ascii="Palatino Linotype" w:eastAsia="Calibri" w:hAnsi="Palatino Linotype" w:cs="Calibri"/>
          <w:sz w:val="22"/>
        </w:rPr>
        <w:t xml:space="preserve">. Thirdly, with the aid of interaction regression model, we distinguish six categories of housing and calculate </w:t>
      </w:r>
      <w:r w:rsidR="00B64986" w:rsidRPr="00803973">
        <w:rPr>
          <w:rFonts w:ascii="Palatino Linotype" w:eastAsia="Calibri" w:hAnsi="Palatino Linotype" w:cs="Calibri"/>
          <w:sz w:val="22"/>
        </w:rPr>
        <w:t>six</w:t>
      </w:r>
      <w:r w:rsidR="007805AC" w:rsidRPr="00803973">
        <w:rPr>
          <w:rFonts w:ascii="Palatino Linotype" w:eastAsia="Calibri" w:hAnsi="Palatino Linotype" w:cs="Calibri"/>
          <w:sz w:val="22"/>
        </w:rPr>
        <w:t xml:space="preserve"> quantit</w:t>
      </w:r>
      <w:r w:rsidR="00B64986" w:rsidRPr="00803973">
        <w:rPr>
          <w:rFonts w:ascii="Palatino Linotype" w:eastAsia="Calibri" w:hAnsi="Palatino Linotype" w:cs="Calibri"/>
          <w:sz w:val="22"/>
        </w:rPr>
        <w:t>ies</w:t>
      </w:r>
      <w:r w:rsidR="007805AC" w:rsidRPr="00803973">
        <w:rPr>
          <w:rFonts w:ascii="Palatino Linotype" w:eastAsia="Calibri" w:hAnsi="Palatino Linotype" w:cs="Calibri"/>
          <w:sz w:val="22"/>
        </w:rPr>
        <w:t xml:space="preserve"> and time</w:t>
      </w:r>
      <w:r w:rsidR="00B64986" w:rsidRPr="00803973">
        <w:rPr>
          <w:rFonts w:ascii="Palatino Linotype" w:eastAsia="Calibri" w:hAnsi="Palatino Linotype" w:cs="Calibri"/>
          <w:sz w:val="22"/>
        </w:rPr>
        <w:t>s</w:t>
      </w:r>
      <w:r w:rsidR="007805AC" w:rsidRPr="00803973">
        <w:rPr>
          <w:rFonts w:ascii="Palatino Linotype" w:eastAsia="Calibri" w:hAnsi="Palatino Linotype" w:cs="Calibri"/>
          <w:sz w:val="22"/>
        </w:rPr>
        <w:t>. We conclude that the optimal housing supply is low-rise housing projects in suburb.</w:t>
      </w:r>
    </w:p>
    <w:p w:rsidR="00E03FB9" w:rsidRPr="00803973" w:rsidRDefault="009063CD">
      <w:pPr>
        <w:spacing w:after="120" w:line="276" w:lineRule="auto"/>
        <w:jc w:val="left"/>
        <w:rPr>
          <w:rFonts w:ascii="Palatino Linotype" w:eastAsia="Calibri" w:hAnsi="Palatino Linotype" w:cs="Calibri"/>
          <w:sz w:val="22"/>
        </w:rPr>
      </w:pPr>
      <w:r w:rsidRPr="00803973">
        <w:rPr>
          <w:rFonts w:ascii="Palatino Linotype" w:eastAsia="Calibri" w:hAnsi="Palatino Linotype" w:cs="Calibri"/>
          <w:sz w:val="22"/>
        </w:rPr>
        <w:lastRenderedPageBreak/>
        <w:t xml:space="preserve">       </w:t>
      </w:r>
      <w:r w:rsidR="003B4394" w:rsidRPr="00803973">
        <w:rPr>
          <w:rFonts w:ascii="Palatino Linotype" w:eastAsia="Calibri" w:hAnsi="Palatino Linotype" w:cs="Calibri"/>
          <w:sz w:val="22"/>
        </w:rPr>
        <w:t>In 2003</w:t>
      </w:r>
      <w:r w:rsidR="00365076" w:rsidRPr="00803973">
        <w:rPr>
          <w:rFonts w:ascii="Palatino Linotype" w:eastAsia="Calibri" w:hAnsi="Palatino Linotype" w:cs="Calibri"/>
          <w:sz w:val="22"/>
        </w:rPr>
        <w:t>, the municipal government of Shanghai launch</w:t>
      </w:r>
      <w:r w:rsidR="000C266E" w:rsidRPr="00803973">
        <w:rPr>
          <w:rFonts w:ascii="Palatino Linotype" w:eastAsia="Calibri" w:hAnsi="Palatino Linotype" w:cs="Calibri"/>
          <w:sz w:val="22"/>
        </w:rPr>
        <w:t>ed</w:t>
      </w:r>
      <w:r w:rsidR="00365076" w:rsidRPr="00803973">
        <w:rPr>
          <w:rFonts w:ascii="Palatino Linotype" w:eastAsia="Calibri" w:hAnsi="Palatino Linotype" w:cs="Calibri"/>
          <w:sz w:val="22"/>
        </w:rPr>
        <w:t xml:space="preserve"> a campaign called “</w:t>
      </w:r>
      <w:r w:rsidR="00365076" w:rsidRPr="00803973">
        <w:rPr>
          <w:rFonts w:ascii="Palatino Linotype" w:hAnsi="Palatino Linotype" w:cs="Calibri"/>
          <w:sz w:val="22"/>
          <w:lang w:val="en-GB"/>
        </w:rPr>
        <w:t xml:space="preserve">double increase and double decrease” with the specific aim to reduce plot ratio for property projects. The policy initially covers the downtown areas. </w:t>
      </w:r>
      <w:r w:rsidR="00365076" w:rsidRPr="00803973">
        <w:rPr>
          <w:rFonts w:ascii="Palatino Linotype" w:eastAsia="Calibri" w:hAnsi="Palatino Linotype" w:cs="Calibri"/>
          <w:sz w:val="22"/>
        </w:rPr>
        <w:t xml:space="preserve">In recent years, it has been implemented </w:t>
      </w:r>
      <w:r w:rsidR="003B4394" w:rsidRPr="00803973">
        <w:rPr>
          <w:rFonts w:ascii="Palatino Linotype" w:eastAsia="Calibri" w:hAnsi="Palatino Linotype" w:cs="Calibri"/>
          <w:sz w:val="22"/>
        </w:rPr>
        <w:t>throughout the</w:t>
      </w:r>
      <w:r w:rsidR="00365076" w:rsidRPr="00803973">
        <w:rPr>
          <w:rFonts w:ascii="Palatino Linotype" w:eastAsia="Calibri" w:hAnsi="Palatino Linotype" w:cs="Calibri"/>
          <w:sz w:val="22"/>
        </w:rPr>
        <w:t xml:space="preserve"> municipality. Our research </w:t>
      </w:r>
      <w:r w:rsidR="00E03FB9" w:rsidRPr="00803973">
        <w:rPr>
          <w:rFonts w:ascii="Palatino Linotype" w:eastAsia="Calibri" w:hAnsi="Palatino Linotype" w:cs="Calibri"/>
          <w:sz w:val="22"/>
        </w:rPr>
        <w:t xml:space="preserve">results </w:t>
      </w:r>
      <w:r w:rsidR="00365076" w:rsidRPr="00803973">
        <w:rPr>
          <w:rFonts w:ascii="Palatino Linotype" w:eastAsia="Calibri" w:hAnsi="Palatino Linotype" w:cs="Calibri"/>
          <w:sz w:val="22"/>
        </w:rPr>
        <w:t>strongly support</w:t>
      </w:r>
      <w:r w:rsidR="00E03FB9" w:rsidRPr="00803973">
        <w:rPr>
          <w:rFonts w:ascii="Palatino Linotype" w:eastAsia="Calibri" w:hAnsi="Palatino Linotype" w:cs="Calibri"/>
          <w:sz w:val="22"/>
        </w:rPr>
        <w:t xml:space="preserve"> the implementation of the policy a</w:t>
      </w:r>
      <w:r w:rsidR="007A72AF" w:rsidRPr="00803973">
        <w:rPr>
          <w:rFonts w:ascii="Palatino Linotype" w:eastAsia="Calibri" w:hAnsi="Palatino Linotype" w:cs="Calibri"/>
          <w:sz w:val="22"/>
        </w:rPr>
        <w:t>s enabling</w:t>
      </w:r>
      <w:r w:rsidR="00E03FB9" w:rsidRPr="00803973">
        <w:rPr>
          <w:rFonts w:ascii="Palatino Linotype" w:eastAsia="Calibri" w:hAnsi="Palatino Linotype" w:cs="Calibri"/>
          <w:sz w:val="22"/>
        </w:rPr>
        <w:t xml:space="preserve"> a </w:t>
      </w:r>
      <w:r w:rsidR="007A72AF" w:rsidRPr="00803973">
        <w:rPr>
          <w:rFonts w:ascii="Palatino Linotype" w:eastAsia="Calibri" w:hAnsi="Palatino Linotype" w:cs="Calibri"/>
          <w:sz w:val="22"/>
        </w:rPr>
        <w:t xml:space="preserve">more effective, </w:t>
      </w:r>
      <w:r w:rsidR="00E03FB9" w:rsidRPr="00803973">
        <w:rPr>
          <w:rFonts w:ascii="Palatino Linotype" w:eastAsia="Calibri" w:hAnsi="Palatino Linotype" w:cs="Calibri"/>
          <w:sz w:val="22"/>
        </w:rPr>
        <w:t>targeted planning</w:t>
      </w:r>
      <w:r w:rsidR="00C7350E" w:rsidRPr="00803973">
        <w:rPr>
          <w:rFonts w:ascii="Palatino Linotype" w:eastAsia="Calibri" w:hAnsi="Palatino Linotype" w:cs="Calibri"/>
          <w:sz w:val="22"/>
        </w:rPr>
        <w:t xml:space="preserve"> regulation for housing development</w:t>
      </w:r>
      <w:r w:rsidR="00E03FB9" w:rsidRPr="00803973">
        <w:rPr>
          <w:rFonts w:ascii="Palatino Linotype" w:eastAsia="Calibri" w:hAnsi="Palatino Linotype" w:cs="Calibri"/>
          <w:sz w:val="22"/>
        </w:rPr>
        <w:t>.</w:t>
      </w:r>
    </w:p>
    <w:p w:rsidR="00382ADF" w:rsidRPr="00803973" w:rsidRDefault="00365076">
      <w:pPr>
        <w:spacing w:after="120" w:line="276" w:lineRule="auto"/>
        <w:jc w:val="left"/>
        <w:rPr>
          <w:rFonts w:ascii="Palatino Linotype" w:eastAsia="Calibri" w:hAnsi="Palatino Linotype" w:cs="Calibri"/>
          <w:sz w:val="22"/>
        </w:rPr>
      </w:pPr>
      <w:r w:rsidRPr="00803973">
        <w:rPr>
          <w:rFonts w:ascii="Palatino Linotype" w:eastAsia="Calibri" w:hAnsi="Palatino Linotype" w:cs="Calibri"/>
          <w:sz w:val="22"/>
        </w:rPr>
        <w:t xml:space="preserve">       </w:t>
      </w:r>
      <w:r w:rsidR="009063CD" w:rsidRPr="00803973">
        <w:rPr>
          <w:rFonts w:ascii="Palatino Linotype" w:eastAsia="Calibri" w:hAnsi="Palatino Linotype" w:cs="Calibri"/>
          <w:sz w:val="22"/>
        </w:rPr>
        <w:t xml:space="preserve">Although this research is confined to Shanghai, the results could be generalized to a group of </w:t>
      </w:r>
      <w:r w:rsidR="00E03FB9" w:rsidRPr="00803973">
        <w:rPr>
          <w:rFonts w:ascii="Palatino Linotype" w:eastAsia="Calibri" w:hAnsi="Palatino Linotype" w:cs="Calibri"/>
          <w:sz w:val="22"/>
        </w:rPr>
        <w:t xml:space="preserve">distinctive </w:t>
      </w:r>
      <w:r w:rsidR="009063CD" w:rsidRPr="00803973">
        <w:rPr>
          <w:rFonts w:ascii="Palatino Linotype" w:eastAsia="Calibri" w:hAnsi="Palatino Linotype" w:cs="Calibri"/>
          <w:sz w:val="22"/>
        </w:rPr>
        <w:t xml:space="preserve">mega cities in China known as ‘first-tier cities’ </w:t>
      </w:r>
      <w:r w:rsidR="002E5C24" w:rsidRPr="00803973">
        <w:rPr>
          <w:rFonts w:ascii="Palatino Linotype" w:eastAsia="Calibri" w:hAnsi="Palatino Linotype" w:cs="Calibri"/>
          <w:sz w:val="22"/>
        </w:rPr>
        <w:t>[</w:t>
      </w:r>
      <w:r w:rsidR="00880E08" w:rsidRPr="00803973">
        <w:rPr>
          <w:rFonts w:ascii="Palatino Linotype" w:eastAsia="Calibri" w:hAnsi="Palatino Linotype" w:cs="Calibri"/>
          <w:sz w:val="22"/>
        </w:rPr>
        <w:t>5</w:t>
      </w:r>
      <w:r w:rsidR="002E5C24" w:rsidRPr="00803973">
        <w:rPr>
          <w:rFonts w:ascii="Palatino Linotype" w:eastAsia="Calibri" w:hAnsi="Palatino Linotype" w:cs="Calibri"/>
          <w:sz w:val="22"/>
        </w:rPr>
        <w:t>] that</w:t>
      </w:r>
      <w:r w:rsidR="009063CD" w:rsidRPr="00803973">
        <w:rPr>
          <w:rFonts w:ascii="Palatino Linotype" w:eastAsia="Calibri" w:hAnsi="Palatino Linotype" w:cs="Calibri"/>
          <w:sz w:val="22"/>
        </w:rPr>
        <w:t xml:space="preserve"> include</w:t>
      </w:r>
      <w:r w:rsidR="002E5C24" w:rsidRPr="00803973">
        <w:rPr>
          <w:rFonts w:ascii="Palatino Linotype" w:eastAsia="Calibri" w:hAnsi="Palatino Linotype" w:cs="Calibri"/>
          <w:sz w:val="22"/>
        </w:rPr>
        <w:t>s</w:t>
      </w:r>
      <w:r w:rsidR="009063CD" w:rsidRPr="00803973">
        <w:rPr>
          <w:rFonts w:ascii="Palatino Linotype" w:eastAsia="Calibri" w:hAnsi="Palatino Linotype" w:cs="Calibri"/>
          <w:sz w:val="22"/>
        </w:rPr>
        <w:t xml:space="preserve"> Beijing, </w:t>
      </w:r>
      <w:r w:rsidR="00E03FB9" w:rsidRPr="00803973">
        <w:rPr>
          <w:rFonts w:ascii="Palatino Linotype" w:eastAsia="Calibri" w:hAnsi="Palatino Linotype" w:cs="Calibri"/>
          <w:sz w:val="22"/>
        </w:rPr>
        <w:t>Guangzhou and Shenzhen</w:t>
      </w:r>
      <w:r w:rsidR="00CC6656" w:rsidRPr="00803973">
        <w:rPr>
          <w:rFonts w:ascii="Palatino Linotype" w:eastAsia="Calibri" w:hAnsi="Palatino Linotype" w:cs="Calibri"/>
          <w:sz w:val="22"/>
        </w:rPr>
        <w:t xml:space="preserve">, as well as </w:t>
      </w:r>
      <w:r w:rsidR="00EC4B97" w:rsidRPr="00803973">
        <w:rPr>
          <w:rFonts w:ascii="Palatino Linotype" w:eastAsia="Calibri" w:hAnsi="Palatino Linotype" w:cs="Calibri"/>
          <w:sz w:val="22"/>
        </w:rPr>
        <w:t>Shanghai</w:t>
      </w:r>
      <w:r w:rsidR="00E03FB9" w:rsidRPr="00803973">
        <w:rPr>
          <w:rFonts w:ascii="Palatino Linotype" w:eastAsia="Calibri" w:hAnsi="Palatino Linotype" w:cs="Calibri"/>
          <w:sz w:val="22"/>
        </w:rPr>
        <w:t>. The other three</w:t>
      </w:r>
      <w:r w:rsidR="009063CD" w:rsidRPr="00803973">
        <w:rPr>
          <w:rFonts w:ascii="Palatino Linotype" w:eastAsia="Calibri" w:hAnsi="Palatino Linotype" w:cs="Calibri"/>
          <w:sz w:val="22"/>
        </w:rPr>
        <w:t xml:space="preserve"> cities are similar to Shanghai in terms of comparable scale, structure and market condition.  </w:t>
      </w:r>
    </w:p>
    <w:p w:rsidR="00B71D91" w:rsidRDefault="009063CD">
      <w:pPr>
        <w:spacing w:after="120" w:line="276" w:lineRule="auto"/>
        <w:ind w:firstLine="360"/>
        <w:jc w:val="left"/>
        <w:rPr>
          <w:rFonts w:ascii="Palatino Linotype" w:eastAsia="Calibri" w:hAnsi="Palatino Linotype" w:cs="Calibri"/>
          <w:sz w:val="22"/>
        </w:rPr>
      </w:pPr>
      <w:r w:rsidRPr="00803973">
        <w:rPr>
          <w:rFonts w:ascii="Palatino Linotype" w:eastAsia="Calibri" w:hAnsi="Palatino Linotype" w:cs="Calibri"/>
          <w:sz w:val="22"/>
        </w:rPr>
        <w:t xml:space="preserve">The Shanghai housing market has experienced noteworthy changes over the last few decades. In the last ten years, government has been leading the way in establishing an efficient and transparent housing information system. The framework of the system is taking shape, but it is still at an early stage. Armed with better quality data and more robust analytical tools, we can explore the dynamics of the process to better facilitate housing supply and to improve the Shanghai housing market.  </w:t>
      </w:r>
    </w:p>
    <w:p w:rsidR="00B71D91" w:rsidRDefault="00B71D91">
      <w:pPr>
        <w:spacing w:after="120" w:line="276" w:lineRule="auto"/>
        <w:ind w:firstLine="360"/>
        <w:jc w:val="left"/>
        <w:rPr>
          <w:rFonts w:ascii="Palatino Linotype" w:eastAsia="Calibri" w:hAnsi="Palatino Linotype" w:cs="Calibri"/>
          <w:sz w:val="22"/>
        </w:rPr>
      </w:pPr>
    </w:p>
    <w:p w:rsidR="00B71D91" w:rsidRPr="00B71D91" w:rsidRDefault="00B71D91" w:rsidP="00B71D91">
      <w:pPr>
        <w:spacing w:after="120" w:line="276" w:lineRule="auto"/>
        <w:jc w:val="left"/>
        <w:rPr>
          <w:rFonts w:ascii="Palatino Linotype" w:eastAsia="Calibri" w:hAnsi="Palatino Linotype" w:cs="Calibri"/>
          <w:b/>
          <w:sz w:val="22"/>
        </w:rPr>
      </w:pPr>
      <w:r w:rsidRPr="00B71D91">
        <w:rPr>
          <w:rFonts w:ascii="Palatino Linotype" w:eastAsia="Calibri" w:hAnsi="Palatino Linotype" w:cs="Calibri"/>
          <w:b/>
          <w:sz w:val="22"/>
        </w:rPr>
        <w:t>Tables and Figures</w:t>
      </w:r>
    </w:p>
    <w:p w:rsidR="00B71D91" w:rsidRDefault="00E95614" w:rsidP="00E95614">
      <w:pPr>
        <w:spacing w:after="120" w:line="276" w:lineRule="auto"/>
        <w:jc w:val="left"/>
        <w:rPr>
          <w:rFonts w:ascii="Palatino Linotype" w:eastAsia="Calibri" w:hAnsi="Palatino Linotype" w:cs="Calibri"/>
          <w:sz w:val="22"/>
        </w:rPr>
      </w:pPr>
      <w:r w:rsidRPr="00E95614">
        <w:rPr>
          <w:rFonts w:ascii="Palatino Linotype" w:eastAsia="Calibri" w:hAnsi="Palatino Linotype" w:cs="Calibri"/>
          <w:b/>
          <w:sz w:val="22"/>
        </w:rPr>
        <w:t>Table 1</w:t>
      </w:r>
      <w:r w:rsidRPr="00E95614">
        <w:rPr>
          <w:rFonts w:ascii="Palatino Linotype" w:eastAsia="Calibri" w:hAnsi="Palatino Linotype" w:cs="Calibri"/>
          <w:sz w:val="22"/>
        </w:rPr>
        <w:t xml:space="preserve"> Differential effects of project location on housing supply</w:t>
      </w:r>
    </w:p>
    <w:p w:rsidR="00E95614" w:rsidRDefault="00E95614" w:rsidP="00E95614">
      <w:pPr>
        <w:spacing w:after="120" w:line="276" w:lineRule="auto"/>
        <w:jc w:val="left"/>
        <w:rPr>
          <w:rFonts w:ascii="Palatino Linotype" w:eastAsia="Calibri" w:hAnsi="Palatino Linotype" w:cs="Calibri"/>
          <w:sz w:val="22"/>
        </w:rPr>
      </w:pPr>
      <w:r w:rsidRPr="00E95614">
        <w:rPr>
          <w:rFonts w:ascii="Palatino Linotype" w:eastAsia="Calibri" w:hAnsi="Palatino Linotype" w:cs="Calibri"/>
          <w:b/>
          <w:sz w:val="22"/>
        </w:rPr>
        <w:t>Table 2</w:t>
      </w:r>
      <w:r w:rsidRPr="00E95614">
        <w:rPr>
          <w:rFonts w:ascii="Palatino Linotype" w:eastAsia="Calibri" w:hAnsi="Palatino Linotype" w:cs="Calibri"/>
          <w:sz w:val="22"/>
        </w:rPr>
        <w:t xml:space="preserve"> Differential effect of housing type on housing supply</w:t>
      </w:r>
    </w:p>
    <w:p w:rsidR="00E95614" w:rsidRDefault="00E95614" w:rsidP="00E95614">
      <w:pPr>
        <w:spacing w:after="120" w:line="276" w:lineRule="auto"/>
        <w:ind w:left="709" w:hanging="709"/>
        <w:jc w:val="left"/>
        <w:rPr>
          <w:rFonts w:ascii="Palatino Linotype" w:eastAsia="Calibri" w:hAnsi="Palatino Linotype" w:cs="Calibri"/>
          <w:sz w:val="22"/>
        </w:rPr>
      </w:pPr>
      <w:r w:rsidRPr="00E95614">
        <w:rPr>
          <w:rFonts w:ascii="Palatino Linotype" w:eastAsia="Calibri" w:hAnsi="Palatino Linotype" w:cs="Calibri"/>
          <w:b/>
          <w:sz w:val="22"/>
        </w:rPr>
        <w:t>Table 3</w:t>
      </w:r>
      <w:r w:rsidRPr="00E95614">
        <w:rPr>
          <w:rFonts w:ascii="Palatino Linotype" w:eastAsia="Calibri" w:hAnsi="Palatino Linotype" w:cs="Calibri"/>
          <w:sz w:val="22"/>
        </w:rPr>
        <w:t xml:space="preserve"> Differential effects of housing supply for different location and type of </w:t>
      </w:r>
      <w:r>
        <w:rPr>
          <w:rFonts w:ascii="Palatino Linotype" w:eastAsia="Calibri" w:hAnsi="Palatino Linotype" w:cs="Calibri"/>
          <w:sz w:val="22"/>
        </w:rPr>
        <w:t xml:space="preserve"> </w:t>
      </w:r>
      <w:r w:rsidRPr="00E95614">
        <w:rPr>
          <w:rFonts w:ascii="Palatino Linotype" w:eastAsia="Calibri" w:hAnsi="Palatino Linotype" w:cs="Calibri"/>
          <w:sz w:val="22"/>
        </w:rPr>
        <w:t>housing</w:t>
      </w:r>
      <w:r w:rsidRPr="00E95614">
        <w:rPr>
          <w:rFonts w:ascii="Palatino Linotype" w:eastAsia="Calibri" w:hAnsi="Palatino Linotype" w:cs="Calibri"/>
          <w:sz w:val="22"/>
        </w:rPr>
        <w:tab/>
      </w:r>
    </w:p>
    <w:p w:rsidR="00E95614" w:rsidRDefault="00E95614" w:rsidP="00E95614">
      <w:pPr>
        <w:spacing w:after="120" w:line="276" w:lineRule="auto"/>
        <w:jc w:val="left"/>
        <w:rPr>
          <w:rFonts w:ascii="Palatino Linotype" w:eastAsia="Calibri" w:hAnsi="Palatino Linotype" w:cs="Calibri"/>
          <w:sz w:val="22"/>
        </w:rPr>
      </w:pPr>
      <w:r w:rsidRPr="00E95614">
        <w:rPr>
          <w:rFonts w:ascii="Palatino Linotype" w:eastAsia="Calibri" w:hAnsi="Palatino Linotype" w:cs="Calibri"/>
          <w:b/>
          <w:sz w:val="22"/>
        </w:rPr>
        <w:t>Table 4</w:t>
      </w:r>
      <w:r w:rsidRPr="00E95614">
        <w:rPr>
          <w:rFonts w:ascii="Palatino Linotype" w:eastAsia="Calibri" w:hAnsi="Palatino Linotype" w:cs="Calibri"/>
          <w:sz w:val="22"/>
        </w:rPr>
        <w:t xml:space="preserve"> Mean supply quantity and time for six housing categories</w:t>
      </w:r>
    </w:p>
    <w:p w:rsidR="00E95614" w:rsidRDefault="00E95614" w:rsidP="00E95614">
      <w:pPr>
        <w:spacing w:after="120" w:line="276" w:lineRule="auto"/>
        <w:jc w:val="left"/>
        <w:rPr>
          <w:rFonts w:ascii="Palatino Linotype" w:eastAsia="Calibri" w:hAnsi="Palatino Linotype" w:cs="Calibri"/>
          <w:sz w:val="22"/>
        </w:rPr>
      </w:pPr>
      <w:r w:rsidRPr="00E95614">
        <w:rPr>
          <w:rFonts w:ascii="Palatino Linotype" w:eastAsia="Calibri" w:hAnsi="Palatino Linotype" w:cs="Calibri"/>
          <w:b/>
          <w:sz w:val="22"/>
        </w:rPr>
        <w:t>Table 5</w:t>
      </w:r>
      <w:r w:rsidRPr="00E95614">
        <w:rPr>
          <w:rFonts w:ascii="Palatino Linotype" w:eastAsia="Calibri" w:hAnsi="Palatino Linotype" w:cs="Calibri"/>
          <w:sz w:val="22"/>
        </w:rPr>
        <w:t xml:space="preserve"> The comparison of supply for low-rise and high-rise outside of Inner Ring</w:t>
      </w:r>
    </w:p>
    <w:p w:rsidR="00382ADF" w:rsidRPr="00803973" w:rsidRDefault="009063CD">
      <w:pPr>
        <w:spacing w:after="120" w:line="276" w:lineRule="auto"/>
        <w:ind w:firstLine="360"/>
        <w:jc w:val="left"/>
        <w:rPr>
          <w:rFonts w:ascii="Palatino Linotype" w:eastAsia="Calibri" w:hAnsi="Palatino Linotype" w:cs="Calibri"/>
          <w:sz w:val="22"/>
        </w:rPr>
      </w:pPr>
      <w:r w:rsidRPr="00803973">
        <w:rPr>
          <w:rFonts w:ascii="Palatino Linotype" w:eastAsia="Calibri" w:hAnsi="Palatino Linotype" w:cs="Calibri"/>
          <w:sz w:val="22"/>
        </w:rPr>
        <w:t xml:space="preserve">  </w:t>
      </w:r>
    </w:p>
    <w:p w:rsidR="00382ADF" w:rsidRPr="00E95614" w:rsidRDefault="00E95614">
      <w:pPr>
        <w:spacing w:after="120" w:line="276" w:lineRule="auto"/>
        <w:jc w:val="left"/>
        <w:rPr>
          <w:rFonts w:ascii="Palatino Linotype" w:eastAsia="Calibri" w:hAnsi="Palatino Linotype" w:cs="Calibri"/>
          <w:sz w:val="22"/>
          <w:lang w:val="en-GB"/>
        </w:rPr>
      </w:pPr>
      <w:r w:rsidRPr="00E95614">
        <w:rPr>
          <w:rFonts w:ascii="Palatino Linotype" w:eastAsia="Calibri" w:hAnsi="Palatino Linotype" w:cs="Calibri"/>
          <w:b/>
          <w:sz w:val="22"/>
          <w:lang w:val="en-GB"/>
        </w:rPr>
        <w:t>Figure 1</w:t>
      </w:r>
      <w:r w:rsidRPr="00E95614">
        <w:rPr>
          <w:rFonts w:ascii="Palatino Linotype" w:eastAsia="Calibri" w:hAnsi="Palatino Linotype" w:cs="Calibri"/>
          <w:sz w:val="22"/>
          <w:lang w:val="en-GB"/>
        </w:rPr>
        <w:t xml:space="preserve"> Shanghai Ring-Road Map</w:t>
      </w:r>
    </w:p>
    <w:p w:rsidR="00382ADF" w:rsidRDefault="00382ADF">
      <w:pPr>
        <w:spacing w:after="120" w:line="276" w:lineRule="auto"/>
        <w:jc w:val="left"/>
        <w:rPr>
          <w:rFonts w:ascii="Calibri" w:eastAsia="Calibri" w:hAnsi="Calibri" w:cs="Calibri"/>
          <w:sz w:val="24"/>
        </w:rPr>
      </w:pPr>
    </w:p>
    <w:p w:rsidR="00382ADF" w:rsidRDefault="00382ADF">
      <w:pPr>
        <w:spacing w:after="120" w:line="276" w:lineRule="auto"/>
        <w:jc w:val="left"/>
        <w:rPr>
          <w:rFonts w:ascii="Calibri" w:eastAsia="Calibri" w:hAnsi="Calibri" w:cs="Calibri"/>
          <w:sz w:val="24"/>
        </w:rPr>
      </w:pPr>
    </w:p>
    <w:p w:rsidR="000A4ACB" w:rsidRDefault="000A4ACB">
      <w:pPr>
        <w:spacing w:after="120" w:line="276" w:lineRule="auto"/>
        <w:jc w:val="left"/>
        <w:rPr>
          <w:rFonts w:ascii="Calibri" w:eastAsia="Calibri" w:hAnsi="Calibri" w:cs="Calibri"/>
          <w:sz w:val="24"/>
        </w:rPr>
      </w:pPr>
    </w:p>
    <w:p w:rsidR="000A4ACB" w:rsidRDefault="000A4ACB">
      <w:pPr>
        <w:spacing w:after="120" w:line="276" w:lineRule="auto"/>
        <w:jc w:val="left"/>
        <w:rPr>
          <w:rFonts w:ascii="Calibri" w:eastAsia="Calibri" w:hAnsi="Calibri" w:cs="Calibri"/>
          <w:sz w:val="24"/>
        </w:rPr>
      </w:pPr>
    </w:p>
    <w:p w:rsidR="000A4ACB" w:rsidRDefault="000A4ACB">
      <w:pPr>
        <w:spacing w:after="120" w:line="276" w:lineRule="auto"/>
        <w:jc w:val="left"/>
        <w:rPr>
          <w:rFonts w:ascii="Calibri" w:eastAsia="Calibri" w:hAnsi="Calibri" w:cs="Calibri"/>
          <w:sz w:val="24"/>
        </w:rPr>
      </w:pPr>
    </w:p>
    <w:p w:rsidR="00382ADF" w:rsidRPr="00E95614" w:rsidRDefault="009063CD">
      <w:pPr>
        <w:spacing w:after="120" w:line="276" w:lineRule="auto"/>
        <w:jc w:val="left"/>
        <w:rPr>
          <w:rFonts w:ascii="Palatino Linotype" w:eastAsia="Calibri" w:hAnsi="Palatino Linotype" w:cs="Calibri"/>
          <w:b/>
          <w:sz w:val="22"/>
        </w:rPr>
      </w:pPr>
      <w:r w:rsidRPr="00E95614">
        <w:rPr>
          <w:rFonts w:ascii="Palatino Linotype" w:eastAsia="Calibri" w:hAnsi="Palatino Linotype" w:cs="Calibri"/>
          <w:b/>
          <w:sz w:val="22"/>
        </w:rPr>
        <w:lastRenderedPageBreak/>
        <w:t>Notes</w:t>
      </w:r>
    </w:p>
    <w:p w:rsidR="00382ADF" w:rsidRPr="00E95614" w:rsidRDefault="009063CD">
      <w:pPr>
        <w:numPr>
          <w:ilvl w:val="0"/>
          <w:numId w:val="1"/>
        </w:numPr>
        <w:spacing w:after="200" w:line="276" w:lineRule="auto"/>
        <w:ind w:left="720" w:hanging="360"/>
        <w:jc w:val="left"/>
        <w:rPr>
          <w:rFonts w:ascii="Palatino Linotype" w:eastAsia="Times New Roman" w:hAnsi="Palatino Linotype" w:cs="Times New Roman"/>
          <w:sz w:val="22"/>
        </w:rPr>
      </w:pPr>
      <w:r w:rsidRPr="00E95614">
        <w:rPr>
          <w:rFonts w:ascii="Palatino Linotype" w:eastAsia="Times New Roman" w:hAnsi="Palatino Linotype" w:cs="Times New Roman"/>
          <w:sz w:val="22"/>
        </w:rPr>
        <w:t>In Chinese real estate industry, there is no section denoted specifically as housebuilder</w:t>
      </w:r>
      <w:r w:rsidR="00D47637" w:rsidRPr="00E95614">
        <w:rPr>
          <w:rFonts w:ascii="Palatino Linotype" w:eastAsia="Times New Roman" w:hAnsi="Palatino Linotype" w:cs="Times New Roman"/>
          <w:sz w:val="22"/>
        </w:rPr>
        <w:t xml:space="preserve"> or homebuilder</w:t>
      </w:r>
      <w:r w:rsidR="00D25E72" w:rsidRPr="00E95614">
        <w:rPr>
          <w:rFonts w:ascii="Palatino Linotype" w:eastAsia="Times New Roman" w:hAnsi="Palatino Linotype" w:cs="Times New Roman"/>
          <w:sz w:val="22"/>
        </w:rPr>
        <w:t>. However,</w:t>
      </w:r>
      <w:r w:rsidRPr="00E95614">
        <w:rPr>
          <w:rFonts w:ascii="Palatino Linotype" w:eastAsia="Times New Roman" w:hAnsi="Palatino Linotype" w:cs="Times New Roman"/>
          <w:sz w:val="22"/>
        </w:rPr>
        <w:t xml:space="preserve"> the core business activity of most property developers is house building. </w:t>
      </w:r>
    </w:p>
    <w:p w:rsidR="00382ADF" w:rsidRPr="00E95614" w:rsidRDefault="009063CD">
      <w:pPr>
        <w:numPr>
          <w:ilvl w:val="0"/>
          <w:numId w:val="1"/>
        </w:numPr>
        <w:spacing w:after="200" w:line="276" w:lineRule="auto"/>
        <w:ind w:left="720" w:hanging="360"/>
        <w:jc w:val="left"/>
        <w:rPr>
          <w:rFonts w:ascii="Palatino Linotype" w:eastAsia="Times New Roman" w:hAnsi="Palatino Linotype" w:cs="Times New Roman"/>
          <w:sz w:val="22"/>
        </w:rPr>
      </w:pPr>
      <w:r w:rsidRPr="00E95614">
        <w:rPr>
          <w:rFonts w:ascii="Palatino Linotype" w:eastAsia="Times New Roman" w:hAnsi="Palatino Linotype" w:cs="Times New Roman"/>
          <w:sz w:val="22"/>
        </w:rPr>
        <w:t>Housing can be divided into pure housing and commercial housing. The latter refers to the building of mixed uses (ground floor or/and low floors are for commercial uses and the above are for dwelling). Pure housing can secure a maximum land lease term of 70 years and commercial housing 50 years.</w:t>
      </w:r>
    </w:p>
    <w:p w:rsidR="00523A40" w:rsidRPr="00E95614" w:rsidRDefault="00523A40" w:rsidP="00523A40">
      <w:pPr>
        <w:pStyle w:val="ListParagraph"/>
        <w:numPr>
          <w:ilvl w:val="0"/>
          <w:numId w:val="1"/>
        </w:numPr>
        <w:spacing w:after="200" w:line="276" w:lineRule="auto"/>
        <w:ind w:left="709" w:firstLineChars="0" w:hanging="431"/>
        <w:jc w:val="left"/>
        <w:rPr>
          <w:rFonts w:ascii="Palatino Linotype" w:eastAsia="Times New Roman" w:hAnsi="Palatino Linotype" w:cs="Times New Roman"/>
          <w:sz w:val="22"/>
        </w:rPr>
      </w:pPr>
      <w:r w:rsidRPr="00E95614">
        <w:rPr>
          <w:rFonts w:ascii="Palatino Linotype" w:eastAsia="Times New Roman" w:hAnsi="Palatino Linotype" w:cs="Times New Roman"/>
          <w:sz w:val="22"/>
        </w:rPr>
        <w:t xml:space="preserve">The website address is </w:t>
      </w:r>
      <w:hyperlink r:id="rId11">
        <w:r w:rsidRPr="00E95614">
          <w:rPr>
            <w:rFonts w:ascii="Palatino Linotype" w:eastAsia="Times New Roman" w:hAnsi="Palatino Linotype" w:cs="Times New Roman"/>
            <w:color w:val="0000FF"/>
            <w:sz w:val="22"/>
            <w:u w:val="single"/>
          </w:rPr>
          <w:t>www.fangdi.com.cn</w:t>
        </w:r>
      </w:hyperlink>
      <w:r w:rsidRPr="00E95614">
        <w:rPr>
          <w:rFonts w:ascii="Palatino Linotype" w:eastAsia="Times New Roman" w:hAnsi="Palatino Linotype" w:cs="Times New Roman"/>
          <w:sz w:val="22"/>
        </w:rPr>
        <w:t>. The registration of the projects on the website is mandatory for all developers who want to sell properties in Shanghai. 833 housing projects are selected from more than five thousand housings listed. They are new properties with land lease term of 70 years, enclosing a variety of housing types such as multi-family apartment (low-rise to high-rise), townhouse and single-family villa, but excluding affordable housing and resettlement housing.</w:t>
      </w:r>
    </w:p>
    <w:p w:rsidR="00382ADF" w:rsidRPr="00E95614" w:rsidRDefault="009063CD" w:rsidP="00523A40">
      <w:pPr>
        <w:numPr>
          <w:ilvl w:val="0"/>
          <w:numId w:val="1"/>
        </w:numPr>
        <w:spacing w:after="200" w:line="276" w:lineRule="auto"/>
        <w:ind w:left="709" w:hanging="349"/>
        <w:jc w:val="left"/>
        <w:rPr>
          <w:rFonts w:ascii="Palatino Linotype" w:eastAsia="Times New Roman" w:hAnsi="Palatino Linotype" w:cs="Times New Roman"/>
          <w:sz w:val="22"/>
        </w:rPr>
      </w:pPr>
      <w:r w:rsidRPr="00E95614">
        <w:rPr>
          <w:rFonts w:ascii="Palatino Linotype" w:eastAsia="Times New Roman" w:hAnsi="Palatino Linotype" w:cs="Times New Roman"/>
          <w:sz w:val="22"/>
        </w:rPr>
        <w:t xml:space="preserve">The platform was launched in </w:t>
      </w:r>
      <w:r w:rsidR="002C0219" w:rsidRPr="00E95614">
        <w:rPr>
          <w:rFonts w:ascii="Palatino Linotype" w:eastAsia="Times New Roman" w:hAnsi="Palatino Linotype" w:cs="Times New Roman"/>
          <w:sz w:val="22"/>
        </w:rPr>
        <w:t xml:space="preserve">early </w:t>
      </w:r>
      <w:r w:rsidRPr="00E95614">
        <w:rPr>
          <w:rFonts w:ascii="Palatino Linotype" w:eastAsia="Times New Roman" w:hAnsi="Palatino Linotype" w:cs="Times New Roman"/>
          <w:sz w:val="22"/>
        </w:rPr>
        <w:t xml:space="preserve">2004. </w:t>
      </w:r>
    </w:p>
    <w:p w:rsidR="00382ADF" w:rsidRPr="00E95614" w:rsidRDefault="00144E9C" w:rsidP="00523A40">
      <w:pPr>
        <w:numPr>
          <w:ilvl w:val="0"/>
          <w:numId w:val="1"/>
        </w:numPr>
        <w:spacing w:after="200" w:line="276" w:lineRule="auto"/>
        <w:ind w:left="720" w:hanging="360"/>
        <w:jc w:val="left"/>
        <w:rPr>
          <w:rFonts w:ascii="Palatino Linotype" w:eastAsia="Times New Roman" w:hAnsi="Palatino Linotype" w:cs="Times New Roman"/>
          <w:sz w:val="22"/>
        </w:rPr>
      </w:pPr>
      <w:r w:rsidRPr="00E95614">
        <w:rPr>
          <w:rFonts w:ascii="Palatino Linotype" w:eastAsia="Times New Roman" w:hAnsi="Palatino Linotype" w:cs="Times New Roman"/>
          <w:sz w:val="22"/>
        </w:rPr>
        <w:t>Generally speaking,</w:t>
      </w:r>
      <w:r w:rsidR="002E5C24" w:rsidRPr="00E95614">
        <w:rPr>
          <w:rFonts w:ascii="Palatino Linotype" w:eastAsia="Times New Roman" w:hAnsi="Palatino Linotype" w:cs="Times New Roman"/>
          <w:sz w:val="22"/>
        </w:rPr>
        <w:t xml:space="preserve"> there are two </w:t>
      </w:r>
      <w:r w:rsidRPr="00E95614">
        <w:rPr>
          <w:rFonts w:ascii="Palatino Linotype" w:eastAsia="Times New Roman" w:hAnsi="Palatino Linotype" w:cs="Times New Roman"/>
          <w:sz w:val="22"/>
        </w:rPr>
        <w:t xml:space="preserve">distinctively </w:t>
      </w:r>
      <w:r w:rsidR="002E5C24" w:rsidRPr="00E95614">
        <w:rPr>
          <w:rFonts w:ascii="Palatino Linotype" w:eastAsia="Times New Roman" w:hAnsi="Palatino Linotype" w:cs="Times New Roman"/>
          <w:sz w:val="22"/>
        </w:rPr>
        <w:t>separate housing markets in China</w:t>
      </w:r>
      <w:r w:rsidRPr="00E95614">
        <w:rPr>
          <w:rFonts w:ascii="Palatino Linotype" w:eastAsia="Times New Roman" w:hAnsi="Palatino Linotype" w:cs="Times New Roman"/>
          <w:sz w:val="22"/>
        </w:rPr>
        <w:t xml:space="preserve"> – the housing markets in first-tie-cities and the markets of other cities. The four cities have been experiencing rapid housing price hike for two decades due to severe housing supply shortage, even so in recent years, while the other cities are currently suffering from high stock and declining price. </w:t>
      </w:r>
      <w:r w:rsidR="002E5C24" w:rsidRPr="00E95614">
        <w:rPr>
          <w:rFonts w:ascii="Palatino Linotype" w:eastAsia="Times New Roman" w:hAnsi="Palatino Linotype" w:cs="Times New Roman"/>
          <w:sz w:val="22"/>
        </w:rPr>
        <w:t xml:space="preserve"> </w:t>
      </w:r>
      <w:r w:rsidR="009063CD" w:rsidRPr="00E95614">
        <w:rPr>
          <w:rFonts w:ascii="Palatino Linotype" w:eastAsia="Times New Roman" w:hAnsi="Palatino Linotype" w:cs="Times New Roman"/>
          <w:sz w:val="22"/>
        </w:rPr>
        <w:t xml:space="preserve">  </w:t>
      </w:r>
    </w:p>
    <w:p w:rsidR="00382ADF" w:rsidRDefault="00382ADF">
      <w:pPr>
        <w:spacing w:after="200" w:line="276" w:lineRule="auto"/>
        <w:jc w:val="left"/>
        <w:rPr>
          <w:rFonts w:ascii="Times New Roman" w:eastAsia="Times New Roman" w:hAnsi="Times New Roman" w:cs="Times New Roman"/>
          <w:b/>
          <w:sz w:val="24"/>
          <w:lang w:val="en-GB"/>
        </w:rPr>
      </w:pPr>
    </w:p>
    <w:p w:rsidR="00CF5317" w:rsidRDefault="00CF5317">
      <w:pPr>
        <w:spacing w:after="200" w:line="276" w:lineRule="auto"/>
        <w:jc w:val="left"/>
        <w:rPr>
          <w:rFonts w:ascii="Times New Roman" w:eastAsia="Times New Roman" w:hAnsi="Times New Roman" w:cs="Times New Roman"/>
          <w:b/>
          <w:sz w:val="24"/>
          <w:lang w:val="en-GB"/>
        </w:rPr>
      </w:pPr>
    </w:p>
    <w:p w:rsidR="00CF5317" w:rsidRDefault="00CF5317">
      <w:pPr>
        <w:spacing w:after="200" w:line="276" w:lineRule="auto"/>
        <w:jc w:val="left"/>
        <w:rPr>
          <w:rFonts w:ascii="Times New Roman" w:eastAsia="Times New Roman" w:hAnsi="Times New Roman" w:cs="Times New Roman"/>
          <w:b/>
          <w:sz w:val="24"/>
          <w:lang w:val="en-GB"/>
        </w:rPr>
      </w:pPr>
    </w:p>
    <w:p w:rsidR="00CF5317" w:rsidRDefault="00CF5317">
      <w:pPr>
        <w:spacing w:after="200" w:line="276" w:lineRule="auto"/>
        <w:jc w:val="left"/>
        <w:rPr>
          <w:rFonts w:ascii="Times New Roman" w:eastAsia="Times New Roman" w:hAnsi="Times New Roman" w:cs="Times New Roman"/>
          <w:b/>
          <w:sz w:val="24"/>
          <w:lang w:val="en-GB"/>
        </w:rPr>
      </w:pPr>
    </w:p>
    <w:p w:rsidR="00322690" w:rsidRDefault="00322690">
      <w:pPr>
        <w:spacing w:after="200" w:line="276" w:lineRule="auto"/>
        <w:jc w:val="left"/>
        <w:rPr>
          <w:rFonts w:ascii="Times New Roman" w:eastAsia="Times New Roman" w:hAnsi="Times New Roman" w:cs="Times New Roman"/>
          <w:b/>
          <w:sz w:val="24"/>
          <w:lang w:val="en-GB"/>
        </w:rPr>
      </w:pPr>
    </w:p>
    <w:p w:rsidR="00DC5B44" w:rsidRDefault="00DC5B44">
      <w:pPr>
        <w:spacing w:after="200" w:line="276" w:lineRule="auto"/>
        <w:jc w:val="left"/>
        <w:rPr>
          <w:rFonts w:ascii="Times New Roman" w:eastAsia="Times New Roman" w:hAnsi="Times New Roman" w:cs="Times New Roman"/>
          <w:b/>
          <w:sz w:val="24"/>
          <w:lang w:val="en-GB"/>
        </w:rPr>
      </w:pPr>
    </w:p>
    <w:p w:rsidR="00322690" w:rsidRDefault="00322690">
      <w:pPr>
        <w:spacing w:after="200" w:line="276" w:lineRule="auto"/>
        <w:jc w:val="left"/>
        <w:rPr>
          <w:rFonts w:ascii="Times New Roman" w:eastAsia="Times New Roman" w:hAnsi="Times New Roman" w:cs="Times New Roman"/>
          <w:b/>
          <w:sz w:val="24"/>
          <w:lang w:val="en-GB"/>
        </w:rPr>
      </w:pPr>
    </w:p>
    <w:p w:rsidR="0038773A" w:rsidRDefault="0038773A">
      <w:pPr>
        <w:spacing w:after="200" w:line="276" w:lineRule="auto"/>
        <w:jc w:val="left"/>
        <w:rPr>
          <w:rFonts w:ascii="Times New Roman" w:eastAsia="Times New Roman" w:hAnsi="Times New Roman" w:cs="Times New Roman"/>
          <w:b/>
          <w:sz w:val="24"/>
          <w:lang w:val="en-GB"/>
        </w:rPr>
      </w:pPr>
    </w:p>
    <w:p w:rsidR="0038773A" w:rsidRPr="00CF5317" w:rsidRDefault="0038773A">
      <w:pPr>
        <w:spacing w:after="200" w:line="276" w:lineRule="auto"/>
        <w:jc w:val="left"/>
        <w:rPr>
          <w:rFonts w:ascii="Times New Roman" w:eastAsia="Times New Roman" w:hAnsi="Times New Roman" w:cs="Times New Roman"/>
          <w:b/>
          <w:sz w:val="24"/>
          <w:lang w:val="en-GB"/>
        </w:rPr>
      </w:pPr>
    </w:p>
    <w:p w:rsidR="00382ADF" w:rsidRPr="00E95614" w:rsidRDefault="009063CD">
      <w:pPr>
        <w:spacing w:after="200" w:line="276" w:lineRule="auto"/>
        <w:jc w:val="left"/>
        <w:rPr>
          <w:rFonts w:ascii="Palatino Linotype" w:eastAsia="Times New Roman" w:hAnsi="Palatino Linotype" w:cs="Times New Roman"/>
          <w:b/>
          <w:sz w:val="22"/>
        </w:rPr>
      </w:pPr>
      <w:r w:rsidRPr="00E95614">
        <w:rPr>
          <w:rFonts w:ascii="Palatino Linotype" w:eastAsia="Times New Roman" w:hAnsi="Palatino Linotype" w:cs="Times New Roman"/>
          <w:b/>
          <w:sz w:val="22"/>
        </w:rPr>
        <w:lastRenderedPageBreak/>
        <w:t xml:space="preserve">References </w:t>
      </w:r>
    </w:p>
    <w:p w:rsidR="00382ADF" w:rsidRPr="00E95614" w:rsidRDefault="009063CD" w:rsidP="009177FB">
      <w:pPr>
        <w:pStyle w:val="NoSpacing"/>
        <w:rPr>
          <w:rFonts w:ascii="Palatino Linotype" w:hAnsi="Palatino Linotype" w:cs="Times New Roman"/>
          <w:sz w:val="22"/>
        </w:rPr>
      </w:pPr>
      <w:r w:rsidRPr="00E95614">
        <w:rPr>
          <w:rFonts w:ascii="Palatino Linotype" w:hAnsi="Palatino Linotype" w:cs="Times New Roman"/>
          <w:sz w:val="22"/>
        </w:rPr>
        <w:t>Ball, M. et al. 2010. Housing supply price elasticities revisited: Evidence from</w:t>
      </w:r>
    </w:p>
    <w:p w:rsidR="00382ADF" w:rsidRPr="00E95614" w:rsidRDefault="009063CD" w:rsidP="009177FB">
      <w:pPr>
        <w:pStyle w:val="NoSpacing"/>
        <w:rPr>
          <w:rFonts w:ascii="Palatino Linotype" w:hAnsi="Palatino Linotype" w:cs="Times New Roman"/>
          <w:sz w:val="22"/>
        </w:rPr>
      </w:pPr>
      <w:r w:rsidRPr="00E95614">
        <w:rPr>
          <w:rFonts w:ascii="Palatino Linotype" w:hAnsi="Palatino Linotype" w:cs="Times New Roman"/>
          <w:sz w:val="22"/>
        </w:rPr>
        <w:t xml:space="preserve">international, national, local and company data. </w:t>
      </w:r>
      <w:r w:rsidRPr="00E95614">
        <w:rPr>
          <w:rFonts w:ascii="Palatino Linotype" w:hAnsi="Palatino Linotype" w:cs="Times New Roman"/>
          <w:i/>
          <w:sz w:val="22"/>
        </w:rPr>
        <w:t>Journal of Housing Economics</w:t>
      </w:r>
      <w:r w:rsidRPr="00E95614">
        <w:rPr>
          <w:rFonts w:ascii="Palatino Linotype" w:hAnsi="Palatino Linotype" w:cs="Times New Roman"/>
          <w:sz w:val="22"/>
        </w:rPr>
        <w:t>, 19, 255-268.</w:t>
      </w:r>
    </w:p>
    <w:p w:rsidR="00382ADF" w:rsidRPr="00E95614" w:rsidRDefault="00382ADF">
      <w:pPr>
        <w:jc w:val="left"/>
        <w:rPr>
          <w:rFonts w:ascii="Palatino Linotype" w:eastAsia="Times New Roman" w:hAnsi="Palatino Linotype" w:cs="Times New Roman"/>
          <w:sz w:val="22"/>
        </w:rPr>
      </w:pPr>
    </w:p>
    <w:p w:rsidR="00382ADF" w:rsidRPr="00E95614" w:rsidRDefault="009063CD">
      <w:pPr>
        <w:ind w:right="60"/>
        <w:jc w:val="left"/>
        <w:rPr>
          <w:rFonts w:ascii="Palatino Linotype" w:eastAsia="Times New Roman" w:hAnsi="Palatino Linotype" w:cs="Times New Roman"/>
          <w:sz w:val="22"/>
        </w:rPr>
      </w:pPr>
      <w:r w:rsidRPr="00E95614">
        <w:rPr>
          <w:rFonts w:ascii="Palatino Linotype" w:eastAsia="Times New Roman" w:hAnsi="Palatino Linotype" w:cs="Times New Roman"/>
          <w:sz w:val="22"/>
        </w:rPr>
        <w:t xml:space="preserve">Barker, K. 2008.  Planning policy, planning practice, and housing supply. </w:t>
      </w:r>
      <w:hyperlink r:id="rId12">
        <w:r w:rsidRPr="00E95614">
          <w:rPr>
            <w:rFonts w:ascii="Palatino Linotype" w:eastAsia="Times New Roman" w:hAnsi="Palatino Linotype" w:cs="Times New Roman"/>
            <w:i/>
            <w:sz w:val="22"/>
            <w:u w:val="single"/>
          </w:rPr>
          <w:t>Oxford Review of Economic Policy</w:t>
        </w:r>
      </w:hyperlink>
      <w:r w:rsidRPr="00E95614">
        <w:rPr>
          <w:rFonts w:ascii="Palatino Linotype" w:eastAsia="Times New Roman" w:hAnsi="Palatino Linotype" w:cs="Times New Roman"/>
          <w:sz w:val="22"/>
        </w:rPr>
        <w:t xml:space="preserve">. </w:t>
      </w:r>
      <w:hyperlink r:id="rId13">
        <w:r w:rsidRPr="00E95614">
          <w:rPr>
            <w:rFonts w:ascii="Palatino Linotype" w:eastAsia="Times New Roman" w:hAnsi="Palatino Linotype" w:cs="Times New Roman"/>
            <w:sz w:val="22"/>
            <w:u w:val="single"/>
          </w:rPr>
          <w:t>24-1</w:t>
        </w:r>
      </w:hyperlink>
      <w:r w:rsidRPr="00E95614">
        <w:rPr>
          <w:rFonts w:ascii="Palatino Linotype" w:eastAsia="Times New Roman" w:hAnsi="Palatino Linotype" w:cs="Times New Roman"/>
          <w:sz w:val="22"/>
        </w:rPr>
        <w:t>, 34-49.</w:t>
      </w:r>
    </w:p>
    <w:p w:rsidR="00382ADF" w:rsidRPr="00E95614" w:rsidRDefault="00382ADF">
      <w:pPr>
        <w:jc w:val="left"/>
        <w:rPr>
          <w:rFonts w:ascii="Palatino Linotype" w:eastAsia="Times New Roman" w:hAnsi="Palatino Linotype" w:cs="Times New Roman"/>
          <w:sz w:val="22"/>
        </w:rPr>
      </w:pPr>
    </w:p>
    <w:p w:rsidR="00382ADF" w:rsidRPr="00E95614" w:rsidRDefault="009063CD" w:rsidP="009177FB">
      <w:pPr>
        <w:pStyle w:val="NoSpacing"/>
        <w:rPr>
          <w:rFonts w:ascii="Palatino Linotype" w:hAnsi="Palatino Linotype" w:cs="Times New Roman"/>
          <w:sz w:val="22"/>
        </w:rPr>
      </w:pPr>
      <w:r w:rsidRPr="00E95614">
        <w:rPr>
          <w:rFonts w:ascii="Palatino Linotype" w:hAnsi="Palatino Linotype" w:cs="Times New Roman"/>
          <w:sz w:val="22"/>
        </w:rPr>
        <w:t>Blackley, D. 1999. The long-run elasticity of new housing supply in the US: empirical evidence for 1950</w:t>
      </w:r>
      <w:r w:rsidRPr="00E95614">
        <w:rPr>
          <w:rFonts w:ascii="Palatino Linotype" w:eastAsia="SimSun" w:hAnsi="Palatino Linotype" w:cs="Times New Roman"/>
          <w:sz w:val="22"/>
        </w:rPr>
        <w:t>–</w:t>
      </w:r>
      <w:r w:rsidRPr="00E95614">
        <w:rPr>
          <w:rFonts w:ascii="Palatino Linotype" w:hAnsi="Palatino Linotype" w:cs="Times New Roman"/>
          <w:sz w:val="22"/>
        </w:rPr>
        <w:t xml:space="preserve">1994, </w:t>
      </w:r>
      <w:r w:rsidRPr="00E95614">
        <w:rPr>
          <w:rFonts w:ascii="Palatino Linotype" w:hAnsi="Palatino Linotype" w:cs="Times New Roman"/>
          <w:i/>
          <w:sz w:val="22"/>
        </w:rPr>
        <w:t>Journal of Real Estate Economics and Finance</w:t>
      </w:r>
      <w:r w:rsidRPr="00E95614">
        <w:rPr>
          <w:rFonts w:ascii="Palatino Linotype" w:hAnsi="Palatino Linotype" w:cs="Times New Roman"/>
          <w:sz w:val="22"/>
        </w:rPr>
        <w:t>. 18: 25</w:t>
      </w:r>
      <w:r w:rsidRPr="00E95614">
        <w:rPr>
          <w:rFonts w:ascii="Palatino Linotype" w:eastAsia="SimSun" w:hAnsi="Palatino Linotype" w:cs="Times New Roman"/>
          <w:sz w:val="22"/>
        </w:rPr>
        <w:t>–</w:t>
      </w:r>
      <w:r w:rsidRPr="00E95614">
        <w:rPr>
          <w:rFonts w:ascii="Palatino Linotype" w:hAnsi="Palatino Linotype" w:cs="Times New Roman"/>
          <w:sz w:val="22"/>
        </w:rPr>
        <w:t>48.</w:t>
      </w:r>
    </w:p>
    <w:p w:rsidR="00382ADF" w:rsidRPr="00E95614" w:rsidRDefault="00382ADF">
      <w:pPr>
        <w:jc w:val="left"/>
        <w:rPr>
          <w:rFonts w:ascii="Palatino Linotype" w:eastAsia="Times New Roman" w:hAnsi="Palatino Linotype" w:cs="Times New Roman"/>
          <w:sz w:val="22"/>
        </w:rPr>
      </w:pPr>
    </w:p>
    <w:p w:rsidR="00382ADF" w:rsidRPr="00E95614" w:rsidRDefault="009063CD">
      <w:pPr>
        <w:jc w:val="left"/>
        <w:rPr>
          <w:rFonts w:ascii="Palatino Linotype" w:eastAsia="Times New Roman" w:hAnsi="Palatino Linotype" w:cs="Times New Roman"/>
          <w:sz w:val="22"/>
        </w:rPr>
      </w:pPr>
      <w:r w:rsidRPr="00E95614">
        <w:rPr>
          <w:rFonts w:ascii="Palatino Linotype" w:eastAsia="Times New Roman" w:hAnsi="Palatino Linotype" w:cs="Times New Roman"/>
          <w:sz w:val="22"/>
        </w:rPr>
        <w:t xml:space="preserve">Caldera Sánchez, A. and Johansson, A. 2011. The Price Responsiveness of Housing Supply in OECD Countries. </w:t>
      </w:r>
      <w:r w:rsidRPr="00E95614">
        <w:rPr>
          <w:rFonts w:ascii="Palatino Linotype" w:eastAsia="Times New Roman" w:hAnsi="Palatino Linotype" w:cs="Times New Roman"/>
          <w:i/>
          <w:sz w:val="22"/>
        </w:rPr>
        <w:t>OECD Economics Department Working Papers</w:t>
      </w:r>
      <w:r w:rsidRPr="00E95614">
        <w:rPr>
          <w:rFonts w:ascii="Palatino Linotype" w:eastAsia="Times New Roman" w:hAnsi="Palatino Linotype" w:cs="Times New Roman"/>
          <w:sz w:val="22"/>
        </w:rPr>
        <w:t>, No. 837, OECD Publishing.</w:t>
      </w:r>
    </w:p>
    <w:p w:rsidR="009177FB" w:rsidRPr="00E95614" w:rsidRDefault="009177FB">
      <w:pPr>
        <w:jc w:val="left"/>
        <w:rPr>
          <w:rFonts w:ascii="Palatino Linotype" w:eastAsia="Times New Roman" w:hAnsi="Palatino Linotype" w:cs="Times New Roman"/>
          <w:sz w:val="22"/>
        </w:rPr>
      </w:pPr>
    </w:p>
    <w:p w:rsidR="009177FB" w:rsidRPr="00E95614" w:rsidRDefault="009177FB">
      <w:pPr>
        <w:jc w:val="left"/>
        <w:rPr>
          <w:rFonts w:ascii="Palatino Linotype" w:eastAsia="Times New Roman" w:hAnsi="Palatino Linotype" w:cs="Times New Roman"/>
          <w:sz w:val="22"/>
        </w:rPr>
      </w:pPr>
      <w:r w:rsidRPr="00E95614">
        <w:rPr>
          <w:rFonts w:ascii="Palatino Linotype" w:eastAsia="Times New Roman" w:hAnsi="Palatino Linotype" w:cs="Times New Roman"/>
          <w:sz w:val="22"/>
        </w:rPr>
        <w:t xml:space="preserve">Chen, J and Lai, R. 2013. Pricing Relocation-Redevelopment Projects for City Expansion. </w:t>
      </w:r>
      <w:r w:rsidRPr="00E95614">
        <w:rPr>
          <w:rFonts w:ascii="Palatino Linotype" w:eastAsia="Times New Roman" w:hAnsi="Palatino Linotype" w:cs="Times New Roman"/>
          <w:i/>
          <w:sz w:val="22"/>
        </w:rPr>
        <w:t>Real Estate Economics</w:t>
      </w:r>
      <w:r w:rsidRPr="00E95614">
        <w:rPr>
          <w:rFonts w:ascii="Palatino Linotype" w:eastAsia="Times New Roman" w:hAnsi="Palatino Linotype" w:cs="Times New Roman"/>
          <w:sz w:val="22"/>
        </w:rPr>
        <w:t>. 41 (4), 925-957</w:t>
      </w:r>
    </w:p>
    <w:p w:rsidR="00382ADF" w:rsidRPr="00E95614" w:rsidRDefault="00382ADF">
      <w:pPr>
        <w:jc w:val="left"/>
        <w:rPr>
          <w:rFonts w:ascii="Palatino Linotype" w:eastAsia="Times New Roman" w:hAnsi="Palatino Linotype" w:cs="Times New Roman"/>
          <w:sz w:val="22"/>
        </w:rPr>
      </w:pPr>
    </w:p>
    <w:p w:rsidR="00382ADF" w:rsidRPr="00E95614" w:rsidRDefault="009063CD">
      <w:pPr>
        <w:spacing w:after="200" w:line="276" w:lineRule="auto"/>
        <w:jc w:val="left"/>
        <w:rPr>
          <w:rFonts w:ascii="Palatino Linotype" w:eastAsia="Times New Roman" w:hAnsi="Palatino Linotype" w:cs="Times New Roman"/>
          <w:sz w:val="22"/>
        </w:rPr>
      </w:pPr>
      <w:r w:rsidRPr="00E95614">
        <w:rPr>
          <w:rFonts w:ascii="Palatino Linotype" w:eastAsia="Times New Roman" w:hAnsi="Palatino Linotype" w:cs="Times New Roman"/>
          <w:sz w:val="22"/>
        </w:rPr>
        <w:t xml:space="preserve">DiPasqualh, D. 1999.  Why don’t we know more about housing supply?  </w:t>
      </w:r>
      <w:r w:rsidRPr="00E95614">
        <w:rPr>
          <w:rFonts w:ascii="Palatino Linotype" w:eastAsia="Times New Roman" w:hAnsi="Palatino Linotype" w:cs="Times New Roman"/>
          <w:i/>
          <w:sz w:val="22"/>
        </w:rPr>
        <w:t xml:space="preserve">Journal of Real Estate Economics and Finance, </w:t>
      </w:r>
      <w:r w:rsidRPr="00E95614">
        <w:rPr>
          <w:rFonts w:ascii="Palatino Linotype" w:eastAsia="Times New Roman" w:hAnsi="Palatino Linotype" w:cs="Times New Roman"/>
          <w:sz w:val="22"/>
        </w:rPr>
        <w:t>18:1.</w:t>
      </w:r>
    </w:p>
    <w:p w:rsidR="009A044F" w:rsidRPr="00E95614" w:rsidRDefault="009063CD">
      <w:pPr>
        <w:jc w:val="left"/>
        <w:rPr>
          <w:rFonts w:ascii="Palatino Linotype" w:eastAsia="Times New Roman" w:hAnsi="Palatino Linotype" w:cs="Times New Roman"/>
          <w:sz w:val="22"/>
        </w:rPr>
      </w:pPr>
      <w:r w:rsidRPr="00E95614">
        <w:rPr>
          <w:rFonts w:ascii="Palatino Linotype" w:eastAsia="Times New Roman" w:hAnsi="Palatino Linotype" w:cs="Times New Roman"/>
          <w:sz w:val="22"/>
        </w:rPr>
        <w:t xml:space="preserve">DiPasquale, D and Wheaton, W.1994. Housing Market Dynamics and the Future of Housing Prices. </w:t>
      </w:r>
      <w:r w:rsidRPr="00E95614">
        <w:rPr>
          <w:rFonts w:ascii="Palatino Linotype" w:eastAsia="Times New Roman" w:hAnsi="Palatino Linotype" w:cs="Times New Roman"/>
          <w:i/>
          <w:sz w:val="22"/>
        </w:rPr>
        <w:t>Journal of Urban Economics</w:t>
      </w:r>
      <w:r w:rsidRPr="00E95614">
        <w:rPr>
          <w:rFonts w:ascii="Palatino Linotype" w:eastAsia="Times New Roman" w:hAnsi="Palatino Linotype" w:cs="Times New Roman"/>
          <w:sz w:val="22"/>
        </w:rPr>
        <w:t>, 35 (January), 1-27.</w:t>
      </w:r>
    </w:p>
    <w:p w:rsidR="00E814ED" w:rsidRPr="00E95614" w:rsidRDefault="00E814ED">
      <w:pPr>
        <w:jc w:val="left"/>
        <w:rPr>
          <w:rFonts w:ascii="Palatino Linotype" w:eastAsia="Times New Roman" w:hAnsi="Palatino Linotype" w:cs="Times New Roman"/>
          <w:sz w:val="22"/>
          <w:lang w:val="en-GB"/>
        </w:rPr>
      </w:pPr>
    </w:p>
    <w:p w:rsidR="00382ADF" w:rsidRPr="00E95614" w:rsidRDefault="009063CD">
      <w:pPr>
        <w:spacing w:before="100" w:after="100"/>
        <w:jc w:val="left"/>
        <w:rPr>
          <w:rFonts w:ascii="Palatino Linotype" w:eastAsia="Times New Roman" w:hAnsi="Palatino Linotype" w:cs="Times New Roman"/>
          <w:sz w:val="22"/>
        </w:rPr>
      </w:pPr>
      <w:r w:rsidRPr="00E95614">
        <w:rPr>
          <w:rFonts w:ascii="Palatino Linotype" w:eastAsia="Times New Roman" w:hAnsi="Palatino Linotype" w:cs="Times New Roman"/>
          <w:sz w:val="22"/>
        </w:rPr>
        <w:t xml:space="preserve">Follain, James R. 1979. The Price Elasticity of the Long-Run Supply of New Housing Construction. </w:t>
      </w:r>
      <w:r w:rsidRPr="00E95614">
        <w:rPr>
          <w:rFonts w:ascii="Palatino Linotype" w:eastAsia="Times New Roman" w:hAnsi="Palatino Linotype" w:cs="Times New Roman"/>
          <w:i/>
          <w:sz w:val="22"/>
        </w:rPr>
        <w:t>Land Economics,</w:t>
      </w:r>
      <w:r w:rsidRPr="00E95614">
        <w:rPr>
          <w:rFonts w:ascii="Palatino Linotype" w:eastAsia="Times New Roman" w:hAnsi="Palatino Linotype" w:cs="Times New Roman"/>
          <w:sz w:val="22"/>
        </w:rPr>
        <w:t xml:space="preserve"> 55(2), 190-199.</w:t>
      </w:r>
    </w:p>
    <w:p w:rsidR="00E814ED" w:rsidRPr="00E95614" w:rsidRDefault="00E814ED">
      <w:pPr>
        <w:spacing w:before="100" w:after="100"/>
        <w:jc w:val="left"/>
        <w:rPr>
          <w:rFonts w:ascii="Palatino Linotype" w:eastAsia="Times New Roman" w:hAnsi="Palatino Linotype" w:cs="Times New Roman"/>
          <w:sz w:val="22"/>
          <w:lang w:val="en-GB"/>
        </w:rPr>
      </w:pPr>
    </w:p>
    <w:p w:rsidR="00E814ED" w:rsidRPr="00E95614" w:rsidRDefault="00E814ED">
      <w:pPr>
        <w:spacing w:before="100" w:after="100"/>
        <w:jc w:val="left"/>
        <w:rPr>
          <w:rFonts w:ascii="Palatino Linotype" w:eastAsia="Times New Roman" w:hAnsi="Palatino Linotype" w:cs="Times New Roman"/>
          <w:sz w:val="22"/>
          <w:lang w:val="en-GB"/>
        </w:rPr>
      </w:pPr>
      <w:r w:rsidRPr="00E95614">
        <w:rPr>
          <w:rFonts w:ascii="Palatino Linotype" w:eastAsia="Times New Roman" w:hAnsi="Palatino Linotype" w:cs="Times New Roman"/>
          <w:sz w:val="22"/>
          <w:lang w:val="en-GB"/>
        </w:rPr>
        <w:t xml:space="preserve">Forsyth, A. 2012. Defining Suburbs. </w:t>
      </w:r>
      <w:r w:rsidRPr="00E95614">
        <w:rPr>
          <w:rFonts w:ascii="Palatino Linotype" w:eastAsia="Times New Roman" w:hAnsi="Palatino Linotype" w:cs="Times New Roman"/>
          <w:i/>
          <w:sz w:val="22"/>
          <w:lang w:val="en-GB"/>
        </w:rPr>
        <w:t>Journal of Planning Literature</w:t>
      </w:r>
      <w:r w:rsidRPr="00E95614">
        <w:rPr>
          <w:rFonts w:ascii="Palatino Linotype" w:eastAsia="Times New Roman" w:hAnsi="Palatino Linotype" w:cs="Times New Roman"/>
          <w:sz w:val="22"/>
          <w:lang w:val="en-GB"/>
        </w:rPr>
        <w:t>. 27(3), 270-281</w:t>
      </w:r>
    </w:p>
    <w:p w:rsidR="00E814ED" w:rsidRPr="00E95614" w:rsidRDefault="00E814ED">
      <w:pPr>
        <w:spacing w:before="100" w:after="100"/>
        <w:jc w:val="left"/>
        <w:rPr>
          <w:rFonts w:ascii="Palatino Linotype" w:eastAsia="Times New Roman" w:hAnsi="Palatino Linotype" w:cs="Times New Roman"/>
          <w:sz w:val="22"/>
          <w:lang w:val="en-GB"/>
        </w:rPr>
      </w:pPr>
    </w:p>
    <w:p w:rsidR="00382ADF" w:rsidRPr="00E95614" w:rsidRDefault="009063CD">
      <w:pPr>
        <w:spacing w:before="100" w:after="100"/>
        <w:jc w:val="left"/>
        <w:rPr>
          <w:rFonts w:ascii="Palatino Linotype" w:eastAsia="Times New Roman" w:hAnsi="Palatino Linotype" w:cs="Times New Roman"/>
          <w:sz w:val="22"/>
        </w:rPr>
      </w:pPr>
      <w:r w:rsidRPr="00E95614">
        <w:rPr>
          <w:rFonts w:ascii="Palatino Linotype" w:eastAsia="Times New Roman" w:hAnsi="Palatino Linotype" w:cs="Times New Roman"/>
          <w:sz w:val="22"/>
        </w:rPr>
        <w:t>Golland, A and Boelhouwer, P. 2002. Speculative housing supply</w:t>
      </w:r>
      <w:r w:rsidRPr="00E95614">
        <w:rPr>
          <w:rFonts w:ascii="Palatino Linotype" w:eastAsia="Times New Roman" w:hAnsi="Palatino Linotype" w:cs="Times New Roman"/>
          <w:i/>
          <w:sz w:val="22"/>
        </w:rPr>
        <w:t xml:space="preserve">, </w:t>
      </w:r>
      <w:r w:rsidR="00E814ED" w:rsidRPr="00E95614">
        <w:rPr>
          <w:rFonts w:ascii="Palatino Linotype" w:eastAsia="Times New Roman" w:hAnsi="Palatino Linotype" w:cs="Times New Roman"/>
          <w:sz w:val="22"/>
        </w:rPr>
        <w:t xml:space="preserve">land and housing </w:t>
      </w:r>
      <w:r w:rsidRPr="00E95614">
        <w:rPr>
          <w:rFonts w:ascii="Palatino Linotype" w:eastAsia="Times New Roman" w:hAnsi="Palatino Linotype" w:cs="Times New Roman"/>
          <w:sz w:val="22"/>
        </w:rPr>
        <w:t xml:space="preserve">markets: a comparison. </w:t>
      </w:r>
      <w:r w:rsidRPr="00E95614">
        <w:rPr>
          <w:rFonts w:ascii="Palatino Linotype" w:eastAsia="Times New Roman" w:hAnsi="Palatino Linotype" w:cs="Times New Roman"/>
          <w:i/>
          <w:sz w:val="22"/>
        </w:rPr>
        <w:t>Journal of Property Research</w:t>
      </w:r>
      <w:r w:rsidRPr="00E95614">
        <w:rPr>
          <w:rFonts w:ascii="Palatino Linotype" w:eastAsia="Times New Roman" w:hAnsi="Palatino Linotype" w:cs="Times New Roman"/>
          <w:sz w:val="22"/>
        </w:rPr>
        <w:t>, 19(3) 231</w:t>
      </w:r>
      <w:r w:rsidRPr="00E95614">
        <w:rPr>
          <w:rFonts w:ascii="Palatino Linotype" w:eastAsia="SimSun" w:hAnsi="Palatino Linotype" w:cs="SimSun"/>
          <w:sz w:val="22"/>
        </w:rPr>
        <w:t>–</w:t>
      </w:r>
      <w:r w:rsidRPr="00E95614">
        <w:rPr>
          <w:rFonts w:ascii="Palatino Linotype" w:eastAsia="Times New Roman" w:hAnsi="Palatino Linotype" w:cs="Times New Roman"/>
          <w:sz w:val="22"/>
        </w:rPr>
        <w:t>251</w:t>
      </w:r>
    </w:p>
    <w:p w:rsidR="00382ADF" w:rsidRPr="00E95614" w:rsidRDefault="009063CD">
      <w:pPr>
        <w:jc w:val="left"/>
        <w:rPr>
          <w:rFonts w:ascii="Palatino Linotype" w:eastAsia="Calibri" w:hAnsi="Palatino Linotype" w:cs="Calibri"/>
          <w:sz w:val="22"/>
        </w:rPr>
      </w:pPr>
      <w:r w:rsidRPr="00E95614">
        <w:rPr>
          <w:rFonts w:ascii="Palatino Linotype" w:eastAsia="Times New Roman" w:hAnsi="Palatino Linotype" w:cs="Times New Roman"/>
          <w:sz w:val="22"/>
        </w:rPr>
        <w:t xml:space="preserve">Goodman, A. and Thibodeau, T. 2008. Where Are the Speculative Bubbles in U.S. Housing </w:t>
      </w:r>
      <w:r w:rsidRPr="00E95614">
        <w:rPr>
          <w:rFonts w:ascii="Palatino Linotype" w:eastAsia="Calibri" w:hAnsi="Palatino Linotype" w:cs="Calibri"/>
          <w:sz w:val="22"/>
        </w:rPr>
        <w:t xml:space="preserve">Markets? </w:t>
      </w:r>
      <w:r w:rsidRPr="00E95614">
        <w:rPr>
          <w:rFonts w:ascii="Palatino Linotype" w:eastAsia="Calibri" w:hAnsi="Palatino Linotype" w:cs="Calibri"/>
          <w:i/>
          <w:sz w:val="22"/>
        </w:rPr>
        <w:t>Journal of Housing Economics</w:t>
      </w:r>
      <w:r w:rsidRPr="00E95614">
        <w:rPr>
          <w:rFonts w:ascii="Palatino Linotype" w:eastAsia="Calibri" w:hAnsi="Palatino Linotype" w:cs="Calibri"/>
          <w:sz w:val="22"/>
        </w:rPr>
        <w:t>, 17-2: 117-37.</w:t>
      </w:r>
    </w:p>
    <w:p w:rsidR="00E814ED" w:rsidRPr="00E95614" w:rsidRDefault="00E814ED">
      <w:pPr>
        <w:jc w:val="left"/>
        <w:rPr>
          <w:rFonts w:ascii="Palatino Linotype" w:eastAsia="Calibri" w:hAnsi="Palatino Linotype" w:cs="Calibri"/>
          <w:b/>
          <w:sz w:val="22"/>
        </w:rPr>
      </w:pPr>
    </w:p>
    <w:p w:rsidR="00382ADF" w:rsidRPr="00E95614" w:rsidRDefault="009063CD">
      <w:pPr>
        <w:spacing w:before="100" w:after="100"/>
        <w:jc w:val="left"/>
        <w:rPr>
          <w:rFonts w:ascii="Palatino Linotype" w:eastAsia="Times New Roman" w:hAnsi="Palatino Linotype" w:cs="Times New Roman"/>
          <w:sz w:val="22"/>
        </w:rPr>
      </w:pPr>
      <w:r w:rsidRPr="00E95614">
        <w:rPr>
          <w:rFonts w:ascii="Palatino Linotype" w:eastAsia="Times New Roman" w:hAnsi="Palatino Linotype" w:cs="Times New Roman"/>
          <w:sz w:val="22"/>
        </w:rPr>
        <w:t xml:space="preserve">Green, K. et. al. 2005. Metropolitan-Specific Estimates of the Price Elasticity of Supply of Housing, and Their Sources. </w:t>
      </w:r>
      <w:r w:rsidRPr="00E95614">
        <w:rPr>
          <w:rFonts w:ascii="Palatino Linotype" w:eastAsia="Times New Roman" w:hAnsi="Palatino Linotype" w:cs="Times New Roman"/>
          <w:i/>
          <w:sz w:val="22"/>
        </w:rPr>
        <w:t xml:space="preserve">The American Economic Review, </w:t>
      </w:r>
      <w:r w:rsidRPr="00E95614">
        <w:rPr>
          <w:rFonts w:ascii="Palatino Linotype" w:eastAsia="Times New Roman" w:hAnsi="Palatino Linotype" w:cs="Times New Roman"/>
          <w:sz w:val="22"/>
        </w:rPr>
        <w:t>Vol. 95, No. 2.</w:t>
      </w:r>
    </w:p>
    <w:p w:rsidR="00382ADF" w:rsidRPr="00E95614" w:rsidRDefault="009063CD">
      <w:pPr>
        <w:jc w:val="left"/>
        <w:rPr>
          <w:rFonts w:ascii="Palatino Linotype" w:eastAsia="Times New Roman" w:hAnsi="Palatino Linotype" w:cs="Times New Roman"/>
          <w:sz w:val="22"/>
        </w:rPr>
      </w:pPr>
      <w:r w:rsidRPr="00E95614">
        <w:rPr>
          <w:rFonts w:ascii="Palatino Linotype" w:eastAsia="Times New Roman" w:hAnsi="Palatino Linotype" w:cs="Times New Roman"/>
          <w:sz w:val="22"/>
        </w:rPr>
        <w:t xml:space="preserve">Han, Q. 2004. China will restrict the construction of non-housing, luxury housing and big housing type. </w:t>
      </w:r>
      <w:r w:rsidRPr="00E95614">
        <w:rPr>
          <w:rFonts w:ascii="Palatino Linotype" w:eastAsia="Times New Roman" w:hAnsi="Palatino Linotype" w:cs="Times New Roman"/>
          <w:i/>
          <w:sz w:val="22"/>
        </w:rPr>
        <w:t>People Online</w:t>
      </w:r>
      <w:r w:rsidRPr="00E95614">
        <w:rPr>
          <w:rFonts w:ascii="Palatino Linotype" w:eastAsia="Times New Roman" w:hAnsi="Palatino Linotype" w:cs="Times New Roman"/>
          <w:sz w:val="22"/>
        </w:rPr>
        <w:t xml:space="preserve">. Available at: </w:t>
      </w:r>
      <w:hyperlink r:id="rId14">
        <w:r w:rsidRPr="00E95614">
          <w:rPr>
            <w:rFonts w:ascii="Palatino Linotype" w:eastAsia="Times New Roman" w:hAnsi="Palatino Linotype" w:cs="Times New Roman"/>
            <w:sz w:val="22"/>
            <w:u w:val="single"/>
          </w:rPr>
          <w:t>http://www.people.com.cn/GB/shizheng/1027/3082856.html</w:t>
        </w:r>
      </w:hyperlink>
      <w:r w:rsidRPr="00E95614">
        <w:rPr>
          <w:rFonts w:ascii="Palatino Linotype" w:eastAsia="Times New Roman" w:hAnsi="Palatino Linotype" w:cs="Times New Roman"/>
          <w:sz w:val="22"/>
        </w:rPr>
        <w:t>. [Accessed 11 June 2014].</w:t>
      </w:r>
    </w:p>
    <w:p w:rsidR="00382ADF" w:rsidRPr="00E95614" w:rsidRDefault="00382ADF">
      <w:pPr>
        <w:jc w:val="left"/>
        <w:rPr>
          <w:rFonts w:ascii="Palatino Linotype" w:eastAsia="Times New Roman" w:hAnsi="Palatino Linotype" w:cs="Times New Roman"/>
          <w:sz w:val="22"/>
        </w:rPr>
      </w:pPr>
    </w:p>
    <w:p w:rsidR="00382ADF" w:rsidRPr="00E95614" w:rsidRDefault="009063CD">
      <w:pPr>
        <w:jc w:val="left"/>
        <w:rPr>
          <w:rFonts w:ascii="Palatino Linotype" w:eastAsia="Times New Roman" w:hAnsi="Palatino Linotype" w:cs="Times New Roman"/>
          <w:sz w:val="22"/>
        </w:rPr>
      </w:pPr>
      <w:r w:rsidRPr="00E95614">
        <w:rPr>
          <w:rFonts w:ascii="Palatino Linotype" w:eastAsia="Times New Roman" w:hAnsi="Palatino Linotype" w:cs="Times New Roman"/>
          <w:sz w:val="22"/>
        </w:rPr>
        <w:t xml:space="preserve">Hui, E. 2004. An empirical study of the effects of land supply and lease conditions on </w:t>
      </w:r>
      <w:r w:rsidRPr="00E95614">
        <w:rPr>
          <w:rFonts w:ascii="Palatino Linotype" w:eastAsia="Times New Roman" w:hAnsi="Palatino Linotype" w:cs="Times New Roman"/>
          <w:sz w:val="22"/>
        </w:rPr>
        <w:lastRenderedPageBreak/>
        <w:t xml:space="preserve">the housing market - A case of Hong Kong. </w:t>
      </w:r>
      <w:r w:rsidRPr="00E95614">
        <w:rPr>
          <w:rFonts w:ascii="Palatino Linotype" w:eastAsia="Times New Roman" w:hAnsi="Palatino Linotype" w:cs="Times New Roman"/>
          <w:i/>
          <w:sz w:val="22"/>
        </w:rPr>
        <w:t>Property Management</w:t>
      </w:r>
      <w:r w:rsidRPr="00E95614">
        <w:rPr>
          <w:rFonts w:ascii="Palatino Linotype" w:eastAsia="Times New Roman" w:hAnsi="Palatino Linotype" w:cs="Times New Roman"/>
          <w:sz w:val="22"/>
        </w:rPr>
        <w:t>, Vol. 22 No. 2, pp. 127-154.</w:t>
      </w:r>
    </w:p>
    <w:p w:rsidR="00382ADF" w:rsidRPr="00E95614" w:rsidRDefault="00382ADF">
      <w:pPr>
        <w:jc w:val="left"/>
        <w:rPr>
          <w:rFonts w:ascii="Palatino Linotype" w:eastAsia="Times New Roman" w:hAnsi="Palatino Linotype" w:cs="Times New Roman"/>
          <w:sz w:val="22"/>
        </w:rPr>
      </w:pPr>
    </w:p>
    <w:p w:rsidR="00382ADF" w:rsidRPr="00E95614" w:rsidRDefault="009063CD">
      <w:pPr>
        <w:jc w:val="left"/>
        <w:rPr>
          <w:rFonts w:ascii="Palatino Linotype" w:eastAsia="Times New Roman" w:hAnsi="Palatino Linotype" w:cs="Times New Roman"/>
          <w:sz w:val="22"/>
        </w:rPr>
      </w:pPr>
      <w:r w:rsidRPr="00E95614">
        <w:rPr>
          <w:rFonts w:ascii="Palatino Linotype" w:eastAsia="Times New Roman" w:hAnsi="Palatino Linotype" w:cs="Times New Roman"/>
          <w:sz w:val="22"/>
        </w:rPr>
        <w:t xml:space="preserve">Hui, E and Soo, J. 2002. Development Conditions and Supply of Housing: Evidence from Hong Kong. </w:t>
      </w:r>
      <w:r w:rsidRPr="00E95614">
        <w:rPr>
          <w:rFonts w:ascii="Palatino Linotype" w:eastAsia="Times New Roman" w:hAnsi="Palatino Linotype" w:cs="Times New Roman"/>
          <w:i/>
          <w:sz w:val="22"/>
        </w:rPr>
        <w:t>Journal of Urban planning and Development</w:t>
      </w:r>
      <w:r w:rsidRPr="00E95614">
        <w:rPr>
          <w:rFonts w:ascii="Palatino Linotype" w:eastAsia="Times New Roman" w:hAnsi="Palatino Linotype" w:cs="Times New Roman"/>
          <w:sz w:val="22"/>
        </w:rPr>
        <w:t>, 128:105-138.</w:t>
      </w:r>
    </w:p>
    <w:p w:rsidR="00C014BC" w:rsidRPr="00E95614" w:rsidRDefault="00C014BC">
      <w:pPr>
        <w:jc w:val="left"/>
        <w:rPr>
          <w:rFonts w:ascii="Palatino Linotype" w:eastAsia="Times New Roman" w:hAnsi="Palatino Linotype" w:cs="Times New Roman"/>
          <w:sz w:val="22"/>
        </w:rPr>
      </w:pPr>
    </w:p>
    <w:p w:rsidR="00382ADF" w:rsidRPr="00E95614" w:rsidRDefault="009063CD" w:rsidP="00C014BC">
      <w:pPr>
        <w:pStyle w:val="NoSpacing"/>
        <w:rPr>
          <w:rFonts w:ascii="Palatino Linotype" w:hAnsi="Palatino Linotype" w:cs="Times New Roman"/>
          <w:sz w:val="22"/>
        </w:rPr>
      </w:pPr>
      <w:r w:rsidRPr="00E95614">
        <w:rPr>
          <w:rFonts w:ascii="Palatino Linotype" w:hAnsi="Palatino Linotype" w:cs="Times New Roman"/>
          <w:sz w:val="22"/>
        </w:rPr>
        <w:t xml:space="preserve">Lai, N and Wang, K. 1999. Land-Supply Restrictions, Developer Strategies and Housing Policies: The Case in Hong Kong. </w:t>
      </w:r>
      <w:r w:rsidRPr="00E95614">
        <w:rPr>
          <w:rFonts w:ascii="Palatino Linotype" w:hAnsi="Palatino Linotype" w:cs="Times New Roman"/>
          <w:i/>
          <w:sz w:val="22"/>
        </w:rPr>
        <w:t>International Real Estate Review.</w:t>
      </w:r>
      <w:r w:rsidRPr="00E95614">
        <w:rPr>
          <w:rFonts w:ascii="Palatino Linotype" w:hAnsi="Palatino Linotype" w:cs="Times New Roman"/>
          <w:sz w:val="22"/>
        </w:rPr>
        <w:t xml:space="preserve"> Vol. 2 No 1: pp. 143 </w:t>
      </w:r>
      <w:r w:rsidRPr="00E95614">
        <w:rPr>
          <w:rFonts w:ascii="Palatino Linotype" w:eastAsia="SimSun" w:hAnsi="Palatino Linotype" w:cs="Times New Roman"/>
          <w:sz w:val="22"/>
        </w:rPr>
        <w:t>–</w:t>
      </w:r>
      <w:r w:rsidRPr="00E95614">
        <w:rPr>
          <w:rFonts w:ascii="Palatino Linotype" w:hAnsi="Palatino Linotype" w:cs="Times New Roman"/>
          <w:sz w:val="22"/>
        </w:rPr>
        <w:t xml:space="preserve"> 159.</w:t>
      </w:r>
    </w:p>
    <w:p w:rsidR="00C014BC" w:rsidRPr="00E95614" w:rsidRDefault="00C014BC" w:rsidP="00C014BC">
      <w:pPr>
        <w:pStyle w:val="NoSpacing"/>
        <w:rPr>
          <w:rFonts w:ascii="Palatino Linotype" w:hAnsi="Palatino Linotype" w:cs="Times New Roman"/>
          <w:sz w:val="22"/>
        </w:rPr>
      </w:pPr>
    </w:p>
    <w:p w:rsidR="00C014BC" w:rsidRPr="00E95614" w:rsidRDefault="00C014BC" w:rsidP="00C014BC">
      <w:pPr>
        <w:pStyle w:val="NoSpacing"/>
        <w:rPr>
          <w:rFonts w:ascii="Palatino Linotype" w:eastAsia="Times New Roman" w:hAnsi="Palatino Linotype" w:cs="Times New Roman"/>
          <w:sz w:val="22"/>
        </w:rPr>
      </w:pPr>
      <w:r w:rsidRPr="00E95614">
        <w:rPr>
          <w:rFonts w:ascii="Palatino Linotype" w:eastAsia="Times New Roman" w:hAnsi="Palatino Linotype" w:cs="Times New Roman"/>
          <w:sz w:val="22"/>
          <w:lang w:val="en-GB"/>
        </w:rPr>
        <w:t xml:space="preserve">Leung, B and Ma, A. 2013. </w:t>
      </w:r>
      <w:r w:rsidRPr="00E95614">
        <w:rPr>
          <w:rFonts w:ascii="Palatino Linotype" w:hAnsi="Palatino Linotype" w:cs="Times New Roman"/>
          <w:sz w:val="22"/>
        </w:rPr>
        <w:t xml:space="preserve">Exploration of the presale property market in China from an institutional perspective. </w:t>
      </w:r>
      <w:r w:rsidRPr="00E95614">
        <w:rPr>
          <w:rFonts w:ascii="Palatino Linotype" w:hAnsi="Palatino Linotype" w:cs="Times New Roman"/>
          <w:i/>
          <w:sz w:val="22"/>
        </w:rPr>
        <w:t>International Journal of Strategic Property Management.</w:t>
      </w:r>
      <w:r w:rsidRPr="00E95614">
        <w:rPr>
          <w:rFonts w:ascii="Palatino Linotype" w:hAnsi="Palatino Linotype" w:cs="Times New Roman"/>
          <w:sz w:val="22"/>
        </w:rPr>
        <w:t xml:space="preserve"> 17(3), 248-262</w:t>
      </w:r>
    </w:p>
    <w:p w:rsidR="00C014BC" w:rsidRPr="00E95614" w:rsidRDefault="00C014BC">
      <w:pPr>
        <w:spacing w:before="100" w:after="100"/>
        <w:jc w:val="left"/>
        <w:rPr>
          <w:rFonts w:ascii="Palatino Linotype" w:eastAsia="Times New Roman" w:hAnsi="Palatino Linotype" w:cs="Times New Roman"/>
          <w:sz w:val="22"/>
        </w:rPr>
      </w:pPr>
    </w:p>
    <w:p w:rsidR="00382ADF" w:rsidRPr="00E95614" w:rsidRDefault="009063CD">
      <w:pPr>
        <w:spacing w:before="100" w:after="100"/>
        <w:jc w:val="left"/>
        <w:rPr>
          <w:rFonts w:ascii="Palatino Linotype" w:eastAsia="Times New Roman" w:hAnsi="Palatino Linotype" w:cs="Times New Roman"/>
          <w:sz w:val="22"/>
        </w:rPr>
      </w:pPr>
      <w:r w:rsidRPr="00E95614">
        <w:rPr>
          <w:rFonts w:ascii="Palatino Linotype" w:eastAsia="Times New Roman" w:hAnsi="Palatino Linotype" w:cs="Times New Roman"/>
          <w:sz w:val="22"/>
        </w:rPr>
        <w:t>Li, Q and Chand, S. 2013. House prices and market fundamentals in urban China. Habitat International. Vol 40, pp 148-153.</w:t>
      </w:r>
    </w:p>
    <w:p w:rsidR="00C014BC" w:rsidRPr="00E95614" w:rsidRDefault="00C014BC">
      <w:pPr>
        <w:spacing w:before="100" w:after="100"/>
        <w:jc w:val="left"/>
        <w:rPr>
          <w:rFonts w:ascii="Palatino Linotype" w:eastAsia="Times New Roman" w:hAnsi="Palatino Linotype" w:cs="Times New Roman"/>
          <w:sz w:val="22"/>
        </w:rPr>
      </w:pPr>
    </w:p>
    <w:p w:rsidR="00382ADF" w:rsidRPr="00E95614" w:rsidRDefault="009063CD" w:rsidP="00C014BC">
      <w:pPr>
        <w:pStyle w:val="NoSpacing"/>
        <w:rPr>
          <w:rFonts w:ascii="Palatino Linotype" w:hAnsi="Palatino Linotype" w:cs="Times New Roman"/>
          <w:sz w:val="22"/>
        </w:rPr>
      </w:pPr>
      <w:r w:rsidRPr="00E95614">
        <w:rPr>
          <w:rFonts w:ascii="Palatino Linotype" w:hAnsi="Palatino Linotype" w:cs="Times New Roman"/>
          <w:sz w:val="22"/>
        </w:rPr>
        <w:t xml:space="preserve">Malpezzi, A and Maclennan, D. 2001. The Long-Run Price Elasticity of Supply of New Residential Construction in the United States and the United Kingdom. </w:t>
      </w:r>
      <w:r w:rsidRPr="00E95614">
        <w:rPr>
          <w:rFonts w:ascii="Palatino Linotype" w:hAnsi="Palatino Linotype" w:cs="Times New Roman"/>
          <w:i/>
          <w:sz w:val="22"/>
        </w:rPr>
        <w:t>Journal of Housing Economics</w:t>
      </w:r>
      <w:r w:rsidRPr="00E95614">
        <w:rPr>
          <w:rFonts w:ascii="Palatino Linotype" w:hAnsi="Palatino Linotype" w:cs="Times New Roman"/>
          <w:sz w:val="22"/>
        </w:rPr>
        <w:t>, 10, 278</w:t>
      </w:r>
      <w:r w:rsidRPr="00E95614">
        <w:rPr>
          <w:rFonts w:ascii="Palatino Linotype" w:eastAsia="SimSun" w:hAnsi="Palatino Linotype" w:cs="Times New Roman"/>
          <w:sz w:val="22"/>
        </w:rPr>
        <w:t>–</w:t>
      </w:r>
      <w:r w:rsidRPr="00E95614">
        <w:rPr>
          <w:rFonts w:ascii="Palatino Linotype" w:hAnsi="Palatino Linotype" w:cs="Times New Roman"/>
          <w:sz w:val="22"/>
        </w:rPr>
        <w:t>306.</w:t>
      </w:r>
    </w:p>
    <w:p w:rsidR="00C014BC" w:rsidRPr="00E95614" w:rsidRDefault="00C014BC" w:rsidP="00C014BC">
      <w:pPr>
        <w:pStyle w:val="NoSpacing"/>
        <w:rPr>
          <w:rFonts w:ascii="Palatino Linotype" w:hAnsi="Palatino Linotype" w:cs="Times New Roman"/>
          <w:sz w:val="22"/>
        </w:rPr>
      </w:pPr>
    </w:p>
    <w:p w:rsidR="00382ADF" w:rsidRPr="00E95614" w:rsidRDefault="009063CD" w:rsidP="00C014BC">
      <w:pPr>
        <w:pStyle w:val="NoSpacing"/>
        <w:rPr>
          <w:rFonts w:ascii="Palatino Linotype" w:hAnsi="Palatino Linotype" w:cs="Times New Roman"/>
          <w:sz w:val="22"/>
        </w:rPr>
      </w:pPr>
      <w:r w:rsidRPr="00E95614">
        <w:rPr>
          <w:rFonts w:ascii="Palatino Linotype" w:hAnsi="Palatino Linotype" w:cs="Times New Roman"/>
          <w:sz w:val="22"/>
        </w:rPr>
        <w:t xml:space="preserve">Mayer, C and Somerville, C. 2000. Land use regulation and new construction. </w:t>
      </w:r>
      <w:r w:rsidRPr="00E95614">
        <w:rPr>
          <w:rFonts w:ascii="Palatino Linotype" w:hAnsi="Palatino Linotype" w:cs="Times New Roman"/>
          <w:i/>
          <w:sz w:val="22"/>
        </w:rPr>
        <w:t>Regional Science and Urban Economics,</w:t>
      </w:r>
      <w:r w:rsidRPr="00E95614">
        <w:rPr>
          <w:rFonts w:ascii="Palatino Linotype" w:hAnsi="Palatino Linotype" w:cs="Times New Roman"/>
          <w:sz w:val="22"/>
        </w:rPr>
        <w:t xml:space="preserve"> 30, 639</w:t>
      </w:r>
      <w:r w:rsidRPr="00E95614">
        <w:rPr>
          <w:rFonts w:ascii="Palatino Linotype" w:eastAsia="SimSun" w:hAnsi="Palatino Linotype" w:cs="Times New Roman"/>
          <w:sz w:val="22"/>
        </w:rPr>
        <w:t>–</w:t>
      </w:r>
      <w:r w:rsidRPr="00E95614">
        <w:rPr>
          <w:rFonts w:ascii="Palatino Linotype" w:hAnsi="Palatino Linotype" w:cs="Times New Roman"/>
          <w:sz w:val="22"/>
        </w:rPr>
        <w:t>662.</w:t>
      </w:r>
    </w:p>
    <w:p w:rsidR="00C014BC" w:rsidRPr="00E95614" w:rsidRDefault="00C014BC" w:rsidP="00C014BC">
      <w:pPr>
        <w:pStyle w:val="NoSpacing"/>
        <w:rPr>
          <w:rFonts w:ascii="Palatino Linotype" w:hAnsi="Palatino Linotype" w:cs="Times New Roman"/>
          <w:sz w:val="22"/>
        </w:rPr>
      </w:pPr>
    </w:p>
    <w:p w:rsidR="00382ADF" w:rsidRPr="00E95614" w:rsidRDefault="009063CD">
      <w:pPr>
        <w:spacing w:before="100" w:after="100"/>
        <w:jc w:val="left"/>
        <w:rPr>
          <w:rFonts w:ascii="Palatino Linotype" w:eastAsia="Times New Roman" w:hAnsi="Palatino Linotype" w:cs="Times New Roman"/>
          <w:sz w:val="22"/>
        </w:rPr>
      </w:pPr>
      <w:r w:rsidRPr="00E95614">
        <w:rPr>
          <w:rFonts w:ascii="Palatino Linotype" w:eastAsia="Times New Roman" w:hAnsi="Palatino Linotype" w:cs="Times New Roman"/>
          <w:sz w:val="22"/>
        </w:rPr>
        <w:t xml:space="preserve">Mayer, C and Somerville, C. 2000. Residential Construction: Using the Urban Growth Model to Estimate Housing Supply. </w:t>
      </w:r>
      <w:r w:rsidRPr="00E95614">
        <w:rPr>
          <w:rFonts w:ascii="Palatino Linotype" w:eastAsia="Times New Roman" w:hAnsi="Palatino Linotype" w:cs="Times New Roman"/>
          <w:i/>
          <w:sz w:val="22"/>
        </w:rPr>
        <w:t>Journal of Urban Economics</w:t>
      </w:r>
      <w:r w:rsidRPr="00E95614">
        <w:rPr>
          <w:rFonts w:ascii="Palatino Linotype" w:eastAsia="Times New Roman" w:hAnsi="Palatino Linotype" w:cs="Times New Roman"/>
          <w:sz w:val="22"/>
        </w:rPr>
        <w:t>, 48, 85-109.</w:t>
      </w:r>
    </w:p>
    <w:p w:rsidR="00C014BC" w:rsidRPr="00E95614" w:rsidRDefault="00C014BC">
      <w:pPr>
        <w:spacing w:before="100" w:after="100"/>
        <w:jc w:val="left"/>
        <w:rPr>
          <w:rFonts w:ascii="Palatino Linotype" w:eastAsia="Times New Roman" w:hAnsi="Palatino Linotype" w:cs="Times New Roman"/>
          <w:sz w:val="22"/>
        </w:rPr>
      </w:pPr>
    </w:p>
    <w:p w:rsidR="00382ADF" w:rsidRPr="00E95614" w:rsidRDefault="009063CD" w:rsidP="00C014BC">
      <w:pPr>
        <w:pStyle w:val="NoSpacing"/>
        <w:rPr>
          <w:rFonts w:ascii="Palatino Linotype" w:hAnsi="Palatino Linotype" w:cs="Times New Roman"/>
          <w:sz w:val="22"/>
        </w:rPr>
      </w:pPr>
      <w:r w:rsidRPr="00E95614">
        <w:rPr>
          <w:rFonts w:ascii="Palatino Linotype" w:hAnsi="Palatino Linotype" w:cs="Times New Roman"/>
          <w:sz w:val="22"/>
        </w:rPr>
        <w:t xml:space="preserve">Mayo, S and Sheppard, S. 2001. Housing Supply and the Effects of Stochastic Development Control. </w:t>
      </w:r>
      <w:r w:rsidRPr="00E95614">
        <w:rPr>
          <w:rFonts w:ascii="Palatino Linotype" w:hAnsi="Palatino Linotype" w:cs="Times New Roman"/>
          <w:i/>
          <w:sz w:val="22"/>
        </w:rPr>
        <w:t>Journal of Housing Economics,</w:t>
      </w:r>
      <w:r w:rsidRPr="00E95614">
        <w:rPr>
          <w:rFonts w:ascii="Palatino Linotype" w:hAnsi="Palatino Linotype" w:cs="Times New Roman"/>
          <w:sz w:val="22"/>
        </w:rPr>
        <w:t>10,109</w:t>
      </w:r>
      <w:r w:rsidRPr="00E95614">
        <w:rPr>
          <w:rFonts w:ascii="Palatino Linotype" w:eastAsia="SimSun" w:hAnsi="Palatino Linotype" w:cs="Times New Roman"/>
          <w:sz w:val="22"/>
        </w:rPr>
        <w:t>–</w:t>
      </w:r>
      <w:r w:rsidRPr="00E95614">
        <w:rPr>
          <w:rFonts w:ascii="Palatino Linotype" w:hAnsi="Palatino Linotype" w:cs="Times New Roman"/>
          <w:sz w:val="22"/>
        </w:rPr>
        <w:t>128.</w:t>
      </w:r>
    </w:p>
    <w:p w:rsidR="00C014BC" w:rsidRPr="00E95614" w:rsidRDefault="00C014BC" w:rsidP="00C014BC">
      <w:pPr>
        <w:pStyle w:val="NoSpacing"/>
        <w:rPr>
          <w:rFonts w:ascii="Palatino Linotype" w:hAnsi="Palatino Linotype" w:cs="Times New Roman"/>
          <w:sz w:val="22"/>
        </w:rPr>
      </w:pPr>
    </w:p>
    <w:p w:rsidR="00382ADF" w:rsidRPr="00E95614" w:rsidRDefault="009063CD">
      <w:pPr>
        <w:jc w:val="left"/>
        <w:rPr>
          <w:rFonts w:ascii="Palatino Linotype" w:eastAsia="Times New Roman" w:hAnsi="Palatino Linotype" w:cs="Times New Roman"/>
          <w:sz w:val="22"/>
        </w:rPr>
      </w:pPr>
      <w:r w:rsidRPr="00E95614">
        <w:rPr>
          <w:rFonts w:ascii="Palatino Linotype" w:eastAsia="Times New Roman" w:hAnsi="Palatino Linotype" w:cs="Times New Roman"/>
          <w:sz w:val="22"/>
        </w:rPr>
        <w:t xml:space="preserve">Peng, R. and Wheaton, W. 1994. Effects of restrictive land supply on housing in Hong Kong: an econometric analysis. </w:t>
      </w:r>
      <w:r w:rsidRPr="00E95614">
        <w:rPr>
          <w:rFonts w:ascii="Palatino Linotype" w:eastAsia="Times New Roman" w:hAnsi="Palatino Linotype" w:cs="Times New Roman"/>
          <w:i/>
          <w:sz w:val="22"/>
        </w:rPr>
        <w:t>Journal of Housing Research</w:t>
      </w:r>
      <w:r w:rsidRPr="00E95614">
        <w:rPr>
          <w:rFonts w:ascii="Palatino Linotype" w:eastAsia="Times New Roman" w:hAnsi="Palatino Linotype" w:cs="Times New Roman"/>
          <w:sz w:val="22"/>
        </w:rPr>
        <w:t>, Vol. 5, pp. 263-91.</w:t>
      </w:r>
    </w:p>
    <w:p w:rsidR="00382ADF" w:rsidRPr="00E95614" w:rsidRDefault="00382ADF">
      <w:pPr>
        <w:jc w:val="left"/>
        <w:rPr>
          <w:rFonts w:ascii="Palatino Linotype" w:eastAsia="Times New Roman" w:hAnsi="Palatino Linotype" w:cs="Times New Roman"/>
          <w:sz w:val="22"/>
        </w:rPr>
      </w:pPr>
    </w:p>
    <w:p w:rsidR="00382ADF" w:rsidRPr="00E95614" w:rsidRDefault="009063CD">
      <w:pPr>
        <w:spacing w:after="200" w:line="276" w:lineRule="auto"/>
        <w:jc w:val="left"/>
        <w:rPr>
          <w:rFonts w:ascii="Palatino Linotype" w:eastAsia="Times New Roman" w:hAnsi="Palatino Linotype" w:cs="Times New Roman"/>
          <w:sz w:val="22"/>
        </w:rPr>
      </w:pPr>
      <w:r w:rsidRPr="00E95614">
        <w:rPr>
          <w:rFonts w:ascii="Palatino Linotype" w:eastAsia="Times New Roman" w:hAnsi="Palatino Linotype" w:cs="Times New Roman"/>
          <w:sz w:val="22"/>
        </w:rPr>
        <w:t xml:space="preserve">Pryce, G. 1999. Construction Elasticities and Land Availability: A Two-stage Least-squares Model of Housing Supply Using the Variable Elasticity Approach. </w:t>
      </w:r>
      <w:r w:rsidRPr="00E95614">
        <w:rPr>
          <w:rFonts w:ascii="Palatino Linotype" w:eastAsia="Times New Roman" w:hAnsi="Palatino Linotype" w:cs="Times New Roman"/>
          <w:i/>
          <w:sz w:val="22"/>
        </w:rPr>
        <w:t xml:space="preserve">Urban Studies, </w:t>
      </w:r>
      <w:r w:rsidRPr="00E95614">
        <w:rPr>
          <w:rFonts w:ascii="Palatino Linotype" w:eastAsia="Times New Roman" w:hAnsi="Palatino Linotype" w:cs="Times New Roman"/>
          <w:sz w:val="22"/>
        </w:rPr>
        <w:t>Vol. 36, No. 13, 2283- 2304.</w:t>
      </w:r>
    </w:p>
    <w:p w:rsidR="00382ADF" w:rsidRPr="00E95614" w:rsidRDefault="009063CD">
      <w:pPr>
        <w:spacing w:after="200" w:line="276" w:lineRule="auto"/>
        <w:jc w:val="left"/>
        <w:rPr>
          <w:rFonts w:ascii="Palatino Linotype" w:eastAsia="Times New Roman" w:hAnsi="Palatino Linotype" w:cs="Times New Roman"/>
          <w:sz w:val="22"/>
        </w:rPr>
      </w:pPr>
      <w:r w:rsidRPr="00E95614">
        <w:rPr>
          <w:rFonts w:ascii="Palatino Linotype" w:eastAsia="Times New Roman" w:hAnsi="Palatino Linotype" w:cs="Times New Roman"/>
          <w:sz w:val="22"/>
        </w:rPr>
        <w:t xml:space="preserve">Qu, W. and Liu, X. 2012. Assessing the Performance of Chinese Land Lease Auctions: Evidence from Beijing. </w:t>
      </w:r>
      <w:r w:rsidRPr="00E95614">
        <w:rPr>
          <w:rFonts w:ascii="Palatino Linotype" w:eastAsia="Times New Roman" w:hAnsi="Palatino Linotype" w:cs="Times New Roman"/>
          <w:i/>
          <w:sz w:val="22"/>
        </w:rPr>
        <w:t>Journal of real estate research</w:t>
      </w:r>
      <w:r w:rsidRPr="00E95614">
        <w:rPr>
          <w:rFonts w:ascii="Palatino Linotype" w:eastAsia="Times New Roman" w:hAnsi="Palatino Linotype" w:cs="Times New Roman"/>
          <w:sz w:val="22"/>
        </w:rPr>
        <w:t>. Vol.34, No.3 2012</w:t>
      </w:r>
    </w:p>
    <w:p w:rsidR="00382ADF" w:rsidRPr="00E95614" w:rsidRDefault="009063CD">
      <w:pPr>
        <w:spacing w:after="200" w:line="276" w:lineRule="auto"/>
        <w:jc w:val="left"/>
        <w:rPr>
          <w:rFonts w:ascii="Palatino Linotype" w:eastAsia="Times New Roman" w:hAnsi="Palatino Linotype" w:cs="Times New Roman"/>
          <w:sz w:val="22"/>
        </w:rPr>
      </w:pPr>
      <w:r w:rsidRPr="00E95614">
        <w:rPr>
          <w:rFonts w:ascii="Palatino Linotype" w:eastAsia="Times New Roman" w:hAnsi="Palatino Linotype" w:cs="Times New Roman"/>
          <w:sz w:val="22"/>
        </w:rPr>
        <w:t xml:space="preserve">Somerville, C. 1999. Residential Construction Costs and the Supply of New Housing: Endogeneity and Bias in Construction Cost Indexes. </w:t>
      </w:r>
      <w:r w:rsidRPr="00E95614">
        <w:rPr>
          <w:rFonts w:ascii="Palatino Linotype" w:eastAsia="Times New Roman" w:hAnsi="Palatino Linotype" w:cs="Times New Roman"/>
          <w:i/>
          <w:sz w:val="22"/>
        </w:rPr>
        <w:t xml:space="preserve">Journal of Real Estate Finance and </w:t>
      </w:r>
      <w:r w:rsidRPr="00E95614">
        <w:rPr>
          <w:rFonts w:ascii="Palatino Linotype" w:eastAsia="Times New Roman" w:hAnsi="Palatino Linotype" w:cs="Times New Roman"/>
          <w:i/>
          <w:sz w:val="22"/>
        </w:rPr>
        <w:lastRenderedPageBreak/>
        <w:t>Economics,</w:t>
      </w:r>
      <w:r w:rsidRPr="00E95614">
        <w:rPr>
          <w:rFonts w:ascii="Palatino Linotype" w:eastAsia="Times New Roman" w:hAnsi="Palatino Linotype" w:cs="Times New Roman"/>
          <w:sz w:val="22"/>
        </w:rPr>
        <w:t xml:space="preserve"> 18:1, 43-62.</w:t>
      </w:r>
    </w:p>
    <w:p w:rsidR="00382ADF" w:rsidRPr="00E95614" w:rsidRDefault="009063CD">
      <w:pPr>
        <w:spacing w:after="200" w:line="276" w:lineRule="auto"/>
        <w:jc w:val="left"/>
        <w:rPr>
          <w:rFonts w:ascii="Palatino Linotype" w:eastAsia="Times New Roman" w:hAnsi="Palatino Linotype" w:cs="Times New Roman"/>
          <w:sz w:val="22"/>
        </w:rPr>
      </w:pPr>
      <w:r w:rsidRPr="00E95614">
        <w:rPr>
          <w:rFonts w:ascii="Palatino Linotype" w:eastAsia="Times New Roman" w:hAnsi="Palatino Linotype" w:cs="Times New Roman"/>
          <w:sz w:val="22"/>
        </w:rPr>
        <w:t xml:space="preserve">Topel, R. and S. Rosen. 1988. Housing investment in the United States. </w:t>
      </w:r>
      <w:r w:rsidRPr="00E95614">
        <w:rPr>
          <w:rFonts w:ascii="Palatino Linotype" w:eastAsia="Times New Roman" w:hAnsi="Palatino Linotype" w:cs="Times New Roman"/>
          <w:i/>
          <w:sz w:val="22"/>
        </w:rPr>
        <w:t>The Journal of Political Economy</w:t>
      </w:r>
      <w:r w:rsidRPr="00E95614">
        <w:rPr>
          <w:rFonts w:ascii="Palatino Linotype" w:eastAsia="Times New Roman" w:hAnsi="Palatino Linotype" w:cs="Times New Roman"/>
          <w:sz w:val="22"/>
        </w:rPr>
        <w:t>, 96:4, pp. 718-740.</w:t>
      </w:r>
    </w:p>
    <w:p w:rsidR="00382ADF" w:rsidRPr="00E95614" w:rsidRDefault="009063CD">
      <w:pPr>
        <w:jc w:val="left"/>
        <w:rPr>
          <w:rFonts w:ascii="Palatino Linotype" w:eastAsia="Times New Roman" w:hAnsi="Palatino Linotype" w:cs="Times New Roman"/>
          <w:sz w:val="22"/>
        </w:rPr>
      </w:pPr>
      <w:r w:rsidRPr="00E95614">
        <w:rPr>
          <w:rFonts w:ascii="Palatino Linotype" w:eastAsia="Times New Roman" w:hAnsi="Palatino Linotype" w:cs="Times New Roman"/>
          <w:sz w:val="22"/>
        </w:rPr>
        <w:t xml:space="preserve">Tse, R.Y.C. 1998. Housing price, land supply and revenue from land sales. </w:t>
      </w:r>
      <w:r w:rsidRPr="00E95614">
        <w:rPr>
          <w:rFonts w:ascii="Palatino Linotype" w:eastAsia="Times New Roman" w:hAnsi="Palatino Linotype" w:cs="Times New Roman"/>
          <w:i/>
          <w:sz w:val="22"/>
        </w:rPr>
        <w:t>Urban Studies</w:t>
      </w:r>
      <w:r w:rsidRPr="00E95614">
        <w:rPr>
          <w:rFonts w:ascii="Palatino Linotype" w:eastAsia="Times New Roman" w:hAnsi="Palatino Linotype" w:cs="Times New Roman"/>
          <w:sz w:val="22"/>
        </w:rPr>
        <w:t>,Vol. 35 No. 8, pp. 1377-92.</w:t>
      </w:r>
    </w:p>
    <w:p w:rsidR="00382ADF" w:rsidRPr="00E95614" w:rsidRDefault="00382ADF">
      <w:pPr>
        <w:jc w:val="left"/>
        <w:rPr>
          <w:rFonts w:ascii="Palatino Linotype" w:eastAsia="Times New Roman" w:hAnsi="Palatino Linotype" w:cs="Times New Roman"/>
          <w:sz w:val="22"/>
        </w:rPr>
      </w:pPr>
    </w:p>
    <w:p w:rsidR="00382ADF" w:rsidRPr="00E95614" w:rsidRDefault="009063CD">
      <w:pPr>
        <w:jc w:val="left"/>
        <w:rPr>
          <w:rFonts w:ascii="Palatino Linotype" w:eastAsia="Times New Roman" w:hAnsi="Palatino Linotype" w:cs="Times New Roman"/>
          <w:sz w:val="22"/>
        </w:rPr>
      </w:pPr>
      <w:r w:rsidRPr="00E95614">
        <w:rPr>
          <w:rFonts w:ascii="Palatino Linotype" w:eastAsia="Times New Roman" w:hAnsi="Palatino Linotype" w:cs="Times New Roman"/>
          <w:sz w:val="22"/>
        </w:rPr>
        <w:t xml:space="preserve">Vries, P and Boelhouwer, P. 2005. Local house price developments and housing supply. </w:t>
      </w:r>
      <w:r w:rsidRPr="00E95614">
        <w:rPr>
          <w:rFonts w:ascii="Palatino Linotype" w:eastAsia="Times New Roman" w:hAnsi="Palatino Linotype" w:cs="Times New Roman"/>
          <w:i/>
          <w:sz w:val="22"/>
        </w:rPr>
        <w:t>Property Management</w:t>
      </w:r>
      <w:r w:rsidRPr="00E95614">
        <w:rPr>
          <w:rFonts w:ascii="Palatino Linotype" w:eastAsia="Times New Roman" w:hAnsi="Palatino Linotype" w:cs="Times New Roman"/>
          <w:sz w:val="22"/>
        </w:rPr>
        <w:t>. Vol. 23 No. 2, 2005, pp. 80-96.</w:t>
      </w:r>
    </w:p>
    <w:p w:rsidR="00382ADF" w:rsidRPr="00E95614" w:rsidRDefault="00382ADF">
      <w:pPr>
        <w:jc w:val="left"/>
        <w:rPr>
          <w:rFonts w:ascii="Palatino Linotype" w:eastAsia="Times New Roman" w:hAnsi="Palatino Linotype" w:cs="Times New Roman"/>
          <w:sz w:val="22"/>
        </w:rPr>
      </w:pPr>
    </w:p>
    <w:p w:rsidR="00382ADF" w:rsidRPr="00E95614" w:rsidRDefault="009063CD" w:rsidP="00AF3BD1">
      <w:pPr>
        <w:pStyle w:val="NoSpacing"/>
        <w:rPr>
          <w:rFonts w:ascii="Palatino Linotype" w:hAnsi="Palatino Linotype" w:cs="Times New Roman"/>
          <w:sz w:val="22"/>
        </w:rPr>
      </w:pPr>
      <w:r w:rsidRPr="00E95614">
        <w:rPr>
          <w:rFonts w:ascii="Palatino Linotype" w:hAnsi="Palatino Linotype" w:cs="Times New Roman"/>
          <w:sz w:val="22"/>
        </w:rPr>
        <w:t xml:space="preserve">Wang, S. et al. 2012. The Estimation and Determinants of the Price Elasticity of Housing Supply - Evidence from China. </w:t>
      </w:r>
      <w:r w:rsidRPr="00E95614">
        <w:rPr>
          <w:rFonts w:ascii="Palatino Linotype" w:hAnsi="Palatino Linotype" w:cs="Times New Roman"/>
          <w:i/>
          <w:sz w:val="22"/>
        </w:rPr>
        <w:t>Journal of Real Estate Research</w:t>
      </w:r>
      <w:r w:rsidRPr="00E95614">
        <w:rPr>
          <w:rFonts w:ascii="Palatino Linotype" w:hAnsi="Palatino Linotype" w:cs="Times New Roman"/>
          <w:sz w:val="22"/>
        </w:rPr>
        <w:t>. Vol. 34, No. 3.</w:t>
      </w:r>
    </w:p>
    <w:p w:rsidR="00AF3BD1" w:rsidRPr="00E95614" w:rsidRDefault="00AF3BD1" w:rsidP="00AF3BD1">
      <w:pPr>
        <w:pStyle w:val="NoSpacing"/>
        <w:rPr>
          <w:rFonts w:ascii="Palatino Linotype" w:hAnsi="Palatino Linotype" w:cs="Times New Roman"/>
          <w:sz w:val="22"/>
        </w:rPr>
      </w:pPr>
    </w:p>
    <w:p w:rsidR="00382ADF" w:rsidRPr="00E95614" w:rsidRDefault="009063CD" w:rsidP="00AF3BD1">
      <w:pPr>
        <w:pStyle w:val="NoSpacing"/>
        <w:rPr>
          <w:rFonts w:ascii="Palatino Linotype" w:hAnsi="Palatino Linotype" w:cs="Times New Roman"/>
          <w:sz w:val="22"/>
        </w:rPr>
      </w:pPr>
      <w:r w:rsidRPr="00E95614">
        <w:rPr>
          <w:rFonts w:ascii="Palatino Linotype" w:hAnsi="Palatino Linotype" w:cs="Times New Roman"/>
          <w:sz w:val="22"/>
        </w:rPr>
        <w:t xml:space="preserve">White, M and Allmendinger, P. 2003. Land-use Planning and the Housing Market: A Comparative Review of the UK and the USA. </w:t>
      </w:r>
      <w:r w:rsidRPr="00E95614">
        <w:rPr>
          <w:rFonts w:ascii="Palatino Linotype" w:hAnsi="Palatino Linotype" w:cs="Times New Roman"/>
          <w:i/>
          <w:sz w:val="22"/>
        </w:rPr>
        <w:t>Urban Studies.</w:t>
      </w:r>
      <w:r w:rsidRPr="00E95614">
        <w:rPr>
          <w:rFonts w:ascii="Palatino Linotype" w:hAnsi="Palatino Linotype" w:cs="Times New Roman"/>
          <w:sz w:val="22"/>
        </w:rPr>
        <w:t xml:space="preserve"> Vol.40 Nos 5-6.</w:t>
      </w:r>
    </w:p>
    <w:p w:rsidR="00AF3BD1" w:rsidRPr="00E95614" w:rsidRDefault="00AF3BD1" w:rsidP="00AF3BD1">
      <w:pPr>
        <w:pStyle w:val="NoSpacing"/>
        <w:rPr>
          <w:rFonts w:ascii="Palatino Linotype" w:hAnsi="Palatino Linotype" w:cs="Times New Roman"/>
          <w:sz w:val="22"/>
        </w:rPr>
      </w:pPr>
    </w:p>
    <w:p w:rsidR="00382ADF" w:rsidRPr="00E95614" w:rsidRDefault="009063CD" w:rsidP="00AF3BD1">
      <w:pPr>
        <w:pStyle w:val="NoSpacing"/>
        <w:rPr>
          <w:rFonts w:ascii="Palatino Linotype" w:hAnsi="Palatino Linotype" w:cs="Times New Roman"/>
          <w:sz w:val="22"/>
        </w:rPr>
      </w:pPr>
      <w:r w:rsidRPr="00E95614">
        <w:rPr>
          <w:rFonts w:ascii="Palatino Linotype" w:hAnsi="Palatino Linotype" w:cs="Times New Roman"/>
          <w:sz w:val="22"/>
        </w:rPr>
        <w:t xml:space="preserve">White, P. 1986. Land availability, land banking and the price of land for housing: a review of recent debates. </w:t>
      </w:r>
      <w:r w:rsidRPr="00E95614">
        <w:rPr>
          <w:rFonts w:ascii="Palatino Linotype" w:hAnsi="Palatino Linotype" w:cs="Times New Roman"/>
          <w:i/>
          <w:sz w:val="22"/>
        </w:rPr>
        <w:t>Land Development Studies,</w:t>
      </w:r>
      <w:r w:rsidRPr="00E95614">
        <w:rPr>
          <w:rFonts w:ascii="Palatino Linotype" w:hAnsi="Palatino Linotype" w:cs="Times New Roman"/>
          <w:sz w:val="22"/>
        </w:rPr>
        <w:t xml:space="preserve"> 3, 101-111.</w:t>
      </w:r>
    </w:p>
    <w:p w:rsidR="00382ADF" w:rsidRPr="00E95614" w:rsidRDefault="00382ADF" w:rsidP="00AF3BD1">
      <w:pPr>
        <w:pStyle w:val="NoSpacing"/>
        <w:rPr>
          <w:rFonts w:ascii="Palatino Linotype" w:hAnsi="Palatino Linotype" w:cs="Times New Roman"/>
          <w:sz w:val="22"/>
        </w:rPr>
      </w:pPr>
    </w:p>
    <w:p w:rsidR="00382ADF" w:rsidRPr="00E95614" w:rsidRDefault="00382DE1" w:rsidP="00AF3BD1">
      <w:pPr>
        <w:pStyle w:val="NoSpacing"/>
        <w:rPr>
          <w:rFonts w:ascii="Palatino Linotype" w:hAnsi="Palatino Linotype" w:cs="Times New Roman"/>
          <w:sz w:val="22"/>
          <w:lang w:val="en-GB"/>
        </w:rPr>
      </w:pPr>
      <w:r w:rsidRPr="00E95614">
        <w:rPr>
          <w:rFonts w:ascii="Palatino Linotype" w:hAnsi="Palatino Linotype" w:cs="Times New Roman"/>
          <w:sz w:val="22"/>
          <w:lang w:val="en-GB"/>
        </w:rPr>
        <w:t>Yan, S.</w:t>
      </w:r>
      <w:r w:rsidR="00AF3BD1" w:rsidRPr="00E95614">
        <w:rPr>
          <w:rFonts w:ascii="Palatino Linotype" w:hAnsi="Palatino Linotype" w:cs="Times New Roman"/>
          <w:sz w:val="22"/>
          <w:lang w:val="en-GB"/>
        </w:rPr>
        <w:t xml:space="preserve">, Ge, J. and Wu, Q. 2014. </w:t>
      </w:r>
      <w:r w:rsidRPr="00E95614">
        <w:rPr>
          <w:rFonts w:ascii="Palatino Linotype" w:hAnsi="Palatino Linotype" w:cs="Times New Roman"/>
          <w:sz w:val="22"/>
          <w:lang w:val="en-GB"/>
        </w:rPr>
        <w:t xml:space="preserve"> </w:t>
      </w:r>
      <w:r w:rsidR="00AF3BD1" w:rsidRPr="00E95614">
        <w:rPr>
          <w:rFonts w:ascii="Palatino Linotype" w:hAnsi="Palatino Linotype" w:cs="Times New Roman"/>
          <w:kern w:val="0"/>
          <w:sz w:val="22"/>
        </w:rPr>
        <w:t>Government intervention in land market and its impacts on land supply and new housing supply: Evidence from major Chinese market.</w:t>
      </w:r>
      <w:r w:rsidR="00AF3BD1" w:rsidRPr="00E95614">
        <w:rPr>
          <w:rFonts w:ascii="Palatino Linotype" w:hAnsi="Palatino Linotype" w:cs="Times New Roman"/>
          <w:i/>
          <w:kern w:val="0"/>
          <w:sz w:val="22"/>
        </w:rPr>
        <w:t xml:space="preserve"> Habitat International</w:t>
      </w:r>
      <w:r w:rsidR="00AF3BD1" w:rsidRPr="00E95614">
        <w:rPr>
          <w:rFonts w:ascii="Palatino Linotype" w:hAnsi="Palatino Linotype" w:cs="Times New Roman"/>
          <w:kern w:val="0"/>
          <w:sz w:val="22"/>
        </w:rPr>
        <w:t>.  44, 517-527</w:t>
      </w:r>
    </w:p>
    <w:p w:rsidR="00382ADF" w:rsidRPr="00E95614" w:rsidRDefault="00382ADF">
      <w:pPr>
        <w:spacing w:after="200" w:line="276" w:lineRule="auto"/>
        <w:jc w:val="left"/>
        <w:rPr>
          <w:rFonts w:ascii="Palatino Linotype" w:eastAsia="Times New Roman" w:hAnsi="Palatino Linotype" w:cs="Times New Roman"/>
          <w:sz w:val="22"/>
        </w:rPr>
      </w:pPr>
    </w:p>
    <w:p w:rsidR="00382ADF" w:rsidRPr="00E95614" w:rsidRDefault="00382ADF">
      <w:pPr>
        <w:spacing w:after="200" w:line="276" w:lineRule="auto"/>
        <w:jc w:val="left"/>
        <w:rPr>
          <w:rFonts w:ascii="Palatino Linotype" w:eastAsia="Times New Roman" w:hAnsi="Palatino Linotype" w:cs="Times New Roman"/>
          <w:sz w:val="22"/>
        </w:rPr>
      </w:pPr>
    </w:p>
    <w:p w:rsidR="00382ADF" w:rsidRDefault="00382ADF">
      <w:pPr>
        <w:spacing w:after="200" w:line="276" w:lineRule="auto"/>
        <w:jc w:val="left"/>
        <w:rPr>
          <w:rFonts w:ascii="Times New Roman" w:eastAsia="Times New Roman" w:hAnsi="Times New Roman" w:cs="Times New Roman"/>
          <w:sz w:val="24"/>
        </w:rPr>
      </w:pPr>
    </w:p>
    <w:p w:rsidR="00382ADF" w:rsidRDefault="00382ADF">
      <w:pPr>
        <w:spacing w:after="200" w:line="276" w:lineRule="auto"/>
        <w:jc w:val="left"/>
        <w:rPr>
          <w:rFonts w:ascii="Times New Roman" w:eastAsia="Times New Roman" w:hAnsi="Times New Roman" w:cs="Times New Roman"/>
          <w:sz w:val="24"/>
        </w:rPr>
      </w:pPr>
    </w:p>
    <w:p w:rsidR="00382ADF" w:rsidRDefault="00382ADF">
      <w:pPr>
        <w:spacing w:after="200" w:line="276" w:lineRule="auto"/>
        <w:jc w:val="left"/>
        <w:rPr>
          <w:rFonts w:ascii="Times New Roman" w:eastAsia="Times New Roman" w:hAnsi="Times New Roman" w:cs="Times New Roman"/>
          <w:sz w:val="24"/>
          <w:lang w:val="en-GB"/>
        </w:rPr>
      </w:pPr>
    </w:p>
    <w:p w:rsidR="003475F4" w:rsidRDefault="003475F4">
      <w:pPr>
        <w:spacing w:after="200" w:line="276" w:lineRule="auto"/>
        <w:jc w:val="left"/>
        <w:rPr>
          <w:rFonts w:ascii="Times New Roman" w:eastAsia="Times New Roman" w:hAnsi="Times New Roman" w:cs="Times New Roman"/>
          <w:sz w:val="24"/>
          <w:lang w:val="en-GB"/>
        </w:rPr>
      </w:pPr>
    </w:p>
    <w:p w:rsidR="003475F4" w:rsidRDefault="003475F4">
      <w:pPr>
        <w:spacing w:after="200" w:line="276" w:lineRule="auto"/>
        <w:jc w:val="left"/>
        <w:rPr>
          <w:rFonts w:ascii="Times New Roman" w:eastAsia="Times New Roman" w:hAnsi="Times New Roman" w:cs="Times New Roman"/>
          <w:sz w:val="24"/>
          <w:lang w:val="en-GB"/>
        </w:rPr>
      </w:pPr>
    </w:p>
    <w:p w:rsidR="003475F4" w:rsidRDefault="003475F4">
      <w:pPr>
        <w:spacing w:after="200" w:line="276" w:lineRule="auto"/>
        <w:jc w:val="left"/>
        <w:rPr>
          <w:rFonts w:ascii="Times New Roman" w:eastAsia="Times New Roman" w:hAnsi="Times New Roman" w:cs="Times New Roman"/>
          <w:sz w:val="24"/>
          <w:lang w:val="en-GB"/>
        </w:rPr>
      </w:pPr>
    </w:p>
    <w:p w:rsidR="006318B0" w:rsidRDefault="006318B0">
      <w:pPr>
        <w:spacing w:after="200" w:line="276" w:lineRule="auto"/>
        <w:jc w:val="left"/>
        <w:rPr>
          <w:rFonts w:ascii="Times New Roman" w:eastAsia="Times New Roman" w:hAnsi="Times New Roman" w:cs="Times New Roman"/>
          <w:sz w:val="24"/>
          <w:lang w:val="en-GB"/>
        </w:rPr>
      </w:pPr>
    </w:p>
    <w:p w:rsidR="00EC3462" w:rsidRDefault="00EC3462">
      <w:pPr>
        <w:spacing w:after="200" w:line="276" w:lineRule="auto"/>
        <w:jc w:val="left"/>
        <w:rPr>
          <w:rFonts w:ascii="Times New Roman" w:eastAsia="Times New Roman" w:hAnsi="Times New Roman" w:cs="Times New Roman"/>
          <w:sz w:val="24"/>
          <w:lang w:val="en-GB"/>
        </w:rPr>
      </w:pPr>
    </w:p>
    <w:p w:rsidR="00E95614" w:rsidRDefault="00E95614">
      <w:pPr>
        <w:spacing w:after="200" w:line="276" w:lineRule="auto"/>
        <w:jc w:val="left"/>
        <w:rPr>
          <w:rFonts w:ascii="Times New Roman" w:eastAsia="Times New Roman" w:hAnsi="Times New Roman" w:cs="Times New Roman"/>
          <w:sz w:val="24"/>
          <w:lang w:val="en-GB"/>
        </w:rPr>
      </w:pPr>
    </w:p>
    <w:p w:rsidR="00E95614" w:rsidRPr="006D0DA9" w:rsidRDefault="00E95614">
      <w:pPr>
        <w:spacing w:after="200" w:line="276" w:lineRule="auto"/>
        <w:jc w:val="left"/>
        <w:rPr>
          <w:rFonts w:ascii="Times New Roman" w:eastAsia="Times New Roman" w:hAnsi="Times New Roman" w:cs="Times New Roman"/>
          <w:sz w:val="24"/>
          <w:lang w:val="en-GB"/>
        </w:rPr>
      </w:pPr>
    </w:p>
    <w:p w:rsidR="00382ADF" w:rsidRPr="00E95614" w:rsidRDefault="009063CD">
      <w:pPr>
        <w:spacing w:after="200" w:line="276" w:lineRule="auto"/>
        <w:jc w:val="left"/>
        <w:rPr>
          <w:rFonts w:ascii="Palatino Linotype" w:eastAsia="Times New Roman" w:hAnsi="Palatino Linotype" w:cs="Times New Roman"/>
          <w:b/>
          <w:sz w:val="20"/>
          <w:szCs w:val="20"/>
        </w:rPr>
      </w:pPr>
      <w:r w:rsidRPr="00E95614">
        <w:rPr>
          <w:rFonts w:ascii="Palatino Linotype" w:eastAsia="Times New Roman" w:hAnsi="Palatino Linotype" w:cs="Times New Roman"/>
          <w:b/>
          <w:sz w:val="20"/>
          <w:szCs w:val="20"/>
        </w:rPr>
        <w:lastRenderedPageBreak/>
        <w:t xml:space="preserve">Appendix 1 </w:t>
      </w:r>
      <w:r w:rsidRPr="00E95614">
        <w:rPr>
          <w:rFonts w:ascii="Palatino Linotype" w:eastAsia="SimSun" w:hAnsi="Palatino Linotype" w:cs="SimSun"/>
          <w:b/>
          <w:sz w:val="20"/>
          <w:szCs w:val="20"/>
        </w:rPr>
        <w:t>–</w:t>
      </w:r>
      <w:r w:rsidR="007B739E" w:rsidRPr="00E95614">
        <w:rPr>
          <w:rFonts w:ascii="Palatino Linotype" w:eastAsia="Times New Roman" w:hAnsi="Palatino Linotype" w:cs="Times New Roman"/>
          <w:b/>
          <w:sz w:val="20"/>
          <w:szCs w:val="20"/>
        </w:rPr>
        <w:t xml:space="preserve"> Table of project summary</w:t>
      </w:r>
      <w:r w:rsidRPr="00E95614">
        <w:rPr>
          <w:rFonts w:ascii="Palatino Linotype" w:eastAsia="Times New Roman" w:hAnsi="Palatino Linotype" w:cs="Times New Roman"/>
          <w:b/>
          <w:sz w:val="20"/>
          <w:szCs w:val="20"/>
        </w:rPr>
        <w:t xml:space="preserve"> </w:t>
      </w:r>
    </w:p>
    <w:tbl>
      <w:tblPr>
        <w:tblW w:w="8330" w:type="dxa"/>
        <w:tblInd w:w="95" w:type="dxa"/>
        <w:tblLook w:val="04A0" w:firstRow="1" w:lastRow="0" w:firstColumn="1" w:lastColumn="0" w:noHBand="0" w:noVBand="1"/>
      </w:tblPr>
      <w:tblGrid>
        <w:gridCol w:w="1120"/>
        <w:gridCol w:w="994"/>
        <w:gridCol w:w="1240"/>
        <w:gridCol w:w="980"/>
        <w:gridCol w:w="1280"/>
        <w:gridCol w:w="1300"/>
        <w:gridCol w:w="1420"/>
      </w:tblGrid>
      <w:tr w:rsidR="003475F4" w:rsidRPr="00E95614" w:rsidTr="00016A76">
        <w:trPr>
          <w:trHeight w:val="300"/>
        </w:trPr>
        <w:tc>
          <w:tcPr>
            <w:tcW w:w="1120" w:type="dxa"/>
            <w:tcBorders>
              <w:top w:val="single" w:sz="4" w:space="0" w:color="auto"/>
              <w:left w:val="nil"/>
              <w:bottom w:val="nil"/>
              <w:right w:val="nil"/>
            </w:tcBorders>
            <w:shd w:val="clear" w:color="auto" w:fill="auto"/>
            <w:noWrap/>
            <w:vAlign w:val="bottom"/>
            <w:hideMark/>
          </w:tcPr>
          <w:p w:rsidR="003475F4" w:rsidRPr="00E95614" w:rsidRDefault="003475F4" w:rsidP="003475F4">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 xml:space="preserve">Project </w:t>
            </w:r>
          </w:p>
        </w:tc>
        <w:tc>
          <w:tcPr>
            <w:tcW w:w="990" w:type="dxa"/>
            <w:tcBorders>
              <w:top w:val="single" w:sz="4" w:space="0" w:color="auto"/>
              <w:left w:val="nil"/>
              <w:bottom w:val="nil"/>
              <w:right w:val="nil"/>
            </w:tcBorders>
            <w:shd w:val="clear" w:color="auto" w:fill="auto"/>
            <w:noWrap/>
            <w:vAlign w:val="bottom"/>
            <w:hideMark/>
          </w:tcPr>
          <w:p w:rsidR="003475F4" w:rsidRPr="00E95614" w:rsidRDefault="003475F4" w:rsidP="003475F4">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Project</w:t>
            </w:r>
          </w:p>
        </w:tc>
        <w:tc>
          <w:tcPr>
            <w:tcW w:w="1240" w:type="dxa"/>
            <w:tcBorders>
              <w:top w:val="single" w:sz="4" w:space="0" w:color="auto"/>
              <w:left w:val="nil"/>
              <w:bottom w:val="nil"/>
              <w:right w:val="nil"/>
            </w:tcBorders>
            <w:shd w:val="clear" w:color="auto" w:fill="auto"/>
            <w:noWrap/>
            <w:vAlign w:val="bottom"/>
            <w:hideMark/>
          </w:tcPr>
          <w:p w:rsidR="009460F4" w:rsidRPr="00E95614" w:rsidRDefault="003475F4" w:rsidP="003475F4">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Mean</w:t>
            </w:r>
          </w:p>
          <w:p w:rsidR="003475F4" w:rsidRPr="00E95614" w:rsidRDefault="003475F4" w:rsidP="003475F4">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 xml:space="preserve"> site </w:t>
            </w:r>
          </w:p>
        </w:tc>
        <w:tc>
          <w:tcPr>
            <w:tcW w:w="980" w:type="dxa"/>
            <w:tcBorders>
              <w:top w:val="single" w:sz="4" w:space="0" w:color="auto"/>
              <w:left w:val="nil"/>
              <w:bottom w:val="nil"/>
              <w:right w:val="nil"/>
            </w:tcBorders>
            <w:shd w:val="clear" w:color="auto" w:fill="auto"/>
            <w:noWrap/>
            <w:vAlign w:val="bottom"/>
            <w:hideMark/>
          </w:tcPr>
          <w:p w:rsidR="003475F4" w:rsidRPr="00E95614" w:rsidRDefault="003475F4" w:rsidP="003475F4">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Mean plot</w:t>
            </w:r>
          </w:p>
        </w:tc>
        <w:tc>
          <w:tcPr>
            <w:tcW w:w="1280" w:type="dxa"/>
            <w:tcBorders>
              <w:top w:val="single" w:sz="4" w:space="0" w:color="auto"/>
              <w:left w:val="nil"/>
              <w:bottom w:val="nil"/>
              <w:right w:val="nil"/>
            </w:tcBorders>
            <w:shd w:val="clear" w:color="auto" w:fill="auto"/>
            <w:noWrap/>
            <w:vAlign w:val="bottom"/>
            <w:hideMark/>
          </w:tcPr>
          <w:p w:rsidR="003475F4" w:rsidRPr="00E95614" w:rsidRDefault="003475F4" w:rsidP="003475F4">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 xml:space="preserve">Mean supply </w:t>
            </w:r>
          </w:p>
        </w:tc>
        <w:tc>
          <w:tcPr>
            <w:tcW w:w="1300" w:type="dxa"/>
            <w:tcBorders>
              <w:top w:val="single" w:sz="4" w:space="0" w:color="auto"/>
              <w:left w:val="nil"/>
              <w:bottom w:val="nil"/>
              <w:right w:val="nil"/>
            </w:tcBorders>
            <w:shd w:val="clear" w:color="auto" w:fill="auto"/>
            <w:noWrap/>
            <w:vAlign w:val="bottom"/>
            <w:hideMark/>
          </w:tcPr>
          <w:p w:rsidR="003475F4" w:rsidRPr="00E95614" w:rsidRDefault="003475F4" w:rsidP="003475F4">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 xml:space="preserve">Mean supply </w:t>
            </w:r>
          </w:p>
        </w:tc>
        <w:tc>
          <w:tcPr>
            <w:tcW w:w="1420" w:type="dxa"/>
            <w:tcBorders>
              <w:top w:val="single" w:sz="4" w:space="0" w:color="auto"/>
              <w:left w:val="nil"/>
              <w:bottom w:val="nil"/>
              <w:right w:val="nil"/>
            </w:tcBorders>
            <w:shd w:val="clear" w:color="auto" w:fill="auto"/>
            <w:noWrap/>
            <w:vAlign w:val="bottom"/>
            <w:hideMark/>
          </w:tcPr>
          <w:p w:rsidR="009460F4" w:rsidRPr="00E95614" w:rsidRDefault="003475F4" w:rsidP="009460F4">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Mean</w:t>
            </w:r>
          </w:p>
          <w:p w:rsidR="003475F4" w:rsidRPr="00E95614" w:rsidRDefault="003475F4" w:rsidP="009460F4">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first</w:t>
            </w:r>
          </w:p>
        </w:tc>
      </w:tr>
      <w:tr w:rsidR="003475F4" w:rsidRPr="00E95614" w:rsidTr="00016A76">
        <w:trPr>
          <w:trHeight w:val="300"/>
        </w:trPr>
        <w:tc>
          <w:tcPr>
            <w:tcW w:w="1120" w:type="dxa"/>
            <w:tcBorders>
              <w:top w:val="nil"/>
              <w:left w:val="nil"/>
              <w:bottom w:val="single" w:sz="4" w:space="0" w:color="auto"/>
              <w:right w:val="nil"/>
            </w:tcBorders>
            <w:shd w:val="clear" w:color="auto" w:fill="auto"/>
            <w:noWrap/>
            <w:vAlign w:val="bottom"/>
            <w:hideMark/>
          </w:tcPr>
          <w:p w:rsidR="003475F4" w:rsidRPr="00E95614" w:rsidRDefault="003475F4" w:rsidP="003475F4">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character</w:t>
            </w:r>
          </w:p>
        </w:tc>
        <w:tc>
          <w:tcPr>
            <w:tcW w:w="990" w:type="dxa"/>
            <w:tcBorders>
              <w:top w:val="nil"/>
              <w:left w:val="nil"/>
              <w:bottom w:val="single" w:sz="4" w:space="0" w:color="auto"/>
              <w:right w:val="nil"/>
            </w:tcBorders>
            <w:shd w:val="clear" w:color="auto" w:fill="auto"/>
            <w:noWrap/>
            <w:vAlign w:val="bottom"/>
            <w:hideMark/>
          </w:tcPr>
          <w:p w:rsidR="003475F4" w:rsidRPr="00E95614" w:rsidRDefault="003475F4" w:rsidP="009460F4">
            <w:pPr>
              <w:widowControl/>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quantity</w:t>
            </w:r>
          </w:p>
        </w:tc>
        <w:tc>
          <w:tcPr>
            <w:tcW w:w="1240" w:type="dxa"/>
            <w:tcBorders>
              <w:top w:val="nil"/>
              <w:left w:val="nil"/>
              <w:bottom w:val="single" w:sz="4" w:space="0" w:color="auto"/>
              <w:right w:val="nil"/>
            </w:tcBorders>
            <w:shd w:val="clear" w:color="auto" w:fill="auto"/>
            <w:noWrap/>
            <w:vAlign w:val="bottom"/>
            <w:hideMark/>
          </w:tcPr>
          <w:p w:rsidR="009460F4" w:rsidRPr="00E95614" w:rsidRDefault="007B739E" w:rsidP="003475F4">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a</w:t>
            </w:r>
            <w:r w:rsidR="003475F4" w:rsidRPr="00E95614">
              <w:rPr>
                <w:rFonts w:ascii="Palatino Linotype" w:eastAsia="SimSun" w:hAnsi="Palatino Linotype" w:cs="SimSun"/>
                <w:b/>
                <w:bCs/>
                <w:color w:val="000000"/>
                <w:kern w:val="0"/>
                <w:sz w:val="20"/>
                <w:szCs w:val="20"/>
              </w:rPr>
              <w:t>rea</w:t>
            </w:r>
            <w:r w:rsidRPr="00E95614">
              <w:rPr>
                <w:rFonts w:ascii="Palatino Linotype" w:eastAsia="SimSun" w:hAnsi="Palatino Linotype" w:cs="SimSun"/>
                <w:b/>
                <w:bCs/>
                <w:color w:val="000000"/>
                <w:kern w:val="0"/>
                <w:sz w:val="20"/>
                <w:szCs w:val="20"/>
              </w:rPr>
              <w:t xml:space="preserve">                   </w:t>
            </w:r>
          </w:p>
          <w:p w:rsidR="003475F4" w:rsidRPr="00E95614" w:rsidRDefault="003475F4" w:rsidP="003475F4">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 xml:space="preserve"> (m</w:t>
            </w:r>
            <w:r w:rsidRPr="00E95614">
              <w:rPr>
                <w:rFonts w:ascii="Palatino Linotype" w:eastAsia="SimSun" w:hAnsi="Palatino Linotype" w:cs="SimSun"/>
                <w:b/>
                <w:bCs/>
                <w:color w:val="000000"/>
                <w:kern w:val="0"/>
                <w:sz w:val="20"/>
                <w:szCs w:val="20"/>
                <w:vertAlign w:val="superscript"/>
              </w:rPr>
              <w:t>2</w:t>
            </w:r>
            <w:r w:rsidRPr="00E95614">
              <w:rPr>
                <w:rFonts w:ascii="Palatino Linotype" w:eastAsia="SimSun" w:hAnsi="Palatino Linotype" w:cs="SimSun"/>
                <w:b/>
                <w:bCs/>
                <w:color w:val="000000"/>
                <w:kern w:val="0"/>
                <w:sz w:val="20"/>
                <w:szCs w:val="20"/>
              </w:rPr>
              <w:t>)</w:t>
            </w:r>
          </w:p>
        </w:tc>
        <w:tc>
          <w:tcPr>
            <w:tcW w:w="980" w:type="dxa"/>
            <w:tcBorders>
              <w:top w:val="nil"/>
              <w:left w:val="nil"/>
              <w:bottom w:val="single" w:sz="4" w:space="0" w:color="auto"/>
              <w:right w:val="nil"/>
            </w:tcBorders>
            <w:shd w:val="clear" w:color="auto" w:fill="auto"/>
            <w:noWrap/>
            <w:vAlign w:val="bottom"/>
            <w:hideMark/>
          </w:tcPr>
          <w:p w:rsidR="003475F4" w:rsidRPr="00E95614" w:rsidRDefault="003475F4" w:rsidP="00E95614">
            <w:pPr>
              <w:widowControl/>
              <w:ind w:firstLineChars="100" w:firstLine="201"/>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ratio</w:t>
            </w:r>
          </w:p>
        </w:tc>
        <w:tc>
          <w:tcPr>
            <w:tcW w:w="1280" w:type="dxa"/>
            <w:tcBorders>
              <w:top w:val="nil"/>
              <w:left w:val="nil"/>
              <w:bottom w:val="single" w:sz="4" w:space="0" w:color="auto"/>
              <w:right w:val="nil"/>
            </w:tcBorders>
            <w:shd w:val="clear" w:color="auto" w:fill="auto"/>
            <w:noWrap/>
            <w:vAlign w:val="bottom"/>
            <w:hideMark/>
          </w:tcPr>
          <w:p w:rsidR="003475F4" w:rsidRPr="00E95614" w:rsidRDefault="003475F4" w:rsidP="003475F4">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quantity (m</w:t>
            </w:r>
            <w:r w:rsidRPr="00E95614">
              <w:rPr>
                <w:rFonts w:ascii="Palatino Linotype" w:eastAsia="SimSun" w:hAnsi="Palatino Linotype" w:cs="SimSun"/>
                <w:b/>
                <w:bCs/>
                <w:color w:val="000000"/>
                <w:kern w:val="0"/>
                <w:sz w:val="20"/>
                <w:szCs w:val="20"/>
                <w:vertAlign w:val="superscript"/>
              </w:rPr>
              <w:t>2</w:t>
            </w:r>
            <w:r w:rsidRPr="00E95614">
              <w:rPr>
                <w:rFonts w:ascii="Palatino Linotype" w:eastAsia="SimSun" w:hAnsi="Palatino Linotype" w:cs="SimSun"/>
                <w:b/>
                <w:bCs/>
                <w:color w:val="000000"/>
                <w:kern w:val="0"/>
                <w:sz w:val="20"/>
                <w:szCs w:val="20"/>
              </w:rPr>
              <w:t>)</w:t>
            </w:r>
          </w:p>
        </w:tc>
        <w:tc>
          <w:tcPr>
            <w:tcW w:w="1300" w:type="dxa"/>
            <w:tcBorders>
              <w:top w:val="nil"/>
              <w:left w:val="nil"/>
              <w:bottom w:val="single" w:sz="4" w:space="0" w:color="auto"/>
              <w:right w:val="nil"/>
            </w:tcBorders>
            <w:shd w:val="clear" w:color="auto" w:fill="auto"/>
            <w:noWrap/>
            <w:vAlign w:val="bottom"/>
            <w:hideMark/>
          </w:tcPr>
          <w:p w:rsidR="003475F4" w:rsidRPr="00E95614" w:rsidRDefault="007B739E" w:rsidP="003475F4">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time (week</w:t>
            </w:r>
            <w:r w:rsidR="003475F4" w:rsidRPr="00E95614">
              <w:rPr>
                <w:rFonts w:ascii="Palatino Linotype" w:eastAsia="SimSun" w:hAnsi="Palatino Linotype" w:cs="SimSun"/>
                <w:b/>
                <w:bCs/>
                <w:color w:val="000000"/>
                <w:kern w:val="0"/>
                <w:sz w:val="20"/>
                <w:szCs w:val="20"/>
              </w:rPr>
              <w:t>)</w:t>
            </w:r>
          </w:p>
        </w:tc>
        <w:tc>
          <w:tcPr>
            <w:tcW w:w="1420" w:type="dxa"/>
            <w:tcBorders>
              <w:top w:val="nil"/>
              <w:left w:val="nil"/>
              <w:bottom w:val="single" w:sz="4" w:space="0" w:color="auto"/>
              <w:right w:val="nil"/>
            </w:tcBorders>
            <w:shd w:val="clear" w:color="auto" w:fill="auto"/>
            <w:noWrap/>
            <w:vAlign w:val="bottom"/>
            <w:hideMark/>
          </w:tcPr>
          <w:p w:rsidR="003475F4" w:rsidRPr="00E95614" w:rsidRDefault="003475F4" w:rsidP="007B739E">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period (</w:t>
            </w:r>
            <w:r w:rsidR="007B739E" w:rsidRPr="00E95614">
              <w:rPr>
                <w:rFonts w:ascii="Palatino Linotype" w:eastAsia="SimSun" w:hAnsi="Palatino Linotype" w:cs="SimSun"/>
                <w:b/>
                <w:bCs/>
                <w:color w:val="000000"/>
                <w:kern w:val="0"/>
                <w:sz w:val="20"/>
                <w:szCs w:val="20"/>
              </w:rPr>
              <w:t>week</w:t>
            </w:r>
            <w:r w:rsidRPr="00E95614">
              <w:rPr>
                <w:rFonts w:ascii="Palatino Linotype" w:eastAsia="SimSun" w:hAnsi="Palatino Linotype" w:cs="SimSun"/>
                <w:b/>
                <w:bCs/>
                <w:color w:val="000000"/>
                <w:kern w:val="0"/>
                <w:sz w:val="20"/>
                <w:szCs w:val="20"/>
              </w:rPr>
              <w:t>)</w:t>
            </w:r>
          </w:p>
        </w:tc>
      </w:tr>
      <w:tr w:rsidR="003475F4" w:rsidRPr="00E95614" w:rsidTr="00016A76">
        <w:trPr>
          <w:trHeight w:val="300"/>
        </w:trPr>
        <w:tc>
          <w:tcPr>
            <w:tcW w:w="1120" w:type="dxa"/>
            <w:tcBorders>
              <w:top w:val="nil"/>
              <w:left w:val="nil"/>
              <w:bottom w:val="dotted" w:sz="4" w:space="0" w:color="auto"/>
              <w:right w:val="nil"/>
            </w:tcBorders>
            <w:shd w:val="clear" w:color="auto" w:fill="auto"/>
            <w:noWrap/>
            <w:vAlign w:val="bottom"/>
            <w:hideMark/>
          </w:tcPr>
          <w:p w:rsidR="003475F4" w:rsidRPr="00E95614" w:rsidRDefault="003475F4" w:rsidP="003475F4">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All</w:t>
            </w:r>
          </w:p>
        </w:tc>
        <w:tc>
          <w:tcPr>
            <w:tcW w:w="990" w:type="dxa"/>
            <w:tcBorders>
              <w:top w:val="nil"/>
              <w:left w:val="nil"/>
              <w:bottom w:val="dotted" w:sz="4" w:space="0" w:color="auto"/>
              <w:right w:val="nil"/>
            </w:tcBorders>
            <w:shd w:val="clear" w:color="auto" w:fill="auto"/>
            <w:noWrap/>
            <w:vAlign w:val="bottom"/>
            <w:hideMark/>
          </w:tcPr>
          <w:p w:rsidR="003475F4" w:rsidRPr="00E95614" w:rsidRDefault="007B739E" w:rsidP="00815028">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83</w:t>
            </w:r>
            <w:r w:rsidR="00815028" w:rsidRPr="00E95614">
              <w:rPr>
                <w:rFonts w:ascii="Palatino Linotype" w:eastAsia="SimSun" w:hAnsi="Palatino Linotype" w:cs="SimSun"/>
                <w:color w:val="000000"/>
                <w:kern w:val="0"/>
                <w:sz w:val="20"/>
                <w:szCs w:val="20"/>
                <w:lang w:val="en-GB"/>
              </w:rPr>
              <w:t>3</w:t>
            </w:r>
          </w:p>
        </w:tc>
        <w:tc>
          <w:tcPr>
            <w:tcW w:w="1240" w:type="dxa"/>
            <w:tcBorders>
              <w:top w:val="nil"/>
              <w:left w:val="nil"/>
              <w:bottom w:val="dotted" w:sz="4" w:space="0" w:color="auto"/>
              <w:right w:val="nil"/>
            </w:tcBorders>
            <w:shd w:val="clear" w:color="auto" w:fill="auto"/>
            <w:noWrap/>
            <w:vAlign w:val="bottom"/>
            <w:hideMark/>
          </w:tcPr>
          <w:p w:rsidR="003475F4" w:rsidRPr="00E95614" w:rsidRDefault="007B739E" w:rsidP="00A661C0">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6</w:t>
            </w:r>
            <w:r w:rsidR="00815028" w:rsidRPr="00E95614">
              <w:rPr>
                <w:rFonts w:ascii="Palatino Linotype" w:eastAsia="SimSun" w:hAnsi="Palatino Linotype" w:cs="SimSun"/>
                <w:color w:val="000000"/>
                <w:kern w:val="0"/>
                <w:sz w:val="20"/>
                <w:szCs w:val="20"/>
                <w:lang w:val="en-GB"/>
              </w:rPr>
              <w:t>311</w:t>
            </w:r>
            <w:r w:rsidR="00A661C0" w:rsidRPr="00E95614">
              <w:rPr>
                <w:rFonts w:ascii="Palatino Linotype" w:eastAsia="SimSun" w:hAnsi="Palatino Linotype" w:cs="SimSun"/>
                <w:color w:val="000000"/>
                <w:kern w:val="0"/>
                <w:sz w:val="20"/>
                <w:szCs w:val="20"/>
                <w:lang w:val="en-GB"/>
              </w:rPr>
              <w:t>0</w:t>
            </w:r>
          </w:p>
        </w:tc>
        <w:tc>
          <w:tcPr>
            <w:tcW w:w="980" w:type="dxa"/>
            <w:tcBorders>
              <w:top w:val="nil"/>
              <w:left w:val="nil"/>
              <w:bottom w:val="dotted" w:sz="4" w:space="0" w:color="auto"/>
              <w:right w:val="nil"/>
            </w:tcBorders>
            <w:shd w:val="clear" w:color="auto" w:fill="auto"/>
            <w:noWrap/>
            <w:vAlign w:val="bottom"/>
            <w:hideMark/>
          </w:tcPr>
          <w:p w:rsidR="003475F4" w:rsidRPr="00E95614" w:rsidRDefault="007B739E" w:rsidP="003475F4">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1.60</w:t>
            </w:r>
          </w:p>
        </w:tc>
        <w:tc>
          <w:tcPr>
            <w:tcW w:w="1280" w:type="dxa"/>
            <w:tcBorders>
              <w:top w:val="nil"/>
              <w:left w:val="nil"/>
              <w:bottom w:val="dotted" w:sz="4" w:space="0" w:color="auto"/>
              <w:right w:val="nil"/>
            </w:tcBorders>
            <w:shd w:val="clear" w:color="auto" w:fill="auto"/>
            <w:noWrap/>
            <w:vAlign w:val="bottom"/>
            <w:hideMark/>
          </w:tcPr>
          <w:p w:rsidR="003475F4" w:rsidRPr="00E95614" w:rsidRDefault="007B739E" w:rsidP="00A661C0">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67</w:t>
            </w:r>
            <w:r w:rsidR="003534C4" w:rsidRPr="00E95614">
              <w:rPr>
                <w:rFonts w:ascii="Palatino Linotype" w:eastAsia="SimSun" w:hAnsi="Palatino Linotype" w:cs="SimSun"/>
                <w:color w:val="000000"/>
                <w:kern w:val="0"/>
                <w:sz w:val="20"/>
                <w:szCs w:val="20"/>
                <w:lang w:val="en-GB"/>
              </w:rPr>
              <w:t>3</w:t>
            </w:r>
            <w:r w:rsidR="00815028" w:rsidRPr="00E95614">
              <w:rPr>
                <w:rFonts w:ascii="Palatino Linotype" w:eastAsia="SimSun" w:hAnsi="Palatino Linotype" w:cs="SimSun"/>
                <w:color w:val="000000"/>
                <w:kern w:val="0"/>
                <w:sz w:val="20"/>
                <w:szCs w:val="20"/>
                <w:lang w:val="en-GB"/>
              </w:rPr>
              <w:t>7</w:t>
            </w:r>
            <w:r w:rsidR="00A661C0" w:rsidRPr="00E95614">
              <w:rPr>
                <w:rFonts w:ascii="Palatino Linotype" w:eastAsia="SimSun" w:hAnsi="Palatino Linotype" w:cs="SimSun"/>
                <w:color w:val="000000"/>
                <w:kern w:val="0"/>
                <w:sz w:val="20"/>
                <w:szCs w:val="20"/>
                <w:lang w:val="en-GB"/>
              </w:rPr>
              <w:t>1</w:t>
            </w:r>
          </w:p>
        </w:tc>
        <w:tc>
          <w:tcPr>
            <w:tcW w:w="1300" w:type="dxa"/>
            <w:tcBorders>
              <w:top w:val="nil"/>
              <w:left w:val="nil"/>
              <w:bottom w:val="dotted" w:sz="4" w:space="0" w:color="auto"/>
              <w:right w:val="nil"/>
            </w:tcBorders>
            <w:shd w:val="clear" w:color="auto" w:fill="auto"/>
            <w:noWrap/>
            <w:vAlign w:val="bottom"/>
            <w:hideMark/>
          </w:tcPr>
          <w:p w:rsidR="003475F4" w:rsidRPr="00E95614" w:rsidRDefault="007B739E" w:rsidP="00815028">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47.</w:t>
            </w:r>
            <w:r w:rsidR="00815028" w:rsidRPr="00E95614">
              <w:rPr>
                <w:rFonts w:ascii="Palatino Linotype" w:eastAsia="SimSun" w:hAnsi="Palatino Linotype" w:cs="SimSun"/>
                <w:color w:val="000000"/>
                <w:kern w:val="0"/>
                <w:sz w:val="20"/>
                <w:szCs w:val="20"/>
                <w:lang w:val="en-GB"/>
              </w:rPr>
              <w:t>6</w:t>
            </w:r>
          </w:p>
        </w:tc>
        <w:tc>
          <w:tcPr>
            <w:tcW w:w="1420" w:type="dxa"/>
            <w:tcBorders>
              <w:top w:val="nil"/>
              <w:left w:val="nil"/>
              <w:bottom w:val="dotted" w:sz="4" w:space="0" w:color="auto"/>
              <w:right w:val="nil"/>
            </w:tcBorders>
            <w:shd w:val="clear" w:color="auto" w:fill="auto"/>
            <w:noWrap/>
            <w:vAlign w:val="bottom"/>
            <w:hideMark/>
          </w:tcPr>
          <w:p w:rsidR="003475F4" w:rsidRPr="00E95614" w:rsidRDefault="007B739E" w:rsidP="00815028">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33.</w:t>
            </w:r>
            <w:r w:rsidR="00815028" w:rsidRPr="00E95614">
              <w:rPr>
                <w:rFonts w:ascii="Palatino Linotype" w:eastAsia="SimSun" w:hAnsi="Palatino Linotype" w:cs="SimSun"/>
                <w:color w:val="000000"/>
                <w:kern w:val="0"/>
                <w:sz w:val="20"/>
                <w:szCs w:val="20"/>
                <w:lang w:val="en-GB"/>
              </w:rPr>
              <w:t>2</w:t>
            </w:r>
          </w:p>
        </w:tc>
      </w:tr>
      <w:tr w:rsidR="003475F4" w:rsidRPr="00E95614" w:rsidTr="00EC607D">
        <w:trPr>
          <w:trHeight w:val="300"/>
        </w:trPr>
        <w:tc>
          <w:tcPr>
            <w:tcW w:w="1120" w:type="dxa"/>
            <w:tcBorders>
              <w:top w:val="dotted" w:sz="4" w:space="0" w:color="auto"/>
              <w:left w:val="nil"/>
              <w:right w:val="nil"/>
            </w:tcBorders>
            <w:shd w:val="clear" w:color="auto" w:fill="auto"/>
            <w:noWrap/>
            <w:vAlign w:val="bottom"/>
            <w:hideMark/>
          </w:tcPr>
          <w:p w:rsidR="003475F4" w:rsidRPr="00E95614" w:rsidRDefault="003475F4" w:rsidP="003475F4">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In centre</w:t>
            </w:r>
          </w:p>
        </w:tc>
        <w:tc>
          <w:tcPr>
            <w:tcW w:w="990" w:type="dxa"/>
            <w:tcBorders>
              <w:top w:val="dotted" w:sz="4" w:space="0" w:color="auto"/>
              <w:left w:val="nil"/>
              <w:right w:val="nil"/>
            </w:tcBorders>
            <w:shd w:val="clear" w:color="auto" w:fill="auto"/>
            <w:noWrap/>
            <w:vAlign w:val="bottom"/>
            <w:hideMark/>
          </w:tcPr>
          <w:p w:rsidR="003475F4" w:rsidRPr="00E95614" w:rsidRDefault="00576D08" w:rsidP="002C4908">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10</w:t>
            </w:r>
            <w:r w:rsidR="002C4908" w:rsidRPr="00E95614">
              <w:rPr>
                <w:rFonts w:ascii="Palatino Linotype" w:eastAsia="SimSun" w:hAnsi="Palatino Linotype" w:cs="SimSun"/>
                <w:color w:val="000000"/>
                <w:kern w:val="0"/>
                <w:sz w:val="20"/>
                <w:szCs w:val="20"/>
                <w:lang w:val="en-GB"/>
              </w:rPr>
              <w:t>5</w:t>
            </w:r>
          </w:p>
        </w:tc>
        <w:tc>
          <w:tcPr>
            <w:tcW w:w="1240" w:type="dxa"/>
            <w:tcBorders>
              <w:top w:val="dotted" w:sz="4" w:space="0" w:color="auto"/>
              <w:left w:val="nil"/>
              <w:right w:val="nil"/>
            </w:tcBorders>
            <w:shd w:val="clear" w:color="auto" w:fill="auto"/>
            <w:noWrap/>
            <w:vAlign w:val="bottom"/>
            <w:hideMark/>
          </w:tcPr>
          <w:p w:rsidR="003475F4" w:rsidRPr="00E95614" w:rsidRDefault="00576D08" w:rsidP="002C4908">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2</w:t>
            </w:r>
            <w:r w:rsidR="002C4908" w:rsidRPr="00E95614">
              <w:rPr>
                <w:rFonts w:ascii="Palatino Linotype" w:eastAsia="SimSun" w:hAnsi="Palatino Linotype" w:cs="SimSun"/>
                <w:color w:val="000000"/>
                <w:kern w:val="0"/>
                <w:sz w:val="20"/>
                <w:szCs w:val="20"/>
                <w:lang w:val="en-GB"/>
              </w:rPr>
              <w:t>8488</w:t>
            </w:r>
          </w:p>
        </w:tc>
        <w:tc>
          <w:tcPr>
            <w:tcW w:w="980" w:type="dxa"/>
            <w:tcBorders>
              <w:top w:val="dotted" w:sz="4" w:space="0" w:color="auto"/>
              <w:left w:val="nil"/>
              <w:right w:val="nil"/>
            </w:tcBorders>
            <w:shd w:val="clear" w:color="auto" w:fill="auto"/>
            <w:noWrap/>
            <w:vAlign w:val="bottom"/>
            <w:hideMark/>
          </w:tcPr>
          <w:p w:rsidR="003475F4" w:rsidRPr="00E95614" w:rsidRDefault="00576D08" w:rsidP="002C4908">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2.</w:t>
            </w:r>
            <w:r w:rsidR="002C4908" w:rsidRPr="00E95614">
              <w:rPr>
                <w:rFonts w:ascii="Palatino Linotype" w:eastAsia="SimSun" w:hAnsi="Palatino Linotype" w:cs="SimSun"/>
                <w:color w:val="000000"/>
                <w:kern w:val="0"/>
                <w:sz w:val="20"/>
                <w:szCs w:val="20"/>
                <w:lang w:val="en-GB"/>
              </w:rPr>
              <w:t>89</w:t>
            </w:r>
          </w:p>
        </w:tc>
        <w:tc>
          <w:tcPr>
            <w:tcW w:w="1280" w:type="dxa"/>
            <w:tcBorders>
              <w:top w:val="dotted" w:sz="4" w:space="0" w:color="auto"/>
              <w:left w:val="nil"/>
              <w:right w:val="nil"/>
            </w:tcBorders>
            <w:shd w:val="clear" w:color="auto" w:fill="auto"/>
            <w:noWrap/>
            <w:vAlign w:val="bottom"/>
            <w:hideMark/>
          </w:tcPr>
          <w:p w:rsidR="003475F4" w:rsidRPr="00E95614" w:rsidRDefault="00576D08" w:rsidP="002C4908">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536</w:t>
            </w:r>
            <w:r w:rsidR="002C4908" w:rsidRPr="00E95614">
              <w:rPr>
                <w:rFonts w:ascii="Palatino Linotype" w:eastAsia="SimSun" w:hAnsi="Palatino Linotype" w:cs="SimSun"/>
                <w:color w:val="000000"/>
                <w:kern w:val="0"/>
                <w:sz w:val="20"/>
                <w:szCs w:val="20"/>
                <w:lang w:val="en-GB"/>
              </w:rPr>
              <w:t>55</w:t>
            </w:r>
          </w:p>
        </w:tc>
        <w:tc>
          <w:tcPr>
            <w:tcW w:w="1300" w:type="dxa"/>
            <w:tcBorders>
              <w:top w:val="dotted" w:sz="4" w:space="0" w:color="auto"/>
              <w:left w:val="nil"/>
              <w:right w:val="nil"/>
            </w:tcBorders>
            <w:shd w:val="clear" w:color="auto" w:fill="auto"/>
            <w:noWrap/>
            <w:vAlign w:val="bottom"/>
            <w:hideMark/>
          </w:tcPr>
          <w:p w:rsidR="003475F4" w:rsidRPr="00E95614" w:rsidRDefault="002C4908" w:rsidP="003475F4">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60.8</w:t>
            </w:r>
          </w:p>
        </w:tc>
        <w:tc>
          <w:tcPr>
            <w:tcW w:w="1420" w:type="dxa"/>
            <w:tcBorders>
              <w:top w:val="dotted" w:sz="4" w:space="0" w:color="auto"/>
              <w:left w:val="nil"/>
              <w:right w:val="nil"/>
            </w:tcBorders>
            <w:shd w:val="clear" w:color="auto" w:fill="auto"/>
            <w:noWrap/>
            <w:vAlign w:val="bottom"/>
            <w:hideMark/>
          </w:tcPr>
          <w:p w:rsidR="003475F4" w:rsidRPr="00E95614" w:rsidRDefault="00576D08" w:rsidP="002C4908">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4</w:t>
            </w:r>
            <w:r w:rsidR="002C4908" w:rsidRPr="00E95614">
              <w:rPr>
                <w:rFonts w:ascii="Palatino Linotype" w:eastAsia="SimSun" w:hAnsi="Palatino Linotype" w:cs="SimSun"/>
                <w:color w:val="000000"/>
                <w:kern w:val="0"/>
                <w:sz w:val="20"/>
                <w:szCs w:val="20"/>
                <w:lang w:val="en-GB"/>
              </w:rPr>
              <w:t>6.3</w:t>
            </w:r>
          </w:p>
        </w:tc>
      </w:tr>
      <w:tr w:rsidR="003475F4" w:rsidRPr="00E95614" w:rsidTr="00B247AD">
        <w:trPr>
          <w:trHeight w:val="300"/>
        </w:trPr>
        <w:tc>
          <w:tcPr>
            <w:tcW w:w="1120" w:type="dxa"/>
            <w:tcBorders>
              <w:top w:val="nil"/>
              <w:left w:val="nil"/>
              <w:bottom w:val="dashSmallGap" w:sz="4" w:space="0" w:color="auto"/>
              <w:right w:val="nil"/>
            </w:tcBorders>
            <w:shd w:val="clear" w:color="auto" w:fill="auto"/>
            <w:noWrap/>
            <w:vAlign w:val="bottom"/>
            <w:hideMark/>
          </w:tcPr>
          <w:p w:rsidR="003475F4" w:rsidRPr="00E95614" w:rsidRDefault="003475F4" w:rsidP="003475F4">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In suburb</w:t>
            </w:r>
          </w:p>
        </w:tc>
        <w:tc>
          <w:tcPr>
            <w:tcW w:w="990" w:type="dxa"/>
            <w:tcBorders>
              <w:top w:val="nil"/>
              <w:left w:val="nil"/>
              <w:bottom w:val="dashSmallGap" w:sz="4" w:space="0" w:color="auto"/>
              <w:right w:val="nil"/>
            </w:tcBorders>
            <w:shd w:val="clear" w:color="auto" w:fill="auto"/>
            <w:noWrap/>
            <w:vAlign w:val="bottom"/>
            <w:hideMark/>
          </w:tcPr>
          <w:p w:rsidR="003475F4" w:rsidRPr="00E95614" w:rsidRDefault="00576D08" w:rsidP="00B709AB">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72</w:t>
            </w:r>
            <w:r w:rsidR="00B709AB" w:rsidRPr="00E95614">
              <w:rPr>
                <w:rFonts w:ascii="Palatino Linotype" w:eastAsia="SimSun" w:hAnsi="Palatino Linotype" w:cs="SimSun"/>
                <w:color w:val="000000"/>
                <w:kern w:val="0"/>
                <w:sz w:val="20"/>
                <w:szCs w:val="20"/>
                <w:lang w:val="en-GB"/>
              </w:rPr>
              <w:t>8</w:t>
            </w:r>
          </w:p>
        </w:tc>
        <w:tc>
          <w:tcPr>
            <w:tcW w:w="1240" w:type="dxa"/>
            <w:tcBorders>
              <w:top w:val="nil"/>
              <w:left w:val="nil"/>
              <w:bottom w:val="dashSmallGap" w:sz="4" w:space="0" w:color="auto"/>
              <w:right w:val="nil"/>
            </w:tcBorders>
            <w:shd w:val="clear" w:color="auto" w:fill="auto"/>
            <w:noWrap/>
            <w:vAlign w:val="bottom"/>
            <w:hideMark/>
          </w:tcPr>
          <w:p w:rsidR="003475F4" w:rsidRPr="00E95614" w:rsidRDefault="00576D08" w:rsidP="00B709AB">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68</w:t>
            </w:r>
            <w:r w:rsidR="00B709AB" w:rsidRPr="00E95614">
              <w:rPr>
                <w:rFonts w:ascii="Palatino Linotype" w:eastAsia="SimSun" w:hAnsi="Palatino Linotype" w:cs="SimSun"/>
                <w:color w:val="000000"/>
                <w:kern w:val="0"/>
                <w:sz w:val="20"/>
                <w:szCs w:val="20"/>
                <w:lang w:val="en-GB"/>
              </w:rPr>
              <w:t>105</w:t>
            </w:r>
          </w:p>
        </w:tc>
        <w:tc>
          <w:tcPr>
            <w:tcW w:w="980" w:type="dxa"/>
            <w:tcBorders>
              <w:top w:val="nil"/>
              <w:left w:val="nil"/>
              <w:bottom w:val="dashSmallGap" w:sz="4" w:space="0" w:color="auto"/>
              <w:right w:val="nil"/>
            </w:tcBorders>
            <w:shd w:val="clear" w:color="auto" w:fill="auto"/>
            <w:noWrap/>
            <w:vAlign w:val="bottom"/>
            <w:hideMark/>
          </w:tcPr>
          <w:p w:rsidR="003475F4" w:rsidRPr="00E95614" w:rsidRDefault="00A0451F" w:rsidP="003475F4">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1.42</w:t>
            </w:r>
          </w:p>
        </w:tc>
        <w:tc>
          <w:tcPr>
            <w:tcW w:w="1280" w:type="dxa"/>
            <w:tcBorders>
              <w:top w:val="nil"/>
              <w:left w:val="nil"/>
              <w:bottom w:val="dashSmallGap" w:sz="4" w:space="0" w:color="auto"/>
              <w:right w:val="nil"/>
            </w:tcBorders>
            <w:shd w:val="clear" w:color="auto" w:fill="auto"/>
            <w:noWrap/>
            <w:vAlign w:val="bottom"/>
            <w:hideMark/>
          </w:tcPr>
          <w:p w:rsidR="003475F4" w:rsidRPr="00E95614" w:rsidRDefault="00A0451F" w:rsidP="00FA6F89">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69</w:t>
            </w:r>
            <w:r w:rsidR="00B709AB" w:rsidRPr="00E95614">
              <w:rPr>
                <w:rFonts w:ascii="Palatino Linotype" w:eastAsia="SimSun" w:hAnsi="Palatino Linotype" w:cs="SimSun"/>
                <w:color w:val="000000"/>
                <w:kern w:val="0"/>
                <w:sz w:val="20"/>
                <w:szCs w:val="20"/>
                <w:lang w:val="en-GB"/>
              </w:rPr>
              <w:t>2</w:t>
            </w:r>
            <w:r w:rsidR="00FA6F89" w:rsidRPr="00E95614">
              <w:rPr>
                <w:rFonts w:ascii="Palatino Linotype" w:eastAsia="SimSun" w:hAnsi="Palatino Linotype" w:cs="SimSun"/>
                <w:color w:val="000000"/>
                <w:kern w:val="0"/>
                <w:sz w:val="20"/>
                <w:szCs w:val="20"/>
                <w:lang w:val="en-GB"/>
              </w:rPr>
              <w:t>46</w:t>
            </w:r>
          </w:p>
        </w:tc>
        <w:tc>
          <w:tcPr>
            <w:tcW w:w="1300" w:type="dxa"/>
            <w:tcBorders>
              <w:top w:val="nil"/>
              <w:left w:val="nil"/>
              <w:bottom w:val="dashSmallGap" w:sz="4" w:space="0" w:color="auto"/>
              <w:right w:val="nil"/>
            </w:tcBorders>
            <w:shd w:val="clear" w:color="auto" w:fill="auto"/>
            <w:noWrap/>
            <w:vAlign w:val="bottom"/>
            <w:hideMark/>
          </w:tcPr>
          <w:p w:rsidR="003475F4" w:rsidRPr="00E95614" w:rsidRDefault="00A0451F" w:rsidP="00B709AB">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45.</w:t>
            </w:r>
            <w:r w:rsidR="00B709AB" w:rsidRPr="00E95614">
              <w:rPr>
                <w:rFonts w:ascii="Palatino Linotype" w:eastAsia="SimSun" w:hAnsi="Palatino Linotype" w:cs="SimSun"/>
                <w:color w:val="000000"/>
                <w:kern w:val="0"/>
                <w:sz w:val="20"/>
                <w:szCs w:val="20"/>
                <w:lang w:val="en-GB"/>
              </w:rPr>
              <w:t>7</w:t>
            </w:r>
          </w:p>
        </w:tc>
        <w:tc>
          <w:tcPr>
            <w:tcW w:w="1420" w:type="dxa"/>
            <w:tcBorders>
              <w:top w:val="nil"/>
              <w:left w:val="nil"/>
              <w:bottom w:val="dashSmallGap" w:sz="4" w:space="0" w:color="auto"/>
              <w:right w:val="nil"/>
            </w:tcBorders>
            <w:shd w:val="clear" w:color="auto" w:fill="auto"/>
            <w:noWrap/>
            <w:vAlign w:val="bottom"/>
            <w:hideMark/>
          </w:tcPr>
          <w:p w:rsidR="003475F4" w:rsidRPr="00E95614" w:rsidRDefault="00A0451F" w:rsidP="00B709AB">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31.</w:t>
            </w:r>
            <w:r w:rsidR="00B709AB" w:rsidRPr="00E95614">
              <w:rPr>
                <w:rFonts w:ascii="Palatino Linotype" w:eastAsia="SimSun" w:hAnsi="Palatino Linotype" w:cs="SimSun"/>
                <w:color w:val="000000"/>
                <w:kern w:val="0"/>
                <w:sz w:val="20"/>
                <w:szCs w:val="20"/>
                <w:lang w:val="en-GB"/>
              </w:rPr>
              <w:t>3</w:t>
            </w:r>
          </w:p>
        </w:tc>
      </w:tr>
      <w:tr w:rsidR="00EC607D" w:rsidRPr="00E95614" w:rsidTr="00B247AD">
        <w:trPr>
          <w:trHeight w:val="300"/>
        </w:trPr>
        <w:tc>
          <w:tcPr>
            <w:tcW w:w="1120" w:type="dxa"/>
            <w:tcBorders>
              <w:top w:val="dashSmallGap" w:sz="4" w:space="0" w:color="auto"/>
              <w:left w:val="nil"/>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House</w:t>
            </w:r>
          </w:p>
        </w:tc>
        <w:tc>
          <w:tcPr>
            <w:tcW w:w="990" w:type="dxa"/>
            <w:tcBorders>
              <w:top w:val="dashSmallGap" w:sz="4" w:space="0" w:color="auto"/>
              <w:left w:val="nil"/>
              <w:right w:val="nil"/>
            </w:tcBorders>
            <w:shd w:val="clear" w:color="auto" w:fill="auto"/>
            <w:noWrap/>
            <w:vAlign w:val="bottom"/>
            <w:hideMark/>
          </w:tcPr>
          <w:p w:rsidR="00EC607D" w:rsidRPr="00E95614" w:rsidRDefault="00EC607D" w:rsidP="002C4908">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13</w:t>
            </w:r>
            <w:r w:rsidR="002C4908" w:rsidRPr="00E95614">
              <w:rPr>
                <w:rFonts w:ascii="Palatino Linotype" w:eastAsia="SimSun" w:hAnsi="Palatino Linotype" w:cs="SimSun"/>
                <w:color w:val="000000"/>
                <w:kern w:val="0"/>
                <w:sz w:val="20"/>
                <w:szCs w:val="20"/>
                <w:lang w:val="en-GB"/>
              </w:rPr>
              <w:t>1</w:t>
            </w:r>
          </w:p>
        </w:tc>
        <w:tc>
          <w:tcPr>
            <w:tcW w:w="1240" w:type="dxa"/>
            <w:tcBorders>
              <w:top w:val="dashSmallGap" w:sz="4" w:space="0" w:color="auto"/>
              <w:left w:val="nil"/>
              <w:right w:val="nil"/>
            </w:tcBorders>
            <w:shd w:val="clear" w:color="auto" w:fill="auto"/>
            <w:noWrap/>
            <w:vAlign w:val="bottom"/>
            <w:hideMark/>
          </w:tcPr>
          <w:p w:rsidR="00EC607D" w:rsidRPr="00E95614" w:rsidRDefault="00EC607D" w:rsidP="00FA6F89">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11</w:t>
            </w:r>
            <w:r w:rsidR="002C4908" w:rsidRPr="00E95614">
              <w:rPr>
                <w:rFonts w:ascii="Palatino Linotype" w:eastAsia="SimSun" w:hAnsi="Palatino Linotype" w:cs="SimSun"/>
                <w:color w:val="000000"/>
                <w:kern w:val="0"/>
                <w:sz w:val="20"/>
                <w:szCs w:val="20"/>
                <w:lang w:val="en-GB"/>
              </w:rPr>
              <w:t>59</w:t>
            </w:r>
            <w:r w:rsidR="00FA6F89" w:rsidRPr="00E95614">
              <w:rPr>
                <w:rFonts w:ascii="Palatino Linotype" w:eastAsia="SimSun" w:hAnsi="Palatino Linotype" w:cs="SimSun"/>
                <w:color w:val="000000"/>
                <w:kern w:val="0"/>
                <w:sz w:val="20"/>
                <w:szCs w:val="20"/>
                <w:lang w:val="en-GB"/>
              </w:rPr>
              <w:t>46</w:t>
            </w:r>
          </w:p>
        </w:tc>
        <w:tc>
          <w:tcPr>
            <w:tcW w:w="980" w:type="dxa"/>
            <w:tcBorders>
              <w:top w:val="dashSmallGap" w:sz="4" w:space="0" w:color="auto"/>
              <w:left w:val="nil"/>
              <w:right w:val="nil"/>
            </w:tcBorders>
            <w:shd w:val="clear" w:color="auto" w:fill="auto"/>
            <w:noWrap/>
            <w:vAlign w:val="bottom"/>
            <w:hideMark/>
          </w:tcPr>
          <w:p w:rsidR="00EC607D" w:rsidRPr="00E95614" w:rsidRDefault="00EC607D" w:rsidP="002C4908">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0.5</w:t>
            </w:r>
            <w:r w:rsidR="002C4908" w:rsidRPr="00E95614">
              <w:rPr>
                <w:rFonts w:ascii="Palatino Linotype" w:eastAsia="SimSun" w:hAnsi="Palatino Linotype" w:cs="SimSun"/>
                <w:color w:val="000000"/>
                <w:kern w:val="0"/>
                <w:sz w:val="20"/>
                <w:szCs w:val="20"/>
                <w:lang w:val="en-GB"/>
              </w:rPr>
              <w:t>4</w:t>
            </w:r>
          </w:p>
        </w:tc>
        <w:tc>
          <w:tcPr>
            <w:tcW w:w="1280" w:type="dxa"/>
            <w:tcBorders>
              <w:top w:val="dashSmallGap" w:sz="4" w:space="0" w:color="auto"/>
              <w:left w:val="nil"/>
              <w:right w:val="nil"/>
            </w:tcBorders>
            <w:shd w:val="clear" w:color="auto" w:fill="auto"/>
            <w:noWrap/>
            <w:vAlign w:val="bottom"/>
            <w:hideMark/>
          </w:tcPr>
          <w:p w:rsidR="00EC607D" w:rsidRPr="00E95614" w:rsidRDefault="00EC607D" w:rsidP="00FA6F89">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4</w:t>
            </w:r>
            <w:r w:rsidR="002C4908" w:rsidRPr="00E95614">
              <w:rPr>
                <w:rFonts w:ascii="Palatino Linotype" w:eastAsia="SimSun" w:hAnsi="Palatino Linotype" w:cs="SimSun"/>
                <w:color w:val="000000"/>
                <w:kern w:val="0"/>
                <w:sz w:val="20"/>
                <w:szCs w:val="20"/>
                <w:lang w:val="en-GB"/>
              </w:rPr>
              <w:t>43</w:t>
            </w:r>
            <w:r w:rsidR="00FA6F89" w:rsidRPr="00E95614">
              <w:rPr>
                <w:rFonts w:ascii="Palatino Linotype" w:eastAsia="SimSun" w:hAnsi="Palatino Linotype" w:cs="SimSun"/>
                <w:color w:val="000000"/>
                <w:kern w:val="0"/>
                <w:sz w:val="20"/>
                <w:szCs w:val="20"/>
                <w:lang w:val="en-GB"/>
              </w:rPr>
              <w:t>49</w:t>
            </w:r>
          </w:p>
        </w:tc>
        <w:tc>
          <w:tcPr>
            <w:tcW w:w="1300" w:type="dxa"/>
            <w:tcBorders>
              <w:top w:val="dashSmallGap" w:sz="4" w:space="0" w:color="auto"/>
              <w:left w:val="nil"/>
              <w:right w:val="nil"/>
            </w:tcBorders>
            <w:shd w:val="clear" w:color="auto" w:fill="auto"/>
            <w:noWrap/>
            <w:vAlign w:val="bottom"/>
            <w:hideMark/>
          </w:tcPr>
          <w:p w:rsidR="00EC607D" w:rsidRPr="00E95614" w:rsidRDefault="00EC607D" w:rsidP="002C4908">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5</w:t>
            </w:r>
            <w:r w:rsidR="002C4908" w:rsidRPr="00E95614">
              <w:rPr>
                <w:rFonts w:ascii="Palatino Linotype" w:eastAsia="SimSun" w:hAnsi="Palatino Linotype" w:cs="SimSun"/>
                <w:color w:val="000000"/>
                <w:kern w:val="0"/>
                <w:sz w:val="20"/>
                <w:szCs w:val="20"/>
                <w:lang w:val="en-GB"/>
              </w:rPr>
              <w:t>3.2</w:t>
            </w:r>
          </w:p>
        </w:tc>
        <w:tc>
          <w:tcPr>
            <w:tcW w:w="1420" w:type="dxa"/>
            <w:tcBorders>
              <w:top w:val="dashSmallGap" w:sz="4" w:space="0" w:color="auto"/>
              <w:left w:val="nil"/>
              <w:right w:val="nil"/>
            </w:tcBorders>
            <w:shd w:val="clear" w:color="auto" w:fill="auto"/>
            <w:noWrap/>
            <w:vAlign w:val="bottom"/>
            <w:hideMark/>
          </w:tcPr>
          <w:p w:rsidR="00EC607D" w:rsidRPr="00E95614" w:rsidRDefault="00EC607D" w:rsidP="002C4908">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3</w:t>
            </w:r>
            <w:r w:rsidR="002C4908" w:rsidRPr="00E95614">
              <w:rPr>
                <w:rFonts w:ascii="Palatino Linotype" w:eastAsia="SimSun" w:hAnsi="Palatino Linotype" w:cs="SimSun"/>
                <w:color w:val="000000"/>
                <w:kern w:val="0"/>
                <w:sz w:val="20"/>
                <w:szCs w:val="20"/>
                <w:lang w:val="en-GB"/>
              </w:rPr>
              <w:t>8.0</w:t>
            </w:r>
          </w:p>
        </w:tc>
      </w:tr>
      <w:tr w:rsidR="00EC607D" w:rsidRPr="00E95614" w:rsidTr="00B247AD">
        <w:trPr>
          <w:trHeight w:val="300"/>
        </w:trPr>
        <w:tc>
          <w:tcPr>
            <w:tcW w:w="1120" w:type="dxa"/>
            <w:tcBorders>
              <w:top w:val="nil"/>
              <w:left w:val="nil"/>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 xml:space="preserve">Low-rise </w:t>
            </w:r>
          </w:p>
        </w:tc>
        <w:tc>
          <w:tcPr>
            <w:tcW w:w="990" w:type="dxa"/>
            <w:tcBorders>
              <w:top w:val="nil"/>
              <w:left w:val="nil"/>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326</w:t>
            </w:r>
          </w:p>
        </w:tc>
        <w:tc>
          <w:tcPr>
            <w:tcW w:w="1240" w:type="dxa"/>
            <w:tcBorders>
              <w:top w:val="nil"/>
              <w:left w:val="nil"/>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68826</w:t>
            </w:r>
          </w:p>
        </w:tc>
        <w:tc>
          <w:tcPr>
            <w:tcW w:w="980" w:type="dxa"/>
            <w:tcBorders>
              <w:top w:val="nil"/>
              <w:left w:val="nil"/>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1.24</w:t>
            </w:r>
          </w:p>
        </w:tc>
        <w:tc>
          <w:tcPr>
            <w:tcW w:w="1280" w:type="dxa"/>
            <w:tcBorders>
              <w:top w:val="nil"/>
              <w:left w:val="nil"/>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74702</w:t>
            </w:r>
          </w:p>
        </w:tc>
        <w:tc>
          <w:tcPr>
            <w:tcW w:w="1300" w:type="dxa"/>
            <w:tcBorders>
              <w:top w:val="nil"/>
              <w:left w:val="nil"/>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44.8</w:t>
            </w:r>
          </w:p>
        </w:tc>
        <w:tc>
          <w:tcPr>
            <w:tcW w:w="1420" w:type="dxa"/>
            <w:tcBorders>
              <w:top w:val="nil"/>
              <w:left w:val="nil"/>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29.9</w:t>
            </w:r>
          </w:p>
        </w:tc>
      </w:tr>
      <w:tr w:rsidR="00EC607D" w:rsidRPr="00E95614" w:rsidTr="00B247AD">
        <w:trPr>
          <w:trHeight w:val="300"/>
        </w:trPr>
        <w:tc>
          <w:tcPr>
            <w:tcW w:w="1120" w:type="dxa"/>
            <w:tcBorders>
              <w:top w:val="nil"/>
              <w:left w:val="nil"/>
              <w:bottom w:val="dashSmallGap" w:sz="4" w:space="0" w:color="auto"/>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High-rise</w:t>
            </w:r>
          </w:p>
        </w:tc>
        <w:tc>
          <w:tcPr>
            <w:tcW w:w="990" w:type="dxa"/>
            <w:tcBorders>
              <w:top w:val="nil"/>
              <w:left w:val="nil"/>
              <w:bottom w:val="dashSmallGap" w:sz="4" w:space="0" w:color="auto"/>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376</w:t>
            </w:r>
          </w:p>
        </w:tc>
        <w:tc>
          <w:tcPr>
            <w:tcW w:w="1240" w:type="dxa"/>
            <w:tcBorders>
              <w:top w:val="nil"/>
              <w:left w:val="nil"/>
              <w:bottom w:val="dashSmallGap" w:sz="4" w:space="0" w:color="auto"/>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39746</w:t>
            </w:r>
          </w:p>
        </w:tc>
        <w:tc>
          <w:tcPr>
            <w:tcW w:w="980" w:type="dxa"/>
            <w:tcBorders>
              <w:top w:val="nil"/>
              <w:left w:val="nil"/>
              <w:bottom w:val="dashSmallGap" w:sz="4" w:space="0" w:color="auto"/>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2.28</w:t>
            </w:r>
          </w:p>
        </w:tc>
        <w:tc>
          <w:tcPr>
            <w:tcW w:w="1280" w:type="dxa"/>
            <w:tcBorders>
              <w:top w:val="nil"/>
              <w:left w:val="nil"/>
              <w:bottom w:val="dashSmallGap" w:sz="4" w:space="0" w:color="auto"/>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69035</w:t>
            </w:r>
          </w:p>
        </w:tc>
        <w:tc>
          <w:tcPr>
            <w:tcW w:w="1300" w:type="dxa"/>
            <w:tcBorders>
              <w:top w:val="nil"/>
              <w:left w:val="nil"/>
              <w:bottom w:val="dashSmallGap" w:sz="4" w:space="0" w:color="auto"/>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48.1</w:t>
            </w:r>
          </w:p>
        </w:tc>
        <w:tc>
          <w:tcPr>
            <w:tcW w:w="1420" w:type="dxa"/>
            <w:tcBorders>
              <w:top w:val="nil"/>
              <w:left w:val="nil"/>
              <w:bottom w:val="dashSmallGap" w:sz="4" w:space="0" w:color="auto"/>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34.4</w:t>
            </w:r>
          </w:p>
        </w:tc>
      </w:tr>
      <w:tr w:rsidR="00EC607D" w:rsidRPr="00E95614" w:rsidTr="00B247AD">
        <w:trPr>
          <w:trHeight w:val="300"/>
        </w:trPr>
        <w:tc>
          <w:tcPr>
            <w:tcW w:w="1120" w:type="dxa"/>
            <w:tcBorders>
              <w:top w:val="dashSmallGap" w:sz="4" w:space="0" w:color="auto"/>
              <w:left w:val="nil"/>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House in suburb</w:t>
            </w:r>
          </w:p>
        </w:tc>
        <w:tc>
          <w:tcPr>
            <w:tcW w:w="990" w:type="dxa"/>
            <w:tcBorders>
              <w:top w:val="dashSmallGap" w:sz="4" w:space="0" w:color="auto"/>
              <w:left w:val="nil"/>
              <w:right w:val="nil"/>
            </w:tcBorders>
            <w:shd w:val="clear" w:color="auto" w:fill="auto"/>
            <w:noWrap/>
            <w:vAlign w:val="bottom"/>
            <w:hideMark/>
          </w:tcPr>
          <w:p w:rsidR="00EC607D" w:rsidRPr="00E95614" w:rsidRDefault="00EC607D" w:rsidP="002C4908">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1</w:t>
            </w:r>
            <w:r w:rsidR="002C4908" w:rsidRPr="00E95614">
              <w:rPr>
                <w:rFonts w:ascii="Palatino Linotype" w:eastAsia="SimSun" w:hAnsi="Palatino Linotype" w:cs="SimSun"/>
                <w:color w:val="000000"/>
                <w:kern w:val="0"/>
                <w:sz w:val="20"/>
                <w:szCs w:val="20"/>
                <w:lang w:val="en-GB"/>
              </w:rPr>
              <w:t>29</w:t>
            </w:r>
          </w:p>
        </w:tc>
        <w:tc>
          <w:tcPr>
            <w:tcW w:w="1240" w:type="dxa"/>
            <w:tcBorders>
              <w:top w:val="dashSmallGap" w:sz="4" w:space="0" w:color="auto"/>
              <w:left w:val="nil"/>
              <w:right w:val="nil"/>
            </w:tcBorders>
            <w:shd w:val="clear" w:color="auto" w:fill="auto"/>
            <w:noWrap/>
            <w:vAlign w:val="bottom"/>
            <w:hideMark/>
          </w:tcPr>
          <w:p w:rsidR="00EC607D" w:rsidRPr="00E95614" w:rsidRDefault="00EC607D" w:rsidP="00965DBB">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11</w:t>
            </w:r>
            <w:r w:rsidR="00B709AB" w:rsidRPr="00E95614">
              <w:rPr>
                <w:rFonts w:ascii="Palatino Linotype" w:eastAsia="SimSun" w:hAnsi="Palatino Linotype" w:cs="SimSun"/>
                <w:color w:val="000000"/>
                <w:kern w:val="0"/>
                <w:sz w:val="20"/>
                <w:szCs w:val="20"/>
                <w:lang w:val="en-GB"/>
              </w:rPr>
              <w:t>24</w:t>
            </w:r>
            <w:r w:rsidR="00965DBB" w:rsidRPr="00E95614">
              <w:rPr>
                <w:rFonts w:ascii="Palatino Linotype" w:eastAsia="SimSun" w:hAnsi="Palatino Linotype" w:cs="SimSun"/>
                <w:color w:val="000000"/>
                <w:kern w:val="0"/>
                <w:sz w:val="20"/>
                <w:szCs w:val="20"/>
                <w:lang w:val="en-GB"/>
              </w:rPr>
              <w:t>87</w:t>
            </w:r>
          </w:p>
        </w:tc>
        <w:tc>
          <w:tcPr>
            <w:tcW w:w="980" w:type="dxa"/>
            <w:tcBorders>
              <w:top w:val="dashSmallGap" w:sz="4" w:space="0" w:color="auto"/>
              <w:left w:val="nil"/>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0.55</w:t>
            </w:r>
          </w:p>
        </w:tc>
        <w:tc>
          <w:tcPr>
            <w:tcW w:w="1280" w:type="dxa"/>
            <w:tcBorders>
              <w:top w:val="dashSmallGap" w:sz="4" w:space="0" w:color="auto"/>
              <w:left w:val="nil"/>
              <w:right w:val="nil"/>
            </w:tcBorders>
            <w:shd w:val="clear" w:color="auto" w:fill="auto"/>
            <w:noWrap/>
            <w:vAlign w:val="bottom"/>
            <w:hideMark/>
          </w:tcPr>
          <w:p w:rsidR="00EC607D" w:rsidRPr="00E95614" w:rsidRDefault="00EC607D" w:rsidP="00965DBB">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43</w:t>
            </w:r>
            <w:r w:rsidR="00965DBB" w:rsidRPr="00E95614">
              <w:rPr>
                <w:rFonts w:ascii="Palatino Linotype" w:eastAsia="SimSun" w:hAnsi="Palatino Linotype" w:cs="SimSun"/>
                <w:color w:val="000000"/>
                <w:kern w:val="0"/>
                <w:sz w:val="20"/>
                <w:szCs w:val="20"/>
                <w:lang w:val="en-GB"/>
              </w:rPr>
              <w:t>190</w:t>
            </w:r>
          </w:p>
        </w:tc>
        <w:tc>
          <w:tcPr>
            <w:tcW w:w="1300" w:type="dxa"/>
            <w:tcBorders>
              <w:top w:val="dashSmallGap" w:sz="4" w:space="0" w:color="auto"/>
              <w:left w:val="nil"/>
              <w:right w:val="nil"/>
            </w:tcBorders>
            <w:shd w:val="clear" w:color="auto" w:fill="auto"/>
            <w:noWrap/>
            <w:vAlign w:val="bottom"/>
            <w:hideMark/>
          </w:tcPr>
          <w:p w:rsidR="00EC607D" w:rsidRPr="00E95614" w:rsidRDefault="00EC607D" w:rsidP="00B709AB">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5</w:t>
            </w:r>
            <w:r w:rsidR="00B709AB" w:rsidRPr="00E95614">
              <w:rPr>
                <w:rFonts w:ascii="Palatino Linotype" w:eastAsia="SimSun" w:hAnsi="Palatino Linotype" w:cs="SimSun"/>
                <w:color w:val="000000"/>
                <w:kern w:val="0"/>
                <w:sz w:val="20"/>
                <w:szCs w:val="20"/>
                <w:lang w:val="en-GB"/>
              </w:rPr>
              <w:t>1.3</w:t>
            </w:r>
          </w:p>
        </w:tc>
        <w:tc>
          <w:tcPr>
            <w:tcW w:w="1420" w:type="dxa"/>
            <w:tcBorders>
              <w:top w:val="dashSmallGap" w:sz="4" w:space="0" w:color="auto"/>
              <w:left w:val="nil"/>
              <w:right w:val="nil"/>
            </w:tcBorders>
            <w:shd w:val="clear" w:color="auto" w:fill="auto"/>
            <w:noWrap/>
            <w:vAlign w:val="bottom"/>
            <w:hideMark/>
          </w:tcPr>
          <w:p w:rsidR="00EC607D" w:rsidRPr="00E95614" w:rsidRDefault="00EC607D" w:rsidP="00B709AB">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3</w:t>
            </w:r>
            <w:r w:rsidR="00B709AB" w:rsidRPr="00E95614">
              <w:rPr>
                <w:rFonts w:ascii="Palatino Linotype" w:eastAsia="SimSun" w:hAnsi="Palatino Linotype" w:cs="SimSun"/>
                <w:color w:val="000000"/>
                <w:kern w:val="0"/>
                <w:sz w:val="20"/>
                <w:szCs w:val="20"/>
                <w:lang w:val="en-GB"/>
              </w:rPr>
              <w:t>6.6</w:t>
            </w:r>
          </w:p>
        </w:tc>
      </w:tr>
      <w:tr w:rsidR="00EC607D" w:rsidRPr="00E95614" w:rsidTr="00B247AD">
        <w:trPr>
          <w:trHeight w:val="300"/>
        </w:trPr>
        <w:tc>
          <w:tcPr>
            <w:tcW w:w="1120" w:type="dxa"/>
            <w:tcBorders>
              <w:top w:val="nil"/>
              <w:left w:val="nil"/>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Low-rise in suburb</w:t>
            </w:r>
          </w:p>
        </w:tc>
        <w:tc>
          <w:tcPr>
            <w:tcW w:w="990" w:type="dxa"/>
            <w:tcBorders>
              <w:top w:val="nil"/>
              <w:left w:val="nil"/>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320</w:t>
            </w:r>
          </w:p>
        </w:tc>
        <w:tc>
          <w:tcPr>
            <w:tcW w:w="1240" w:type="dxa"/>
            <w:tcBorders>
              <w:top w:val="nil"/>
              <w:left w:val="nil"/>
              <w:right w:val="nil"/>
            </w:tcBorders>
            <w:shd w:val="clear" w:color="auto" w:fill="auto"/>
            <w:noWrap/>
            <w:vAlign w:val="bottom"/>
            <w:hideMark/>
          </w:tcPr>
          <w:p w:rsidR="00EC607D" w:rsidRPr="00E95614" w:rsidRDefault="00EC607D" w:rsidP="00D23941">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69</w:t>
            </w:r>
            <w:r w:rsidR="00D23941" w:rsidRPr="00E95614">
              <w:rPr>
                <w:rFonts w:ascii="Palatino Linotype" w:eastAsia="SimSun" w:hAnsi="Palatino Linotype" w:cs="SimSun"/>
                <w:color w:val="000000"/>
                <w:kern w:val="0"/>
                <w:sz w:val="20"/>
                <w:szCs w:val="20"/>
                <w:lang w:val="en-GB"/>
              </w:rPr>
              <w:t>844</w:t>
            </w:r>
          </w:p>
        </w:tc>
        <w:tc>
          <w:tcPr>
            <w:tcW w:w="980" w:type="dxa"/>
            <w:tcBorders>
              <w:top w:val="nil"/>
              <w:left w:val="nil"/>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1.24</w:t>
            </w:r>
          </w:p>
        </w:tc>
        <w:tc>
          <w:tcPr>
            <w:tcW w:w="1280" w:type="dxa"/>
            <w:tcBorders>
              <w:top w:val="nil"/>
              <w:left w:val="nil"/>
              <w:right w:val="nil"/>
            </w:tcBorders>
            <w:shd w:val="clear" w:color="auto" w:fill="auto"/>
            <w:noWrap/>
            <w:vAlign w:val="bottom"/>
            <w:hideMark/>
          </w:tcPr>
          <w:p w:rsidR="00EC607D" w:rsidRPr="00E95614" w:rsidRDefault="00EC607D" w:rsidP="00D23941">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7</w:t>
            </w:r>
            <w:r w:rsidR="00D23941" w:rsidRPr="00E95614">
              <w:rPr>
                <w:rFonts w:ascii="Palatino Linotype" w:eastAsia="SimSun" w:hAnsi="Palatino Linotype" w:cs="SimSun"/>
                <w:color w:val="000000"/>
                <w:kern w:val="0"/>
                <w:sz w:val="20"/>
                <w:szCs w:val="20"/>
                <w:lang w:val="en-GB"/>
              </w:rPr>
              <w:t>5810</w:t>
            </w:r>
          </w:p>
        </w:tc>
        <w:tc>
          <w:tcPr>
            <w:tcW w:w="1300" w:type="dxa"/>
            <w:tcBorders>
              <w:top w:val="nil"/>
              <w:left w:val="nil"/>
              <w:right w:val="nil"/>
            </w:tcBorders>
            <w:shd w:val="clear" w:color="auto" w:fill="auto"/>
            <w:noWrap/>
            <w:vAlign w:val="bottom"/>
            <w:hideMark/>
          </w:tcPr>
          <w:p w:rsidR="00EC607D" w:rsidRPr="00E95614" w:rsidRDefault="00EC607D" w:rsidP="00D23941">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4</w:t>
            </w:r>
            <w:r w:rsidR="00D23941" w:rsidRPr="00E95614">
              <w:rPr>
                <w:rFonts w:ascii="Palatino Linotype" w:eastAsia="SimSun" w:hAnsi="Palatino Linotype" w:cs="SimSun"/>
                <w:color w:val="000000"/>
                <w:kern w:val="0"/>
                <w:sz w:val="20"/>
                <w:szCs w:val="20"/>
                <w:lang w:val="en-GB"/>
              </w:rPr>
              <w:t>5.2</w:t>
            </w:r>
          </w:p>
        </w:tc>
        <w:tc>
          <w:tcPr>
            <w:tcW w:w="1420" w:type="dxa"/>
            <w:tcBorders>
              <w:top w:val="nil"/>
              <w:left w:val="nil"/>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30.1</w:t>
            </w:r>
          </w:p>
        </w:tc>
      </w:tr>
      <w:tr w:rsidR="00EC607D" w:rsidRPr="00E95614" w:rsidTr="00B247AD">
        <w:trPr>
          <w:trHeight w:val="300"/>
        </w:trPr>
        <w:tc>
          <w:tcPr>
            <w:tcW w:w="1120" w:type="dxa"/>
            <w:tcBorders>
              <w:top w:val="nil"/>
              <w:left w:val="nil"/>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High-rise in suburb</w:t>
            </w:r>
          </w:p>
        </w:tc>
        <w:tc>
          <w:tcPr>
            <w:tcW w:w="990" w:type="dxa"/>
            <w:tcBorders>
              <w:top w:val="nil"/>
              <w:left w:val="nil"/>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279</w:t>
            </w:r>
          </w:p>
        </w:tc>
        <w:tc>
          <w:tcPr>
            <w:tcW w:w="1240" w:type="dxa"/>
            <w:tcBorders>
              <w:top w:val="nil"/>
              <w:left w:val="nil"/>
              <w:right w:val="nil"/>
            </w:tcBorders>
            <w:shd w:val="clear" w:color="auto" w:fill="auto"/>
            <w:noWrap/>
            <w:vAlign w:val="bottom"/>
            <w:hideMark/>
          </w:tcPr>
          <w:p w:rsidR="00EC607D" w:rsidRPr="00E95614" w:rsidRDefault="00EC607D" w:rsidP="00D23941">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45</w:t>
            </w:r>
            <w:r w:rsidR="00D23941" w:rsidRPr="00E95614">
              <w:rPr>
                <w:rFonts w:ascii="Palatino Linotype" w:eastAsia="SimSun" w:hAnsi="Palatino Linotype" w:cs="SimSun"/>
                <w:color w:val="000000"/>
                <w:kern w:val="0"/>
                <w:sz w:val="20"/>
                <w:szCs w:val="20"/>
                <w:lang w:val="en-GB"/>
              </w:rPr>
              <w:t>586</w:t>
            </w:r>
          </w:p>
        </w:tc>
        <w:tc>
          <w:tcPr>
            <w:tcW w:w="980" w:type="dxa"/>
            <w:tcBorders>
              <w:top w:val="nil"/>
              <w:left w:val="nil"/>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2.02</w:t>
            </w:r>
          </w:p>
        </w:tc>
        <w:tc>
          <w:tcPr>
            <w:tcW w:w="1280" w:type="dxa"/>
            <w:tcBorders>
              <w:top w:val="nil"/>
              <w:left w:val="nil"/>
              <w:right w:val="nil"/>
            </w:tcBorders>
            <w:shd w:val="clear" w:color="auto" w:fill="auto"/>
            <w:noWrap/>
            <w:vAlign w:val="bottom"/>
            <w:hideMark/>
          </w:tcPr>
          <w:p w:rsidR="00EC607D" w:rsidRPr="00E95614" w:rsidRDefault="00EC607D" w:rsidP="00D23941">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7</w:t>
            </w:r>
            <w:r w:rsidR="00D23941" w:rsidRPr="00E95614">
              <w:rPr>
                <w:rFonts w:ascii="Palatino Linotype" w:eastAsia="SimSun" w:hAnsi="Palatino Linotype" w:cs="SimSun"/>
                <w:color w:val="000000"/>
                <w:kern w:val="0"/>
                <w:sz w:val="20"/>
                <w:szCs w:val="20"/>
                <w:lang w:val="en-GB"/>
              </w:rPr>
              <w:t>3764</w:t>
            </w:r>
          </w:p>
        </w:tc>
        <w:tc>
          <w:tcPr>
            <w:tcW w:w="1300" w:type="dxa"/>
            <w:tcBorders>
              <w:top w:val="nil"/>
              <w:left w:val="nil"/>
              <w:right w:val="nil"/>
            </w:tcBorders>
            <w:shd w:val="clear" w:color="auto" w:fill="auto"/>
            <w:noWrap/>
            <w:vAlign w:val="bottom"/>
            <w:hideMark/>
          </w:tcPr>
          <w:p w:rsidR="00EC607D" w:rsidRPr="00E95614" w:rsidRDefault="00EC607D" w:rsidP="00D23941">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43.</w:t>
            </w:r>
            <w:r w:rsidR="00D23941" w:rsidRPr="00E95614">
              <w:rPr>
                <w:rFonts w:ascii="Palatino Linotype" w:eastAsia="SimSun" w:hAnsi="Palatino Linotype" w:cs="SimSun"/>
                <w:color w:val="000000"/>
                <w:kern w:val="0"/>
                <w:sz w:val="20"/>
                <w:szCs w:val="20"/>
                <w:lang w:val="en-GB"/>
              </w:rPr>
              <w:t>7</w:t>
            </w:r>
          </w:p>
        </w:tc>
        <w:tc>
          <w:tcPr>
            <w:tcW w:w="1420" w:type="dxa"/>
            <w:tcBorders>
              <w:top w:val="nil"/>
              <w:left w:val="nil"/>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30.2</w:t>
            </w:r>
          </w:p>
        </w:tc>
      </w:tr>
      <w:tr w:rsidR="00EC607D" w:rsidRPr="00E95614" w:rsidTr="00B247AD">
        <w:trPr>
          <w:trHeight w:val="300"/>
        </w:trPr>
        <w:tc>
          <w:tcPr>
            <w:tcW w:w="1120" w:type="dxa"/>
            <w:tcBorders>
              <w:top w:val="nil"/>
              <w:left w:val="nil"/>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House in centre</w:t>
            </w:r>
          </w:p>
        </w:tc>
        <w:tc>
          <w:tcPr>
            <w:tcW w:w="990" w:type="dxa"/>
            <w:tcBorders>
              <w:top w:val="nil"/>
              <w:left w:val="nil"/>
              <w:right w:val="nil"/>
            </w:tcBorders>
            <w:shd w:val="clear" w:color="auto" w:fill="auto"/>
            <w:noWrap/>
            <w:vAlign w:val="bottom"/>
            <w:hideMark/>
          </w:tcPr>
          <w:p w:rsidR="00EC607D" w:rsidRPr="00E95614" w:rsidRDefault="002C4908" w:rsidP="00EC607D">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2</w:t>
            </w:r>
          </w:p>
        </w:tc>
        <w:tc>
          <w:tcPr>
            <w:tcW w:w="1240" w:type="dxa"/>
            <w:tcBorders>
              <w:top w:val="nil"/>
              <w:left w:val="nil"/>
              <w:right w:val="nil"/>
            </w:tcBorders>
            <w:shd w:val="clear" w:color="auto" w:fill="auto"/>
            <w:noWrap/>
            <w:vAlign w:val="bottom"/>
            <w:hideMark/>
          </w:tcPr>
          <w:p w:rsidR="00EC607D" w:rsidRPr="00E95614" w:rsidRDefault="006B1DDF" w:rsidP="00EC607D">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339027</w:t>
            </w:r>
          </w:p>
        </w:tc>
        <w:tc>
          <w:tcPr>
            <w:tcW w:w="980" w:type="dxa"/>
            <w:tcBorders>
              <w:top w:val="nil"/>
              <w:left w:val="nil"/>
              <w:right w:val="nil"/>
            </w:tcBorders>
            <w:shd w:val="clear" w:color="auto" w:fill="auto"/>
            <w:noWrap/>
            <w:vAlign w:val="bottom"/>
            <w:hideMark/>
          </w:tcPr>
          <w:p w:rsidR="00EC607D" w:rsidRPr="00E95614" w:rsidRDefault="00EC607D" w:rsidP="006B1DDF">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0.</w:t>
            </w:r>
            <w:r w:rsidR="006B1DDF" w:rsidRPr="00E95614">
              <w:rPr>
                <w:rFonts w:ascii="Palatino Linotype" w:eastAsia="SimSun" w:hAnsi="Palatino Linotype" w:cs="SimSun"/>
                <w:color w:val="000000"/>
                <w:kern w:val="0"/>
                <w:sz w:val="20"/>
                <w:szCs w:val="20"/>
                <w:lang w:val="en-GB"/>
              </w:rPr>
              <w:t>26</w:t>
            </w:r>
          </w:p>
        </w:tc>
        <w:tc>
          <w:tcPr>
            <w:tcW w:w="1280" w:type="dxa"/>
            <w:tcBorders>
              <w:top w:val="nil"/>
              <w:left w:val="nil"/>
              <w:right w:val="nil"/>
            </w:tcBorders>
            <w:shd w:val="clear" w:color="auto" w:fill="auto"/>
            <w:noWrap/>
            <w:vAlign w:val="bottom"/>
            <w:hideMark/>
          </w:tcPr>
          <w:p w:rsidR="00EC607D" w:rsidRPr="00E95614" w:rsidRDefault="00EC607D" w:rsidP="006B1DDF">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1</w:t>
            </w:r>
            <w:r w:rsidR="006B1DDF" w:rsidRPr="00E95614">
              <w:rPr>
                <w:rFonts w:ascii="Palatino Linotype" w:eastAsia="SimSun" w:hAnsi="Palatino Linotype" w:cs="SimSun"/>
                <w:color w:val="000000"/>
                <w:kern w:val="0"/>
                <w:sz w:val="20"/>
                <w:szCs w:val="20"/>
                <w:lang w:val="en-GB"/>
              </w:rPr>
              <w:t>1908</w:t>
            </w:r>
            <w:r w:rsidRPr="00E95614">
              <w:rPr>
                <w:rFonts w:ascii="Palatino Linotype" w:eastAsia="SimSun" w:hAnsi="Palatino Linotype" w:cs="SimSun"/>
                <w:color w:val="000000"/>
                <w:kern w:val="0"/>
                <w:sz w:val="20"/>
                <w:szCs w:val="20"/>
                <w:lang w:val="en-GB"/>
              </w:rPr>
              <w:t>7</w:t>
            </w:r>
          </w:p>
        </w:tc>
        <w:tc>
          <w:tcPr>
            <w:tcW w:w="1300" w:type="dxa"/>
            <w:tcBorders>
              <w:top w:val="nil"/>
              <w:left w:val="nil"/>
              <w:right w:val="nil"/>
            </w:tcBorders>
            <w:shd w:val="clear" w:color="auto" w:fill="auto"/>
            <w:noWrap/>
            <w:vAlign w:val="bottom"/>
            <w:hideMark/>
          </w:tcPr>
          <w:p w:rsidR="00EC607D" w:rsidRPr="00E95614" w:rsidRDefault="00EC607D" w:rsidP="006B1DDF">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1</w:t>
            </w:r>
            <w:r w:rsidR="006B1DDF" w:rsidRPr="00E95614">
              <w:rPr>
                <w:rFonts w:ascii="Palatino Linotype" w:eastAsia="SimSun" w:hAnsi="Palatino Linotype" w:cs="SimSun"/>
                <w:color w:val="000000"/>
                <w:kern w:val="0"/>
                <w:sz w:val="20"/>
                <w:szCs w:val="20"/>
                <w:lang w:val="en-GB"/>
              </w:rPr>
              <w:t>72.5</w:t>
            </w:r>
          </w:p>
        </w:tc>
        <w:tc>
          <w:tcPr>
            <w:tcW w:w="1420" w:type="dxa"/>
            <w:tcBorders>
              <w:top w:val="nil"/>
              <w:left w:val="nil"/>
              <w:right w:val="nil"/>
            </w:tcBorders>
            <w:shd w:val="clear" w:color="auto" w:fill="auto"/>
            <w:noWrap/>
            <w:vAlign w:val="bottom"/>
            <w:hideMark/>
          </w:tcPr>
          <w:p w:rsidR="00EC607D" w:rsidRPr="00E95614" w:rsidRDefault="00EC607D" w:rsidP="006B1DDF">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1</w:t>
            </w:r>
            <w:r w:rsidR="006B1DDF" w:rsidRPr="00E95614">
              <w:rPr>
                <w:rFonts w:ascii="Palatino Linotype" w:eastAsia="SimSun" w:hAnsi="Palatino Linotype" w:cs="SimSun"/>
                <w:color w:val="000000"/>
                <w:kern w:val="0"/>
                <w:sz w:val="20"/>
                <w:szCs w:val="20"/>
                <w:lang w:val="en-GB"/>
              </w:rPr>
              <w:t>27.5</w:t>
            </w:r>
          </w:p>
        </w:tc>
      </w:tr>
      <w:tr w:rsidR="00EC607D" w:rsidRPr="00E95614" w:rsidTr="00B247AD">
        <w:trPr>
          <w:trHeight w:val="300"/>
        </w:trPr>
        <w:tc>
          <w:tcPr>
            <w:tcW w:w="1120" w:type="dxa"/>
            <w:tcBorders>
              <w:top w:val="nil"/>
              <w:left w:val="nil"/>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Low-rise in centre</w:t>
            </w:r>
          </w:p>
        </w:tc>
        <w:tc>
          <w:tcPr>
            <w:tcW w:w="990" w:type="dxa"/>
            <w:tcBorders>
              <w:top w:val="nil"/>
              <w:left w:val="nil"/>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6</w:t>
            </w:r>
          </w:p>
        </w:tc>
        <w:tc>
          <w:tcPr>
            <w:tcW w:w="1240" w:type="dxa"/>
            <w:tcBorders>
              <w:top w:val="nil"/>
              <w:left w:val="nil"/>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14493</w:t>
            </w:r>
          </w:p>
        </w:tc>
        <w:tc>
          <w:tcPr>
            <w:tcW w:w="980" w:type="dxa"/>
            <w:tcBorders>
              <w:top w:val="nil"/>
              <w:left w:val="nil"/>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1.23</w:t>
            </w:r>
          </w:p>
        </w:tc>
        <w:tc>
          <w:tcPr>
            <w:tcW w:w="1280" w:type="dxa"/>
            <w:tcBorders>
              <w:top w:val="nil"/>
              <w:left w:val="nil"/>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15593</w:t>
            </w:r>
          </w:p>
        </w:tc>
        <w:tc>
          <w:tcPr>
            <w:tcW w:w="1300" w:type="dxa"/>
            <w:tcBorders>
              <w:top w:val="nil"/>
              <w:left w:val="nil"/>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21.3</w:t>
            </w:r>
          </w:p>
        </w:tc>
        <w:tc>
          <w:tcPr>
            <w:tcW w:w="1420" w:type="dxa"/>
            <w:tcBorders>
              <w:top w:val="nil"/>
              <w:left w:val="nil"/>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18.8</w:t>
            </w:r>
          </w:p>
        </w:tc>
      </w:tr>
      <w:tr w:rsidR="00EC607D" w:rsidRPr="00E95614" w:rsidTr="00B247AD">
        <w:trPr>
          <w:trHeight w:val="300"/>
        </w:trPr>
        <w:tc>
          <w:tcPr>
            <w:tcW w:w="1120" w:type="dxa"/>
            <w:tcBorders>
              <w:top w:val="nil"/>
              <w:left w:val="nil"/>
              <w:bottom w:val="single" w:sz="4" w:space="0" w:color="auto"/>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b/>
                <w:bCs/>
                <w:color w:val="000000"/>
                <w:kern w:val="0"/>
                <w:sz w:val="20"/>
                <w:szCs w:val="20"/>
              </w:rPr>
            </w:pPr>
            <w:r w:rsidRPr="00E95614">
              <w:rPr>
                <w:rFonts w:ascii="Palatino Linotype" w:eastAsia="SimSun" w:hAnsi="Palatino Linotype" w:cs="SimSun"/>
                <w:b/>
                <w:bCs/>
                <w:color w:val="000000"/>
                <w:kern w:val="0"/>
                <w:sz w:val="20"/>
                <w:szCs w:val="20"/>
              </w:rPr>
              <w:t>High-rise in centre</w:t>
            </w:r>
          </w:p>
        </w:tc>
        <w:tc>
          <w:tcPr>
            <w:tcW w:w="990" w:type="dxa"/>
            <w:tcBorders>
              <w:top w:val="nil"/>
              <w:left w:val="nil"/>
              <w:bottom w:val="single" w:sz="4" w:space="0" w:color="auto"/>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97</w:t>
            </w:r>
          </w:p>
        </w:tc>
        <w:tc>
          <w:tcPr>
            <w:tcW w:w="1240" w:type="dxa"/>
            <w:tcBorders>
              <w:top w:val="nil"/>
              <w:left w:val="nil"/>
              <w:bottom w:val="single" w:sz="4" w:space="0" w:color="auto"/>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22951</w:t>
            </w:r>
          </w:p>
        </w:tc>
        <w:tc>
          <w:tcPr>
            <w:tcW w:w="980" w:type="dxa"/>
            <w:tcBorders>
              <w:top w:val="nil"/>
              <w:left w:val="nil"/>
              <w:bottom w:val="single" w:sz="4" w:space="0" w:color="auto"/>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3.04</w:t>
            </w:r>
          </w:p>
        </w:tc>
        <w:tc>
          <w:tcPr>
            <w:tcW w:w="1280" w:type="dxa"/>
            <w:tcBorders>
              <w:top w:val="nil"/>
              <w:left w:val="nil"/>
              <w:bottom w:val="single" w:sz="4" w:space="0" w:color="auto"/>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55431</w:t>
            </w:r>
          </w:p>
        </w:tc>
        <w:tc>
          <w:tcPr>
            <w:tcW w:w="1300" w:type="dxa"/>
            <w:tcBorders>
              <w:top w:val="nil"/>
              <w:left w:val="nil"/>
              <w:bottom w:val="single" w:sz="4" w:space="0" w:color="auto"/>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60.9</w:t>
            </w:r>
          </w:p>
        </w:tc>
        <w:tc>
          <w:tcPr>
            <w:tcW w:w="1420" w:type="dxa"/>
            <w:tcBorders>
              <w:top w:val="nil"/>
              <w:left w:val="nil"/>
              <w:bottom w:val="single" w:sz="4" w:space="0" w:color="auto"/>
              <w:right w:val="nil"/>
            </w:tcBorders>
            <w:shd w:val="clear" w:color="auto" w:fill="auto"/>
            <w:noWrap/>
            <w:vAlign w:val="bottom"/>
            <w:hideMark/>
          </w:tcPr>
          <w:p w:rsidR="00EC607D" w:rsidRPr="00E95614" w:rsidRDefault="00EC607D" w:rsidP="00EC607D">
            <w:pPr>
              <w:widowControl/>
              <w:jc w:val="center"/>
              <w:rPr>
                <w:rFonts w:ascii="Palatino Linotype" w:eastAsia="SimSun" w:hAnsi="Palatino Linotype" w:cs="SimSun"/>
                <w:color w:val="000000"/>
                <w:kern w:val="0"/>
                <w:sz w:val="20"/>
                <w:szCs w:val="20"/>
                <w:lang w:val="en-GB"/>
              </w:rPr>
            </w:pPr>
            <w:r w:rsidRPr="00E95614">
              <w:rPr>
                <w:rFonts w:ascii="Palatino Linotype" w:eastAsia="SimSun" w:hAnsi="Palatino Linotype" w:cs="SimSun"/>
                <w:color w:val="000000"/>
                <w:kern w:val="0"/>
                <w:sz w:val="20"/>
                <w:szCs w:val="20"/>
                <w:lang w:val="en-GB"/>
              </w:rPr>
              <w:t>46.3</w:t>
            </w:r>
          </w:p>
        </w:tc>
      </w:tr>
    </w:tbl>
    <w:p w:rsidR="00382ADF" w:rsidRPr="00E95614" w:rsidRDefault="00382ADF" w:rsidP="006D0DA9">
      <w:pPr>
        <w:spacing w:after="200" w:line="276" w:lineRule="auto"/>
        <w:jc w:val="left"/>
        <w:rPr>
          <w:rFonts w:ascii="Palatino Linotype" w:eastAsia="Times New Roman" w:hAnsi="Palatino Linotype" w:cs="Times New Roman"/>
          <w:sz w:val="20"/>
          <w:szCs w:val="20"/>
          <w:lang w:val="en-GB"/>
        </w:rPr>
      </w:pPr>
    </w:p>
    <w:p w:rsidR="00D22B42" w:rsidRDefault="00D22B42">
      <w:pPr>
        <w:spacing w:before="100" w:after="100" w:line="336" w:lineRule="auto"/>
        <w:jc w:val="left"/>
        <w:rPr>
          <w:rFonts w:ascii="Times New Roman" w:eastAsia="Times New Roman" w:hAnsi="Times New Roman" w:cs="Times New Roman"/>
          <w:b/>
          <w:sz w:val="24"/>
        </w:rPr>
      </w:pPr>
    </w:p>
    <w:p w:rsidR="00382ADF" w:rsidRPr="00A83AC7" w:rsidRDefault="00382ADF">
      <w:pPr>
        <w:spacing w:after="200" w:line="276" w:lineRule="auto"/>
        <w:jc w:val="left"/>
        <w:rPr>
          <w:rFonts w:ascii="Times New Roman" w:eastAsia="Times New Roman" w:hAnsi="Times New Roman" w:cs="Times New Roman"/>
          <w:sz w:val="24"/>
          <w:lang w:val="en-GB"/>
        </w:rPr>
      </w:pPr>
    </w:p>
    <w:sectPr w:rsidR="00382ADF" w:rsidRPr="00A83AC7" w:rsidSect="005B23A6">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B02" w:rsidRDefault="00CD6B02" w:rsidP="009063CD">
      <w:r>
        <w:separator/>
      </w:r>
    </w:p>
  </w:endnote>
  <w:endnote w:type="continuationSeparator" w:id="0">
    <w:p w:rsidR="00CD6B02" w:rsidRDefault="00CD6B02" w:rsidP="0090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8994"/>
      <w:docPartObj>
        <w:docPartGallery w:val="Page Numbers (Bottom of Page)"/>
        <w:docPartUnique/>
      </w:docPartObj>
    </w:sdtPr>
    <w:sdtEndPr/>
    <w:sdtContent>
      <w:p w:rsidR="00803973" w:rsidRDefault="00803973">
        <w:pPr>
          <w:pStyle w:val="Footer"/>
          <w:jc w:val="center"/>
        </w:pPr>
        <w:r>
          <w:fldChar w:fldCharType="begin"/>
        </w:r>
        <w:r>
          <w:instrText xml:space="preserve"> PAGE   \* MERGEFORMAT </w:instrText>
        </w:r>
        <w:r>
          <w:fldChar w:fldCharType="separate"/>
        </w:r>
        <w:r w:rsidR="009E45FA" w:rsidRPr="009E45FA">
          <w:rPr>
            <w:noProof/>
            <w:lang w:val="zh-CN"/>
          </w:rPr>
          <w:t>1</w:t>
        </w:r>
        <w:r>
          <w:rPr>
            <w:noProof/>
            <w:lang w:val="zh-CN"/>
          </w:rPr>
          <w:fldChar w:fldCharType="end"/>
        </w:r>
      </w:p>
    </w:sdtContent>
  </w:sdt>
  <w:p w:rsidR="00803973" w:rsidRDefault="008039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B02" w:rsidRDefault="00CD6B02" w:rsidP="009063CD">
      <w:r>
        <w:separator/>
      </w:r>
    </w:p>
  </w:footnote>
  <w:footnote w:type="continuationSeparator" w:id="0">
    <w:p w:rsidR="00CD6B02" w:rsidRDefault="00CD6B02" w:rsidP="009063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EC0"/>
    <w:multiLevelType w:val="multilevel"/>
    <w:tmpl w:val="ADA887CC"/>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E43168"/>
    <w:multiLevelType w:val="multilevel"/>
    <w:tmpl w:val="5B1E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674957"/>
    <w:multiLevelType w:val="multilevel"/>
    <w:tmpl w:val="ADA887CC"/>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4FB2576"/>
    <w:multiLevelType w:val="hybridMultilevel"/>
    <w:tmpl w:val="B9AEE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en-GB" w:vendorID="64" w:dllVersion="131078" w:nlCheck="1" w:checkStyle="1"/>
  <w:activeWritingStyle w:appName="MSWord" w:lang="zh-CN" w:vendorID="64" w:dllVersion="131077" w:nlCheck="1" w:checkStyle="1"/>
  <w:defaultTabStop w:val="4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DF"/>
    <w:rsid w:val="00000395"/>
    <w:rsid w:val="00001950"/>
    <w:rsid w:val="00003120"/>
    <w:rsid w:val="00003D47"/>
    <w:rsid w:val="000044A5"/>
    <w:rsid w:val="0000642C"/>
    <w:rsid w:val="0000711A"/>
    <w:rsid w:val="000163E7"/>
    <w:rsid w:val="00016A76"/>
    <w:rsid w:val="00016B32"/>
    <w:rsid w:val="000203D0"/>
    <w:rsid w:val="000222B8"/>
    <w:rsid w:val="00024113"/>
    <w:rsid w:val="00025BD8"/>
    <w:rsid w:val="0002669F"/>
    <w:rsid w:val="00031222"/>
    <w:rsid w:val="00031320"/>
    <w:rsid w:val="00033F10"/>
    <w:rsid w:val="00037B4A"/>
    <w:rsid w:val="00040D86"/>
    <w:rsid w:val="00046712"/>
    <w:rsid w:val="00051720"/>
    <w:rsid w:val="00051FF2"/>
    <w:rsid w:val="000524E6"/>
    <w:rsid w:val="000540E6"/>
    <w:rsid w:val="000566BC"/>
    <w:rsid w:val="00060121"/>
    <w:rsid w:val="00063098"/>
    <w:rsid w:val="000647D7"/>
    <w:rsid w:val="00066181"/>
    <w:rsid w:val="000668DC"/>
    <w:rsid w:val="00070168"/>
    <w:rsid w:val="00070A90"/>
    <w:rsid w:val="00073561"/>
    <w:rsid w:val="00073F0E"/>
    <w:rsid w:val="00077014"/>
    <w:rsid w:val="00077F43"/>
    <w:rsid w:val="000807CF"/>
    <w:rsid w:val="00082C47"/>
    <w:rsid w:val="0008435B"/>
    <w:rsid w:val="000858E3"/>
    <w:rsid w:val="00085B7E"/>
    <w:rsid w:val="00086D58"/>
    <w:rsid w:val="0009293A"/>
    <w:rsid w:val="00097ABE"/>
    <w:rsid w:val="000A090F"/>
    <w:rsid w:val="000A157D"/>
    <w:rsid w:val="000A1879"/>
    <w:rsid w:val="000A4ACB"/>
    <w:rsid w:val="000A54B9"/>
    <w:rsid w:val="000A60B1"/>
    <w:rsid w:val="000A7EC9"/>
    <w:rsid w:val="000B0987"/>
    <w:rsid w:val="000B0CC8"/>
    <w:rsid w:val="000B218D"/>
    <w:rsid w:val="000B2A3F"/>
    <w:rsid w:val="000B3E5F"/>
    <w:rsid w:val="000B4E87"/>
    <w:rsid w:val="000B5F3E"/>
    <w:rsid w:val="000B69CE"/>
    <w:rsid w:val="000C1884"/>
    <w:rsid w:val="000C1CBA"/>
    <w:rsid w:val="000C266E"/>
    <w:rsid w:val="000C3931"/>
    <w:rsid w:val="000D1545"/>
    <w:rsid w:val="000D21C0"/>
    <w:rsid w:val="000D35A8"/>
    <w:rsid w:val="000D415B"/>
    <w:rsid w:val="000D4699"/>
    <w:rsid w:val="000D508A"/>
    <w:rsid w:val="000D58FF"/>
    <w:rsid w:val="000D64E1"/>
    <w:rsid w:val="000E066B"/>
    <w:rsid w:val="000E3473"/>
    <w:rsid w:val="000E408D"/>
    <w:rsid w:val="000F0ACC"/>
    <w:rsid w:val="000F0C68"/>
    <w:rsid w:val="000F38D6"/>
    <w:rsid w:val="000F5C2A"/>
    <w:rsid w:val="000F7722"/>
    <w:rsid w:val="0010046E"/>
    <w:rsid w:val="001035DF"/>
    <w:rsid w:val="0010398B"/>
    <w:rsid w:val="00107553"/>
    <w:rsid w:val="0011263A"/>
    <w:rsid w:val="00112B35"/>
    <w:rsid w:val="00113ADB"/>
    <w:rsid w:val="0011442A"/>
    <w:rsid w:val="00115F4C"/>
    <w:rsid w:val="0012061C"/>
    <w:rsid w:val="001230A7"/>
    <w:rsid w:val="00124275"/>
    <w:rsid w:val="00126AE9"/>
    <w:rsid w:val="00130328"/>
    <w:rsid w:val="00132580"/>
    <w:rsid w:val="00132586"/>
    <w:rsid w:val="0013487A"/>
    <w:rsid w:val="001372F4"/>
    <w:rsid w:val="00137C9E"/>
    <w:rsid w:val="0014439A"/>
    <w:rsid w:val="001446B1"/>
    <w:rsid w:val="00144E9C"/>
    <w:rsid w:val="001457F2"/>
    <w:rsid w:val="0014748A"/>
    <w:rsid w:val="00147673"/>
    <w:rsid w:val="001538CB"/>
    <w:rsid w:val="00160018"/>
    <w:rsid w:val="0016180D"/>
    <w:rsid w:val="00163885"/>
    <w:rsid w:val="00164C49"/>
    <w:rsid w:val="001733C0"/>
    <w:rsid w:val="00175474"/>
    <w:rsid w:val="0017684B"/>
    <w:rsid w:val="00176D97"/>
    <w:rsid w:val="00181DAA"/>
    <w:rsid w:val="0018230C"/>
    <w:rsid w:val="001833C1"/>
    <w:rsid w:val="001875B2"/>
    <w:rsid w:val="00187E4D"/>
    <w:rsid w:val="00190BAF"/>
    <w:rsid w:val="00192F90"/>
    <w:rsid w:val="00194F10"/>
    <w:rsid w:val="001969FC"/>
    <w:rsid w:val="0019726E"/>
    <w:rsid w:val="001A2D23"/>
    <w:rsid w:val="001A405C"/>
    <w:rsid w:val="001A4476"/>
    <w:rsid w:val="001A4D9A"/>
    <w:rsid w:val="001A4E21"/>
    <w:rsid w:val="001A50E0"/>
    <w:rsid w:val="001A7B25"/>
    <w:rsid w:val="001B091C"/>
    <w:rsid w:val="001B289E"/>
    <w:rsid w:val="001B2F56"/>
    <w:rsid w:val="001B42FB"/>
    <w:rsid w:val="001B4B3E"/>
    <w:rsid w:val="001C4057"/>
    <w:rsid w:val="001C767E"/>
    <w:rsid w:val="001D073B"/>
    <w:rsid w:val="001D0C74"/>
    <w:rsid w:val="001D26A9"/>
    <w:rsid w:val="001D46F7"/>
    <w:rsid w:val="001D4802"/>
    <w:rsid w:val="001D4E89"/>
    <w:rsid w:val="001E2BD7"/>
    <w:rsid w:val="001E3A7B"/>
    <w:rsid w:val="001E3DCF"/>
    <w:rsid w:val="001E401D"/>
    <w:rsid w:val="001E4648"/>
    <w:rsid w:val="001E4DB5"/>
    <w:rsid w:val="001F2197"/>
    <w:rsid w:val="001F3720"/>
    <w:rsid w:val="001F48E1"/>
    <w:rsid w:val="001F5673"/>
    <w:rsid w:val="001F5867"/>
    <w:rsid w:val="001F5B7F"/>
    <w:rsid w:val="001F76A7"/>
    <w:rsid w:val="002001C2"/>
    <w:rsid w:val="00201748"/>
    <w:rsid w:val="00201CC6"/>
    <w:rsid w:val="0020259C"/>
    <w:rsid w:val="002046B0"/>
    <w:rsid w:val="00204CE3"/>
    <w:rsid w:val="0020779D"/>
    <w:rsid w:val="00210A96"/>
    <w:rsid w:val="00210EF4"/>
    <w:rsid w:val="002115A2"/>
    <w:rsid w:val="00211720"/>
    <w:rsid w:val="00213C47"/>
    <w:rsid w:val="00213DC6"/>
    <w:rsid w:val="00216FB2"/>
    <w:rsid w:val="00222BDD"/>
    <w:rsid w:val="002254FA"/>
    <w:rsid w:val="0022656B"/>
    <w:rsid w:val="0023274E"/>
    <w:rsid w:val="00235C1E"/>
    <w:rsid w:val="002364DE"/>
    <w:rsid w:val="002408B4"/>
    <w:rsid w:val="002410D5"/>
    <w:rsid w:val="00243149"/>
    <w:rsid w:val="00247DA1"/>
    <w:rsid w:val="00253B73"/>
    <w:rsid w:val="00255A0F"/>
    <w:rsid w:val="0026106F"/>
    <w:rsid w:val="00270A56"/>
    <w:rsid w:val="00271AAD"/>
    <w:rsid w:val="00273878"/>
    <w:rsid w:val="00274360"/>
    <w:rsid w:val="00274749"/>
    <w:rsid w:val="00274D8C"/>
    <w:rsid w:val="00277D70"/>
    <w:rsid w:val="00280970"/>
    <w:rsid w:val="00282804"/>
    <w:rsid w:val="00282B10"/>
    <w:rsid w:val="00284307"/>
    <w:rsid w:val="00287221"/>
    <w:rsid w:val="00287C57"/>
    <w:rsid w:val="00290EC5"/>
    <w:rsid w:val="002943B8"/>
    <w:rsid w:val="00294A56"/>
    <w:rsid w:val="0029555A"/>
    <w:rsid w:val="002965D1"/>
    <w:rsid w:val="002A057D"/>
    <w:rsid w:val="002A0C11"/>
    <w:rsid w:val="002A1F31"/>
    <w:rsid w:val="002A5F57"/>
    <w:rsid w:val="002A70BC"/>
    <w:rsid w:val="002A7E9C"/>
    <w:rsid w:val="002B0491"/>
    <w:rsid w:val="002B4442"/>
    <w:rsid w:val="002B7A87"/>
    <w:rsid w:val="002C0219"/>
    <w:rsid w:val="002C1172"/>
    <w:rsid w:val="002C2D09"/>
    <w:rsid w:val="002C3047"/>
    <w:rsid w:val="002C318C"/>
    <w:rsid w:val="002C3A5B"/>
    <w:rsid w:val="002C460B"/>
    <w:rsid w:val="002C4908"/>
    <w:rsid w:val="002C4AF9"/>
    <w:rsid w:val="002D0AC2"/>
    <w:rsid w:val="002D0AEC"/>
    <w:rsid w:val="002D0C7F"/>
    <w:rsid w:val="002D1FF3"/>
    <w:rsid w:val="002D3C10"/>
    <w:rsid w:val="002D3CFA"/>
    <w:rsid w:val="002D502F"/>
    <w:rsid w:val="002D530B"/>
    <w:rsid w:val="002D6B3C"/>
    <w:rsid w:val="002E252A"/>
    <w:rsid w:val="002E4FA9"/>
    <w:rsid w:val="002E5B7E"/>
    <w:rsid w:val="002E5BF8"/>
    <w:rsid w:val="002E5C24"/>
    <w:rsid w:val="002F1D04"/>
    <w:rsid w:val="002F38C6"/>
    <w:rsid w:val="002F41C7"/>
    <w:rsid w:val="002F514E"/>
    <w:rsid w:val="002F5B56"/>
    <w:rsid w:val="00301230"/>
    <w:rsid w:val="00303883"/>
    <w:rsid w:val="00303C88"/>
    <w:rsid w:val="00305D63"/>
    <w:rsid w:val="00307D87"/>
    <w:rsid w:val="003127B9"/>
    <w:rsid w:val="00314144"/>
    <w:rsid w:val="003153E1"/>
    <w:rsid w:val="0031589D"/>
    <w:rsid w:val="00320898"/>
    <w:rsid w:val="00322690"/>
    <w:rsid w:val="003233A1"/>
    <w:rsid w:val="003270D9"/>
    <w:rsid w:val="00333B5D"/>
    <w:rsid w:val="00335806"/>
    <w:rsid w:val="003360B9"/>
    <w:rsid w:val="003419BE"/>
    <w:rsid w:val="0034227C"/>
    <w:rsid w:val="00343520"/>
    <w:rsid w:val="003448BA"/>
    <w:rsid w:val="003464A2"/>
    <w:rsid w:val="003475F4"/>
    <w:rsid w:val="003513B3"/>
    <w:rsid w:val="003534C4"/>
    <w:rsid w:val="0035405B"/>
    <w:rsid w:val="00354138"/>
    <w:rsid w:val="0035489D"/>
    <w:rsid w:val="0035554D"/>
    <w:rsid w:val="0035598A"/>
    <w:rsid w:val="00357D43"/>
    <w:rsid w:val="00361E87"/>
    <w:rsid w:val="0036502F"/>
    <w:rsid w:val="00365076"/>
    <w:rsid w:val="00366FCD"/>
    <w:rsid w:val="0037053D"/>
    <w:rsid w:val="00375AB4"/>
    <w:rsid w:val="003772A9"/>
    <w:rsid w:val="00382ADF"/>
    <w:rsid w:val="00382DE1"/>
    <w:rsid w:val="003858B0"/>
    <w:rsid w:val="00386855"/>
    <w:rsid w:val="0038773A"/>
    <w:rsid w:val="00393684"/>
    <w:rsid w:val="00393938"/>
    <w:rsid w:val="00396C14"/>
    <w:rsid w:val="003A3CC6"/>
    <w:rsid w:val="003A4745"/>
    <w:rsid w:val="003A53E1"/>
    <w:rsid w:val="003A56EA"/>
    <w:rsid w:val="003A5730"/>
    <w:rsid w:val="003B25F4"/>
    <w:rsid w:val="003B4394"/>
    <w:rsid w:val="003B5A6D"/>
    <w:rsid w:val="003B6204"/>
    <w:rsid w:val="003C0263"/>
    <w:rsid w:val="003C0EEA"/>
    <w:rsid w:val="003C11E7"/>
    <w:rsid w:val="003C1F88"/>
    <w:rsid w:val="003C252F"/>
    <w:rsid w:val="003C6801"/>
    <w:rsid w:val="003D22C7"/>
    <w:rsid w:val="003D2C68"/>
    <w:rsid w:val="003D489C"/>
    <w:rsid w:val="003D5602"/>
    <w:rsid w:val="003E0585"/>
    <w:rsid w:val="003E48ED"/>
    <w:rsid w:val="003F4B19"/>
    <w:rsid w:val="00400F46"/>
    <w:rsid w:val="00401C5D"/>
    <w:rsid w:val="00406BEF"/>
    <w:rsid w:val="00406DEC"/>
    <w:rsid w:val="004102A7"/>
    <w:rsid w:val="00412A8D"/>
    <w:rsid w:val="004131B3"/>
    <w:rsid w:val="0041327C"/>
    <w:rsid w:val="0041734A"/>
    <w:rsid w:val="00417439"/>
    <w:rsid w:val="00424169"/>
    <w:rsid w:val="004253C2"/>
    <w:rsid w:val="00427918"/>
    <w:rsid w:val="00433D35"/>
    <w:rsid w:val="00434333"/>
    <w:rsid w:val="00434534"/>
    <w:rsid w:val="00435B2E"/>
    <w:rsid w:val="00436B6D"/>
    <w:rsid w:val="00440D13"/>
    <w:rsid w:val="0044217F"/>
    <w:rsid w:val="00442FBE"/>
    <w:rsid w:val="004436EF"/>
    <w:rsid w:val="00444CC1"/>
    <w:rsid w:val="00444F13"/>
    <w:rsid w:val="004475BD"/>
    <w:rsid w:val="0045050A"/>
    <w:rsid w:val="004519B2"/>
    <w:rsid w:val="00451FA9"/>
    <w:rsid w:val="0045287D"/>
    <w:rsid w:val="00457BC7"/>
    <w:rsid w:val="00470F27"/>
    <w:rsid w:val="00480776"/>
    <w:rsid w:val="00480D53"/>
    <w:rsid w:val="00486FC4"/>
    <w:rsid w:val="004929CE"/>
    <w:rsid w:val="004A1638"/>
    <w:rsid w:val="004A171E"/>
    <w:rsid w:val="004A1A73"/>
    <w:rsid w:val="004A5EAD"/>
    <w:rsid w:val="004A661D"/>
    <w:rsid w:val="004A6C2F"/>
    <w:rsid w:val="004A78F3"/>
    <w:rsid w:val="004B0D2F"/>
    <w:rsid w:val="004B213A"/>
    <w:rsid w:val="004B292F"/>
    <w:rsid w:val="004B41C9"/>
    <w:rsid w:val="004B6C83"/>
    <w:rsid w:val="004C7708"/>
    <w:rsid w:val="004D1112"/>
    <w:rsid w:val="004D3035"/>
    <w:rsid w:val="004D4778"/>
    <w:rsid w:val="004D6128"/>
    <w:rsid w:val="004D6B72"/>
    <w:rsid w:val="004D6C44"/>
    <w:rsid w:val="004D77C5"/>
    <w:rsid w:val="004E0FE1"/>
    <w:rsid w:val="004E1D07"/>
    <w:rsid w:val="004E28A9"/>
    <w:rsid w:val="004F1B7E"/>
    <w:rsid w:val="004F6F0A"/>
    <w:rsid w:val="00500E95"/>
    <w:rsid w:val="0050274A"/>
    <w:rsid w:val="005042B0"/>
    <w:rsid w:val="00510D85"/>
    <w:rsid w:val="00512977"/>
    <w:rsid w:val="00512B1B"/>
    <w:rsid w:val="00513789"/>
    <w:rsid w:val="00514602"/>
    <w:rsid w:val="005146CC"/>
    <w:rsid w:val="005163B2"/>
    <w:rsid w:val="005200E7"/>
    <w:rsid w:val="00523A40"/>
    <w:rsid w:val="00525B84"/>
    <w:rsid w:val="00530324"/>
    <w:rsid w:val="005306BB"/>
    <w:rsid w:val="00530F53"/>
    <w:rsid w:val="00531297"/>
    <w:rsid w:val="00532D1A"/>
    <w:rsid w:val="00533D86"/>
    <w:rsid w:val="00534E31"/>
    <w:rsid w:val="00540089"/>
    <w:rsid w:val="0055423B"/>
    <w:rsid w:val="00554939"/>
    <w:rsid w:val="0055633A"/>
    <w:rsid w:val="00556DAB"/>
    <w:rsid w:val="00556DFA"/>
    <w:rsid w:val="00560D7E"/>
    <w:rsid w:val="00562A6B"/>
    <w:rsid w:val="00562F7D"/>
    <w:rsid w:val="00563A32"/>
    <w:rsid w:val="00566341"/>
    <w:rsid w:val="005667DA"/>
    <w:rsid w:val="00571914"/>
    <w:rsid w:val="0057294A"/>
    <w:rsid w:val="00572AB4"/>
    <w:rsid w:val="00573503"/>
    <w:rsid w:val="005750A9"/>
    <w:rsid w:val="00575297"/>
    <w:rsid w:val="005752DE"/>
    <w:rsid w:val="00576D08"/>
    <w:rsid w:val="005860C7"/>
    <w:rsid w:val="00586F2A"/>
    <w:rsid w:val="00593E92"/>
    <w:rsid w:val="0059627C"/>
    <w:rsid w:val="0059633F"/>
    <w:rsid w:val="005A0C05"/>
    <w:rsid w:val="005A1D13"/>
    <w:rsid w:val="005A4523"/>
    <w:rsid w:val="005A617D"/>
    <w:rsid w:val="005A7605"/>
    <w:rsid w:val="005B1DD2"/>
    <w:rsid w:val="005B2003"/>
    <w:rsid w:val="005B23A6"/>
    <w:rsid w:val="005B483A"/>
    <w:rsid w:val="005B5349"/>
    <w:rsid w:val="005B5DF3"/>
    <w:rsid w:val="005C2472"/>
    <w:rsid w:val="005C6003"/>
    <w:rsid w:val="005D0141"/>
    <w:rsid w:val="005E3CF0"/>
    <w:rsid w:val="005E402B"/>
    <w:rsid w:val="005E7690"/>
    <w:rsid w:val="005F1A5E"/>
    <w:rsid w:val="005F5035"/>
    <w:rsid w:val="0060075B"/>
    <w:rsid w:val="006015C4"/>
    <w:rsid w:val="00602865"/>
    <w:rsid w:val="00603CE0"/>
    <w:rsid w:val="00603E2F"/>
    <w:rsid w:val="006040F6"/>
    <w:rsid w:val="00604326"/>
    <w:rsid w:val="00607590"/>
    <w:rsid w:val="006100A1"/>
    <w:rsid w:val="006106EA"/>
    <w:rsid w:val="00611301"/>
    <w:rsid w:val="00611DA2"/>
    <w:rsid w:val="00612593"/>
    <w:rsid w:val="00613082"/>
    <w:rsid w:val="006133B9"/>
    <w:rsid w:val="006167ED"/>
    <w:rsid w:val="00617C10"/>
    <w:rsid w:val="00620E8B"/>
    <w:rsid w:val="00622BB6"/>
    <w:rsid w:val="00626088"/>
    <w:rsid w:val="00626616"/>
    <w:rsid w:val="00626BE5"/>
    <w:rsid w:val="006318B0"/>
    <w:rsid w:val="00632246"/>
    <w:rsid w:val="00635B2A"/>
    <w:rsid w:val="00635D3E"/>
    <w:rsid w:val="0064169D"/>
    <w:rsid w:val="00643C8F"/>
    <w:rsid w:val="00644A3C"/>
    <w:rsid w:val="0064596D"/>
    <w:rsid w:val="00651224"/>
    <w:rsid w:val="00653A51"/>
    <w:rsid w:val="0065763B"/>
    <w:rsid w:val="00660FB4"/>
    <w:rsid w:val="006627B0"/>
    <w:rsid w:val="00667A42"/>
    <w:rsid w:val="00667B49"/>
    <w:rsid w:val="00667CE4"/>
    <w:rsid w:val="0068139A"/>
    <w:rsid w:val="00682FB1"/>
    <w:rsid w:val="00683110"/>
    <w:rsid w:val="0068343D"/>
    <w:rsid w:val="00684158"/>
    <w:rsid w:val="00684336"/>
    <w:rsid w:val="0069256B"/>
    <w:rsid w:val="00693D02"/>
    <w:rsid w:val="006964DE"/>
    <w:rsid w:val="006979B9"/>
    <w:rsid w:val="00697DE4"/>
    <w:rsid w:val="006A0793"/>
    <w:rsid w:val="006A12C7"/>
    <w:rsid w:val="006A3F59"/>
    <w:rsid w:val="006A41CE"/>
    <w:rsid w:val="006A4695"/>
    <w:rsid w:val="006B05CD"/>
    <w:rsid w:val="006B0FCE"/>
    <w:rsid w:val="006B137B"/>
    <w:rsid w:val="006B144A"/>
    <w:rsid w:val="006B1DDF"/>
    <w:rsid w:val="006B23FD"/>
    <w:rsid w:val="006B2414"/>
    <w:rsid w:val="006B6D66"/>
    <w:rsid w:val="006C1A1A"/>
    <w:rsid w:val="006C5440"/>
    <w:rsid w:val="006D0DA9"/>
    <w:rsid w:val="006D4EF4"/>
    <w:rsid w:val="006D512E"/>
    <w:rsid w:val="006D5778"/>
    <w:rsid w:val="006D5A98"/>
    <w:rsid w:val="006E0D47"/>
    <w:rsid w:val="006E2174"/>
    <w:rsid w:val="006E3272"/>
    <w:rsid w:val="006E7400"/>
    <w:rsid w:val="006F040F"/>
    <w:rsid w:val="006F1904"/>
    <w:rsid w:val="006F28F9"/>
    <w:rsid w:val="006F3E11"/>
    <w:rsid w:val="006F7269"/>
    <w:rsid w:val="00701C43"/>
    <w:rsid w:val="0070329E"/>
    <w:rsid w:val="007045E3"/>
    <w:rsid w:val="00704FD2"/>
    <w:rsid w:val="00707E80"/>
    <w:rsid w:val="00712316"/>
    <w:rsid w:val="0071251B"/>
    <w:rsid w:val="00712876"/>
    <w:rsid w:val="00714E3A"/>
    <w:rsid w:val="00720820"/>
    <w:rsid w:val="007214FB"/>
    <w:rsid w:val="00722788"/>
    <w:rsid w:val="007231F5"/>
    <w:rsid w:val="007245E1"/>
    <w:rsid w:val="007247D0"/>
    <w:rsid w:val="00726E0A"/>
    <w:rsid w:val="00727E9D"/>
    <w:rsid w:val="00733FEC"/>
    <w:rsid w:val="00735EF4"/>
    <w:rsid w:val="00741FE2"/>
    <w:rsid w:val="007427D4"/>
    <w:rsid w:val="007464C4"/>
    <w:rsid w:val="00750F1A"/>
    <w:rsid w:val="00752051"/>
    <w:rsid w:val="007540F4"/>
    <w:rsid w:val="007570A2"/>
    <w:rsid w:val="00761B8A"/>
    <w:rsid w:val="007622E9"/>
    <w:rsid w:val="0076578E"/>
    <w:rsid w:val="00770D80"/>
    <w:rsid w:val="0077287F"/>
    <w:rsid w:val="00773FE3"/>
    <w:rsid w:val="00774F74"/>
    <w:rsid w:val="00777815"/>
    <w:rsid w:val="00777849"/>
    <w:rsid w:val="007805AC"/>
    <w:rsid w:val="007810CE"/>
    <w:rsid w:val="00781E15"/>
    <w:rsid w:val="00782DBA"/>
    <w:rsid w:val="0078323D"/>
    <w:rsid w:val="00784218"/>
    <w:rsid w:val="00786EB2"/>
    <w:rsid w:val="0078713F"/>
    <w:rsid w:val="0078785B"/>
    <w:rsid w:val="0079045E"/>
    <w:rsid w:val="00792A23"/>
    <w:rsid w:val="0079427C"/>
    <w:rsid w:val="007972D1"/>
    <w:rsid w:val="007A0DF4"/>
    <w:rsid w:val="007A5345"/>
    <w:rsid w:val="007A70D7"/>
    <w:rsid w:val="007A72AF"/>
    <w:rsid w:val="007B739E"/>
    <w:rsid w:val="007C2864"/>
    <w:rsid w:val="007C5E7C"/>
    <w:rsid w:val="007D1B22"/>
    <w:rsid w:val="007D23BF"/>
    <w:rsid w:val="007D3402"/>
    <w:rsid w:val="007D62E0"/>
    <w:rsid w:val="007E068A"/>
    <w:rsid w:val="007E09C0"/>
    <w:rsid w:val="007E0BEB"/>
    <w:rsid w:val="007E4905"/>
    <w:rsid w:val="007E4E99"/>
    <w:rsid w:val="007E5876"/>
    <w:rsid w:val="007E5ACB"/>
    <w:rsid w:val="007E5CBF"/>
    <w:rsid w:val="007E60FE"/>
    <w:rsid w:val="007E6C15"/>
    <w:rsid w:val="007F0736"/>
    <w:rsid w:val="007F2F7B"/>
    <w:rsid w:val="007F7371"/>
    <w:rsid w:val="00800538"/>
    <w:rsid w:val="00800E29"/>
    <w:rsid w:val="00801BE9"/>
    <w:rsid w:val="00803973"/>
    <w:rsid w:val="00815028"/>
    <w:rsid w:val="00816598"/>
    <w:rsid w:val="00820EEC"/>
    <w:rsid w:val="00822A89"/>
    <w:rsid w:val="008242E7"/>
    <w:rsid w:val="00826C38"/>
    <w:rsid w:val="0083108C"/>
    <w:rsid w:val="00833154"/>
    <w:rsid w:val="00833FEA"/>
    <w:rsid w:val="008355BD"/>
    <w:rsid w:val="008355E9"/>
    <w:rsid w:val="00836AF5"/>
    <w:rsid w:val="00836C00"/>
    <w:rsid w:val="00837ABF"/>
    <w:rsid w:val="008427D5"/>
    <w:rsid w:val="0085668B"/>
    <w:rsid w:val="008573C7"/>
    <w:rsid w:val="00857E12"/>
    <w:rsid w:val="00860C44"/>
    <w:rsid w:val="0086565E"/>
    <w:rsid w:val="00866206"/>
    <w:rsid w:val="00867AC5"/>
    <w:rsid w:val="00870615"/>
    <w:rsid w:val="00871EEF"/>
    <w:rsid w:val="00872F08"/>
    <w:rsid w:val="00874F16"/>
    <w:rsid w:val="00874F59"/>
    <w:rsid w:val="00876235"/>
    <w:rsid w:val="00880E08"/>
    <w:rsid w:val="00881DBF"/>
    <w:rsid w:val="00890D7F"/>
    <w:rsid w:val="008920CB"/>
    <w:rsid w:val="0089363C"/>
    <w:rsid w:val="00895779"/>
    <w:rsid w:val="00895A9D"/>
    <w:rsid w:val="008A0A47"/>
    <w:rsid w:val="008A2041"/>
    <w:rsid w:val="008A34CB"/>
    <w:rsid w:val="008B1A10"/>
    <w:rsid w:val="008B4113"/>
    <w:rsid w:val="008B4694"/>
    <w:rsid w:val="008B74CE"/>
    <w:rsid w:val="008C33D1"/>
    <w:rsid w:val="008C45EA"/>
    <w:rsid w:val="008C5825"/>
    <w:rsid w:val="008C6486"/>
    <w:rsid w:val="008D06A8"/>
    <w:rsid w:val="008D0788"/>
    <w:rsid w:val="008D2D99"/>
    <w:rsid w:val="008D696F"/>
    <w:rsid w:val="008D6CDA"/>
    <w:rsid w:val="008D72A9"/>
    <w:rsid w:val="008E363A"/>
    <w:rsid w:val="008E455C"/>
    <w:rsid w:val="008E56B3"/>
    <w:rsid w:val="008F36FC"/>
    <w:rsid w:val="008F5737"/>
    <w:rsid w:val="008F6E59"/>
    <w:rsid w:val="0090042E"/>
    <w:rsid w:val="009006F7"/>
    <w:rsid w:val="009063CD"/>
    <w:rsid w:val="00906A60"/>
    <w:rsid w:val="00907E44"/>
    <w:rsid w:val="0091127C"/>
    <w:rsid w:val="009120BE"/>
    <w:rsid w:val="009129DC"/>
    <w:rsid w:val="00917407"/>
    <w:rsid w:val="009177FB"/>
    <w:rsid w:val="009218BB"/>
    <w:rsid w:val="009224A9"/>
    <w:rsid w:val="0092759F"/>
    <w:rsid w:val="00927D71"/>
    <w:rsid w:val="00930E4E"/>
    <w:rsid w:val="009333A8"/>
    <w:rsid w:val="00934160"/>
    <w:rsid w:val="00937346"/>
    <w:rsid w:val="00937D13"/>
    <w:rsid w:val="00945253"/>
    <w:rsid w:val="00945DF4"/>
    <w:rsid w:val="009460F4"/>
    <w:rsid w:val="0094621F"/>
    <w:rsid w:val="00946CCF"/>
    <w:rsid w:val="009517B9"/>
    <w:rsid w:val="00951BD6"/>
    <w:rsid w:val="009544F7"/>
    <w:rsid w:val="009568D5"/>
    <w:rsid w:val="009623C4"/>
    <w:rsid w:val="00965170"/>
    <w:rsid w:val="00965DBB"/>
    <w:rsid w:val="0097127B"/>
    <w:rsid w:val="00971FC7"/>
    <w:rsid w:val="00972A0D"/>
    <w:rsid w:val="00977045"/>
    <w:rsid w:val="009779FC"/>
    <w:rsid w:val="00982E4C"/>
    <w:rsid w:val="0098569B"/>
    <w:rsid w:val="0098591D"/>
    <w:rsid w:val="0098666F"/>
    <w:rsid w:val="00990509"/>
    <w:rsid w:val="009914FC"/>
    <w:rsid w:val="009915C7"/>
    <w:rsid w:val="00993F69"/>
    <w:rsid w:val="009959B6"/>
    <w:rsid w:val="009964FC"/>
    <w:rsid w:val="009A044F"/>
    <w:rsid w:val="009A04D8"/>
    <w:rsid w:val="009A32D8"/>
    <w:rsid w:val="009A3DE1"/>
    <w:rsid w:val="009A5CD0"/>
    <w:rsid w:val="009A7226"/>
    <w:rsid w:val="009B1118"/>
    <w:rsid w:val="009B165E"/>
    <w:rsid w:val="009B63C7"/>
    <w:rsid w:val="009B73DB"/>
    <w:rsid w:val="009B7C39"/>
    <w:rsid w:val="009C0EB0"/>
    <w:rsid w:val="009C1F49"/>
    <w:rsid w:val="009C660D"/>
    <w:rsid w:val="009C6F41"/>
    <w:rsid w:val="009C7BC3"/>
    <w:rsid w:val="009D19F3"/>
    <w:rsid w:val="009D2112"/>
    <w:rsid w:val="009D317C"/>
    <w:rsid w:val="009D3535"/>
    <w:rsid w:val="009D6B41"/>
    <w:rsid w:val="009D7D67"/>
    <w:rsid w:val="009E0456"/>
    <w:rsid w:val="009E2696"/>
    <w:rsid w:val="009E45FA"/>
    <w:rsid w:val="009E48B6"/>
    <w:rsid w:val="009E64DC"/>
    <w:rsid w:val="009E667D"/>
    <w:rsid w:val="009F0CC5"/>
    <w:rsid w:val="009F1BED"/>
    <w:rsid w:val="009F2C65"/>
    <w:rsid w:val="00A003DD"/>
    <w:rsid w:val="00A023E6"/>
    <w:rsid w:val="00A02978"/>
    <w:rsid w:val="00A03B04"/>
    <w:rsid w:val="00A0451F"/>
    <w:rsid w:val="00A056B1"/>
    <w:rsid w:val="00A10C6B"/>
    <w:rsid w:val="00A17A35"/>
    <w:rsid w:val="00A34F61"/>
    <w:rsid w:val="00A3625F"/>
    <w:rsid w:val="00A45846"/>
    <w:rsid w:val="00A45DAF"/>
    <w:rsid w:val="00A528DB"/>
    <w:rsid w:val="00A54DB0"/>
    <w:rsid w:val="00A55425"/>
    <w:rsid w:val="00A56009"/>
    <w:rsid w:val="00A60317"/>
    <w:rsid w:val="00A62F08"/>
    <w:rsid w:val="00A6580E"/>
    <w:rsid w:val="00A6600A"/>
    <w:rsid w:val="00A661C0"/>
    <w:rsid w:val="00A66257"/>
    <w:rsid w:val="00A66C15"/>
    <w:rsid w:val="00A705F1"/>
    <w:rsid w:val="00A70BB1"/>
    <w:rsid w:val="00A71A7D"/>
    <w:rsid w:val="00A7441B"/>
    <w:rsid w:val="00A773FD"/>
    <w:rsid w:val="00A83AC7"/>
    <w:rsid w:val="00A8754A"/>
    <w:rsid w:val="00A90889"/>
    <w:rsid w:val="00A90D43"/>
    <w:rsid w:val="00A91849"/>
    <w:rsid w:val="00A92628"/>
    <w:rsid w:val="00A92694"/>
    <w:rsid w:val="00A940D9"/>
    <w:rsid w:val="00A970A7"/>
    <w:rsid w:val="00AA58DC"/>
    <w:rsid w:val="00AA66DD"/>
    <w:rsid w:val="00AB6CCB"/>
    <w:rsid w:val="00AB7E42"/>
    <w:rsid w:val="00AC0D4F"/>
    <w:rsid w:val="00AC10C8"/>
    <w:rsid w:val="00AC6C0F"/>
    <w:rsid w:val="00AD15E7"/>
    <w:rsid w:val="00AD67FD"/>
    <w:rsid w:val="00AE20A7"/>
    <w:rsid w:val="00AE2489"/>
    <w:rsid w:val="00AE3684"/>
    <w:rsid w:val="00AE55CC"/>
    <w:rsid w:val="00AE57FE"/>
    <w:rsid w:val="00AE6275"/>
    <w:rsid w:val="00AF1346"/>
    <w:rsid w:val="00AF3956"/>
    <w:rsid w:val="00AF3BD1"/>
    <w:rsid w:val="00AF47AD"/>
    <w:rsid w:val="00AF5738"/>
    <w:rsid w:val="00AF66DB"/>
    <w:rsid w:val="00B00BDB"/>
    <w:rsid w:val="00B00F9A"/>
    <w:rsid w:val="00B014B8"/>
    <w:rsid w:val="00B02850"/>
    <w:rsid w:val="00B0660D"/>
    <w:rsid w:val="00B06C96"/>
    <w:rsid w:val="00B12BD6"/>
    <w:rsid w:val="00B13142"/>
    <w:rsid w:val="00B150D0"/>
    <w:rsid w:val="00B15436"/>
    <w:rsid w:val="00B1756D"/>
    <w:rsid w:val="00B2440E"/>
    <w:rsid w:val="00B247AD"/>
    <w:rsid w:val="00B30224"/>
    <w:rsid w:val="00B31D9C"/>
    <w:rsid w:val="00B31F0C"/>
    <w:rsid w:val="00B337B6"/>
    <w:rsid w:val="00B33BFA"/>
    <w:rsid w:val="00B42DB4"/>
    <w:rsid w:val="00B4459E"/>
    <w:rsid w:val="00B50038"/>
    <w:rsid w:val="00B50250"/>
    <w:rsid w:val="00B51EB1"/>
    <w:rsid w:val="00B51FB4"/>
    <w:rsid w:val="00B520C1"/>
    <w:rsid w:val="00B54074"/>
    <w:rsid w:val="00B55285"/>
    <w:rsid w:val="00B5705B"/>
    <w:rsid w:val="00B62A6F"/>
    <w:rsid w:val="00B63C56"/>
    <w:rsid w:val="00B64986"/>
    <w:rsid w:val="00B66B54"/>
    <w:rsid w:val="00B6739A"/>
    <w:rsid w:val="00B67838"/>
    <w:rsid w:val="00B67B00"/>
    <w:rsid w:val="00B709AB"/>
    <w:rsid w:val="00B71D91"/>
    <w:rsid w:val="00B743D5"/>
    <w:rsid w:val="00B768CA"/>
    <w:rsid w:val="00B82EF5"/>
    <w:rsid w:val="00B878FC"/>
    <w:rsid w:val="00B937B1"/>
    <w:rsid w:val="00B95E3D"/>
    <w:rsid w:val="00B9747C"/>
    <w:rsid w:val="00BA1C85"/>
    <w:rsid w:val="00BA2578"/>
    <w:rsid w:val="00BA2EC0"/>
    <w:rsid w:val="00BA3213"/>
    <w:rsid w:val="00BA7047"/>
    <w:rsid w:val="00BB0222"/>
    <w:rsid w:val="00BB070C"/>
    <w:rsid w:val="00BB0E4C"/>
    <w:rsid w:val="00BB189E"/>
    <w:rsid w:val="00BB24F5"/>
    <w:rsid w:val="00BB2C43"/>
    <w:rsid w:val="00BB3688"/>
    <w:rsid w:val="00BB58F8"/>
    <w:rsid w:val="00BC01AC"/>
    <w:rsid w:val="00BC07FA"/>
    <w:rsid w:val="00BC265D"/>
    <w:rsid w:val="00BD0767"/>
    <w:rsid w:val="00BD0ED7"/>
    <w:rsid w:val="00BD3FCA"/>
    <w:rsid w:val="00BD4907"/>
    <w:rsid w:val="00BD65E5"/>
    <w:rsid w:val="00BE1E46"/>
    <w:rsid w:val="00BE3695"/>
    <w:rsid w:val="00BE6E87"/>
    <w:rsid w:val="00BE713C"/>
    <w:rsid w:val="00BE72D5"/>
    <w:rsid w:val="00BE78EE"/>
    <w:rsid w:val="00BE7A8D"/>
    <w:rsid w:val="00BF702C"/>
    <w:rsid w:val="00BF712E"/>
    <w:rsid w:val="00BF7D7B"/>
    <w:rsid w:val="00C000EE"/>
    <w:rsid w:val="00C000F2"/>
    <w:rsid w:val="00C014BC"/>
    <w:rsid w:val="00C05C47"/>
    <w:rsid w:val="00C07181"/>
    <w:rsid w:val="00C11E45"/>
    <w:rsid w:val="00C1451F"/>
    <w:rsid w:val="00C213B4"/>
    <w:rsid w:val="00C2180D"/>
    <w:rsid w:val="00C2266E"/>
    <w:rsid w:val="00C22690"/>
    <w:rsid w:val="00C22842"/>
    <w:rsid w:val="00C22ABA"/>
    <w:rsid w:val="00C22DB7"/>
    <w:rsid w:val="00C24651"/>
    <w:rsid w:val="00C30870"/>
    <w:rsid w:val="00C368E2"/>
    <w:rsid w:val="00C41E52"/>
    <w:rsid w:val="00C47203"/>
    <w:rsid w:val="00C474C6"/>
    <w:rsid w:val="00C5044D"/>
    <w:rsid w:val="00C510DC"/>
    <w:rsid w:val="00C515F1"/>
    <w:rsid w:val="00C51AAA"/>
    <w:rsid w:val="00C51ABA"/>
    <w:rsid w:val="00C527FC"/>
    <w:rsid w:val="00C54DDD"/>
    <w:rsid w:val="00C552D6"/>
    <w:rsid w:val="00C57C41"/>
    <w:rsid w:val="00C63AFC"/>
    <w:rsid w:val="00C644E5"/>
    <w:rsid w:val="00C6450B"/>
    <w:rsid w:val="00C65C86"/>
    <w:rsid w:val="00C669ED"/>
    <w:rsid w:val="00C70FA2"/>
    <w:rsid w:val="00C72180"/>
    <w:rsid w:val="00C7350E"/>
    <w:rsid w:val="00C74ACA"/>
    <w:rsid w:val="00C7596B"/>
    <w:rsid w:val="00C81AE0"/>
    <w:rsid w:val="00C8563C"/>
    <w:rsid w:val="00C862F6"/>
    <w:rsid w:val="00C874E2"/>
    <w:rsid w:val="00C87AE0"/>
    <w:rsid w:val="00C917F4"/>
    <w:rsid w:val="00C94824"/>
    <w:rsid w:val="00CA0A74"/>
    <w:rsid w:val="00CA2FE2"/>
    <w:rsid w:val="00CA7EE5"/>
    <w:rsid w:val="00CB050E"/>
    <w:rsid w:val="00CB3377"/>
    <w:rsid w:val="00CB3979"/>
    <w:rsid w:val="00CB55F4"/>
    <w:rsid w:val="00CB5ECE"/>
    <w:rsid w:val="00CC0F3E"/>
    <w:rsid w:val="00CC3D99"/>
    <w:rsid w:val="00CC5C1C"/>
    <w:rsid w:val="00CC5E96"/>
    <w:rsid w:val="00CC6656"/>
    <w:rsid w:val="00CD3001"/>
    <w:rsid w:val="00CD34D1"/>
    <w:rsid w:val="00CD3B99"/>
    <w:rsid w:val="00CD464C"/>
    <w:rsid w:val="00CD647B"/>
    <w:rsid w:val="00CD6B02"/>
    <w:rsid w:val="00CD7A27"/>
    <w:rsid w:val="00CE19E3"/>
    <w:rsid w:val="00CE3A64"/>
    <w:rsid w:val="00CE4E28"/>
    <w:rsid w:val="00CE69A4"/>
    <w:rsid w:val="00CF017B"/>
    <w:rsid w:val="00CF131D"/>
    <w:rsid w:val="00CF1AA9"/>
    <w:rsid w:val="00CF4DA5"/>
    <w:rsid w:val="00CF5317"/>
    <w:rsid w:val="00CF70D4"/>
    <w:rsid w:val="00D02312"/>
    <w:rsid w:val="00D0307C"/>
    <w:rsid w:val="00D03381"/>
    <w:rsid w:val="00D05D29"/>
    <w:rsid w:val="00D06840"/>
    <w:rsid w:val="00D06D02"/>
    <w:rsid w:val="00D07085"/>
    <w:rsid w:val="00D10584"/>
    <w:rsid w:val="00D12692"/>
    <w:rsid w:val="00D13751"/>
    <w:rsid w:val="00D14021"/>
    <w:rsid w:val="00D15E53"/>
    <w:rsid w:val="00D21DF1"/>
    <w:rsid w:val="00D22B42"/>
    <w:rsid w:val="00D23941"/>
    <w:rsid w:val="00D24F2E"/>
    <w:rsid w:val="00D25E72"/>
    <w:rsid w:val="00D275FA"/>
    <w:rsid w:val="00D278F0"/>
    <w:rsid w:val="00D27F81"/>
    <w:rsid w:val="00D3038F"/>
    <w:rsid w:val="00D3283B"/>
    <w:rsid w:val="00D337F7"/>
    <w:rsid w:val="00D33D67"/>
    <w:rsid w:val="00D3432C"/>
    <w:rsid w:val="00D34822"/>
    <w:rsid w:val="00D35C94"/>
    <w:rsid w:val="00D40747"/>
    <w:rsid w:val="00D4086F"/>
    <w:rsid w:val="00D47637"/>
    <w:rsid w:val="00D52476"/>
    <w:rsid w:val="00D57B6F"/>
    <w:rsid w:val="00D57D87"/>
    <w:rsid w:val="00D61A77"/>
    <w:rsid w:val="00D70767"/>
    <w:rsid w:val="00D73150"/>
    <w:rsid w:val="00D73B43"/>
    <w:rsid w:val="00D73FB4"/>
    <w:rsid w:val="00D744B0"/>
    <w:rsid w:val="00D754CC"/>
    <w:rsid w:val="00D8080E"/>
    <w:rsid w:val="00D80BC3"/>
    <w:rsid w:val="00D85AAA"/>
    <w:rsid w:val="00D8663A"/>
    <w:rsid w:val="00D91F0A"/>
    <w:rsid w:val="00D923A2"/>
    <w:rsid w:val="00D944A0"/>
    <w:rsid w:val="00D9510E"/>
    <w:rsid w:val="00D97A07"/>
    <w:rsid w:val="00DA1832"/>
    <w:rsid w:val="00DA5653"/>
    <w:rsid w:val="00DB2532"/>
    <w:rsid w:val="00DB3430"/>
    <w:rsid w:val="00DB7745"/>
    <w:rsid w:val="00DC01C9"/>
    <w:rsid w:val="00DC3DA9"/>
    <w:rsid w:val="00DC5AF4"/>
    <w:rsid w:val="00DC5B44"/>
    <w:rsid w:val="00DD3AAC"/>
    <w:rsid w:val="00DD5A9E"/>
    <w:rsid w:val="00DD6013"/>
    <w:rsid w:val="00DD608A"/>
    <w:rsid w:val="00DD61E1"/>
    <w:rsid w:val="00DD742D"/>
    <w:rsid w:val="00DD786B"/>
    <w:rsid w:val="00DE2916"/>
    <w:rsid w:val="00DE434C"/>
    <w:rsid w:val="00DE52EA"/>
    <w:rsid w:val="00DE60F5"/>
    <w:rsid w:val="00DF45B7"/>
    <w:rsid w:val="00DF6719"/>
    <w:rsid w:val="00DF6CAB"/>
    <w:rsid w:val="00DF7B75"/>
    <w:rsid w:val="00E03FB9"/>
    <w:rsid w:val="00E04795"/>
    <w:rsid w:val="00E04F97"/>
    <w:rsid w:val="00E11A44"/>
    <w:rsid w:val="00E1266D"/>
    <w:rsid w:val="00E12816"/>
    <w:rsid w:val="00E12A2F"/>
    <w:rsid w:val="00E174BC"/>
    <w:rsid w:val="00E215A7"/>
    <w:rsid w:val="00E228AB"/>
    <w:rsid w:val="00E231F8"/>
    <w:rsid w:val="00E235B2"/>
    <w:rsid w:val="00E23BA0"/>
    <w:rsid w:val="00E25968"/>
    <w:rsid w:val="00E25E60"/>
    <w:rsid w:val="00E30215"/>
    <w:rsid w:val="00E30398"/>
    <w:rsid w:val="00E3423E"/>
    <w:rsid w:val="00E40C8A"/>
    <w:rsid w:val="00E42002"/>
    <w:rsid w:val="00E42D66"/>
    <w:rsid w:val="00E43414"/>
    <w:rsid w:val="00E45BC7"/>
    <w:rsid w:val="00E47085"/>
    <w:rsid w:val="00E52922"/>
    <w:rsid w:val="00E532A8"/>
    <w:rsid w:val="00E5399D"/>
    <w:rsid w:val="00E56A3B"/>
    <w:rsid w:val="00E63B94"/>
    <w:rsid w:val="00E66DC7"/>
    <w:rsid w:val="00E70C6F"/>
    <w:rsid w:val="00E74564"/>
    <w:rsid w:val="00E80038"/>
    <w:rsid w:val="00E800BD"/>
    <w:rsid w:val="00E814ED"/>
    <w:rsid w:val="00E8325F"/>
    <w:rsid w:val="00E8431A"/>
    <w:rsid w:val="00E91F56"/>
    <w:rsid w:val="00E92442"/>
    <w:rsid w:val="00E94844"/>
    <w:rsid w:val="00E95614"/>
    <w:rsid w:val="00E95A82"/>
    <w:rsid w:val="00E95B61"/>
    <w:rsid w:val="00E9679E"/>
    <w:rsid w:val="00E97B59"/>
    <w:rsid w:val="00EA01B8"/>
    <w:rsid w:val="00EA05BC"/>
    <w:rsid w:val="00EA1CA0"/>
    <w:rsid w:val="00EA2599"/>
    <w:rsid w:val="00EA65A9"/>
    <w:rsid w:val="00EA7D30"/>
    <w:rsid w:val="00EB69DF"/>
    <w:rsid w:val="00EB6A63"/>
    <w:rsid w:val="00EB7CE5"/>
    <w:rsid w:val="00EC0041"/>
    <w:rsid w:val="00EC0534"/>
    <w:rsid w:val="00EC0B6D"/>
    <w:rsid w:val="00EC2028"/>
    <w:rsid w:val="00EC2A65"/>
    <w:rsid w:val="00EC2DC5"/>
    <w:rsid w:val="00EC3462"/>
    <w:rsid w:val="00EC4B97"/>
    <w:rsid w:val="00EC607D"/>
    <w:rsid w:val="00EC7B19"/>
    <w:rsid w:val="00ED3F96"/>
    <w:rsid w:val="00EE1ECD"/>
    <w:rsid w:val="00EE1EE7"/>
    <w:rsid w:val="00EE25BD"/>
    <w:rsid w:val="00EE278A"/>
    <w:rsid w:val="00EE4776"/>
    <w:rsid w:val="00EF329E"/>
    <w:rsid w:val="00EF3E7B"/>
    <w:rsid w:val="00EF5F25"/>
    <w:rsid w:val="00EF6646"/>
    <w:rsid w:val="00F01610"/>
    <w:rsid w:val="00F021D2"/>
    <w:rsid w:val="00F02786"/>
    <w:rsid w:val="00F03297"/>
    <w:rsid w:val="00F13A2E"/>
    <w:rsid w:val="00F15B3C"/>
    <w:rsid w:val="00F22FBD"/>
    <w:rsid w:val="00F25477"/>
    <w:rsid w:val="00F33CB5"/>
    <w:rsid w:val="00F34DE7"/>
    <w:rsid w:val="00F359A6"/>
    <w:rsid w:val="00F36695"/>
    <w:rsid w:val="00F4178C"/>
    <w:rsid w:val="00F417A5"/>
    <w:rsid w:val="00F42F7F"/>
    <w:rsid w:val="00F43B1C"/>
    <w:rsid w:val="00F44455"/>
    <w:rsid w:val="00F452BC"/>
    <w:rsid w:val="00F51680"/>
    <w:rsid w:val="00F519E3"/>
    <w:rsid w:val="00F54FA8"/>
    <w:rsid w:val="00F65B2D"/>
    <w:rsid w:val="00F70067"/>
    <w:rsid w:val="00F75965"/>
    <w:rsid w:val="00F81EEC"/>
    <w:rsid w:val="00F8340D"/>
    <w:rsid w:val="00F85887"/>
    <w:rsid w:val="00F8593E"/>
    <w:rsid w:val="00F879B5"/>
    <w:rsid w:val="00F9239E"/>
    <w:rsid w:val="00F924F2"/>
    <w:rsid w:val="00F9297B"/>
    <w:rsid w:val="00F94C02"/>
    <w:rsid w:val="00F95578"/>
    <w:rsid w:val="00F95A2E"/>
    <w:rsid w:val="00FA064A"/>
    <w:rsid w:val="00FA6F89"/>
    <w:rsid w:val="00FB0146"/>
    <w:rsid w:val="00FB33AC"/>
    <w:rsid w:val="00FB477B"/>
    <w:rsid w:val="00FB505A"/>
    <w:rsid w:val="00FB52E2"/>
    <w:rsid w:val="00FB53AA"/>
    <w:rsid w:val="00FB6CAC"/>
    <w:rsid w:val="00FC343F"/>
    <w:rsid w:val="00FC37C9"/>
    <w:rsid w:val="00FC5A9D"/>
    <w:rsid w:val="00FD11DF"/>
    <w:rsid w:val="00FD426F"/>
    <w:rsid w:val="00FD5C06"/>
    <w:rsid w:val="00FD64FF"/>
    <w:rsid w:val="00FE0613"/>
    <w:rsid w:val="00FE10D4"/>
    <w:rsid w:val="00FE5174"/>
    <w:rsid w:val="00FE561B"/>
    <w:rsid w:val="00FE698F"/>
    <w:rsid w:val="00FE7D12"/>
    <w:rsid w:val="00FF1108"/>
    <w:rsid w:val="00FF27BF"/>
    <w:rsid w:val="00FF6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8B90BD-506E-47F8-AAF5-6CB30324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3A6"/>
    <w:pPr>
      <w:widowControl w:val="0"/>
      <w:jc w:val="both"/>
    </w:pPr>
  </w:style>
  <w:style w:type="paragraph" w:styleId="Heading1">
    <w:name w:val="heading 1"/>
    <w:basedOn w:val="Normal"/>
    <w:link w:val="Heading1Char"/>
    <w:uiPriority w:val="9"/>
    <w:qFormat/>
    <w:rsid w:val="00C014BC"/>
    <w:pPr>
      <w:widowControl/>
      <w:spacing w:before="100" w:beforeAutospacing="1" w:after="100" w:afterAutospacing="1"/>
      <w:jc w:val="left"/>
      <w:outlineLvl w:val="0"/>
    </w:pPr>
    <w:rPr>
      <w:rFonts w:ascii="SimSun" w:eastAsia="SimSun" w:hAnsi="SimSun" w:cs="SimSun"/>
      <w:b/>
      <w:bCs/>
      <w:kern w:val="36"/>
      <w:sz w:val="48"/>
      <w:szCs w:val="48"/>
    </w:rPr>
  </w:style>
  <w:style w:type="paragraph" w:styleId="Heading2">
    <w:name w:val="heading 2"/>
    <w:basedOn w:val="Normal"/>
    <w:next w:val="Normal"/>
    <w:link w:val="Heading2Char"/>
    <w:uiPriority w:val="9"/>
    <w:unhideWhenUsed/>
    <w:qFormat/>
    <w:rsid w:val="00C014B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3C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063CD"/>
    <w:rPr>
      <w:sz w:val="18"/>
      <w:szCs w:val="18"/>
    </w:rPr>
  </w:style>
  <w:style w:type="paragraph" w:styleId="Footer">
    <w:name w:val="footer"/>
    <w:basedOn w:val="Normal"/>
    <w:link w:val="FooterChar"/>
    <w:uiPriority w:val="99"/>
    <w:unhideWhenUsed/>
    <w:rsid w:val="009063C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063CD"/>
    <w:rPr>
      <w:sz w:val="18"/>
      <w:szCs w:val="18"/>
    </w:rPr>
  </w:style>
  <w:style w:type="paragraph" w:styleId="BalloonText">
    <w:name w:val="Balloon Text"/>
    <w:basedOn w:val="Normal"/>
    <w:link w:val="BalloonTextChar"/>
    <w:uiPriority w:val="99"/>
    <w:semiHidden/>
    <w:unhideWhenUsed/>
    <w:rsid w:val="009063CD"/>
    <w:rPr>
      <w:sz w:val="18"/>
      <w:szCs w:val="18"/>
    </w:rPr>
  </w:style>
  <w:style w:type="character" w:customStyle="1" w:styleId="BalloonTextChar">
    <w:name w:val="Balloon Text Char"/>
    <w:basedOn w:val="DefaultParagraphFont"/>
    <w:link w:val="BalloonText"/>
    <w:uiPriority w:val="99"/>
    <w:semiHidden/>
    <w:rsid w:val="009063CD"/>
    <w:rPr>
      <w:sz w:val="18"/>
      <w:szCs w:val="18"/>
    </w:rPr>
  </w:style>
  <w:style w:type="character" w:styleId="PlaceholderText">
    <w:name w:val="Placeholder Text"/>
    <w:basedOn w:val="DefaultParagraphFont"/>
    <w:uiPriority w:val="99"/>
    <w:semiHidden/>
    <w:rsid w:val="009063CD"/>
    <w:rPr>
      <w:color w:val="808080"/>
    </w:rPr>
  </w:style>
  <w:style w:type="paragraph" w:styleId="NoSpacing">
    <w:name w:val="No Spacing"/>
    <w:uiPriority w:val="1"/>
    <w:qFormat/>
    <w:rsid w:val="00CF5317"/>
    <w:pPr>
      <w:widowControl w:val="0"/>
      <w:jc w:val="both"/>
    </w:pPr>
  </w:style>
  <w:style w:type="paragraph" w:styleId="ListParagraph">
    <w:name w:val="List Paragraph"/>
    <w:basedOn w:val="Normal"/>
    <w:uiPriority w:val="34"/>
    <w:qFormat/>
    <w:rsid w:val="00322690"/>
    <w:pPr>
      <w:ind w:firstLineChars="200" w:firstLine="420"/>
    </w:pPr>
  </w:style>
  <w:style w:type="character" w:customStyle="1" w:styleId="Heading1Char">
    <w:name w:val="Heading 1 Char"/>
    <w:basedOn w:val="DefaultParagraphFont"/>
    <w:link w:val="Heading1"/>
    <w:uiPriority w:val="9"/>
    <w:rsid w:val="00C014BC"/>
    <w:rPr>
      <w:rFonts w:ascii="SimSun" w:eastAsia="SimSun" w:hAnsi="SimSun" w:cs="SimSun"/>
      <w:b/>
      <w:bCs/>
      <w:kern w:val="36"/>
      <w:sz w:val="48"/>
      <w:szCs w:val="48"/>
    </w:rPr>
  </w:style>
  <w:style w:type="character" w:customStyle="1" w:styleId="Heading2Char">
    <w:name w:val="Heading 2 Char"/>
    <w:basedOn w:val="DefaultParagraphFont"/>
    <w:link w:val="Heading2"/>
    <w:uiPriority w:val="9"/>
    <w:rsid w:val="00C014BC"/>
    <w:rPr>
      <w:rFonts w:asciiTheme="majorHAnsi" w:eastAsiaTheme="majorEastAsia" w:hAnsiTheme="majorHAnsi" w:cstheme="majorBidi"/>
      <w:b/>
      <w:bCs/>
      <w:sz w:val="32"/>
      <w:szCs w:val="32"/>
    </w:rPr>
  </w:style>
  <w:style w:type="character" w:styleId="Hyperlink">
    <w:name w:val="Hyperlink"/>
    <w:basedOn w:val="DefaultParagraphFont"/>
    <w:uiPriority w:val="99"/>
    <w:unhideWhenUsed/>
    <w:rsid w:val="003B62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64364">
      <w:bodyDiv w:val="1"/>
      <w:marLeft w:val="0"/>
      <w:marRight w:val="0"/>
      <w:marTop w:val="0"/>
      <w:marBottom w:val="0"/>
      <w:divBdr>
        <w:top w:val="none" w:sz="0" w:space="0" w:color="auto"/>
        <w:left w:val="none" w:sz="0" w:space="0" w:color="auto"/>
        <w:bottom w:val="none" w:sz="0" w:space="0" w:color="auto"/>
        <w:right w:val="none" w:sz="0" w:space="0" w:color="auto"/>
      </w:divBdr>
    </w:div>
    <w:div w:id="91122790">
      <w:bodyDiv w:val="1"/>
      <w:marLeft w:val="0"/>
      <w:marRight w:val="0"/>
      <w:marTop w:val="0"/>
      <w:marBottom w:val="0"/>
      <w:divBdr>
        <w:top w:val="none" w:sz="0" w:space="0" w:color="auto"/>
        <w:left w:val="none" w:sz="0" w:space="0" w:color="auto"/>
        <w:bottom w:val="none" w:sz="0" w:space="0" w:color="auto"/>
        <w:right w:val="none" w:sz="0" w:space="0" w:color="auto"/>
      </w:divBdr>
      <w:divsChild>
        <w:div w:id="1871839292">
          <w:marLeft w:val="0"/>
          <w:marRight w:val="0"/>
          <w:marTop w:val="0"/>
          <w:marBottom w:val="0"/>
          <w:divBdr>
            <w:top w:val="none" w:sz="0" w:space="0" w:color="auto"/>
            <w:left w:val="none" w:sz="0" w:space="0" w:color="auto"/>
            <w:bottom w:val="none" w:sz="0" w:space="0" w:color="auto"/>
            <w:right w:val="none" w:sz="0" w:space="0" w:color="auto"/>
          </w:divBdr>
          <w:divsChild>
            <w:div w:id="1857619921">
              <w:marLeft w:val="0"/>
              <w:marRight w:val="0"/>
              <w:marTop w:val="0"/>
              <w:marBottom w:val="0"/>
              <w:divBdr>
                <w:top w:val="none" w:sz="0" w:space="0" w:color="auto"/>
                <w:left w:val="none" w:sz="0" w:space="0" w:color="auto"/>
                <w:bottom w:val="none" w:sz="0" w:space="0" w:color="auto"/>
                <w:right w:val="none" w:sz="0" w:space="0" w:color="auto"/>
              </w:divBdr>
              <w:divsChild>
                <w:div w:id="1095243280">
                  <w:marLeft w:val="0"/>
                  <w:marRight w:val="0"/>
                  <w:marTop w:val="0"/>
                  <w:marBottom w:val="0"/>
                  <w:divBdr>
                    <w:top w:val="none" w:sz="0" w:space="0" w:color="auto"/>
                    <w:left w:val="none" w:sz="0" w:space="0" w:color="auto"/>
                    <w:bottom w:val="none" w:sz="0" w:space="0" w:color="auto"/>
                    <w:right w:val="none" w:sz="0" w:space="0" w:color="auto"/>
                  </w:divBdr>
                  <w:divsChild>
                    <w:div w:id="1088042093">
                      <w:marLeft w:val="0"/>
                      <w:marRight w:val="0"/>
                      <w:marTop w:val="300"/>
                      <w:marBottom w:val="375"/>
                      <w:divBdr>
                        <w:top w:val="none" w:sz="0" w:space="0" w:color="auto"/>
                        <w:left w:val="none" w:sz="0" w:space="0" w:color="auto"/>
                        <w:bottom w:val="none" w:sz="0" w:space="0" w:color="auto"/>
                        <w:right w:val="none" w:sz="0" w:space="0" w:color="auto"/>
                      </w:divBdr>
                      <w:divsChild>
                        <w:div w:id="575211222">
                          <w:marLeft w:val="0"/>
                          <w:marRight w:val="0"/>
                          <w:marTop w:val="0"/>
                          <w:marBottom w:val="0"/>
                          <w:divBdr>
                            <w:top w:val="none" w:sz="0" w:space="0" w:color="auto"/>
                            <w:left w:val="none" w:sz="0" w:space="0" w:color="auto"/>
                            <w:bottom w:val="none" w:sz="0" w:space="0" w:color="auto"/>
                            <w:right w:val="none" w:sz="0" w:space="0" w:color="auto"/>
                          </w:divBdr>
                          <w:divsChild>
                            <w:div w:id="302539757">
                              <w:marLeft w:val="0"/>
                              <w:marRight w:val="0"/>
                              <w:marTop w:val="0"/>
                              <w:marBottom w:val="0"/>
                              <w:divBdr>
                                <w:top w:val="none" w:sz="0" w:space="0" w:color="auto"/>
                                <w:left w:val="none" w:sz="0" w:space="0" w:color="auto"/>
                                <w:bottom w:val="none" w:sz="0" w:space="0" w:color="auto"/>
                                <w:right w:val="none" w:sz="0" w:space="0" w:color="auto"/>
                              </w:divBdr>
                              <w:divsChild>
                                <w:div w:id="14455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16885">
      <w:bodyDiv w:val="1"/>
      <w:marLeft w:val="0"/>
      <w:marRight w:val="0"/>
      <w:marTop w:val="0"/>
      <w:marBottom w:val="0"/>
      <w:divBdr>
        <w:top w:val="none" w:sz="0" w:space="0" w:color="auto"/>
        <w:left w:val="none" w:sz="0" w:space="0" w:color="auto"/>
        <w:bottom w:val="none" w:sz="0" w:space="0" w:color="auto"/>
        <w:right w:val="none" w:sz="0" w:space="0" w:color="auto"/>
      </w:divBdr>
    </w:div>
    <w:div w:id="124279621">
      <w:bodyDiv w:val="1"/>
      <w:marLeft w:val="0"/>
      <w:marRight w:val="0"/>
      <w:marTop w:val="0"/>
      <w:marBottom w:val="0"/>
      <w:divBdr>
        <w:top w:val="none" w:sz="0" w:space="0" w:color="auto"/>
        <w:left w:val="none" w:sz="0" w:space="0" w:color="auto"/>
        <w:bottom w:val="none" w:sz="0" w:space="0" w:color="auto"/>
        <w:right w:val="none" w:sz="0" w:space="0" w:color="auto"/>
      </w:divBdr>
    </w:div>
    <w:div w:id="174464889">
      <w:bodyDiv w:val="1"/>
      <w:marLeft w:val="0"/>
      <w:marRight w:val="0"/>
      <w:marTop w:val="0"/>
      <w:marBottom w:val="0"/>
      <w:divBdr>
        <w:top w:val="none" w:sz="0" w:space="0" w:color="auto"/>
        <w:left w:val="none" w:sz="0" w:space="0" w:color="auto"/>
        <w:bottom w:val="none" w:sz="0" w:space="0" w:color="auto"/>
        <w:right w:val="none" w:sz="0" w:space="0" w:color="auto"/>
      </w:divBdr>
    </w:div>
    <w:div w:id="376317642">
      <w:bodyDiv w:val="1"/>
      <w:marLeft w:val="0"/>
      <w:marRight w:val="0"/>
      <w:marTop w:val="0"/>
      <w:marBottom w:val="0"/>
      <w:divBdr>
        <w:top w:val="none" w:sz="0" w:space="0" w:color="auto"/>
        <w:left w:val="none" w:sz="0" w:space="0" w:color="auto"/>
        <w:bottom w:val="none" w:sz="0" w:space="0" w:color="auto"/>
        <w:right w:val="none" w:sz="0" w:space="0" w:color="auto"/>
      </w:divBdr>
    </w:div>
    <w:div w:id="487600202">
      <w:bodyDiv w:val="1"/>
      <w:marLeft w:val="0"/>
      <w:marRight w:val="0"/>
      <w:marTop w:val="0"/>
      <w:marBottom w:val="0"/>
      <w:divBdr>
        <w:top w:val="none" w:sz="0" w:space="0" w:color="auto"/>
        <w:left w:val="none" w:sz="0" w:space="0" w:color="auto"/>
        <w:bottom w:val="none" w:sz="0" w:space="0" w:color="auto"/>
        <w:right w:val="none" w:sz="0" w:space="0" w:color="auto"/>
      </w:divBdr>
    </w:div>
    <w:div w:id="570384099">
      <w:bodyDiv w:val="1"/>
      <w:marLeft w:val="0"/>
      <w:marRight w:val="0"/>
      <w:marTop w:val="0"/>
      <w:marBottom w:val="0"/>
      <w:divBdr>
        <w:top w:val="none" w:sz="0" w:space="0" w:color="auto"/>
        <w:left w:val="none" w:sz="0" w:space="0" w:color="auto"/>
        <w:bottom w:val="none" w:sz="0" w:space="0" w:color="auto"/>
        <w:right w:val="none" w:sz="0" w:space="0" w:color="auto"/>
      </w:divBdr>
    </w:div>
    <w:div w:id="575477849">
      <w:bodyDiv w:val="1"/>
      <w:marLeft w:val="0"/>
      <w:marRight w:val="0"/>
      <w:marTop w:val="0"/>
      <w:marBottom w:val="0"/>
      <w:divBdr>
        <w:top w:val="none" w:sz="0" w:space="0" w:color="auto"/>
        <w:left w:val="none" w:sz="0" w:space="0" w:color="auto"/>
        <w:bottom w:val="none" w:sz="0" w:space="0" w:color="auto"/>
        <w:right w:val="none" w:sz="0" w:space="0" w:color="auto"/>
      </w:divBdr>
    </w:div>
    <w:div w:id="637492937">
      <w:bodyDiv w:val="1"/>
      <w:marLeft w:val="0"/>
      <w:marRight w:val="0"/>
      <w:marTop w:val="0"/>
      <w:marBottom w:val="0"/>
      <w:divBdr>
        <w:top w:val="none" w:sz="0" w:space="0" w:color="auto"/>
        <w:left w:val="none" w:sz="0" w:space="0" w:color="auto"/>
        <w:bottom w:val="none" w:sz="0" w:space="0" w:color="auto"/>
        <w:right w:val="none" w:sz="0" w:space="0" w:color="auto"/>
      </w:divBdr>
    </w:div>
    <w:div w:id="645937312">
      <w:bodyDiv w:val="1"/>
      <w:marLeft w:val="0"/>
      <w:marRight w:val="0"/>
      <w:marTop w:val="0"/>
      <w:marBottom w:val="0"/>
      <w:divBdr>
        <w:top w:val="none" w:sz="0" w:space="0" w:color="auto"/>
        <w:left w:val="none" w:sz="0" w:space="0" w:color="auto"/>
        <w:bottom w:val="none" w:sz="0" w:space="0" w:color="auto"/>
        <w:right w:val="none" w:sz="0" w:space="0" w:color="auto"/>
      </w:divBdr>
    </w:div>
    <w:div w:id="651838639">
      <w:bodyDiv w:val="1"/>
      <w:marLeft w:val="0"/>
      <w:marRight w:val="0"/>
      <w:marTop w:val="0"/>
      <w:marBottom w:val="0"/>
      <w:divBdr>
        <w:top w:val="none" w:sz="0" w:space="0" w:color="auto"/>
        <w:left w:val="none" w:sz="0" w:space="0" w:color="auto"/>
        <w:bottom w:val="none" w:sz="0" w:space="0" w:color="auto"/>
        <w:right w:val="none" w:sz="0" w:space="0" w:color="auto"/>
      </w:divBdr>
    </w:div>
    <w:div w:id="652947200">
      <w:bodyDiv w:val="1"/>
      <w:marLeft w:val="0"/>
      <w:marRight w:val="0"/>
      <w:marTop w:val="0"/>
      <w:marBottom w:val="0"/>
      <w:divBdr>
        <w:top w:val="none" w:sz="0" w:space="0" w:color="auto"/>
        <w:left w:val="none" w:sz="0" w:space="0" w:color="auto"/>
        <w:bottom w:val="none" w:sz="0" w:space="0" w:color="auto"/>
        <w:right w:val="none" w:sz="0" w:space="0" w:color="auto"/>
      </w:divBdr>
    </w:div>
    <w:div w:id="885069366">
      <w:bodyDiv w:val="1"/>
      <w:marLeft w:val="0"/>
      <w:marRight w:val="0"/>
      <w:marTop w:val="0"/>
      <w:marBottom w:val="0"/>
      <w:divBdr>
        <w:top w:val="none" w:sz="0" w:space="0" w:color="auto"/>
        <w:left w:val="none" w:sz="0" w:space="0" w:color="auto"/>
        <w:bottom w:val="none" w:sz="0" w:space="0" w:color="auto"/>
        <w:right w:val="none" w:sz="0" w:space="0" w:color="auto"/>
      </w:divBdr>
    </w:div>
    <w:div w:id="940260840">
      <w:bodyDiv w:val="1"/>
      <w:marLeft w:val="0"/>
      <w:marRight w:val="0"/>
      <w:marTop w:val="0"/>
      <w:marBottom w:val="0"/>
      <w:divBdr>
        <w:top w:val="none" w:sz="0" w:space="0" w:color="auto"/>
        <w:left w:val="none" w:sz="0" w:space="0" w:color="auto"/>
        <w:bottom w:val="none" w:sz="0" w:space="0" w:color="auto"/>
        <w:right w:val="none" w:sz="0" w:space="0" w:color="auto"/>
      </w:divBdr>
    </w:div>
    <w:div w:id="1290554684">
      <w:bodyDiv w:val="1"/>
      <w:marLeft w:val="0"/>
      <w:marRight w:val="0"/>
      <w:marTop w:val="0"/>
      <w:marBottom w:val="0"/>
      <w:divBdr>
        <w:top w:val="none" w:sz="0" w:space="0" w:color="auto"/>
        <w:left w:val="none" w:sz="0" w:space="0" w:color="auto"/>
        <w:bottom w:val="none" w:sz="0" w:space="0" w:color="auto"/>
        <w:right w:val="none" w:sz="0" w:space="0" w:color="auto"/>
      </w:divBdr>
    </w:div>
    <w:div w:id="1508516999">
      <w:bodyDiv w:val="1"/>
      <w:marLeft w:val="0"/>
      <w:marRight w:val="0"/>
      <w:marTop w:val="0"/>
      <w:marBottom w:val="0"/>
      <w:divBdr>
        <w:top w:val="none" w:sz="0" w:space="0" w:color="auto"/>
        <w:left w:val="none" w:sz="0" w:space="0" w:color="auto"/>
        <w:bottom w:val="none" w:sz="0" w:space="0" w:color="auto"/>
        <w:right w:val="none" w:sz="0" w:space="0" w:color="auto"/>
      </w:divBdr>
    </w:div>
    <w:div w:id="1518928645">
      <w:bodyDiv w:val="1"/>
      <w:marLeft w:val="0"/>
      <w:marRight w:val="0"/>
      <w:marTop w:val="0"/>
      <w:marBottom w:val="0"/>
      <w:divBdr>
        <w:top w:val="none" w:sz="0" w:space="0" w:color="auto"/>
        <w:left w:val="none" w:sz="0" w:space="0" w:color="auto"/>
        <w:bottom w:val="none" w:sz="0" w:space="0" w:color="auto"/>
        <w:right w:val="none" w:sz="0" w:space="0" w:color="auto"/>
      </w:divBdr>
    </w:div>
    <w:div w:id="1549032019">
      <w:bodyDiv w:val="1"/>
      <w:marLeft w:val="0"/>
      <w:marRight w:val="0"/>
      <w:marTop w:val="0"/>
      <w:marBottom w:val="0"/>
      <w:divBdr>
        <w:top w:val="none" w:sz="0" w:space="0" w:color="auto"/>
        <w:left w:val="none" w:sz="0" w:space="0" w:color="auto"/>
        <w:bottom w:val="none" w:sz="0" w:space="0" w:color="auto"/>
        <w:right w:val="none" w:sz="0" w:space="0" w:color="auto"/>
      </w:divBdr>
    </w:div>
    <w:div w:id="1642347204">
      <w:bodyDiv w:val="1"/>
      <w:marLeft w:val="0"/>
      <w:marRight w:val="0"/>
      <w:marTop w:val="0"/>
      <w:marBottom w:val="0"/>
      <w:divBdr>
        <w:top w:val="none" w:sz="0" w:space="0" w:color="auto"/>
        <w:left w:val="none" w:sz="0" w:space="0" w:color="auto"/>
        <w:bottom w:val="none" w:sz="0" w:space="0" w:color="auto"/>
        <w:right w:val="none" w:sz="0" w:space="0" w:color="auto"/>
      </w:divBdr>
    </w:div>
    <w:div w:id="1649096099">
      <w:bodyDiv w:val="1"/>
      <w:marLeft w:val="0"/>
      <w:marRight w:val="0"/>
      <w:marTop w:val="0"/>
      <w:marBottom w:val="0"/>
      <w:divBdr>
        <w:top w:val="none" w:sz="0" w:space="0" w:color="auto"/>
        <w:left w:val="none" w:sz="0" w:space="0" w:color="auto"/>
        <w:bottom w:val="none" w:sz="0" w:space="0" w:color="auto"/>
        <w:right w:val="none" w:sz="0" w:space="0" w:color="auto"/>
      </w:divBdr>
    </w:div>
    <w:div w:id="1660377858">
      <w:bodyDiv w:val="1"/>
      <w:marLeft w:val="0"/>
      <w:marRight w:val="0"/>
      <w:marTop w:val="0"/>
      <w:marBottom w:val="0"/>
      <w:divBdr>
        <w:top w:val="none" w:sz="0" w:space="0" w:color="auto"/>
        <w:left w:val="none" w:sz="0" w:space="0" w:color="auto"/>
        <w:bottom w:val="none" w:sz="0" w:space="0" w:color="auto"/>
        <w:right w:val="none" w:sz="0" w:space="0" w:color="auto"/>
      </w:divBdr>
    </w:div>
    <w:div w:id="1665086999">
      <w:bodyDiv w:val="1"/>
      <w:marLeft w:val="0"/>
      <w:marRight w:val="0"/>
      <w:marTop w:val="0"/>
      <w:marBottom w:val="0"/>
      <w:divBdr>
        <w:top w:val="none" w:sz="0" w:space="0" w:color="auto"/>
        <w:left w:val="none" w:sz="0" w:space="0" w:color="auto"/>
        <w:bottom w:val="none" w:sz="0" w:space="0" w:color="auto"/>
        <w:right w:val="none" w:sz="0" w:space="0" w:color="auto"/>
      </w:divBdr>
    </w:div>
    <w:div w:id="1676150086">
      <w:bodyDiv w:val="1"/>
      <w:marLeft w:val="0"/>
      <w:marRight w:val="0"/>
      <w:marTop w:val="0"/>
      <w:marBottom w:val="0"/>
      <w:divBdr>
        <w:top w:val="none" w:sz="0" w:space="0" w:color="auto"/>
        <w:left w:val="none" w:sz="0" w:space="0" w:color="auto"/>
        <w:bottom w:val="none" w:sz="0" w:space="0" w:color="auto"/>
        <w:right w:val="none" w:sz="0" w:space="0" w:color="auto"/>
      </w:divBdr>
    </w:div>
    <w:div w:id="1821650167">
      <w:bodyDiv w:val="1"/>
      <w:marLeft w:val="0"/>
      <w:marRight w:val="0"/>
      <w:marTop w:val="0"/>
      <w:marBottom w:val="0"/>
      <w:divBdr>
        <w:top w:val="none" w:sz="0" w:space="0" w:color="auto"/>
        <w:left w:val="none" w:sz="0" w:space="0" w:color="auto"/>
        <w:bottom w:val="none" w:sz="0" w:space="0" w:color="auto"/>
        <w:right w:val="none" w:sz="0" w:space="0" w:color="auto"/>
      </w:divBdr>
    </w:div>
    <w:div w:id="1821730384">
      <w:bodyDiv w:val="1"/>
      <w:marLeft w:val="0"/>
      <w:marRight w:val="0"/>
      <w:marTop w:val="0"/>
      <w:marBottom w:val="0"/>
      <w:divBdr>
        <w:top w:val="none" w:sz="0" w:space="0" w:color="auto"/>
        <w:left w:val="none" w:sz="0" w:space="0" w:color="auto"/>
        <w:bottom w:val="none" w:sz="0" w:space="0" w:color="auto"/>
        <w:right w:val="none" w:sz="0" w:space="0" w:color="auto"/>
      </w:divBdr>
    </w:div>
    <w:div w:id="2010713452">
      <w:bodyDiv w:val="1"/>
      <w:marLeft w:val="0"/>
      <w:marRight w:val="0"/>
      <w:marTop w:val="0"/>
      <w:marBottom w:val="0"/>
      <w:divBdr>
        <w:top w:val="none" w:sz="0" w:space="0" w:color="auto"/>
        <w:left w:val="none" w:sz="0" w:space="0" w:color="auto"/>
        <w:bottom w:val="none" w:sz="0" w:space="0" w:color="auto"/>
        <w:right w:val="none" w:sz="0" w:space="0" w:color="auto"/>
      </w:divBdr>
    </w:div>
    <w:div w:id="2013794231">
      <w:bodyDiv w:val="1"/>
      <w:marLeft w:val="0"/>
      <w:marRight w:val="0"/>
      <w:marTop w:val="0"/>
      <w:marBottom w:val="0"/>
      <w:divBdr>
        <w:top w:val="none" w:sz="0" w:space="0" w:color="auto"/>
        <w:left w:val="none" w:sz="0" w:space="0" w:color="auto"/>
        <w:bottom w:val="none" w:sz="0" w:space="0" w:color="auto"/>
        <w:right w:val="none" w:sz="0" w:space="0" w:color="auto"/>
      </w:divBdr>
    </w:div>
    <w:div w:id="2136487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g2@lsbu.ac.uk" TargetMode="External"/><Relationship Id="rId13" Type="http://schemas.openxmlformats.org/officeDocument/2006/relationships/hyperlink" Target="http://oxrep.oxfordjournals.org/content/24/1.t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xrep.oxfordjournal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ngdi.com.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ichael4@lsbu.ac.uk" TargetMode="External"/><Relationship Id="rId14" Type="http://schemas.openxmlformats.org/officeDocument/2006/relationships/hyperlink" Target="http://www.people.com.cn/GB/shizheng/1027/308285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E95A5-B207-4B92-AC71-09863099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6902</Words>
  <Characters>39348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 LIU</dc:creator>
  <cp:lastModifiedBy>Bowman, Cassandra 3</cp:lastModifiedBy>
  <cp:revision>3</cp:revision>
  <cp:lastPrinted>2015-11-07T11:50:00Z</cp:lastPrinted>
  <dcterms:created xsi:type="dcterms:W3CDTF">2019-10-28T13:16:00Z</dcterms:created>
  <dcterms:modified xsi:type="dcterms:W3CDTF">2019-10-28T13:16:00Z</dcterms:modified>
</cp:coreProperties>
</file>