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CCC6" w14:textId="77777777" w:rsidR="008A53F9" w:rsidRDefault="008A53F9" w:rsidP="00311445">
      <w:pPr>
        <w:rPr>
          <w:rFonts w:ascii="Gill Sans MT" w:hAnsi="Gill Sans MT"/>
          <w:b/>
          <w:bCs/>
          <w:sz w:val="28"/>
          <w:szCs w:val="28"/>
        </w:rPr>
      </w:pPr>
    </w:p>
    <w:p w14:paraId="0DF726F7" w14:textId="6C32563F" w:rsidR="00924794" w:rsidRDefault="00FB3ED1" w:rsidP="004D351A">
      <w:pPr>
        <w:jc w:val="center"/>
        <w:rPr>
          <w:rFonts w:ascii="Gill Sans MT" w:hAnsi="Gill Sans MT"/>
        </w:rPr>
      </w:pPr>
      <w:r>
        <w:rPr>
          <w:rFonts w:ascii="Gill Sans MT" w:hAnsi="Gill Sans MT"/>
          <w:b/>
          <w:bCs/>
          <w:sz w:val="28"/>
          <w:szCs w:val="28"/>
        </w:rPr>
        <w:t xml:space="preserve">INTRODUCTION: </w:t>
      </w:r>
      <w:r w:rsidR="004D351A" w:rsidRPr="00AF55B0">
        <w:rPr>
          <w:rFonts w:ascii="Gill Sans MT" w:hAnsi="Gill Sans MT"/>
          <w:b/>
          <w:bCs/>
          <w:sz w:val="28"/>
          <w:szCs w:val="28"/>
        </w:rPr>
        <w:t>CONSTRUCTING AND CONTESTING VICTIMHOOD IN GLOBAL POLITICS</w:t>
      </w:r>
    </w:p>
    <w:p w14:paraId="2D12F7F4" w14:textId="50AD7943" w:rsidR="00924794" w:rsidRDefault="00924794" w:rsidP="004D351A">
      <w:pPr>
        <w:jc w:val="center"/>
        <w:rPr>
          <w:rFonts w:ascii="Gill Sans MT" w:hAnsi="Gill Sans MT"/>
          <w:sz w:val="28"/>
          <w:szCs w:val="28"/>
        </w:rPr>
      </w:pPr>
    </w:p>
    <w:p w14:paraId="2A11E52B" w14:textId="77777777" w:rsidR="00C40200" w:rsidRPr="00AF55B0" w:rsidRDefault="00C40200" w:rsidP="004D351A">
      <w:pPr>
        <w:jc w:val="center"/>
        <w:rPr>
          <w:rFonts w:ascii="Gill Sans MT" w:hAnsi="Gill Sans MT"/>
          <w:sz w:val="28"/>
          <w:szCs w:val="28"/>
        </w:rPr>
      </w:pPr>
    </w:p>
    <w:p w14:paraId="5A6CF022" w14:textId="7149145B" w:rsidR="004D351A" w:rsidRDefault="00C40200" w:rsidP="00960375">
      <w:pPr>
        <w:rPr>
          <w:rFonts w:ascii="Gill Sans MT" w:hAnsi="Gill Sans MT"/>
        </w:rPr>
      </w:pPr>
      <w:r>
        <w:rPr>
          <w:rFonts w:ascii="Gill Sans MT" w:hAnsi="Gill Sans MT"/>
        </w:rPr>
        <w:t xml:space="preserve">Clara Eroukhmanoff (London South Bank University), </w:t>
      </w:r>
      <w:hyperlink r:id="rId8" w:history="1">
        <w:r w:rsidRPr="000D3571">
          <w:rPr>
            <w:rStyle w:val="Hyperlink"/>
            <w:rFonts w:ascii="Gill Sans MT" w:hAnsi="Gill Sans MT"/>
          </w:rPr>
          <w:t>eroukhmc@lsbu.ac.uk</w:t>
        </w:r>
      </w:hyperlink>
    </w:p>
    <w:p w14:paraId="5DA3B1B0" w14:textId="1156F97A" w:rsidR="00C40200" w:rsidRDefault="00C40200" w:rsidP="00960375">
      <w:pPr>
        <w:rPr>
          <w:rFonts w:ascii="Gill Sans MT" w:hAnsi="Gill Sans MT"/>
        </w:rPr>
      </w:pPr>
      <w:r>
        <w:rPr>
          <w:rFonts w:ascii="Gill Sans MT" w:hAnsi="Gill Sans MT"/>
        </w:rPr>
        <w:t xml:space="preserve">Alister Wedderburn (University of Glasgow, corresponding author), </w:t>
      </w:r>
      <w:hyperlink r:id="rId9" w:history="1">
        <w:r w:rsidRPr="000D3571">
          <w:rPr>
            <w:rStyle w:val="Hyperlink"/>
            <w:rFonts w:ascii="Gill Sans MT" w:hAnsi="Gill Sans MT"/>
          </w:rPr>
          <w:t>alister.wedderburn@glasgow.ac.uk</w:t>
        </w:r>
      </w:hyperlink>
      <w:r>
        <w:rPr>
          <w:rFonts w:ascii="Gill Sans MT" w:hAnsi="Gill Sans MT"/>
        </w:rPr>
        <w:t xml:space="preserve"> </w:t>
      </w:r>
    </w:p>
    <w:p w14:paraId="3071BD8B" w14:textId="588EBA4A" w:rsidR="00C40200" w:rsidRDefault="00C40200" w:rsidP="00C40200">
      <w:pPr>
        <w:rPr>
          <w:rFonts w:ascii="Gill Sans MT" w:hAnsi="Gill Sans MT"/>
        </w:rPr>
      </w:pPr>
    </w:p>
    <w:p w14:paraId="768D9D9E" w14:textId="77777777" w:rsidR="00C40200" w:rsidRDefault="00C40200" w:rsidP="00C40200">
      <w:pPr>
        <w:rPr>
          <w:rFonts w:ascii="Gill Sans MT" w:hAnsi="Gill Sans MT"/>
        </w:rPr>
      </w:pPr>
    </w:p>
    <w:p w14:paraId="7A9BB470" w14:textId="034CE089" w:rsidR="00C40200" w:rsidRPr="00C40200" w:rsidRDefault="00C40200" w:rsidP="00C40200">
      <w:pPr>
        <w:rPr>
          <w:rFonts w:ascii="Gill Sans MT" w:hAnsi="Gill Sans MT"/>
          <w:b/>
          <w:bCs/>
        </w:rPr>
      </w:pPr>
      <w:r>
        <w:rPr>
          <w:rFonts w:ascii="Gill Sans MT" w:hAnsi="Gill Sans MT"/>
          <w:b/>
          <w:bCs/>
        </w:rPr>
        <w:t>ACKNOWLEDGMENTS</w:t>
      </w:r>
    </w:p>
    <w:p w14:paraId="43AB7877" w14:textId="154C9A19" w:rsidR="00C40200" w:rsidRPr="00C40200" w:rsidRDefault="00C40200" w:rsidP="00C40200">
      <w:pPr>
        <w:jc w:val="both"/>
        <w:rPr>
          <w:rFonts w:ascii="Gill Sans MT" w:hAnsi="Gill Sans MT"/>
        </w:rPr>
      </w:pPr>
      <w:r>
        <w:rPr>
          <w:rFonts w:ascii="Gill Sans MT" w:hAnsi="Gill Sans MT"/>
        </w:rPr>
        <w:t xml:space="preserve">This Symposium </w:t>
      </w:r>
      <w:r w:rsidR="00F5625C">
        <w:rPr>
          <w:rFonts w:ascii="Gill Sans MT" w:hAnsi="Gill Sans MT"/>
        </w:rPr>
        <w:t>arose</w:t>
      </w:r>
      <w:r>
        <w:rPr>
          <w:rFonts w:ascii="Gill Sans MT" w:hAnsi="Gill Sans MT"/>
        </w:rPr>
        <w:t xml:space="preserve"> out of a set of conversations that began all the way back in 2020. We would like to thank all of the contributors for their care, attention and input</w:t>
      </w:r>
      <w:r w:rsidR="00C3389B">
        <w:rPr>
          <w:rFonts w:ascii="Gill Sans MT" w:hAnsi="Gill Sans MT"/>
        </w:rPr>
        <w:t xml:space="preserve"> throughout this period.</w:t>
      </w:r>
      <w:r>
        <w:rPr>
          <w:rFonts w:ascii="Gill Sans MT" w:hAnsi="Gill Sans MT"/>
        </w:rPr>
        <w:t xml:space="preserve"> </w:t>
      </w:r>
      <w:r w:rsidR="00C3389B">
        <w:rPr>
          <w:rFonts w:ascii="Gill Sans MT" w:hAnsi="Gill Sans MT"/>
        </w:rPr>
        <w:t>Our t</w:t>
      </w:r>
      <w:r>
        <w:rPr>
          <w:rFonts w:ascii="Gill Sans MT" w:hAnsi="Gill Sans MT"/>
        </w:rPr>
        <w:t xml:space="preserve">hanks are also due to </w:t>
      </w:r>
      <w:r>
        <w:rPr>
          <w:rFonts w:ascii="Gill Sans MT" w:hAnsi="Gill Sans MT"/>
          <w:i/>
          <w:iCs/>
        </w:rPr>
        <w:t>Polity</w:t>
      </w:r>
      <w:r>
        <w:rPr>
          <w:rFonts w:ascii="Gill Sans MT" w:hAnsi="Gill Sans MT"/>
        </w:rPr>
        <w:t xml:space="preserve">’s editorial team, whose constructive, critical feedback improved this introduction immeasurably. </w:t>
      </w:r>
      <w:r w:rsidR="00C3389B">
        <w:rPr>
          <w:rFonts w:ascii="Gill Sans MT" w:hAnsi="Gill Sans MT"/>
        </w:rPr>
        <w:t xml:space="preserve">Finally, our </w:t>
      </w:r>
      <w:r>
        <w:rPr>
          <w:rFonts w:ascii="Gill Sans MT" w:hAnsi="Gill Sans MT"/>
        </w:rPr>
        <w:t>names are listed in alphabetical order by surname. Equal authorship is implied.</w:t>
      </w:r>
    </w:p>
    <w:p w14:paraId="2E3843F4" w14:textId="3F93A9E1" w:rsidR="00C40200" w:rsidRDefault="00C40200" w:rsidP="00C40200">
      <w:pPr>
        <w:jc w:val="both"/>
        <w:rPr>
          <w:rFonts w:ascii="Gill Sans MT" w:hAnsi="Gill Sans MT"/>
        </w:rPr>
      </w:pPr>
    </w:p>
    <w:p w14:paraId="1EE8E618" w14:textId="36C07CD6" w:rsidR="00C40200" w:rsidRDefault="00C40200" w:rsidP="00C40200">
      <w:pPr>
        <w:jc w:val="both"/>
        <w:rPr>
          <w:rFonts w:ascii="Gill Sans MT" w:hAnsi="Gill Sans MT"/>
        </w:rPr>
      </w:pPr>
    </w:p>
    <w:p w14:paraId="78F16C16" w14:textId="77777777" w:rsidR="00F5625C" w:rsidRDefault="00F5625C" w:rsidP="00FB3ED1">
      <w:pPr>
        <w:spacing w:line="480" w:lineRule="auto"/>
        <w:jc w:val="both"/>
        <w:rPr>
          <w:rFonts w:ascii="Gill Sans MT" w:hAnsi="Gill Sans MT"/>
        </w:rPr>
      </w:pPr>
    </w:p>
    <w:p w14:paraId="41D11F15" w14:textId="4E33377D" w:rsidR="00D26E36" w:rsidRDefault="004D351A" w:rsidP="00FB3ED1">
      <w:pPr>
        <w:spacing w:line="480" w:lineRule="auto"/>
        <w:jc w:val="both"/>
        <w:rPr>
          <w:rFonts w:ascii="Gill Sans MT" w:hAnsi="Gill Sans MT"/>
        </w:rPr>
      </w:pPr>
      <w:r w:rsidRPr="00AF55B0">
        <w:rPr>
          <w:rFonts w:ascii="Gill Sans MT" w:hAnsi="Gill Sans MT"/>
        </w:rPr>
        <w:t>Questions about who can and cannot be considered a victi</w:t>
      </w:r>
      <w:r>
        <w:rPr>
          <w:rFonts w:ascii="Gill Sans MT" w:hAnsi="Gill Sans MT"/>
        </w:rPr>
        <w:t>m</w:t>
      </w:r>
      <w:r w:rsidRPr="00AF55B0">
        <w:rPr>
          <w:rFonts w:ascii="Gill Sans MT" w:hAnsi="Gill Sans MT"/>
        </w:rPr>
        <w:t xml:space="preserve"> permeate almost all efforts to describe, map, legislate, resist and/or dismantle harms both specific and systemic in nature. Discourses of victimhood inform individual, group and national identities, shape peacebuilding and transitional justice programmes, and set the boundaries of debate about migration, sex work, crime, empire and much else besides.</w:t>
      </w:r>
      <w:r w:rsidRPr="001E6DEF">
        <w:rPr>
          <w:rStyle w:val="FootnoteReference"/>
          <w:rFonts w:ascii="Gill Sans MT" w:hAnsi="Gill Sans MT"/>
        </w:rPr>
        <w:footnoteReference w:id="1"/>
      </w:r>
      <w:r w:rsidR="00303698">
        <w:rPr>
          <w:rFonts w:ascii="Gill Sans MT" w:hAnsi="Gill Sans MT"/>
        </w:rPr>
        <w:t xml:space="preserve"> </w:t>
      </w:r>
      <w:r w:rsidR="00FB3ED1">
        <w:rPr>
          <w:rFonts w:ascii="Gill Sans MT" w:hAnsi="Gill Sans MT"/>
        </w:rPr>
        <w:t>These formations</w:t>
      </w:r>
      <w:r w:rsidR="002A4AE3">
        <w:rPr>
          <w:rFonts w:ascii="Gill Sans MT" w:hAnsi="Gill Sans MT"/>
        </w:rPr>
        <w:t xml:space="preserve"> are</w:t>
      </w:r>
      <w:r w:rsidR="00D26E36">
        <w:rPr>
          <w:rFonts w:ascii="Gill Sans MT" w:hAnsi="Gill Sans MT"/>
        </w:rPr>
        <w:t xml:space="preserve"> not </w:t>
      </w:r>
      <w:r w:rsidR="00C3389B">
        <w:rPr>
          <w:rFonts w:ascii="Gill Sans MT" w:hAnsi="Gill Sans MT"/>
        </w:rPr>
        <w:t xml:space="preserve">wholly </w:t>
      </w:r>
      <w:r w:rsidR="005A1F9F">
        <w:rPr>
          <w:rFonts w:ascii="Gill Sans MT" w:hAnsi="Gill Sans MT"/>
        </w:rPr>
        <w:t>specific to our present moment</w:t>
      </w:r>
      <w:r w:rsidR="0046512B">
        <w:rPr>
          <w:rFonts w:ascii="Gill Sans MT" w:hAnsi="Gill Sans MT"/>
        </w:rPr>
        <w:t>, of course</w:t>
      </w:r>
      <w:r w:rsidR="00D26E36">
        <w:rPr>
          <w:rFonts w:ascii="Gill Sans MT" w:hAnsi="Gill Sans MT"/>
        </w:rPr>
        <w:t xml:space="preserve">: </w:t>
      </w:r>
      <w:r w:rsidR="00AA14B1">
        <w:rPr>
          <w:rFonts w:ascii="Gill Sans MT" w:hAnsi="Gill Sans MT"/>
        </w:rPr>
        <w:t xml:space="preserve">Alyson Cole has described how </w:t>
      </w:r>
      <w:r w:rsidR="00D26E36">
        <w:rPr>
          <w:rFonts w:ascii="Gill Sans MT" w:hAnsi="Gill Sans MT"/>
        </w:rPr>
        <w:t xml:space="preserve">the </w:t>
      </w:r>
      <w:r w:rsidR="00AA14B1">
        <w:rPr>
          <w:rFonts w:ascii="Gill Sans MT" w:hAnsi="Gill Sans MT"/>
        </w:rPr>
        <w:t xml:space="preserve">1970s </w:t>
      </w:r>
      <w:r w:rsidR="00D26E36">
        <w:rPr>
          <w:rFonts w:ascii="Gill Sans MT" w:hAnsi="Gill Sans MT"/>
        </w:rPr>
        <w:t xml:space="preserve">“war on welfare” </w:t>
      </w:r>
      <w:r w:rsidR="00093B6C">
        <w:rPr>
          <w:rFonts w:ascii="Gill Sans MT" w:hAnsi="Gill Sans MT"/>
        </w:rPr>
        <w:t>identified</w:t>
      </w:r>
      <w:r w:rsidR="00D26E36">
        <w:rPr>
          <w:rFonts w:ascii="Gill Sans MT" w:hAnsi="Gill Sans MT"/>
        </w:rPr>
        <w:t xml:space="preserve"> “victimists” unwilling</w:t>
      </w:r>
      <w:r w:rsidR="00AA14B1">
        <w:rPr>
          <w:rFonts w:ascii="Gill Sans MT" w:hAnsi="Gill Sans MT"/>
        </w:rPr>
        <w:t xml:space="preserve"> or unable</w:t>
      </w:r>
      <w:r w:rsidR="00D26E36">
        <w:rPr>
          <w:rFonts w:ascii="Gill Sans MT" w:hAnsi="Gill Sans MT"/>
        </w:rPr>
        <w:t xml:space="preserve"> to adopt neoliberal postures of self-reliance</w:t>
      </w:r>
      <w:r w:rsidR="00741E93">
        <w:rPr>
          <w:rFonts w:ascii="Gill Sans MT" w:hAnsi="Gill Sans MT"/>
        </w:rPr>
        <w:t xml:space="preserve">, pitting </w:t>
      </w:r>
      <w:r w:rsidR="00093B6C">
        <w:rPr>
          <w:rFonts w:ascii="Gill Sans MT" w:hAnsi="Gill Sans MT"/>
        </w:rPr>
        <w:t>them against</w:t>
      </w:r>
      <w:r w:rsidR="00D26E36">
        <w:rPr>
          <w:rFonts w:ascii="Gill Sans MT" w:hAnsi="Gill Sans MT"/>
        </w:rPr>
        <w:t xml:space="preserve"> “anti-victimist” conservatives who </w:t>
      </w:r>
      <w:r w:rsidR="00AA14B1">
        <w:rPr>
          <w:rFonts w:ascii="Gill Sans MT" w:hAnsi="Gill Sans MT"/>
        </w:rPr>
        <w:t xml:space="preserve">themselves claimed to be </w:t>
      </w:r>
      <w:r w:rsidR="0047690B">
        <w:rPr>
          <w:rFonts w:ascii="Gill Sans MT" w:hAnsi="Gill Sans MT"/>
        </w:rPr>
        <w:t>threatened by</w:t>
      </w:r>
      <w:r w:rsidR="00D26E36">
        <w:rPr>
          <w:rFonts w:ascii="Gill Sans MT" w:hAnsi="Gill Sans MT"/>
        </w:rPr>
        <w:t xml:space="preserve"> a feminised system of political correctness.</w:t>
      </w:r>
      <w:r w:rsidR="00D26E36">
        <w:rPr>
          <w:rStyle w:val="FootnoteReference"/>
          <w:rFonts w:ascii="Gill Sans MT" w:hAnsi="Gill Sans MT"/>
        </w:rPr>
        <w:footnoteReference w:id="2"/>
      </w:r>
      <w:r w:rsidR="00D26E36">
        <w:rPr>
          <w:rFonts w:ascii="Gill Sans MT" w:hAnsi="Gill Sans MT"/>
        </w:rPr>
        <w:t xml:space="preserve"> </w:t>
      </w:r>
      <w:r w:rsidR="00093B6C">
        <w:rPr>
          <w:rFonts w:ascii="Gill Sans MT" w:hAnsi="Gill Sans MT"/>
        </w:rPr>
        <w:t>Nevertheless, in recent years</w:t>
      </w:r>
      <w:r w:rsidR="00F53BB8">
        <w:rPr>
          <w:rFonts w:ascii="Gill Sans MT" w:hAnsi="Gill Sans MT"/>
        </w:rPr>
        <w:t xml:space="preserve"> victimhood has been</w:t>
      </w:r>
      <w:r w:rsidR="00303698">
        <w:rPr>
          <w:rFonts w:ascii="Gill Sans MT" w:hAnsi="Gill Sans MT"/>
        </w:rPr>
        <w:t xml:space="preserve"> </w:t>
      </w:r>
      <w:r w:rsidR="0047690B">
        <w:rPr>
          <w:rFonts w:ascii="Gill Sans MT" w:hAnsi="Gill Sans MT"/>
        </w:rPr>
        <w:t xml:space="preserve">prominently </w:t>
      </w:r>
      <w:r w:rsidR="00303698">
        <w:rPr>
          <w:rFonts w:ascii="Gill Sans MT" w:hAnsi="Gill Sans MT"/>
        </w:rPr>
        <w:t>weaponised</w:t>
      </w:r>
      <w:r w:rsidR="00D26E36">
        <w:rPr>
          <w:rFonts w:ascii="Gill Sans MT" w:hAnsi="Gill Sans MT"/>
        </w:rPr>
        <w:t xml:space="preserve"> as part of a </w:t>
      </w:r>
      <w:r w:rsidR="00D26E36" w:rsidRPr="00AF55B0">
        <w:rPr>
          <w:rFonts w:ascii="Gill Sans MT" w:hAnsi="Gill Sans MT"/>
        </w:rPr>
        <w:t xml:space="preserve">rising </w:t>
      </w:r>
      <w:r w:rsidR="00D26E36">
        <w:rPr>
          <w:rFonts w:ascii="Gill Sans MT" w:hAnsi="Gill Sans MT"/>
        </w:rPr>
        <w:t xml:space="preserve">tide of </w:t>
      </w:r>
      <w:r w:rsidR="00D26E36" w:rsidRPr="00AF55B0">
        <w:rPr>
          <w:rFonts w:ascii="Gill Sans MT" w:hAnsi="Gill Sans MT"/>
        </w:rPr>
        <w:t xml:space="preserve">anti-genderism, nativism, white supremacy, </w:t>
      </w:r>
      <w:r w:rsidR="00D26E36" w:rsidRPr="00AF55B0">
        <w:rPr>
          <w:rFonts w:ascii="Gill Sans MT" w:hAnsi="Gill Sans MT"/>
        </w:rPr>
        <w:lastRenderedPageBreak/>
        <w:t xml:space="preserve">and </w:t>
      </w:r>
      <w:r w:rsidR="00D26E36">
        <w:rPr>
          <w:rFonts w:ascii="Gill Sans MT" w:hAnsi="Gill Sans MT"/>
        </w:rPr>
        <w:t xml:space="preserve">other markers of the </w:t>
      </w:r>
      <w:r w:rsidR="00FB3ED1">
        <w:rPr>
          <w:rFonts w:ascii="Gill Sans MT" w:hAnsi="Gill Sans MT"/>
        </w:rPr>
        <w:t xml:space="preserve">far right’s </w:t>
      </w:r>
      <w:r w:rsidR="00D26E36">
        <w:rPr>
          <w:rFonts w:ascii="Gill Sans MT" w:hAnsi="Gill Sans MT"/>
        </w:rPr>
        <w:t>ongoing resurgence.</w:t>
      </w:r>
      <w:r w:rsidR="00D26E36">
        <w:rPr>
          <w:rStyle w:val="FootnoteReference"/>
          <w:rFonts w:ascii="Gill Sans MT" w:hAnsi="Gill Sans MT"/>
        </w:rPr>
        <w:footnoteReference w:id="3"/>
      </w:r>
      <w:r w:rsidR="00D26E36">
        <w:rPr>
          <w:rFonts w:ascii="Gill Sans MT" w:hAnsi="Gill Sans MT"/>
        </w:rPr>
        <w:t xml:space="preserve"> As Chouliaraki and Banet-Weiser </w:t>
      </w:r>
      <w:r w:rsidR="005A1F9F">
        <w:rPr>
          <w:rFonts w:ascii="Gill Sans MT" w:hAnsi="Gill Sans MT"/>
        </w:rPr>
        <w:t>have recently suggested</w:t>
      </w:r>
      <w:r w:rsidR="00D26E36">
        <w:rPr>
          <w:rFonts w:ascii="Gill Sans MT" w:hAnsi="Gill Sans MT"/>
        </w:rPr>
        <w:t>, th</w:t>
      </w:r>
      <w:r w:rsidR="00AA14B1">
        <w:rPr>
          <w:rFonts w:ascii="Gill Sans MT" w:hAnsi="Gill Sans MT"/>
        </w:rPr>
        <w:t>is</w:t>
      </w:r>
      <w:r w:rsidR="00D26E36">
        <w:rPr>
          <w:rFonts w:ascii="Gill Sans MT" w:hAnsi="Gill Sans MT"/>
        </w:rPr>
        <w:t xml:space="preserve"> rapid and expansive proliferation of claims to victimhood warrants renewed attention</w:t>
      </w:r>
      <w:r w:rsidR="00AA14B1">
        <w:rPr>
          <w:rFonts w:ascii="Gill Sans MT" w:hAnsi="Gill Sans MT"/>
        </w:rPr>
        <w:t>.</w:t>
      </w:r>
      <w:r w:rsidR="00AA14B1">
        <w:rPr>
          <w:rStyle w:val="FootnoteReference"/>
          <w:rFonts w:ascii="Gill Sans MT" w:hAnsi="Gill Sans MT"/>
        </w:rPr>
        <w:footnoteReference w:id="4"/>
      </w:r>
    </w:p>
    <w:p w14:paraId="0039432C" w14:textId="35A2F768" w:rsidR="004D351A" w:rsidRPr="00AF55B0" w:rsidRDefault="00AA14B1" w:rsidP="00FB3ED1">
      <w:pPr>
        <w:spacing w:line="480" w:lineRule="auto"/>
        <w:ind w:firstLine="720"/>
        <w:jc w:val="both"/>
        <w:rPr>
          <w:rFonts w:ascii="Gill Sans MT" w:hAnsi="Gill Sans MT"/>
        </w:rPr>
      </w:pPr>
      <w:r>
        <w:rPr>
          <w:rFonts w:ascii="Gill Sans MT" w:hAnsi="Gill Sans MT"/>
        </w:rPr>
        <w:t>While</w:t>
      </w:r>
      <w:r w:rsidR="004D351A" w:rsidRPr="00AF55B0">
        <w:rPr>
          <w:rFonts w:ascii="Gill Sans MT" w:hAnsi="Gill Sans MT" w:cs="Calibri"/>
          <w:color w:val="000000"/>
        </w:rPr>
        <w:t xml:space="preserve"> victimhood’s appeal and resonance </w:t>
      </w:r>
      <w:r w:rsidR="00FB3ED1">
        <w:rPr>
          <w:rFonts w:ascii="Gill Sans MT" w:hAnsi="Gill Sans MT" w:cs="Calibri"/>
          <w:color w:val="000000"/>
        </w:rPr>
        <w:t>are</w:t>
      </w:r>
      <w:r w:rsidR="004D351A" w:rsidRPr="00AF55B0">
        <w:rPr>
          <w:rFonts w:ascii="Gill Sans MT" w:hAnsi="Gill Sans MT" w:cs="Calibri"/>
          <w:color w:val="000000"/>
        </w:rPr>
        <w:t xml:space="preserve"> evident in a broad range of contexts,</w:t>
      </w:r>
      <w:r w:rsidR="004D351A" w:rsidRPr="00AF55B0">
        <w:rPr>
          <w:rFonts w:ascii="Gill Sans MT" w:hAnsi="Gill Sans MT"/>
        </w:rPr>
        <w:t xml:space="preserve"> </w:t>
      </w:r>
      <w:r>
        <w:rPr>
          <w:rFonts w:ascii="Gill Sans MT" w:hAnsi="Gill Sans MT"/>
        </w:rPr>
        <w:t xml:space="preserve">however, </w:t>
      </w:r>
      <w:r w:rsidR="004D351A" w:rsidRPr="00AF55B0">
        <w:rPr>
          <w:rFonts w:ascii="Gill Sans MT" w:hAnsi="Gill Sans MT"/>
        </w:rPr>
        <w:t xml:space="preserve">its social valence once ascribed, claimed or recognised is less clear. Victimhood’s meanings are multiple, unstable and continually under contestation, in ways that not only shape the contours and boundaries of </w:t>
      </w:r>
      <w:r w:rsidR="004D351A">
        <w:rPr>
          <w:rFonts w:ascii="Gill Sans MT" w:hAnsi="Gill Sans MT"/>
        </w:rPr>
        <w:t xml:space="preserve">the </w:t>
      </w:r>
      <w:r w:rsidR="004D351A" w:rsidRPr="00AF55B0">
        <w:rPr>
          <w:rFonts w:ascii="Gill Sans MT" w:hAnsi="Gill Sans MT"/>
        </w:rPr>
        <w:t>democra</w:t>
      </w:r>
      <w:r w:rsidR="004D351A">
        <w:rPr>
          <w:rFonts w:ascii="Gill Sans MT" w:hAnsi="Gill Sans MT"/>
        </w:rPr>
        <w:t>tic state</w:t>
      </w:r>
      <w:r w:rsidR="004D351A" w:rsidRPr="00AF55B0">
        <w:rPr>
          <w:rFonts w:ascii="Gill Sans MT" w:hAnsi="Gill Sans MT"/>
        </w:rPr>
        <w:t xml:space="preserve"> but also help to redefine the academy’s function and purpose within it. Positivist claims to disinterested enquiry hold little weight here: when it comes to victimhood, scholarship – and especially critica</w:t>
      </w:r>
      <w:r w:rsidR="004D351A">
        <w:rPr>
          <w:rFonts w:ascii="Gill Sans MT" w:hAnsi="Gill Sans MT"/>
        </w:rPr>
        <w:t>l</w:t>
      </w:r>
      <w:r w:rsidR="004D351A" w:rsidRPr="00AF55B0">
        <w:rPr>
          <w:rFonts w:ascii="Gill Sans MT" w:hAnsi="Gill Sans MT"/>
        </w:rPr>
        <w:t xml:space="preserve"> traditions of scholarship – sit at the eye of the storm.</w:t>
      </w:r>
    </w:p>
    <w:p w14:paraId="2FD2998C" w14:textId="77777777" w:rsidR="004D351A" w:rsidRPr="001E6DEF" w:rsidRDefault="004D351A" w:rsidP="00FB3ED1">
      <w:pPr>
        <w:spacing w:line="480" w:lineRule="auto"/>
        <w:ind w:firstLine="720"/>
        <w:jc w:val="both"/>
        <w:rPr>
          <w:rFonts w:ascii="Gill Sans MT" w:hAnsi="Gill Sans MT"/>
        </w:rPr>
      </w:pPr>
      <w:r w:rsidRPr="00AF55B0">
        <w:rPr>
          <w:rFonts w:ascii="Gill Sans MT" w:hAnsi="Gill Sans MT"/>
        </w:rPr>
        <w:t xml:space="preserve">An example: in 2018, the magazine </w:t>
      </w:r>
      <w:r w:rsidRPr="00AF55B0">
        <w:rPr>
          <w:rFonts w:ascii="Gill Sans MT" w:hAnsi="Gill Sans MT"/>
          <w:i/>
          <w:iCs/>
        </w:rPr>
        <w:t>Areo</w:t>
      </w:r>
      <w:r w:rsidRPr="00AF55B0">
        <w:rPr>
          <w:rFonts w:ascii="Gill Sans MT" w:hAnsi="Gill Sans MT"/>
        </w:rPr>
        <w:t xml:space="preserve"> published an article entitled </w:t>
      </w:r>
      <w:r>
        <w:rPr>
          <w:rFonts w:ascii="Gill Sans MT" w:hAnsi="Gill Sans MT"/>
        </w:rPr>
        <w:t>“</w:t>
      </w:r>
      <w:r w:rsidRPr="00AF55B0">
        <w:rPr>
          <w:rFonts w:ascii="Gill Sans MT" w:hAnsi="Gill Sans MT"/>
        </w:rPr>
        <w:t>Academic Grievance Studies and the Corruption of Scholarship</w:t>
      </w:r>
      <w:r>
        <w:rPr>
          <w:rFonts w:ascii="Gill Sans MT" w:hAnsi="Gill Sans MT"/>
        </w:rPr>
        <w:t>”</w:t>
      </w:r>
      <w:r w:rsidRPr="00AF55B0">
        <w:rPr>
          <w:rFonts w:ascii="Gill Sans MT" w:hAnsi="Gill Sans MT"/>
        </w:rPr>
        <w:t>. In it, the article’s three authors revealed that they had spent the previous year submitting hoax academic papers to a range of journals, building their arguments around apparently outlandish premises and fabricating datasets in support of their conclusions. Seven of their submissions had been accepted for publication. The authors claimed their scheme had “expose[d] the reality” of what they termed “grievance studies”, which they claimed had “corrupt[ed] academic research” while becoming “fully established, if not fully dominant” within disciplines including gender studies, psychoanalysis and sociology.</w:t>
      </w:r>
      <w:r w:rsidRPr="001E6DEF">
        <w:rPr>
          <w:rStyle w:val="FootnoteReference"/>
          <w:rFonts w:ascii="Gill Sans MT" w:hAnsi="Gill Sans MT"/>
        </w:rPr>
        <w:footnoteReference w:id="5"/>
      </w:r>
      <w:r w:rsidRPr="001E6DEF">
        <w:rPr>
          <w:rFonts w:ascii="Gill Sans MT" w:hAnsi="Gill Sans MT"/>
        </w:rPr>
        <w:t xml:space="preserve"> </w:t>
      </w:r>
    </w:p>
    <w:p w14:paraId="3D5949EE" w14:textId="77777777" w:rsidR="004D351A" w:rsidRPr="001E6DEF" w:rsidRDefault="004D351A" w:rsidP="00FB3ED1">
      <w:pPr>
        <w:spacing w:line="480" w:lineRule="auto"/>
        <w:ind w:firstLine="720"/>
        <w:jc w:val="both"/>
        <w:rPr>
          <w:rFonts w:ascii="Gill Sans MT" w:hAnsi="Gill Sans MT"/>
        </w:rPr>
      </w:pPr>
      <w:r w:rsidRPr="00AF55B0">
        <w:rPr>
          <w:rFonts w:ascii="Gill Sans MT" w:hAnsi="Gill Sans MT"/>
        </w:rPr>
        <w:lastRenderedPageBreak/>
        <w:t>The “grievance studies” hoax exploited an editorial and reviewing system predicated on the good faith of its participants.</w:t>
      </w:r>
      <w:r w:rsidRPr="001E6DEF">
        <w:rPr>
          <w:rStyle w:val="FootnoteReference"/>
          <w:rFonts w:ascii="Gill Sans MT" w:hAnsi="Gill Sans MT"/>
        </w:rPr>
        <w:footnoteReference w:id="6"/>
      </w:r>
      <w:r w:rsidRPr="001E6DEF">
        <w:rPr>
          <w:rFonts w:ascii="Gill Sans MT" w:hAnsi="Gill Sans MT"/>
        </w:rPr>
        <w:t xml:space="preserve"> That such a system can be abused is</w:t>
      </w:r>
      <w:r w:rsidRPr="00AF55B0">
        <w:rPr>
          <w:rFonts w:ascii="Gill Sans MT" w:hAnsi="Gill Sans MT"/>
        </w:rPr>
        <w:t xml:space="preserve"> neither a novel insight nor a problem unique to the disciplines and journals targeted by the hoaxers.</w:t>
      </w:r>
      <w:r w:rsidRPr="001E6DEF">
        <w:rPr>
          <w:rStyle w:val="FootnoteReference"/>
          <w:rFonts w:ascii="Gill Sans MT" w:hAnsi="Gill Sans MT"/>
        </w:rPr>
        <w:footnoteReference w:id="7"/>
      </w:r>
      <w:r w:rsidRPr="001E6DEF">
        <w:rPr>
          <w:rFonts w:ascii="Gill Sans MT" w:hAnsi="Gill Sans MT"/>
        </w:rPr>
        <w:t xml:space="preserve"> Yet the </w:t>
      </w:r>
      <w:r w:rsidRPr="00AF55B0">
        <w:rPr>
          <w:rFonts w:ascii="Gill Sans MT" w:hAnsi="Gill Sans MT"/>
        </w:rPr>
        <w:t xml:space="preserve">affair nevertheless exemplifies a wider hostility towards a perceived </w:t>
      </w:r>
      <w:r>
        <w:rPr>
          <w:rFonts w:ascii="Gill Sans MT" w:hAnsi="Gill Sans MT"/>
        </w:rPr>
        <w:t>“</w:t>
      </w:r>
      <w:r w:rsidRPr="00AF55B0">
        <w:rPr>
          <w:rFonts w:ascii="Gill Sans MT" w:hAnsi="Gill Sans MT"/>
        </w:rPr>
        <w:t>culture of victimhood</w:t>
      </w:r>
      <w:r>
        <w:rPr>
          <w:rFonts w:ascii="Gill Sans MT" w:hAnsi="Gill Sans MT"/>
        </w:rPr>
        <w:t xml:space="preserve">” </w:t>
      </w:r>
      <w:r w:rsidRPr="00AF55B0">
        <w:rPr>
          <w:rFonts w:ascii="Gill Sans MT" w:hAnsi="Gill Sans MT"/>
        </w:rPr>
        <w:t>supposedly characteristic of feminist, anti-racist, queer and other critically-oriented traditions of thought and practice.</w:t>
      </w:r>
      <w:r w:rsidRPr="001E6DEF">
        <w:rPr>
          <w:rStyle w:val="FootnoteReference"/>
          <w:rFonts w:ascii="Gill Sans MT" w:hAnsi="Gill Sans MT"/>
        </w:rPr>
        <w:footnoteReference w:id="8"/>
      </w:r>
      <w:r w:rsidRPr="001E6DEF">
        <w:rPr>
          <w:rFonts w:ascii="Gill Sans MT" w:hAnsi="Gill Sans MT"/>
        </w:rPr>
        <w:t xml:space="preserve"> These sentiments found their apotheosis in</w:t>
      </w:r>
      <w:r w:rsidRPr="00AF55B0">
        <w:rPr>
          <w:rFonts w:ascii="Gill Sans MT" w:hAnsi="Gill Sans MT"/>
        </w:rPr>
        <w:t xml:space="preserve"> the </w:t>
      </w:r>
      <w:r w:rsidRPr="00AF55B0">
        <w:rPr>
          <w:rFonts w:ascii="Gill Sans MT" w:hAnsi="Gill Sans MT"/>
          <w:i/>
          <w:iCs/>
        </w:rPr>
        <w:t>1776 Report</w:t>
      </w:r>
      <w:r w:rsidRPr="00AF55B0">
        <w:rPr>
          <w:rFonts w:ascii="Gill Sans MT" w:hAnsi="Gill Sans MT"/>
        </w:rPr>
        <w:t xml:space="preserve">, commissioned by President Donald Trump and published shortly before his departure from office. Bemoaning the state of university education in the United States, the </w:t>
      </w:r>
      <w:r w:rsidRPr="00AF55B0">
        <w:rPr>
          <w:rFonts w:ascii="Gill Sans MT" w:hAnsi="Gill Sans MT"/>
          <w:i/>
          <w:iCs/>
        </w:rPr>
        <w:t>Report</w:t>
      </w:r>
      <w:r w:rsidRPr="00AF55B0">
        <w:rPr>
          <w:rFonts w:ascii="Gill Sans MT" w:hAnsi="Gill Sans MT"/>
        </w:rPr>
        <w:t xml:space="preserve"> called “all Americans [to] reject false and fashionable ideologies that… tell America’s story solely as one of oppression and victimhood rather than one of… unprecedented achievement toward freedom, happiness, and fairness for all”.</w:t>
      </w:r>
      <w:r w:rsidRPr="001E6DEF">
        <w:rPr>
          <w:rStyle w:val="FootnoteReference"/>
          <w:rFonts w:ascii="Gill Sans MT" w:hAnsi="Gill Sans MT"/>
        </w:rPr>
        <w:footnoteReference w:id="9"/>
      </w:r>
      <w:r w:rsidRPr="001E6DEF">
        <w:rPr>
          <w:rFonts w:ascii="Gill Sans MT" w:hAnsi="Gill Sans MT"/>
        </w:rPr>
        <w:t xml:space="preserve"> </w:t>
      </w:r>
    </w:p>
    <w:p w14:paraId="1D5F94ED" w14:textId="3AFFE12F" w:rsidR="00965780" w:rsidRDefault="004D351A" w:rsidP="00FB3ED1">
      <w:pPr>
        <w:spacing w:line="480" w:lineRule="auto"/>
        <w:ind w:firstLine="720"/>
        <w:jc w:val="both"/>
        <w:rPr>
          <w:rFonts w:ascii="Gill Sans MT" w:hAnsi="Gill Sans MT"/>
        </w:rPr>
      </w:pPr>
      <w:r w:rsidRPr="001E6DEF">
        <w:rPr>
          <w:rFonts w:ascii="Gill Sans MT" w:hAnsi="Gill Sans MT"/>
        </w:rPr>
        <w:t xml:space="preserve">The </w:t>
      </w:r>
      <w:r w:rsidRPr="00AF55B0">
        <w:rPr>
          <w:rFonts w:ascii="Gill Sans MT" w:hAnsi="Gill Sans MT"/>
          <w:i/>
          <w:iCs/>
        </w:rPr>
        <w:t>1776 Report</w:t>
      </w:r>
      <w:r w:rsidRPr="00AF55B0">
        <w:rPr>
          <w:rFonts w:ascii="Gill Sans MT" w:hAnsi="Gill Sans MT"/>
        </w:rPr>
        <w:t>’s</w:t>
      </w:r>
      <w:r w:rsidRPr="00AF55B0">
        <w:rPr>
          <w:rFonts w:ascii="Gill Sans MT" w:hAnsi="Gill Sans MT"/>
          <w:i/>
          <w:iCs/>
        </w:rPr>
        <w:t xml:space="preserve"> </w:t>
      </w:r>
      <w:r w:rsidRPr="00AF55B0">
        <w:rPr>
          <w:rFonts w:ascii="Gill Sans MT" w:hAnsi="Gill Sans MT"/>
        </w:rPr>
        <w:t xml:space="preserve">appeal to victimhood as a way of discrediting any attempt to reckon with historical and ongoing patterns of harm typifies a formulation that has become increasingly familiar across the </w:t>
      </w:r>
      <w:r>
        <w:rPr>
          <w:rFonts w:ascii="Gill Sans MT" w:hAnsi="Gill Sans MT"/>
        </w:rPr>
        <w:t>G</w:t>
      </w:r>
      <w:r w:rsidRPr="00AF55B0">
        <w:rPr>
          <w:rFonts w:ascii="Gill Sans MT" w:hAnsi="Gill Sans MT"/>
        </w:rPr>
        <w:t xml:space="preserve">lobal </w:t>
      </w:r>
      <w:r>
        <w:rPr>
          <w:rFonts w:ascii="Gill Sans MT" w:hAnsi="Gill Sans MT"/>
        </w:rPr>
        <w:t>N</w:t>
      </w:r>
      <w:r w:rsidRPr="00AF55B0">
        <w:rPr>
          <w:rFonts w:ascii="Gill Sans MT" w:hAnsi="Gill Sans MT"/>
        </w:rPr>
        <w:t>orth. In the UK, for example, long-standing calls to stop “feeling guilty about [Britain’s] colonial history”</w:t>
      </w:r>
      <w:r w:rsidRPr="001E6DEF">
        <w:rPr>
          <w:rStyle w:val="FootnoteReference"/>
          <w:rFonts w:ascii="Gill Sans MT" w:hAnsi="Gill Sans MT"/>
        </w:rPr>
        <w:footnoteReference w:id="10"/>
      </w:r>
      <w:r w:rsidRPr="001E6DEF">
        <w:rPr>
          <w:rFonts w:ascii="Gill Sans MT" w:hAnsi="Gill Sans MT"/>
        </w:rPr>
        <w:t xml:space="preserve"> have </w:t>
      </w:r>
      <w:r w:rsidRPr="00AF55B0">
        <w:rPr>
          <w:rFonts w:ascii="Gill Sans MT" w:hAnsi="Gill Sans MT"/>
        </w:rPr>
        <w:t xml:space="preserve">been amplified by the March 2021 publication of a report by the UK Commission on Race and Ethnic Disparities [UKCRED]. </w:t>
      </w:r>
      <w:r w:rsidRPr="00AF55B0">
        <w:rPr>
          <w:rFonts w:ascii="Gill Sans MT" w:hAnsi="Gill Sans MT"/>
        </w:rPr>
        <w:lastRenderedPageBreak/>
        <w:t>Founded in the wake of widespread Black Lives Matter protests in summer 2020, the UKCRED was headed by figures who had well-known reservations about the existence of systemic racism and the value of multiculturalism. It was therefore little surprise that the Commission’s report urged people of ethnic minority backgrounds to reject a “fatalistic narrative that says the deck is permanently stacked against them”</w:t>
      </w:r>
      <w:r w:rsidRPr="00A107A2">
        <w:rPr>
          <w:rFonts w:ascii="Gill Sans MT" w:hAnsi="Gill Sans MT"/>
        </w:rPr>
        <w:t xml:space="preserve">, and </w:t>
      </w:r>
      <w:r w:rsidRPr="001E6DEF">
        <w:rPr>
          <w:rFonts w:ascii="Gill Sans MT" w:hAnsi="Gill Sans MT"/>
        </w:rPr>
        <w:t>criticis</w:t>
      </w:r>
      <w:r w:rsidRPr="00AF55B0">
        <w:rPr>
          <w:rFonts w:ascii="Gill Sans MT" w:hAnsi="Gill Sans MT"/>
        </w:rPr>
        <w:t xml:space="preserve">ed the “liberal” use of terms like </w:t>
      </w:r>
      <w:r>
        <w:rPr>
          <w:rFonts w:ascii="Gill Sans MT" w:hAnsi="Gill Sans MT"/>
        </w:rPr>
        <w:t>“</w:t>
      </w:r>
      <w:r w:rsidRPr="00AF55B0">
        <w:rPr>
          <w:rFonts w:ascii="Gill Sans MT" w:hAnsi="Gill Sans MT"/>
        </w:rPr>
        <w:t>institutional racism</w:t>
      </w:r>
      <w:r>
        <w:rPr>
          <w:rFonts w:ascii="Gill Sans MT" w:hAnsi="Gill Sans MT"/>
        </w:rPr>
        <w:t>”</w:t>
      </w:r>
      <w:r w:rsidRPr="00AF55B0">
        <w:rPr>
          <w:rFonts w:ascii="Gill Sans MT" w:hAnsi="Gill Sans MT"/>
        </w:rPr>
        <w:t>.</w:t>
      </w:r>
      <w:r w:rsidRPr="001E6DEF">
        <w:rPr>
          <w:rStyle w:val="FootnoteReference"/>
          <w:rFonts w:ascii="Gill Sans MT" w:hAnsi="Gill Sans MT"/>
        </w:rPr>
        <w:footnoteReference w:id="11"/>
      </w:r>
      <w:r w:rsidRPr="001E6DEF">
        <w:rPr>
          <w:rFonts w:ascii="Gill Sans MT" w:hAnsi="Gill Sans MT"/>
        </w:rPr>
        <w:t xml:space="preserve"> </w:t>
      </w:r>
    </w:p>
    <w:p w14:paraId="7E88CF2B" w14:textId="16A786A7" w:rsidR="00965780" w:rsidRDefault="004D351A" w:rsidP="00FB3ED1">
      <w:pPr>
        <w:spacing w:line="480" w:lineRule="auto"/>
        <w:ind w:firstLine="720"/>
        <w:jc w:val="both"/>
        <w:rPr>
          <w:rFonts w:ascii="Gill Sans MT" w:hAnsi="Gill Sans MT"/>
        </w:rPr>
      </w:pPr>
      <w:r>
        <w:rPr>
          <w:rFonts w:ascii="Gill Sans MT" w:hAnsi="Gill Sans MT"/>
        </w:rPr>
        <w:t>In the UK and elsewhere in Europe,</w:t>
      </w:r>
      <w:r w:rsidRPr="00AF55B0">
        <w:rPr>
          <w:rFonts w:ascii="Gill Sans MT" w:hAnsi="Gill Sans MT"/>
        </w:rPr>
        <w:t xml:space="preserve"> the academy has been targeted as a space where such narratives supposedly flourish.</w:t>
      </w:r>
      <w:r>
        <w:rPr>
          <w:rFonts w:ascii="Gill Sans MT" w:hAnsi="Gill Sans MT"/>
        </w:rPr>
        <w:t xml:space="preserve"> In the UK, t</w:t>
      </w:r>
      <w:r w:rsidRPr="00AF55B0">
        <w:rPr>
          <w:rFonts w:ascii="Gill Sans MT" w:hAnsi="Gill Sans MT"/>
        </w:rPr>
        <w:t>he Conservative government’s forthcoming Higher Education (Freedom of Speech) Bill proposes to appoint a governmental “free speech champion” responsible for investigating and reporting campus violations</w:t>
      </w:r>
      <w:r>
        <w:rPr>
          <w:rFonts w:ascii="Gill Sans MT" w:hAnsi="Gill Sans MT"/>
        </w:rPr>
        <w:t xml:space="preserve"> of free speech legislation</w:t>
      </w:r>
      <w:r w:rsidRPr="00AF55B0">
        <w:rPr>
          <w:rFonts w:ascii="Gill Sans MT" w:hAnsi="Gill Sans MT"/>
        </w:rPr>
        <w:t xml:space="preserve">, enabling speakers with </w:t>
      </w:r>
      <w:r>
        <w:rPr>
          <w:rFonts w:ascii="Gill Sans MT" w:hAnsi="Gill Sans MT"/>
        </w:rPr>
        <w:t>“</w:t>
      </w:r>
      <w:r w:rsidRPr="00AF55B0">
        <w:rPr>
          <w:rFonts w:ascii="Gill Sans MT" w:hAnsi="Gill Sans MT"/>
        </w:rPr>
        <w:t>heterodox views</w:t>
      </w:r>
      <w:r>
        <w:rPr>
          <w:rFonts w:ascii="Gill Sans MT" w:hAnsi="Gill Sans MT"/>
        </w:rPr>
        <w:t>”</w:t>
      </w:r>
      <w:r w:rsidRPr="00AF55B0">
        <w:rPr>
          <w:rFonts w:ascii="Gill Sans MT" w:hAnsi="Gill Sans MT"/>
        </w:rPr>
        <w:t xml:space="preserve"> who have been no-platformed to seek compensation from universities.</w:t>
      </w:r>
      <w:r w:rsidRPr="001E6DEF">
        <w:rPr>
          <w:rStyle w:val="FootnoteReference"/>
          <w:rFonts w:ascii="Gill Sans MT" w:hAnsi="Gill Sans MT"/>
        </w:rPr>
        <w:footnoteReference w:id="12"/>
      </w:r>
      <w:r w:rsidRPr="001E6DEF">
        <w:rPr>
          <w:rFonts w:ascii="Gill Sans MT" w:hAnsi="Gill Sans MT"/>
        </w:rPr>
        <w:t xml:space="preserve"> </w:t>
      </w:r>
      <w:r w:rsidR="00FB3ED1">
        <w:rPr>
          <w:rFonts w:ascii="Gill Sans MT" w:hAnsi="Gill Sans MT"/>
        </w:rPr>
        <w:t>However,</w:t>
      </w:r>
      <w:r w:rsidR="0047690B">
        <w:rPr>
          <w:rFonts w:ascii="Gill Sans MT" w:hAnsi="Gill Sans MT"/>
        </w:rPr>
        <w:t xml:space="preserve"> t</w:t>
      </w:r>
      <w:r w:rsidRPr="00AF55B0">
        <w:rPr>
          <w:rFonts w:ascii="Gill Sans MT" w:hAnsi="Gill Sans MT"/>
        </w:rPr>
        <w:t xml:space="preserve">he </w:t>
      </w:r>
      <w:r>
        <w:rPr>
          <w:rFonts w:ascii="Gill Sans MT" w:hAnsi="Gill Sans MT"/>
        </w:rPr>
        <w:t>“</w:t>
      </w:r>
      <w:r w:rsidRPr="00AF55B0">
        <w:rPr>
          <w:rFonts w:ascii="Gill Sans MT" w:hAnsi="Gill Sans MT"/>
        </w:rPr>
        <w:t>freedom</w:t>
      </w:r>
      <w:r>
        <w:rPr>
          <w:rFonts w:ascii="Gill Sans MT" w:hAnsi="Gill Sans MT"/>
        </w:rPr>
        <w:t>”</w:t>
      </w:r>
      <w:r w:rsidRPr="00AF55B0">
        <w:rPr>
          <w:rFonts w:ascii="Gill Sans MT" w:hAnsi="Gill Sans MT"/>
        </w:rPr>
        <w:t xml:space="preserve"> the bill seeks to protect </w:t>
      </w:r>
      <w:r>
        <w:rPr>
          <w:rFonts w:ascii="Gill Sans MT" w:hAnsi="Gill Sans MT"/>
        </w:rPr>
        <w:t>will not</w:t>
      </w:r>
      <w:r w:rsidRPr="00AF55B0">
        <w:rPr>
          <w:rFonts w:ascii="Gill Sans MT" w:hAnsi="Gill Sans MT"/>
        </w:rPr>
        <w:t xml:space="preserve"> extend to all subjects evenly: the bill </w:t>
      </w:r>
      <w:r>
        <w:rPr>
          <w:rFonts w:ascii="Gill Sans MT" w:hAnsi="Gill Sans MT"/>
        </w:rPr>
        <w:t>places severe restrictions on</w:t>
      </w:r>
      <w:r w:rsidRPr="00AF55B0">
        <w:rPr>
          <w:rFonts w:ascii="Gill Sans MT" w:hAnsi="Gill Sans MT"/>
        </w:rPr>
        <w:t xml:space="preserve"> students’ right to disrupt, protest or otherwise register their disapproval about events held on their campuses</w:t>
      </w:r>
      <w:r>
        <w:rPr>
          <w:rFonts w:ascii="Gill Sans MT" w:hAnsi="Gill Sans MT"/>
        </w:rPr>
        <w:t>, for example</w:t>
      </w:r>
      <w:r w:rsidRPr="00AF55B0">
        <w:rPr>
          <w:rFonts w:ascii="Gill Sans MT" w:hAnsi="Gill Sans MT"/>
        </w:rPr>
        <w:t>.</w:t>
      </w:r>
      <w:r w:rsidRPr="001E6DEF">
        <w:rPr>
          <w:rStyle w:val="FootnoteReference"/>
          <w:rFonts w:ascii="Gill Sans MT" w:hAnsi="Gill Sans MT"/>
        </w:rPr>
        <w:footnoteReference w:id="13"/>
      </w:r>
      <w:r>
        <w:rPr>
          <w:rFonts w:ascii="Gill Sans MT" w:hAnsi="Gill Sans MT"/>
        </w:rPr>
        <w:t xml:space="preserve"> </w:t>
      </w:r>
    </w:p>
    <w:p w14:paraId="08D40D93" w14:textId="66000947" w:rsidR="00741E93" w:rsidRDefault="004D351A" w:rsidP="00FB3ED1">
      <w:pPr>
        <w:spacing w:line="480" w:lineRule="auto"/>
        <w:ind w:firstLine="720"/>
        <w:jc w:val="both"/>
        <w:rPr>
          <w:rFonts w:ascii="Gill Sans MT" w:hAnsi="Gill Sans MT"/>
        </w:rPr>
      </w:pPr>
      <w:r w:rsidRPr="00AF55B0">
        <w:rPr>
          <w:rFonts w:ascii="Gill Sans MT" w:hAnsi="Gill Sans MT"/>
        </w:rPr>
        <w:t>Aside from their immediate relevance to our profession, the</w:t>
      </w:r>
      <w:r>
        <w:rPr>
          <w:rFonts w:ascii="Gill Sans MT" w:hAnsi="Gill Sans MT"/>
        </w:rPr>
        <w:t>se</w:t>
      </w:r>
      <w:r w:rsidRPr="00AF55B0">
        <w:rPr>
          <w:rFonts w:ascii="Gill Sans MT" w:hAnsi="Gill Sans MT"/>
        </w:rPr>
        <w:t xml:space="preserve"> contestations </w:t>
      </w:r>
      <w:r>
        <w:rPr>
          <w:rFonts w:ascii="Gill Sans MT" w:hAnsi="Gill Sans MT"/>
        </w:rPr>
        <w:t>and controversies</w:t>
      </w:r>
      <w:r w:rsidRPr="00AF55B0">
        <w:rPr>
          <w:rFonts w:ascii="Gill Sans MT" w:hAnsi="Gill Sans MT"/>
        </w:rPr>
        <w:t xml:space="preserve"> </w:t>
      </w:r>
      <w:r w:rsidR="00AA14B1">
        <w:rPr>
          <w:rFonts w:ascii="Gill Sans MT" w:hAnsi="Gill Sans MT"/>
        </w:rPr>
        <w:t xml:space="preserve">are outlined </w:t>
      </w:r>
      <w:r w:rsidR="00022D33">
        <w:rPr>
          <w:rFonts w:ascii="Gill Sans MT" w:hAnsi="Gill Sans MT"/>
        </w:rPr>
        <w:t xml:space="preserve">here </w:t>
      </w:r>
      <w:r w:rsidR="00AA14B1">
        <w:rPr>
          <w:rFonts w:ascii="Gill Sans MT" w:hAnsi="Gill Sans MT"/>
        </w:rPr>
        <w:t>in order to illuminate</w:t>
      </w:r>
      <w:r w:rsidR="00AA14B1" w:rsidRPr="00AF55B0">
        <w:rPr>
          <w:rFonts w:ascii="Gill Sans MT" w:hAnsi="Gill Sans MT"/>
        </w:rPr>
        <w:t xml:space="preserve"> </w:t>
      </w:r>
      <w:r w:rsidRPr="00AF55B0">
        <w:rPr>
          <w:rFonts w:ascii="Gill Sans MT" w:hAnsi="Gill Sans MT"/>
        </w:rPr>
        <w:t>the foundational conviction</w:t>
      </w:r>
      <w:r>
        <w:rPr>
          <w:rFonts w:ascii="Gill Sans MT" w:hAnsi="Gill Sans MT"/>
        </w:rPr>
        <w:t>s</w:t>
      </w:r>
      <w:r w:rsidRPr="00AF55B0">
        <w:rPr>
          <w:rFonts w:ascii="Gill Sans MT" w:hAnsi="Gill Sans MT"/>
        </w:rPr>
        <w:t xml:space="preserve"> </w:t>
      </w:r>
      <w:r w:rsidR="00022D33">
        <w:rPr>
          <w:rFonts w:ascii="Gill Sans MT" w:hAnsi="Gill Sans MT"/>
        </w:rPr>
        <w:t xml:space="preserve">from which </w:t>
      </w:r>
      <w:r>
        <w:rPr>
          <w:rFonts w:ascii="Gill Sans MT" w:hAnsi="Gill Sans MT"/>
        </w:rPr>
        <w:t>this S</w:t>
      </w:r>
      <w:r w:rsidRPr="00AF55B0">
        <w:rPr>
          <w:rFonts w:ascii="Gill Sans MT" w:hAnsi="Gill Sans MT"/>
        </w:rPr>
        <w:t>ymposium</w:t>
      </w:r>
      <w:r w:rsidR="00022D33">
        <w:rPr>
          <w:rFonts w:ascii="Gill Sans MT" w:hAnsi="Gill Sans MT"/>
        </w:rPr>
        <w:t xml:space="preserve"> proceeds</w:t>
      </w:r>
      <w:r>
        <w:rPr>
          <w:rFonts w:ascii="Gill Sans MT" w:hAnsi="Gill Sans MT"/>
        </w:rPr>
        <w:t>.</w:t>
      </w:r>
      <w:r w:rsidRPr="001E6DEF">
        <w:rPr>
          <w:rFonts w:ascii="Gill Sans MT" w:hAnsi="Gill Sans MT"/>
        </w:rPr>
        <w:t xml:space="preserve"> </w:t>
      </w:r>
      <w:r>
        <w:rPr>
          <w:rFonts w:ascii="Gill Sans MT" w:hAnsi="Gill Sans MT"/>
        </w:rPr>
        <w:t xml:space="preserve">All of the contributions gathered </w:t>
      </w:r>
      <w:r w:rsidR="007D5C89">
        <w:rPr>
          <w:rFonts w:ascii="Gill Sans MT" w:hAnsi="Gill Sans MT"/>
        </w:rPr>
        <w:t>in this Symposium</w:t>
      </w:r>
      <w:r w:rsidR="005A1F9F">
        <w:rPr>
          <w:rFonts w:ascii="Gill Sans MT" w:hAnsi="Gill Sans MT"/>
        </w:rPr>
        <w:t xml:space="preserve"> </w:t>
      </w:r>
      <w:r>
        <w:rPr>
          <w:rFonts w:ascii="Gill Sans MT" w:hAnsi="Gill Sans MT"/>
        </w:rPr>
        <w:t xml:space="preserve">recognise </w:t>
      </w:r>
      <w:r w:rsidRPr="001E6DEF">
        <w:rPr>
          <w:rFonts w:ascii="Gill Sans MT" w:hAnsi="Gill Sans MT"/>
        </w:rPr>
        <w:t xml:space="preserve">that victimhood </w:t>
      </w:r>
      <w:r>
        <w:rPr>
          <w:rFonts w:ascii="Gill Sans MT" w:hAnsi="Gill Sans MT"/>
        </w:rPr>
        <w:t xml:space="preserve">is woven into the ways in which </w:t>
      </w:r>
      <w:r w:rsidR="00FB3ED1">
        <w:rPr>
          <w:rFonts w:ascii="Gill Sans MT" w:hAnsi="Gill Sans MT"/>
        </w:rPr>
        <w:t>subjects</w:t>
      </w:r>
      <w:r w:rsidR="00D83569">
        <w:rPr>
          <w:rFonts w:ascii="Gill Sans MT" w:hAnsi="Gill Sans MT"/>
        </w:rPr>
        <w:t xml:space="preserve"> </w:t>
      </w:r>
      <w:r>
        <w:rPr>
          <w:rFonts w:ascii="Gill Sans MT" w:hAnsi="Gill Sans MT"/>
        </w:rPr>
        <w:t xml:space="preserve">evaluate and make sense of suffering, that it colours </w:t>
      </w:r>
      <w:r w:rsidR="00D83569">
        <w:rPr>
          <w:rFonts w:ascii="Gill Sans MT" w:hAnsi="Gill Sans MT"/>
        </w:rPr>
        <w:t xml:space="preserve">their </w:t>
      </w:r>
      <w:r>
        <w:rPr>
          <w:rFonts w:ascii="Gill Sans MT" w:hAnsi="Gill Sans MT"/>
        </w:rPr>
        <w:t xml:space="preserve">understanding of the social formations that institutionalise certain patterns of harm, and that it helps to circumscribe the contours and boundaries of political possibility </w:t>
      </w:r>
      <w:r>
        <w:rPr>
          <w:rFonts w:ascii="Gill Sans MT" w:hAnsi="Gill Sans MT"/>
        </w:rPr>
        <w:lastRenderedPageBreak/>
        <w:t xml:space="preserve">in these formations’ shadow. For these reasons, </w:t>
      </w:r>
      <w:r w:rsidR="00741E93">
        <w:rPr>
          <w:rFonts w:ascii="Gill Sans MT" w:hAnsi="Gill Sans MT"/>
        </w:rPr>
        <w:t xml:space="preserve">our contributors are all keenly aware that </w:t>
      </w:r>
      <w:r>
        <w:rPr>
          <w:rFonts w:ascii="Gill Sans MT" w:hAnsi="Gill Sans MT"/>
        </w:rPr>
        <w:t>victimhood can diminish people’s experiences</w:t>
      </w:r>
      <w:r w:rsidR="00011DB4">
        <w:rPr>
          <w:rFonts w:ascii="Gill Sans MT" w:hAnsi="Gill Sans MT"/>
        </w:rPr>
        <w:t>,</w:t>
      </w:r>
      <w:r>
        <w:rPr>
          <w:rFonts w:ascii="Gill Sans MT" w:hAnsi="Gill Sans MT"/>
        </w:rPr>
        <w:t xml:space="preserve"> </w:t>
      </w:r>
      <w:r w:rsidR="00011DB4">
        <w:rPr>
          <w:rFonts w:ascii="Gill Sans MT" w:hAnsi="Gill Sans MT"/>
        </w:rPr>
        <w:t>“</w:t>
      </w:r>
      <w:r>
        <w:rPr>
          <w:rFonts w:ascii="Gill Sans MT" w:hAnsi="Gill Sans MT"/>
        </w:rPr>
        <w:t>undermin</w:t>
      </w:r>
      <w:r w:rsidR="00011DB4">
        <w:rPr>
          <w:rFonts w:ascii="Gill Sans MT" w:hAnsi="Gill Sans MT"/>
        </w:rPr>
        <w:t>[ing]</w:t>
      </w:r>
      <w:r>
        <w:rPr>
          <w:rFonts w:ascii="Gill Sans MT" w:hAnsi="Gill Sans MT"/>
        </w:rPr>
        <w:t xml:space="preserve"> collectivity and depoliticiz</w:t>
      </w:r>
      <w:r w:rsidR="00011DB4">
        <w:rPr>
          <w:rFonts w:ascii="Gill Sans MT" w:hAnsi="Gill Sans MT"/>
        </w:rPr>
        <w:t>[ing]</w:t>
      </w:r>
      <w:r>
        <w:rPr>
          <w:rFonts w:ascii="Gill Sans MT" w:hAnsi="Gill Sans MT"/>
        </w:rPr>
        <w:t xml:space="preserve"> claims to injustice”</w:t>
      </w:r>
      <w:r w:rsidR="00741E93">
        <w:rPr>
          <w:rFonts w:ascii="Gill Sans MT" w:hAnsi="Gill Sans MT"/>
        </w:rPr>
        <w:t xml:space="preserve"> as </w:t>
      </w:r>
      <w:r w:rsidR="00251C96">
        <w:rPr>
          <w:rFonts w:ascii="Gill Sans MT" w:hAnsi="Gill Sans MT"/>
        </w:rPr>
        <w:t>well as providing</w:t>
      </w:r>
      <w:r w:rsidR="00741E93">
        <w:rPr>
          <w:rFonts w:ascii="Gill Sans MT" w:hAnsi="Gill Sans MT"/>
        </w:rPr>
        <w:t xml:space="preserve"> the basis for new subjective categories and affinities</w:t>
      </w:r>
      <w:r>
        <w:rPr>
          <w:rFonts w:ascii="Gill Sans MT" w:hAnsi="Gill Sans MT"/>
        </w:rPr>
        <w:t>.</w:t>
      </w:r>
      <w:r>
        <w:rPr>
          <w:rStyle w:val="FootnoteReference"/>
          <w:rFonts w:ascii="Gill Sans MT" w:hAnsi="Gill Sans MT"/>
        </w:rPr>
        <w:footnoteReference w:id="14"/>
      </w:r>
      <w:r>
        <w:rPr>
          <w:rFonts w:ascii="Gill Sans MT" w:hAnsi="Gill Sans MT"/>
        </w:rPr>
        <w:t xml:space="preserve"> </w:t>
      </w:r>
    </w:p>
    <w:p w14:paraId="376B9D97" w14:textId="366C0078" w:rsidR="00011DB4" w:rsidRDefault="004D351A" w:rsidP="00FB3ED1">
      <w:pPr>
        <w:spacing w:line="480" w:lineRule="auto"/>
        <w:ind w:firstLine="720"/>
        <w:jc w:val="both"/>
        <w:rPr>
          <w:rFonts w:ascii="Gill Sans MT" w:hAnsi="Gill Sans MT"/>
        </w:rPr>
      </w:pPr>
      <w:r>
        <w:rPr>
          <w:rFonts w:ascii="Gill Sans MT" w:hAnsi="Gill Sans MT"/>
        </w:rPr>
        <w:t>Understood in these terms,</w:t>
      </w:r>
      <w:r>
        <w:rPr>
          <w:rFonts w:ascii="Gill Sans MT" w:hAnsi="Gill Sans MT"/>
          <w:i/>
          <w:iCs/>
        </w:rPr>
        <w:t xml:space="preserve"> </w:t>
      </w:r>
      <w:r>
        <w:rPr>
          <w:rFonts w:ascii="Gill Sans MT" w:hAnsi="Gill Sans MT"/>
        </w:rPr>
        <w:t xml:space="preserve">it is clear that victimhood is not an </w:t>
      </w:r>
      <w:r w:rsidRPr="00AF55B0">
        <w:rPr>
          <w:rFonts w:ascii="Gill Sans MT" w:hAnsi="Gill Sans MT"/>
        </w:rPr>
        <w:t>unmediated or natural position defined simply by one’s position on the receiving end of an injury</w:t>
      </w:r>
      <w:r>
        <w:rPr>
          <w:rFonts w:ascii="Gill Sans MT" w:hAnsi="Gill Sans MT"/>
        </w:rPr>
        <w:t>, but is instead a constructed category, status or identity.</w:t>
      </w:r>
      <w:r w:rsidRPr="00AF55B0">
        <w:rPr>
          <w:rFonts w:ascii="Gill Sans MT" w:hAnsi="Gill Sans MT"/>
        </w:rPr>
        <w:t xml:space="preserve"> </w:t>
      </w:r>
      <w:r w:rsidR="00D618FD">
        <w:rPr>
          <w:rFonts w:ascii="Gill Sans MT" w:hAnsi="Gill Sans MT"/>
        </w:rPr>
        <w:t>Of course, this is not to deny that our social systems and structures produce injuries: they do, in ways that are far from arbitrary. Yet to describe these harms using the language of victimhood</w:t>
      </w:r>
      <w:r w:rsidR="0035137B">
        <w:rPr>
          <w:rFonts w:ascii="Gill Sans MT" w:hAnsi="Gill Sans MT"/>
        </w:rPr>
        <w:t xml:space="preserve"> </w:t>
      </w:r>
      <w:r w:rsidR="00D618FD">
        <w:rPr>
          <w:rFonts w:ascii="Gill Sans MT" w:hAnsi="Gill Sans MT"/>
        </w:rPr>
        <w:t>immediately</w:t>
      </w:r>
      <w:r w:rsidR="0035137B">
        <w:rPr>
          <w:rFonts w:ascii="Gill Sans MT" w:hAnsi="Gill Sans MT"/>
        </w:rPr>
        <w:t xml:space="preserve"> </w:t>
      </w:r>
      <w:r w:rsidR="00D618FD">
        <w:rPr>
          <w:rFonts w:ascii="Gill Sans MT" w:hAnsi="Gill Sans MT"/>
        </w:rPr>
        <w:t>mediate</w:t>
      </w:r>
      <w:r w:rsidR="00011DB4">
        <w:rPr>
          <w:rFonts w:ascii="Gill Sans MT" w:hAnsi="Gill Sans MT"/>
        </w:rPr>
        <w:t>s</w:t>
      </w:r>
      <w:r w:rsidR="00D618FD">
        <w:rPr>
          <w:rFonts w:ascii="Gill Sans MT" w:hAnsi="Gill Sans MT"/>
        </w:rPr>
        <w:t xml:space="preserve"> </w:t>
      </w:r>
      <w:r w:rsidR="0035137B">
        <w:rPr>
          <w:rFonts w:ascii="Gill Sans MT" w:hAnsi="Gill Sans MT"/>
        </w:rPr>
        <w:t>them</w:t>
      </w:r>
      <w:r w:rsidR="000D4940">
        <w:rPr>
          <w:rFonts w:ascii="Gill Sans MT" w:hAnsi="Gill Sans MT"/>
        </w:rPr>
        <w:t xml:space="preserve">, </w:t>
      </w:r>
      <w:r w:rsidR="00D83569">
        <w:rPr>
          <w:rFonts w:ascii="Gill Sans MT" w:hAnsi="Gill Sans MT"/>
        </w:rPr>
        <w:t>bring</w:t>
      </w:r>
      <w:r w:rsidR="000D4940">
        <w:rPr>
          <w:rFonts w:ascii="Gill Sans MT" w:hAnsi="Gill Sans MT"/>
        </w:rPr>
        <w:t>ing</w:t>
      </w:r>
      <w:r w:rsidR="00D83569">
        <w:rPr>
          <w:rFonts w:ascii="Gill Sans MT" w:hAnsi="Gill Sans MT"/>
        </w:rPr>
        <w:t xml:space="preserve"> material</w:t>
      </w:r>
      <w:r w:rsidR="00180707">
        <w:rPr>
          <w:rFonts w:ascii="Gill Sans MT" w:hAnsi="Gill Sans MT"/>
        </w:rPr>
        <w:t xml:space="preserve"> harm</w:t>
      </w:r>
      <w:r w:rsidR="000D4940">
        <w:rPr>
          <w:rFonts w:ascii="Gill Sans MT" w:hAnsi="Gill Sans MT"/>
        </w:rPr>
        <w:t>s</w:t>
      </w:r>
      <w:r w:rsidR="00180707">
        <w:rPr>
          <w:rFonts w:ascii="Gill Sans MT" w:hAnsi="Gill Sans MT"/>
        </w:rPr>
        <w:t xml:space="preserve"> into a </w:t>
      </w:r>
      <w:r w:rsidR="00011DB4">
        <w:rPr>
          <w:rFonts w:ascii="Gill Sans MT" w:hAnsi="Gill Sans MT"/>
        </w:rPr>
        <w:t>discursive field where their meaning can be established, undermined, and contested</w:t>
      </w:r>
      <w:r w:rsidR="00D618FD">
        <w:rPr>
          <w:rFonts w:ascii="Gill Sans MT" w:hAnsi="Gill Sans MT"/>
        </w:rPr>
        <w:t xml:space="preserve">. </w:t>
      </w:r>
    </w:p>
    <w:p w14:paraId="06921151" w14:textId="685ABB0E" w:rsidR="004D351A" w:rsidRDefault="00C43B27" w:rsidP="00FB3ED1">
      <w:pPr>
        <w:spacing w:line="480" w:lineRule="auto"/>
        <w:ind w:firstLine="720"/>
        <w:jc w:val="both"/>
        <w:rPr>
          <w:rFonts w:ascii="Gill Sans MT" w:hAnsi="Gill Sans MT"/>
        </w:rPr>
      </w:pPr>
      <w:r>
        <w:rPr>
          <w:rFonts w:ascii="Gill Sans MT" w:hAnsi="Gill Sans MT"/>
        </w:rPr>
        <w:t xml:space="preserve">From this basic </w:t>
      </w:r>
      <w:r w:rsidR="0035137B">
        <w:rPr>
          <w:rFonts w:ascii="Gill Sans MT" w:hAnsi="Gill Sans MT"/>
        </w:rPr>
        <w:t>premise</w:t>
      </w:r>
      <w:r>
        <w:rPr>
          <w:rFonts w:ascii="Gill Sans MT" w:hAnsi="Gill Sans MT"/>
        </w:rPr>
        <w:t xml:space="preserve">, three </w:t>
      </w:r>
      <w:r w:rsidR="00BD0808">
        <w:rPr>
          <w:rFonts w:ascii="Gill Sans MT" w:hAnsi="Gill Sans MT"/>
        </w:rPr>
        <w:t>aim</w:t>
      </w:r>
      <w:r>
        <w:rPr>
          <w:rFonts w:ascii="Gill Sans MT" w:hAnsi="Gill Sans MT"/>
        </w:rPr>
        <w:t>s emerge that guide the contributions to this Symposium.</w:t>
      </w:r>
      <w:r w:rsidR="00114CB0">
        <w:rPr>
          <w:rFonts w:ascii="Gill Sans MT" w:hAnsi="Gill Sans MT"/>
        </w:rPr>
        <w:t xml:space="preserve"> </w:t>
      </w:r>
      <w:r>
        <w:rPr>
          <w:rFonts w:ascii="Gill Sans MT" w:hAnsi="Gill Sans MT"/>
        </w:rPr>
        <w:t>First</w:t>
      </w:r>
      <w:r w:rsidR="00114CB0">
        <w:rPr>
          <w:rFonts w:ascii="Gill Sans MT" w:hAnsi="Gill Sans MT"/>
        </w:rPr>
        <w:t xml:space="preserve">, </w:t>
      </w:r>
      <w:r w:rsidR="00BD0808">
        <w:rPr>
          <w:rFonts w:ascii="Gill Sans MT" w:hAnsi="Gill Sans MT"/>
        </w:rPr>
        <w:t xml:space="preserve">our contributors seek to understand </w:t>
      </w:r>
      <w:r w:rsidR="00114CB0">
        <w:rPr>
          <w:rFonts w:ascii="Gill Sans MT" w:hAnsi="Gill Sans MT"/>
        </w:rPr>
        <w:t>victimhood</w:t>
      </w:r>
      <w:r w:rsidR="00011DB4">
        <w:rPr>
          <w:rFonts w:ascii="Gill Sans MT" w:hAnsi="Gill Sans MT"/>
        </w:rPr>
        <w:t xml:space="preserve"> </w:t>
      </w:r>
      <w:r w:rsidR="00BD0808">
        <w:rPr>
          <w:rFonts w:ascii="Gill Sans MT" w:hAnsi="Gill Sans MT"/>
        </w:rPr>
        <w:t>a</w:t>
      </w:r>
      <w:r w:rsidR="00011DB4">
        <w:rPr>
          <w:rFonts w:ascii="Gill Sans MT" w:hAnsi="Gill Sans MT"/>
        </w:rPr>
        <w:t>s an active and productive force</w:t>
      </w:r>
      <w:r w:rsidR="00BD0808">
        <w:rPr>
          <w:rFonts w:ascii="Gill Sans MT" w:hAnsi="Gill Sans MT"/>
        </w:rPr>
        <w:t>. Victimhood</w:t>
      </w:r>
      <w:r w:rsidR="00114CB0">
        <w:rPr>
          <w:rFonts w:ascii="Gill Sans MT" w:hAnsi="Gill Sans MT"/>
        </w:rPr>
        <w:t xml:space="preserve"> does not </w:t>
      </w:r>
      <w:r w:rsidR="00011DB4">
        <w:rPr>
          <w:rFonts w:ascii="Gill Sans MT" w:hAnsi="Gill Sans MT"/>
        </w:rPr>
        <w:t>simply</w:t>
      </w:r>
      <w:r w:rsidR="00114CB0">
        <w:rPr>
          <w:rFonts w:ascii="Gill Sans MT" w:hAnsi="Gill Sans MT"/>
        </w:rPr>
        <w:t xml:space="preserve"> describe trajectories of violence and exploitation, but </w:t>
      </w:r>
      <w:r w:rsidR="00011DB4">
        <w:rPr>
          <w:rFonts w:ascii="Gill Sans MT" w:hAnsi="Gill Sans MT"/>
        </w:rPr>
        <w:t>also</w:t>
      </w:r>
      <w:r w:rsidR="00114CB0">
        <w:rPr>
          <w:rFonts w:ascii="Gill Sans MT" w:hAnsi="Gill Sans MT"/>
        </w:rPr>
        <w:t xml:space="preserve"> shapes how societies organise themselves around perceived harms. </w:t>
      </w:r>
      <w:r w:rsidR="00BD0808">
        <w:rPr>
          <w:rFonts w:ascii="Gill Sans MT" w:hAnsi="Gill Sans MT"/>
        </w:rPr>
        <w:t>In this capacity it</w:t>
      </w:r>
      <w:r w:rsidR="007D5C89">
        <w:rPr>
          <w:rFonts w:ascii="Gill Sans MT" w:hAnsi="Gill Sans MT"/>
        </w:rPr>
        <w:t xml:space="preserve"> can help to sediment identities and provide a glue for the formation of new social groups</w:t>
      </w:r>
      <w:r w:rsidR="004D351A" w:rsidRPr="00AF55B0">
        <w:rPr>
          <w:rFonts w:ascii="Gill Sans MT" w:hAnsi="Gill Sans MT"/>
          <w:lang w:val="en-US"/>
        </w:rPr>
        <w:t xml:space="preserve">. </w:t>
      </w:r>
      <w:r w:rsidR="007D5C89">
        <w:rPr>
          <w:rFonts w:ascii="Gill Sans MT" w:hAnsi="Gill Sans MT"/>
          <w:lang w:val="en-US"/>
        </w:rPr>
        <w:t>At the same stroke,</w:t>
      </w:r>
      <w:r w:rsidR="004D351A" w:rsidRPr="00AF55B0">
        <w:rPr>
          <w:rFonts w:ascii="Gill Sans MT" w:hAnsi="Gill Sans MT"/>
          <w:lang w:val="en-US"/>
        </w:rPr>
        <w:t xml:space="preserve"> </w:t>
      </w:r>
      <w:r w:rsidR="007D5C89">
        <w:rPr>
          <w:rFonts w:ascii="Gill Sans MT" w:hAnsi="Gill Sans MT"/>
          <w:lang w:val="en-US"/>
        </w:rPr>
        <w:t xml:space="preserve">it also </w:t>
      </w:r>
      <w:r w:rsidR="004D351A" w:rsidRPr="00AF55B0">
        <w:rPr>
          <w:rFonts w:ascii="Gill Sans MT" w:hAnsi="Gill Sans MT"/>
          <w:lang w:val="en-US"/>
        </w:rPr>
        <w:t>(re)produces silences</w:t>
      </w:r>
      <w:r>
        <w:rPr>
          <w:rFonts w:ascii="Gill Sans MT" w:hAnsi="Gill Sans MT"/>
          <w:lang w:val="en-US"/>
        </w:rPr>
        <w:t>,</w:t>
      </w:r>
      <w:r w:rsidR="004D351A" w:rsidRPr="00AF55B0">
        <w:rPr>
          <w:rFonts w:ascii="Gill Sans MT" w:hAnsi="Gill Sans MT"/>
          <w:lang w:val="en-US"/>
        </w:rPr>
        <w:t xml:space="preserve"> exclusions</w:t>
      </w:r>
      <w:r>
        <w:rPr>
          <w:rFonts w:ascii="Gill Sans MT" w:hAnsi="Gill Sans MT"/>
          <w:lang w:val="en-US"/>
        </w:rPr>
        <w:t xml:space="preserve"> and the patterns of violence that enable them</w:t>
      </w:r>
      <w:r w:rsidR="004D351A" w:rsidRPr="00AF55B0">
        <w:rPr>
          <w:rFonts w:ascii="Gill Sans MT" w:hAnsi="Gill Sans MT"/>
          <w:lang w:val="en-US"/>
        </w:rPr>
        <w:t xml:space="preserve">. </w:t>
      </w:r>
    </w:p>
    <w:p w14:paraId="5912A405" w14:textId="2D02FB18" w:rsidR="005C099A" w:rsidRPr="00311445" w:rsidRDefault="005C099A" w:rsidP="00FB3ED1">
      <w:pPr>
        <w:spacing w:line="480" w:lineRule="auto"/>
        <w:ind w:firstLine="720"/>
        <w:jc w:val="both"/>
        <w:rPr>
          <w:rFonts w:ascii="Gill Sans MT" w:hAnsi="Gill Sans MT"/>
          <w:color w:val="00B0F0"/>
        </w:rPr>
      </w:pPr>
      <w:r>
        <w:rPr>
          <w:rFonts w:ascii="Gill Sans MT" w:hAnsi="Gill Sans MT"/>
        </w:rPr>
        <w:t>Second, th</w:t>
      </w:r>
      <w:r w:rsidR="007D5C89">
        <w:rPr>
          <w:rFonts w:ascii="Gill Sans MT" w:hAnsi="Gill Sans MT"/>
        </w:rPr>
        <w:t>is</w:t>
      </w:r>
      <w:r>
        <w:rPr>
          <w:rFonts w:ascii="Gill Sans MT" w:hAnsi="Gill Sans MT"/>
        </w:rPr>
        <w:t xml:space="preserve"> collection of essays</w:t>
      </w:r>
      <w:r w:rsidR="00BD0808">
        <w:rPr>
          <w:rFonts w:ascii="Gill Sans MT" w:hAnsi="Gill Sans MT"/>
        </w:rPr>
        <w:t xml:space="preserve"> </w:t>
      </w:r>
      <w:r>
        <w:rPr>
          <w:rFonts w:ascii="Gill Sans MT" w:hAnsi="Gill Sans MT"/>
        </w:rPr>
        <w:t>take</w:t>
      </w:r>
      <w:r w:rsidR="00F91C1A">
        <w:rPr>
          <w:rFonts w:ascii="Gill Sans MT" w:hAnsi="Gill Sans MT"/>
        </w:rPr>
        <w:t>s</w:t>
      </w:r>
      <w:r>
        <w:rPr>
          <w:rFonts w:ascii="Gill Sans MT" w:hAnsi="Gill Sans MT"/>
        </w:rPr>
        <w:t xml:space="preserve"> stock of the global dimensions of victimhood, asking how </w:t>
      </w:r>
      <w:r w:rsidR="00A02202">
        <w:rPr>
          <w:rFonts w:ascii="Gill Sans MT" w:hAnsi="Gill Sans MT"/>
        </w:rPr>
        <w:t>it</w:t>
      </w:r>
      <w:r>
        <w:rPr>
          <w:rFonts w:ascii="Gill Sans MT" w:hAnsi="Gill Sans MT"/>
        </w:rPr>
        <w:t xml:space="preserve"> is mobilised in different geographies and locations</w:t>
      </w:r>
      <w:r w:rsidR="00A02202">
        <w:rPr>
          <w:rFonts w:ascii="Gill Sans MT" w:hAnsi="Gill Sans MT"/>
        </w:rPr>
        <w:t>,</w:t>
      </w:r>
      <w:r w:rsidR="00884C05">
        <w:rPr>
          <w:rFonts w:ascii="Gill Sans MT" w:hAnsi="Gill Sans MT"/>
        </w:rPr>
        <w:t xml:space="preserve"> and to what effect</w:t>
      </w:r>
      <w:r>
        <w:rPr>
          <w:rFonts w:ascii="Gill Sans MT" w:hAnsi="Gill Sans MT"/>
        </w:rPr>
        <w:t>.</w:t>
      </w:r>
      <w:r w:rsidR="009F6382">
        <w:rPr>
          <w:rFonts w:ascii="Gill Sans MT" w:hAnsi="Gill Sans MT"/>
        </w:rPr>
        <w:t xml:space="preserve"> The Symposium presents </w:t>
      </w:r>
      <w:r w:rsidR="000C0759">
        <w:rPr>
          <w:rFonts w:ascii="Gill Sans MT" w:hAnsi="Gill Sans MT"/>
        </w:rPr>
        <w:t>case</w:t>
      </w:r>
      <w:r w:rsidR="00BD0808">
        <w:rPr>
          <w:rFonts w:ascii="Gill Sans MT" w:hAnsi="Gill Sans MT"/>
        </w:rPr>
        <w:t xml:space="preserve"> </w:t>
      </w:r>
      <w:r w:rsidR="000C0759">
        <w:rPr>
          <w:rFonts w:ascii="Gill Sans MT" w:hAnsi="Gill Sans MT"/>
        </w:rPr>
        <w:t>studies</w:t>
      </w:r>
      <w:r w:rsidR="008B4CFB">
        <w:rPr>
          <w:rFonts w:ascii="Gill Sans MT" w:hAnsi="Gill Sans MT"/>
        </w:rPr>
        <w:t xml:space="preserve"> </w:t>
      </w:r>
      <w:r w:rsidR="00283684">
        <w:rPr>
          <w:rFonts w:ascii="Gill Sans MT" w:hAnsi="Gill Sans MT"/>
        </w:rPr>
        <w:t>from</w:t>
      </w:r>
      <w:r w:rsidR="000C0759">
        <w:rPr>
          <w:rFonts w:ascii="Gill Sans MT" w:hAnsi="Gill Sans MT"/>
        </w:rPr>
        <w:t xml:space="preserve"> Tunisia,</w:t>
      </w:r>
      <w:r w:rsidR="008B4CFB">
        <w:rPr>
          <w:rFonts w:ascii="Gill Sans MT" w:hAnsi="Gill Sans MT"/>
        </w:rPr>
        <w:t xml:space="preserve"> the United States, South Korea, Greece, </w:t>
      </w:r>
      <w:r w:rsidR="005A1F9F">
        <w:rPr>
          <w:rFonts w:ascii="Gill Sans MT" w:hAnsi="Gill Sans MT"/>
        </w:rPr>
        <w:t xml:space="preserve">and the Mekong region of South-East Asia. This breadth of scope amply </w:t>
      </w:r>
      <w:r w:rsidR="008B4CFB">
        <w:rPr>
          <w:rFonts w:ascii="Gill Sans MT" w:hAnsi="Gill Sans MT"/>
        </w:rPr>
        <w:t>illustrat</w:t>
      </w:r>
      <w:r w:rsidR="005A1F9F">
        <w:rPr>
          <w:rFonts w:ascii="Gill Sans MT" w:hAnsi="Gill Sans MT"/>
        </w:rPr>
        <w:t>es</w:t>
      </w:r>
      <w:r w:rsidR="008B4CFB">
        <w:rPr>
          <w:rFonts w:ascii="Gill Sans MT" w:hAnsi="Gill Sans MT"/>
        </w:rPr>
        <w:t xml:space="preserve"> the </w:t>
      </w:r>
      <w:r w:rsidR="00884C05">
        <w:rPr>
          <w:rFonts w:ascii="Gill Sans MT" w:hAnsi="Gill Sans MT"/>
        </w:rPr>
        <w:t>ubiquitous and widespread nature of</w:t>
      </w:r>
      <w:r w:rsidR="008B4CFB">
        <w:rPr>
          <w:rFonts w:ascii="Gill Sans MT" w:hAnsi="Gill Sans MT"/>
        </w:rPr>
        <w:t xml:space="preserve"> appeals to victimhood. </w:t>
      </w:r>
      <w:r w:rsidR="00A23D6B">
        <w:rPr>
          <w:rFonts w:ascii="Gill Sans MT" w:hAnsi="Gill Sans MT"/>
        </w:rPr>
        <w:t xml:space="preserve">Yet the </w:t>
      </w:r>
      <w:r w:rsidR="008B4CFB" w:rsidRPr="00AF55B0">
        <w:rPr>
          <w:rFonts w:ascii="Gill Sans MT" w:hAnsi="Gill Sans MT"/>
        </w:rPr>
        <w:t xml:space="preserve">term </w:t>
      </w:r>
      <w:r w:rsidR="008B4CFB">
        <w:rPr>
          <w:rFonts w:ascii="Gill Sans MT" w:hAnsi="Gill Sans MT"/>
        </w:rPr>
        <w:t>“</w:t>
      </w:r>
      <w:r w:rsidR="008B4CFB" w:rsidRPr="00AF55B0">
        <w:rPr>
          <w:rFonts w:ascii="Gill Sans MT" w:hAnsi="Gill Sans MT"/>
        </w:rPr>
        <w:t>global</w:t>
      </w:r>
      <w:r w:rsidR="008B4CFB">
        <w:rPr>
          <w:rFonts w:ascii="Gill Sans MT" w:hAnsi="Gill Sans MT"/>
        </w:rPr>
        <w:t>”</w:t>
      </w:r>
      <w:r w:rsidR="008B4CFB" w:rsidRPr="00AF55B0">
        <w:rPr>
          <w:rFonts w:ascii="Gill Sans MT" w:hAnsi="Gill Sans MT"/>
        </w:rPr>
        <w:t xml:space="preserve"> </w:t>
      </w:r>
      <w:r w:rsidR="00A23D6B">
        <w:rPr>
          <w:rFonts w:ascii="Gill Sans MT" w:hAnsi="Gill Sans MT"/>
        </w:rPr>
        <w:t xml:space="preserve">denotes more than just a range of </w:t>
      </w:r>
      <w:r w:rsidR="002873CB">
        <w:rPr>
          <w:rFonts w:ascii="Gill Sans MT" w:hAnsi="Gill Sans MT"/>
        </w:rPr>
        <w:t xml:space="preserve">locales in which discourses of victimhood </w:t>
      </w:r>
      <w:r w:rsidR="00251C96">
        <w:rPr>
          <w:rFonts w:ascii="Gill Sans MT" w:hAnsi="Gill Sans MT"/>
        </w:rPr>
        <w:t xml:space="preserve">either do or do not </w:t>
      </w:r>
      <w:r w:rsidR="002873CB">
        <w:rPr>
          <w:rFonts w:ascii="Gill Sans MT" w:hAnsi="Gill Sans MT"/>
        </w:rPr>
        <w:t>circulate</w:t>
      </w:r>
      <w:r w:rsidR="00A23D6B">
        <w:rPr>
          <w:rFonts w:ascii="Gill Sans MT" w:hAnsi="Gill Sans MT"/>
        </w:rPr>
        <w:t xml:space="preserve">. </w:t>
      </w:r>
      <w:r w:rsidR="002873CB">
        <w:rPr>
          <w:rFonts w:ascii="Gill Sans MT" w:hAnsi="Gill Sans MT"/>
        </w:rPr>
        <w:t>Victimhood is not just “global” because it happens here</w:t>
      </w:r>
      <w:r w:rsidR="005A1F9F">
        <w:rPr>
          <w:rFonts w:ascii="Gill Sans MT" w:hAnsi="Gill Sans MT"/>
        </w:rPr>
        <w:t>, there,</w:t>
      </w:r>
      <w:r w:rsidR="00251C96">
        <w:rPr>
          <w:rFonts w:ascii="Gill Sans MT" w:hAnsi="Gill Sans MT"/>
        </w:rPr>
        <w:t xml:space="preserve"> </w:t>
      </w:r>
      <w:r w:rsidR="00F91C1A">
        <w:rPr>
          <w:rFonts w:ascii="Gill Sans MT" w:hAnsi="Gill Sans MT"/>
        </w:rPr>
        <w:t>or</w:t>
      </w:r>
      <w:r w:rsidR="00251C96">
        <w:rPr>
          <w:rFonts w:ascii="Gill Sans MT" w:hAnsi="Gill Sans MT"/>
        </w:rPr>
        <w:t xml:space="preserve"> elsewhere</w:t>
      </w:r>
      <w:r w:rsidR="007D5C89">
        <w:rPr>
          <w:rFonts w:ascii="Gill Sans MT" w:hAnsi="Gill Sans MT"/>
        </w:rPr>
        <w:t>, but also</w:t>
      </w:r>
      <w:r w:rsidR="002873CB">
        <w:rPr>
          <w:rFonts w:ascii="Gill Sans MT" w:hAnsi="Gill Sans MT"/>
        </w:rPr>
        <w:t xml:space="preserve"> because it is inextricable</w:t>
      </w:r>
      <w:r w:rsidR="008B4CFB" w:rsidRPr="00AF55B0">
        <w:rPr>
          <w:rFonts w:ascii="Gill Sans MT" w:hAnsi="Gill Sans MT"/>
        </w:rPr>
        <w:t xml:space="preserve"> from interconnections, relations and flows that cut across the boundaries of </w:t>
      </w:r>
      <w:r w:rsidR="008B4CFB" w:rsidRPr="00AF55B0">
        <w:rPr>
          <w:rFonts w:ascii="Gill Sans MT" w:hAnsi="Gill Sans MT"/>
        </w:rPr>
        <w:lastRenderedPageBreak/>
        <w:t xml:space="preserve">specific political communities. </w:t>
      </w:r>
      <w:r w:rsidR="00A02202">
        <w:rPr>
          <w:rFonts w:ascii="Gill Sans MT" w:hAnsi="Gill Sans MT"/>
        </w:rPr>
        <w:t>I</w:t>
      </w:r>
      <w:r w:rsidR="008B4CFB" w:rsidRPr="00AF55B0">
        <w:rPr>
          <w:rFonts w:ascii="Gill Sans MT" w:hAnsi="Gill Sans MT"/>
        </w:rPr>
        <w:t xml:space="preserve">n </w:t>
      </w:r>
      <w:r w:rsidR="00F91C1A">
        <w:rPr>
          <w:rFonts w:ascii="Gill Sans MT" w:hAnsi="Gill Sans MT"/>
        </w:rPr>
        <w:t>their</w:t>
      </w:r>
      <w:r w:rsidR="008B4CFB" w:rsidRPr="00AF55B0">
        <w:rPr>
          <w:rFonts w:ascii="Gill Sans MT" w:hAnsi="Gill Sans MT"/>
        </w:rPr>
        <w:t xml:space="preserve"> construction and effects</w:t>
      </w:r>
      <w:r w:rsidR="00A02202">
        <w:rPr>
          <w:rFonts w:ascii="Gill Sans MT" w:hAnsi="Gill Sans MT"/>
        </w:rPr>
        <w:t xml:space="preserve">, discourses of victimhood both constitute and redirect these </w:t>
      </w:r>
      <w:r w:rsidR="00251C96">
        <w:rPr>
          <w:rFonts w:ascii="Gill Sans MT" w:hAnsi="Gill Sans MT"/>
        </w:rPr>
        <w:t>relations</w:t>
      </w:r>
      <w:r w:rsidR="002873CB">
        <w:rPr>
          <w:rFonts w:ascii="Gill Sans MT" w:hAnsi="Gill Sans MT"/>
        </w:rPr>
        <w:t>.</w:t>
      </w:r>
    </w:p>
    <w:p w14:paraId="2CAEFA3D" w14:textId="2DB6DEC4" w:rsidR="004D351A" w:rsidRPr="00311445" w:rsidRDefault="005C099A" w:rsidP="00FB3ED1">
      <w:pPr>
        <w:spacing w:line="480" w:lineRule="auto"/>
        <w:ind w:firstLine="720"/>
        <w:jc w:val="both"/>
        <w:rPr>
          <w:rFonts w:ascii="Gill Sans MT" w:hAnsi="Gill Sans MT"/>
          <w:lang w:val="en-US"/>
        </w:rPr>
      </w:pPr>
      <w:r>
        <w:rPr>
          <w:rFonts w:ascii="Gill Sans MT" w:hAnsi="Gill Sans MT"/>
          <w:lang w:val="en-US"/>
        </w:rPr>
        <w:t>Third,</w:t>
      </w:r>
      <w:r w:rsidR="004D351A" w:rsidRPr="00AF55B0">
        <w:rPr>
          <w:rFonts w:ascii="Gill Sans MT" w:hAnsi="Gill Sans MT"/>
          <w:lang w:val="en-US"/>
        </w:rPr>
        <w:t xml:space="preserve"> </w:t>
      </w:r>
      <w:r w:rsidR="00711CBF">
        <w:rPr>
          <w:rFonts w:ascii="Gill Sans MT" w:hAnsi="Gill Sans MT"/>
          <w:lang w:val="en-US"/>
        </w:rPr>
        <w:t xml:space="preserve">by </w:t>
      </w:r>
      <w:r w:rsidR="00F91C1A">
        <w:rPr>
          <w:rFonts w:ascii="Gill Sans MT" w:hAnsi="Gill Sans MT"/>
          <w:lang w:val="en-US"/>
        </w:rPr>
        <w:t>emphasizing</w:t>
      </w:r>
      <w:r w:rsidR="00BD04E7">
        <w:rPr>
          <w:rFonts w:ascii="Gill Sans MT" w:hAnsi="Gill Sans MT"/>
          <w:lang w:val="en-US"/>
        </w:rPr>
        <w:t xml:space="preserve"> victimhood</w:t>
      </w:r>
      <w:r w:rsidR="00FB3ED1">
        <w:rPr>
          <w:rFonts w:ascii="Gill Sans MT" w:hAnsi="Gill Sans MT"/>
          <w:lang w:val="en-US"/>
        </w:rPr>
        <w:t>’s constructed nature</w:t>
      </w:r>
      <w:r w:rsidR="00711CBF">
        <w:rPr>
          <w:rFonts w:ascii="Gill Sans MT" w:hAnsi="Gill Sans MT"/>
          <w:lang w:val="en-US"/>
        </w:rPr>
        <w:t xml:space="preserve">, the Symposium </w:t>
      </w:r>
      <w:r w:rsidR="00BD0808">
        <w:rPr>
          <w:rFonts w:ascii="Gill Sans MT" w:hAnsi="Gill Sans MT"/>
          <w:lang w:val="en-US"/>
        </w:rPr>
        <w:t>seeks to foreground questions</w:t>
      </w:r>
      <w:r w:rsidR="004D351A">
        <w:rPr>
          <w:rFonts w:ascii="Gill Sans MT" w:hAnsi="Gill Sans MT"/>
          <w:lang w:val="en-US"/>
        </w:rPr>
        <w:t xml:space="preserve"> of agency, power and struggle.</w:t>
      </w:r>
      <w:r w:rsidR="004D351A" w:rsidRPr="00AF55B0">
        <w:rPr>
          <w:rFonts w:ascii="Gill Sans MT" w:hAnsi="Gill Sans MT"/>
          <w:lang w:val="en-US"/>
        </w:rPr>
        <w:t xml:space="preserve"> </w:t>
      </w:r>
      <w:r w:rsidR="009F6382">
        <w:rPr>
          <w:rFonts w:ascii="Gill Sans MT" w:hAnsi="Gill Sans MT"/>
          <w:lang w:val="en-US"/>
        </w:rPr>
        <w:t xml:space="preserve">Rather than asking who </w:t>
      </w:r>
      <w:r w:rsidR="009F6382" w:rsidRPr="00311445">
        <w:rPr>
          <w:rFonts w:ascii="Gill Sans MT" w:hAnsi="Gill Sans MT"/>
          <w:i/>
          <w:iCs/>
          <w:lang w:val="en-US"/>
        </w:rPr>
        <w:t>is</w:t>
      </w:r>
      <w:r w:rsidR="009F6382">
        <w:rPr>
          <w:rFonts w:ascii="Gill Sans MT" w:hAnsi="Gill Sans MT"/>
          <w:lang w:val="en-US"/>
        </w:rPr>
        <w:t xml:space="preserve"> </w:t>
      </w:r>
      <w:r w:rsidR="006A391A">
        <w:rPr>
          <w:rFonts w:ascii="Gill Sans MT" w:hAnsi="Gill Sans MT"/>
          <w:lang w:val="en-US"/>
        </w:rPr>
        <w:t>a</w:t>
      </w:r>
      <w:r w:rsidR="009F6382">
        <w:rPr>
          <w:rFonts w:ascii="Gill Sans MT" w:hAnsi="Gill Sans MT"/>
          <w:lang w:val="en-US"/>
        </w:rPr>
        <w:t xml:space="preserve"> victim, </w:t>
      </w:r>
      <w:r w:rsidR="00251C96">
        <w:rPr>
          <w:rFonts w:ascii="Gill Sans MT" w:hAnsi="Gill Sans MT"/>
          <w:lang w:val="en-US"/>
        </w:rPr>
        <w:t>our contributors</w:t>
      </w:r>
      <w:r w:rsidR="009F6382">
        <w:rPr>
          <w:rFonts w:ascii="Gill Sans MT" w:hAnsi="Gill Sans MT"/>
          <w:lang w:val="en-US"/>
        </w:rPr>
        <w:t xml:space="preserve"> follow Chouliaraki and Banet-Weiser </w:t>
      </w:r>
      <w:r w:rsidR="001E25E0">
        <w:rPr>
          <w:rFonts w:ascii="Gill Sans MT" w:hAnsi="Gill Sans MT"/>
          <w:lang w:val="en-US"/>
        </w:rPr>
        <w:t>by interrogating</w:t>
      </w:r>
      <w:r w:rsidR="009F6382">
        <w:rPr>
          <w:rFonts w:ascii="Gill Sans MT" w:hAnsi="Gill Sans MT"/>
          <w:lang w:val="en-US"/>
        </w:rPr>
        <w:t xml:space="preserve"> the position</w:t>
      </w:r>
      <w:r w:rsidR="00FB3ED1">
        <w:rPr>
          <w:rFonts w:ascii="Gill Sans MT" w:hAnsi="Gill Sans MT"/>
          <w:lang w:val="en-US"/>
        </w:rPr>
        <w:t>s</w:t>
      </w:r>
      <w:r w:rsidR="009F6382">
        <w:rPr>
          <w:rFonts w:ascii="Gill Sans MT" w:hAnsi="Gill Sans MT"/>
          <w:lang w:val="en-US"/>
        </w:rPr>
        <w:t xml:space="preserve"> from which claim</w:t>
      </w:r>
      <w:r w:rsidR="001E25E0">
        <w:rPr>
          <w:rFonts w:ascii="Gill Sans MT" w:hAnsi="Gill Sans MT"/>
          <w:lang w:val="en-US"/>
        </w:rPr>
        <w:t>s</w:t>
      </w:r>
      <w:r w:rsidR="009F6382">
        <w:rPr>
          <w:rFonts w:ascii="Gill Sans MT" w:hAnsi="Gill Sans MT"/>
          <w:lang w:val="en-US"/>
        </w:rPr>
        <w:t xml:space="preserve"> to victimhood </w:t>
      </w:r>
      <w:r w:rsidR="001E25E0">
        <w:rPr>
          <w:rFonts w:ascii="Gill Sans MT" w:hAnsi="Gill Sans MT"/>
          <w:lang w:val="en-US"/>
        </w:rPr>
        <w:t>are</w:t>
      </w:r>
      <w:r w:rsidR="009F6382">
        <w:rPr>
          <w:rFonts w:ascii="Gill Sans MT" w:hAnsi="Gill Sans MT"/>
          <w:lang w:val="en-US"/>
        </w:rPr>
        <w:t xml:space="preserve"> made</w:t>
      </w:r>
      <w:r w:rsidR="009F6382">
        <w:t>.</w:t>
      </w:r>
      <w:r w:rsidR="009F6382">
        <w:rPr>
          <w:rStyle w:val="FootnoteReference"/>
        </w:rPr>
        <w:footnoteReference w:id="15"/>
      </w:r>
      <w:r w:rsidR="000C0759">
        <w:rPr>
          <w:rFonts w:ascii="Gill Sans MT" w:hAnsi="Gill Sans MT"/>
          <w:lang w:val="en-US"/>
        </w:rPr>
        <w:t xml:space="preserve"> This is an important difference </w:t>
      </w:r>
      <w:r w:rsidR="004D351A" w:rsidRPr="00AF55B0">
        <w:rPr>
          <w:rFonts w:ascii="Gill Sans MT" w:hAnsi="Gill Sans MT"/>
          <w:lang w:val="en-US"/>
        </w:rPr>
        <w:t xml:space="preserve">because condemnations of </w:t>
      </w:r>
      <w:r w:rsidR="004D351A">
        <w:rPr>
          <w:rFonts w:ascii="Gill Sans MT" w:hAnsi="Gill Sans MT"/>
          <w:lang w:val="en-US"/>
        </w:rPr>
        <w:t>“</w:t>
      </w:r>
      <w:r w:rsidR="004D351A" w:rsidRPr="00AF55B0">
        <w:rPr>
          <w:rFonts w:ascii="Gill Sans MT" w:hAnsi="Gill Sans MT"/>
          <w:lang w:val="en-US"/>
        </w:rPr>
        <w:t>victim culture</w:t>
      </w:r>
      <w:r w:rsidR="004D351A">
        <w:rPr>
          <w:rFonts w:ascii="Gill Sans MT" w:hAnsi="Gill Sans MT"/>
          <w:lang w:val="en-US"/>
        </w:rPr>
        <w:t>”</w:t>
      </w:r>
      <w:r w:rsidR="004D351A" w:rsidRPr="00AF55B0">
        <w:rPr>
          <w:rFonts w:ascii="Gill Sans MT" w:hAnsi="Gill Sans MT"/>
          <w:lang w:val="en-US"/>
        </w:rPr>
        <w:t xml:space="preserve"> – of which victimhood’s invocation in the context of higher education is representative – </w:t>
      </w:r>
      <w:r w:rsidR="001E25E0">
        <w:rPr>
          <w:rFonts w:ascii="Gill Sans MT" w:hAnsi="Gill Sans MT"/>
          <w:lang w:val="en-US"/>
        </w:rPr>
        <w:t xml:space="preserve">often </w:t>
      </w:r>
      <w:r w:rsidR="004D351A">
        <w:rPr>
          <w:rFonts w:ascii="Gill Sans MT" w:hAnsi="Gill Sans MT"/>
          <w:lang w:val="en-US"/>
        </w:rPr>
        <w:t>function by dislocating injuries from the social structures and imbalances of power that enable them</w:t>
      </w:r>
      <w:r w:rsidR="004D351A" w:rsidRPr="00AF55B0">
        <w:rPr>
          <w:rFonts w:ascii="Gill Sans MT" w:hAnsi="Gill Sans MT"/>
          <w:lang w:val="en-US"/>
        </w:rPr>
        <w:t xml:space="preserve">. This is in and of itself a circumscriptive move that seeks to close off </w:t>
      </w:r>
      <w:r w:rsidR="001E25E0">
        <w:rPr>
          <w:rFonts w:ascii="Gill Sans MT" w:hAnsi="Gill Sans MT"/>
          <w:lang w:val="en-US"/>
        </w:rPr>
        <w:t>the possibility of</w:t>
      </w:r>
      <w:r w:rsidR="004D351A" w:rsidRPr="00AF55B0">
        <w:rPr>
          <w:rFonts w:ascii="Gill Sans MT" w:hAnsi="Gill Sans MT"/>
          <w:lang w:val="en-US"/>
        </w:rPr>
        <w:t xml:space="preserve"> critique, enquiry, and social and political </w:t>
      </w:r>
      <w:r w:rsidR="002F7DA2">
        <w:rPr>
          <w:rFonts w:ascii="Gill Sans MT" w:hAnsi="Gill Sans MT"/>
          <w:lang w:val="en-US"/>
        </w:rPr>
        <w:t>change</w:t>
      </w:r>
      <w:r w:rsidR="004D351A" w:rsidRPr="00AF55B0">
        <w:rPr>
          <w:rFonts w:ascii="Gill Sans MT" w:hAnsi="Gill Sans MT"/>
          <w:lang w:val="en-US"/>
        </w:rPr>
        <w:t xml:space="preserve">. </w:t>
      </w:r>
      <w:r w:rsidR="001E25E0">
        <w:rPr>
          <w:rFonts w:ascii="Gill Sans MT" w:hAnsi="Gill Sans MT"/>
          <w:lang w:val="en-US"/>
        </w:rPr>
        <w:t xml:space="preserve">Moreover, </w:t>
      </w:r>
      <w:r w:rsidR="004D351A" w:rsidRPr="00AF55B0">
        <w:rPr>
          <w:rFonts w:ascii="Gill Sans MT" w:hAnsi="Gill Sans MT"/>
          <w:lang w:val="en-US"/>
        </w:rPr>
        <w:t xml:space="preserve">it has enabled the political right </w:t>
      </w:r>
      <w:r w:rsidR="00251C96">
        <w:rPr>
          <w:rFonts w:ascii="Gill Sans MT" w:hAnsi="Gill Sans MT"/>
          <w:lang w:val="en-US"/>
        </w:rPr>
        <w:t xml:space="preserve">paradoxically </w:t>
      </w:r>
      <w:r w:rsidR="004D351A" w:rsidRPr="00AF55B0">
        <w:rPr>
          <w:rFonts w:ascii="Gill Sans MT" w:hAnsi="Gill Sans MT"/>
          <w:lang w:val="en-US"/>
        </w:rPr>
        <w:t>to frame itself as a minority under threat</w:t>
      </w:r>
      <w:r w:rsidR="001E25E0">
        <w:rPr>
          <w:rFonts w:ascii="Gill Sans MT" w:hAnsi="Gill Sans MT"/>
          <w:lang w:val="en-US"/>
        </w:rPr>
        <w:t>:</w:t>
      </w:r>
      <w:r w:rsidR="004D351A" w:rsidRPr="00AF55B0">
        <w:rPr>
          <w:rFonts w:ascii="Gill Sans MT" w:hAnsi="Gill Sans MT"/>
          <w:lang w:val="en-US"/>
        </w:rPr>
        <w:t xml:space="preserve"> to claim that a particular</w:t>
      </w:r>
      <w:r w:rsidR="001E25E0">
        <w:rPr>
          <w:rFonts w:ascii="Gill Sans MT" w:hAnsi="Gill Sans MT"/>
          <w:lang w:val="en-US"/>
        </w:rPr>
        <w:t xml:space="preserve"> (</w:t>
      </w:r>
      <w:r w:rsidR="008A24B0">
        <w:rPr>
          <w:rFonts w:ascii="Gill Sans MT" w:hAnsi="Gill Sans MT"/>
          <w:lang w:val="en-US"/>
        </w:rPr>
        <w:t>implicitly</w:t>
      </w:r>
      <w:r w:rsidR="001E25E0">
        <w:rPr>
          <w:rFonts w:ascii="Gill Sans MT" w:hAnsi="Gill Sans MT"/>
          <w:lang w:val="en-US"/>
        </w:rPr>
        <w:t xml:space="preserve"> white, masculine, heteronormative)</w:t>
      </w:r>
      <w:r w:rsidR="004D351A" w:rsidRPr="00AF55B0">
        <w:rPr>
          <w:rFonts w:ascii="Gill Sans MT" w:hAnsi="Gill Sans MT"/>
          <w:lang w:val="en-US"/>
        </w:rPr>
        <w:t xml:space="preserve"> way of life is being repressed by</w:t>
      </w:r>
      <w:r w:rsidR="004D351A" w:rsidRPr="00AF55B0">
        <w:rPr>
          <w:rFonts w:ascii="Gill Sans MT" w:hAnsi="Gill Sans MT"/>
        </w:rPr>
        <w:t xml:space="preserve"> political correctness, safe spaces, equality programmes, or demographic change.</w:t>
      </w:r>
      <w:r w:rsidR="004D351A" w:rsidRPr="001E6DEF">
        <w:rPr>
          <w:rStyle w:val="FootnoteReference"/>
          <w:rFonts w:ascii="Gill Sans MT" w:hAnsi="Gill Sans MT"/>
        </w:rPr>
        <w:footnoteReference w:id="16"/>
      </w:r>
      <w:r w:rsidR="004D351A" w:rsidRPr="001E6DEF">
        <w:rPr>
          <w:rFonts w:ascii="Gill Sans MT" w:hAnsi="Gill Sans MT"/>
        </w:rPr>
        <w:t xml:space="preserve"> </w:t>
      </w:r>
      <w:r w:rsidR="004D351A">
        <w:rPr>
          <w:rFonts w:ascii="Gill Sans MT" w:hAnsi="Gill Sans MT"/>
        </w:rPr>
        <w:t>As</w:t>
      </w:r>
      <w:r w:rsidR="004D351A" w:rsidRPr="00AF55B0">
        <w:rPr>
          <w:rFonts w:ascii="Gill Sans MT" w:hAnsi="Gill Sans MT"/>
        </w:rPr>
        <w:t xml:space="preserve"> Alison Phipps</w:t>
      </w:r>
      <w:r w:rsidR="004D351A">
        <w:rPr>
          <w:rFonts w:ascii="Gill Sans MT" w:hAnsi="Gill Sans MT"/>
        </w:rPr>
        <w:t xml:space="preserve"> rightly observes</w:t>
      </w:r>
      <w:r w:rsidR="004D351A" w:rsidRPr="00AF55B0">
        <w:rPr>
          <w:rFonts w:ascii="Gill Sans MT" w:hAnsi="Gill Sans MT"/>
        </w:rPr>
        <w:t xml:space="preserve">, it is precisely because of its proximity to power that </w:t>
      </w:r>
      <w:r w:rsidR="004D351A">
        <w:rPr>
          <w:rFonts w:ascii="Gill Sans MT" w:hAnsi="Gill Sans MT"/>
        </w:rPr>
        <w:t>“</w:t>
      </w:r>
      <w:r w:rsidR="004D351A" w:rsidRPr="00AF55B0">
        <w:rPr>
          <w:rFonts w:ascii="Gill Sans MT" w:hAnsi="Gill Sans MT"/>
        </w:rPr>
        <w:t>w</w:t>
      </w:r>
      <w:r w:rsidR="004D351A" w:rsidRPr="00A107A2">
        <w:rPr>
          <w:rFonts w:ascii="Gill Sans MT" w:hAnsi="Gill Sans MT"/>
        </w:rPr>
        <w:t>hiteness is predisposed to woundedness</w:t>
      </w:r>
      <w:r w:rsidR="004D351A">
        <w:rPr>
          <w:rFonts w:ascii="Gill Sans MT" w:hAnsi="Gill Sans MT"/>
        </w:rPr>
        <w:t>”</w:t>
      </w:r>
      <w:r w:rsidR="008A24B0">
        <w:rPr>
          <w:rFonts w:ascii="Gill Sans MT" w:hAnsi="Gill Sans MT"/>
        </w:rPr>
        <w:t>,</w:t>
      </w:r>
      <w:r w:rsidR="004D351A" w:rsidRPr="00A107A2">
        <w:rPr>
          <w:rFonts w:ascii="Gill Sans MT" w:hAnsi="Gill Sans MT"/>
        </w:rPr>
        <w:t xml:space="preserve"> </w:t>
      </w:r>
      <w:r w:rsidR="001E25E0">
        <w:rPr>
          <w:rFonts w:ascii="Gill Sans MT" w:hAnsi="Gill Sans MT"/>
        </w:rPr>
        <w:t xml:space="preserve">for which reason discourses of </w:t>
      </w:r>
      <w:r w:rsidR="004D351A" w:rsidRPr="001E6DEF">
        <w:rPr>
          <w:rFonts w:ascii="Gill Sans MT" w:hAnsi="Gill Sans MT"/>
        </w:rPr>
        <w:t>victimhood</w:t>
      </w:r>
      <w:r w:rsidR="0035137B">
        <w:rPr>
          <w:rFonts w:ascii="Gill Sans MT" w:hAnsi="Gill Sans MT"/>
        </w:rPr>
        <w:t xml:space="preserve"> can</w:t>
      </w:r>
      <w:r w:rsidR="001E25E0">
        <w:rPr>
          <w:rFonts w:ascii="Gill Sans MT" w:hAnsi="Gill Sans MT"/>
        </w:rPr>
        <w:t xml:space="preserve"> quite comfortably </w:t>
      </w:r>
      <w:r w:rsidR="0035137B">
        <w:rPr>
          <w:rFonts w:ascii="Gill Sans MT" w:hAnsi="Gill Sans MT"/>
        </w:rPr>
        <w:t xml:space="preserve">be </w:t>
      </w:r>
      <w:r w:rsidR="001E25E0">
        <w:rPr>
          <w:rFonts w:ascii="Gill Sans MT" w:hAnsi="Gill Sans MT"/>
        </w:rPr>
        <w:t xml:space="preserve">yoked to </w:t>
      </w:r>
      <w:r w:rsidR="004D351A">
        <w:rPr>
          <w:rFonts w:ascii="Gill Sans MT" w:hAnsi="Gill Sans MT"/>
        </w:rPr>
        <w:t>hegemonic interests</w:t>
      </w:r>
      <w:r w:rsidR="004D351A" w:rsidRPr="005B6E7A">
        <w:rPr>
          <w:rFonts w:ascii="Gill Sans MT" w:hAnsi="Gill Sans MT"/>
        </w:rPr>
        <w:t>.</w:t>
      </w:r>
      <w:r w:rsidR="004D351A" w:rsidRPr="005B6E7A">
        <w:rPr>
          <w:rStyle w:val="FootnoteReference"/>
          <w:rFonts w:ascii="Gill Sans MT" w:hAnsi="Gill Sans MT"/>
        </w:rPr>
        <w:footnoteReference w:id="17"/>
      </w:r>
      <w:r w:rsidR="004D351A" w:rsidRPr="005B6E7A">
        <w:rPr>
          <w:rFonts w:ascii="Gill Sans MT" w:hAnsi="Gill Sans MT"/>
        </w:rPr>
        <w:t xml:space="preserve"> This Symposium seeks to understand where, how, and why this is the case, and whether something more transformative and emancipatory might be salvaged from the wreckage.</w:t>
      </w:r>
    </w:p>
    <w:p w14:paraId="4FC2B746" w14:textId="6B6AEFB4" w:rsidR="004D351A" w:rsidRPr="001E6DEF" w:rsidRDefault="004D351A" w:rsidP="00FB3ED1">
      <w:pPr>
        <w:spacing w:line="480" w:lineRule="auto"/>
        <w:ind w:firstLine="720"/>
        <w:jc w:val="both"/>
        <w:rPr>
          <w:rFonts w:ascii="Gill Sans MT" w:hAnsi="Gill Sans MT"/>
        </w:rPr>
      </w:pPr>
      <w:r>
        <w:rPr>
          <w:rFonts w:ascii="Gill Sans MT" w:hAnsi="Gill Sans MT"/>
        </w:rPr>
        <w:t xml:space="preserve">The Symposium </w:t>
      </w:r>
      <w:r w:rsidRPr="00AF55B0">
        <w:rPr>
          <w:rFonts w:ascii="Gill Sans MT" w:hAnsi="Gill Sans MT"/>
        </w:rPr>
        <w:t>bring</w:t>
      </w:r>
      <w:r w:rsidR="00D618FD">
        <w:rPr>
          <w:rFonts w:ascii="Gill Sans MT" w:hAnsi="Gill Sans MT"/>
        </w:rPr>
        <w:t>s</w:t>
      </w:r>
      <w:r w:rsidRPr="00AF55B0">
        <w:rPr>
          <w:rFonts w:ascii="Gill Sans MT" w:hAnsi="Gill Sans MT"/>
        </w:rPr>
        <w:t xml:space="preserve"> together scholars and practitioners from a variety of fields and disciplines across the humanities and social sciences in order to develop a critical and interdisciplinary examination of victimhood that reflects its political</w:t>
      </w:r>
      <w:r>
        <w:rPr>
          <w:rFonts w:ascii="Gill Sans MT" w:hAnsi="Gill Sans MT"/>
        </w:rPr>
        <w:t>, multiple,</w:t>
      </w:r>
      <w:r w:rsidRPr="001E6DEF">
        <w:rPr>
          <w:rFonts w:ascii="Gill Sans MT" w:hAnsi="Gill Sans MT"/>
        </w:rPr>
        <w:t xml:space="preserve"> and contested nature. </w:t>
      </w:r>
      <w:r w:rsidRPr="00AF55B0">
        <w:rPr>
          <w:rFonts w:ascii="Gill Sans MT" w:hAnsi="Gill Sans MT"/>
        </w:rPr>
        <w:t xml:space="preserve">Each contribution identifies a space where claims to victimhood have animated or </w:t>
      </w:r>
      <w:r w:rsidRPr="00AF55B0">
        <w:rPr>
          <w:rFonts w:ascii="Gill Sans MT" w:hAnsi="Gill Sans MT"/>
        </w:rPr>
        <w:lastRenderedPageBreak/>
        <w:t xml:space="preserve">frustrated efforts to reckon with patterns of suffering, injury or exploitation. What is victimhood’s purpose and function in these spaces? How does it interact with and reconfigure political systems and institutions, and how does it discipline or </w:t>
      </w:r>
      <w:r>
        <w:rPr>
          <w:rFonts w:ascii="Gill Sans MT" w:hAnsi="Gill Sans MT"/>
        </w:rPr>
        <w:t>restrain</w:t>
      </w:r>
      <w:r w:rsidRPr="00AF55B0">
        <w:rPr>
          <w:rFonts w:ascii="Gill Sans MT" w:hAnsi="Gill Sans MT"/>
        </w:rPr>
        <w:t xml:space="preserve"> the lives of those it touches? In</w:t>
      </w:r>
      <w:r w:rsidR="003A150C">
        <w:rPr>
          <w:rFonts w:ascii="Gill Sans MT" w:hAnsi="Gill Sans MT"/>
        </w:rPr>
        <w:t xml:space="preserve"> grappling with</w:t>
      </w:r>
      <w:r w:rsidRPr="00AF55B0">
        <w:rPr>
          <w:rFonts w:ascii="Gill Sans MT" w:hAnsi="Gill Sans MT"/>
        </w:rPr>
        <w:t xml:space="preserve"> these questions, the </w:t>
      </w:r>
      <w:r>
        <w:rPr>
          <w:rFonts w:ascii="Gill Sans MT" w:hAnsi="Gill Sans MT"/>
        </w:rPr>
        <w:t>S</w:t>
      </w:r>
      <w:r w:rsidRPr="00AF55B0">
        <w:rPr>
          <w:rFonts w:ascii="Gill Sans MT" w:hAnsi="Gill Sans MT"/>
        </w:rPr>
        <w:t>ymposium makes no attempt to adjudicate between different claims to victimhood</w:t>
      </w:r>
      <w:r>
        <w:rPr>
          <w:rFonts w:ascii="Gill Sans MT" w:hAnsi="Gill Sans MT"/>
        </w:rPr>
        <w:t xml:space="preserve">: we have no interest in </w:t>
      </w:r>
      <w:r w:rsidRPr="00866ED2">
        <w:rPr>
          <w:rFonts w:ascii="Gill Sans MT" w:hAnsi="Gill Sans MT"/>
        </w:rPr>
        <w:t xml:space="preserve">defining who is or is not </w:t>
      </w:r>
      <w:r>
        <w:rPr>
          <w:rFonts w:ascii="Gill Sans MT" w:hAnsi="Gill Sans MT"/>
        </w:rPr>
        <w:t>“</w:t>
      </w:r>
      <w:r w:rsidRPr="00866ED2">
        <w:rPr>
          <w:rFonts w:ascii="Gill Sans MT" w:hAnsi="Gill Sans MT"/>
        </w:rPr>
        <w:t>really</w:t>
      </w:r>
      <w:r>
        <w:rPr>
          <w:rFonts w:ascii="Gill Sans MT" w:hAnsi="Gill Sans MT"/>
        </w:rPr>
        <w:t>”</w:t>
      </w:r>
      <w:r w:rsidRPr="00866ED2">
        <w:rPr>
          <w:rFonts w:ascii="Gill Sans MT" w:hAnsi="Gill Sans MT"/>
        </w:rPr>
        <w:t xml:space="preserve"> a victim</w:t>
      </w:r>
      <w:r w:rsidRPr="00AF55B0">
        <w:rPr>
          <w:rFonts w:ascii="Gill Sans MT" w:hAnsi="Gill Sans MT"/>
        </w:rPr>
        <w:t>. Instead,</w:t>
      </w:r>
      <w:r>
        <w:rPr>
          <w:rFonts w:ascii="Gill Sans MT" w:hAnsi="Gill Sans MT"/>
        </w:rPr>
        <w:t xml:space="preserve"> the Symposium</w:t>
      </w:r>
      <w:r w:rsidRPr="00AF55B0">
        <w:rPr>
          <w:rFonts w:ascii="Gill Sans MT" w:hAnsi="Gill Sans MT"/>
        </w:rPr>
        <w:t xml:space="preserve"> </w:t>
      </w:r>
      <w:r>
        <w:rPr>
          <w:rFonts w:ascii="Gill Sans MT" w:hAnsi="Gill Sans MT"/>
        </w:rPr>
        <w:t>asks</w:t>
      </w:r>
      <w:r w:rsidRPr="001E6DEF">
        <w:rPr>
          <w:rFonts w:ascii="Gill Sans MT" w:hAnsi="Gill Sans MT"/>
        </w:rPr>
        <w:t xml:space="preserve"> who gets to make claims to victimhood, how those claims are</w:t>
      </w:r>
      <w:r w:rsidRPr="00AF55B0">
        <w:rPr>
          <w:rFonts w:ascii="Gill Sans MT" w:hAnsi="Gill Sans MT"/>
        </w:rPr>
        <w:t xml:space="preserve"> affirmed or denied and by whom. In so doing, the </w:t>
      </w:r>
      <w:r>
        <w:rPr>
          <w:rFonts w:ascii="Gill Sans MT" w:hAnsi="Gill Sans MT"/>
        </w:rPr>
        <w:t>S</w:t>
      </w:r>
      <w:r w:rsidRPr="00AF55B0">
        <w:rPr>
          <w:rFonts w:ascii="Gill Sans MT" w:hAnsi="Gill Sans MT"/>
        </w:rPr>
        <w:t xml:space="preserve">ymposium </w:t>
      </w:r>
      <w:r w:rsidR="007D5C89">
        <w:rPr>
          <w:rFonts w:ascii="Gill Sans MT" w:hAnsi="Gill Sans MT"/>
        </w:rPr>
        <w:t xml:space="preserve">illuminates </w:t>
      </w:r>
      <w:r w:rsidR="00FB3ED1">
        <w:rPr>
          <w:rFonts w:ascii="Gill Sans MT" w:hAnsi="Gill Sans MT"/>
        </w:rPr>
        <w:t>five</w:t>
      </w:r>
      <w:r w:rsidR="007D5C89">
        <w:rPr>
          <w:rFonts w:ascii="Gill Sans MT" w:hAnsi="Gill Sans MT"/>
        </w:rPr>
        <w:t xml:space="preserve"> instances of</w:t>
      </w:r>
      <w:r w:rsidR="007D5C89" w:rsidRPr="00AF55B0">
        <w:rPr>
          <w:rFonts w:ascii="Gill Sans MT" w:hAnsi="Gill Sans MT"/>
        </w:rPr>
        <w:t xml:space="preserve"> </w:t>
      </w:r>
      <w:r w:rsidRPr="00AF55B0">
        <w:rPr>
          <w:rFonts w:ascii="Gill Sans MT" w:hAnsi="Gill Sans MT"/>
        </w:rPr>
        <w:t>what Jeffery and Candea call “victimhood work”</w:t>
      </w:r>
      <w:r>
        <w:rPr>
          <w:rFonts w:ascii="Gill Sans MT" w:hAnsi="Gill Sans MT"/>
        </w:rPr>
        <w:t>, or</w:t>
      </w:r>
      <w:r w:rsidRPr="00AF55B0">
        <w:rPr>
          <w:rFonts w:ascii="Gill Sans MT" w:hAnsi="Gill Sans MT"/>
        </w:rPr>
        <w:t xml:space="preserve"> the </w:t>
      </w:r>
      <w:r>
        <w:rPr>
          <w:rFonts w:ascii="Gill Sans MT" w:hAnsi="Gill Sans MT"/>
        </w:rPr>
        <w:t xml:space="preserve">consequences, outcomes and effects that follow from </w:t>
      </w:r>
      <w:r w:rsidR="007D5C89">
        <w:rPr>
          <w:rFonts w:ascii="Gill Sans MT" w:hAnsi="Gill Sans MT"/>
        </w:rPr>
        <w:t xml:space="preserve">the </w:t>
      </w:r>
      <w:r>
        <w:rPr>
          <w:rFonts w:ascii="Gill Sans MT" w:hAnsi="Gill Sans MT"/>
        </w:rPr>
        <w:t xml:space="preserve">invocation and </w:t>
      </w:r>
      <w:r w:rsidRPr="001E6DEF">
        <w:rPr>
          <w:rFonts w:ascii="Gill Sans MT" w:hAnsi="Gill Sans MT"/>
        </w:rPr>
        <w:t>culturally mediated representation</w:t>
      </w:r>
      <w:r w:rsidR="007D5C89">
        <w:rPr>
          <w:rFonts w:ascii="Gill Sans MT" w:hAnsi="Gill Sans MT"/>
        </w:rPr>
        <w:t xml:space="preserve"> of victimhood as an identity, category or status</w:t>
      </w:r>
      <w:r w:rsidRPr="00AF55B0">
        <w:rPr>
          <w:rFonts w:ascii="Gill Sans MT" w:hAnsi="Gill Sans MT"/>
        </w:rPr>
        <w:t>.</w:t>
      </w:r>
      <w:r w:rsidRPr="001E6DEF">
        <w:rPr>
          <w:rStyle w:val="FootnoteReference"/>
          <w:rFonts w:ascii="Gill Sans MT" w:hAnsi="Gill Sans MT"/>
        </w:rPr>
        <w:footnoteReference w:id="18"/>
      </w:r>
    </w:p>
    <w:p w14:paraId="0D7663FD" w14:textId="1345C00A" w:rsidR="00D25FD1" w:rsidRDefault="004D351A" w:rsidP="00FB3ED1">
      <w:pPr>
        <w:spacing w:line="480" w:lineRule="auto"/>
        <w:ind w:firstLine="720"/>
        <w:jc w:val="both"/>
        <w:rPr>
          <w:rFonts w:ascii="Gill Sans MT" w:hAnsi="Gill Sans MT"/>
        </w:rPr>
      </w:pPr>
      <w:r w:rsidRPr="00AF55B0">
        <w:rPr>
          <w:rFonts w:ascii="Gill Sans MT" w:hAnsi="Gill Sans MT"/>
        </w:rPr>
        <w:t>T</w:t>
      </w:r>
      <w:r w:rsidR="008B4CFB">
        <w:rPr>
          <w:rFonts w:ascii="Gill Sans MT" w:hAnsi="Gill Sans MT"/>
        </w:rPr>
        <w:t>wo</w:t>
      </w:r>
      <w:r w:rsidRPr="00AF55B0">
        <w:rPr>
          <w:rFonts w:ascii="Gill Sans MT" w:hAnsi="Gill Sans MT"/>
        </w:rPr>
        <w:t xml:space="preserve"> related </w:t>
      </w:r>
      <w:r w:rsidR="00D618FD">
        <w:rPr>
          <w:rFonts w:ascii="Gill Sans MT" w:hAnsi="Gill Sans MT"/>
        </w:rPr>
        <w:t>conclusions</w:t>
      </w:r>
      <w:r w:rsidR="00D618FD" w:rsidRPr="00AF55B0">
        <w:rPr>
          <w:rFonts w:ascii="Gill Sans MT" w:hAnsi="Gill Sans MT"/>
        </w:rPr>
        <w:t xml:space="preserve"> </w:t>
      </w:r>
      <w:r w:rsidRPr="00AF55B0">
        <w:rPr>
          <w:rFonts w:ascii="Gill Sans MT" w:hAnsi="Gill Sans MT"/>
        </w:rPr>
        <w:t xml:space="preserve">emerge from the </w:t>
      </w:r>
      <w:r>
        <w:rPr>
          <w:rFonts w:ascii="Gill Sans MT" w:hAnsi="Gill Sans MT"/>
        </w:rPr>
        <w:t>S</w:t>
      </w:r>
      <w:r w:rsidRPr="00AF55B0">
        <w:rPr>
          <w:rFonts w:ascii="Gill Sans MT" w:hAnsi="Gill Sans MT"/>
        </w:rPr>
        <w:t>ymposium’s discussion. The first is that</w:t>
      </w:r>
      <w:r>
        <w:rPr>
          <w:rFonts w:ascii="Gill Sans MT" w:hAnsi="Gill Sans MT"/>
        </w:rPr>
        <w:t xml:space="preserve"> </w:t>
      </w:r>
      <w:r w:rsidRPr="00866ED2">
        <w:rPr>
          <w:rFonts w:ascii="Gill Sans MT" w:hAnsi="Gill Sans MT"/>
        </w:rPr>
        <w:t xml:space="preserve">meaning of victimhood </w:t>
      </w:r>
      <w:r>
        <w:rPr>
          <w:rFonts w:ascii="Gill Sans MT" w:hAnsi="Gill Sans MT"/>
        </w:rPr>
        <w:t>in any given situation</w:t>
      </w:r>
      <w:r w:rsidRPr="00866ED2">
        <w:rPr>
          <w:rFonts w:ascii="Gill Sans MT" w:hAnsi="Gill Sans MT"/>
        </w:rPr>
        <w:t xml:space="preserve"> is determined by prevailing societal </w:t>
      </w:r>
      <w:r>
        <w:rPr>
          <w:rFonts w:ascii="Gill Sans MT" w:hAnsi="Gill Sans MT"/>
        </w:rPr>
        <w:t>f</w:t>
      </w:r>
      <w:r w:rsidRPr="00866ED2">
        <w:rPr>
          <w:rFonts w:ascii="Gill Sans MT" w:hAnsi="Gill Sans MT"/>
        </w:rPr>
        <w:t xml:space="preserve">ormations, including those concerned with race, gender and sexuality. For this reason, victimhood discourses often reinforce </w:t>
      </w:r>
      <w:r w:rsidR="00D25FD1">
        <w:rPr>
          <w:rFonts w:ascii="Gill Sans MT" w:hAnsi="Gill Sans MT"/>
        </w:rPr>
        <w:t>existing global political hierarchies</w:t>
      </w:r>
      <w:r w:rsidRPr="00866ED2">
        <w:rPr>
          <w:rFonts w:ascii="Gill Sans MT" w:hAnsi="Gill Sans MT"/>
        </w:rPr>
        <w:t xml:space="preserve">, institutions and relations, veiling the disproportionate </w:t>
      </w:r>
      <w:r>
        <w:rPr>
          <w:rFonts w:ascii="Gill Sans MT" w:hAnsi="Gill Sans MT"/>
        </w:rPr>
        <w:t>preponderance of</w:t>
      </w:r>
      <w:r w:rsidRPr="00866ED2">
        <w:rPr>
          <w:rFonts w:ascii="Gill Sans MT" w:hAnsi="Gill Sans MT"/>
        </w:rPr>
        <w:t xml:space="preserve"> harms that fall on women, people of colour in both the Global North and South, the queer, the poor, and other marginalised demographics. T</w:t>
      </w:r>
      <w:r w:rsidR="00D25FD1">
        <w:rPr>
          <w:rFonts w:ascii="Gill Sans MT" w:hAnsi="Gill Sans MT"/>
        </w:rPr>
        <w:t>o this end, t</w:t>
      </w:r>
      <w:r w:rsidRPr="00866ED2">
        <w:rPr>
          <w:rFonts w:ascii="Gill Sans MT" w:hAnsi="Gill Sans MT"/>
        </w:rPr>
        <w:t>he Symposium points not only to the appeals to victimhood that have accompanied the recent and ongoing rise of chauvinist, fascist and white supremacist movements</w:t>
      </w:r>
      <w:r>
        <w:rPr>
          <w:rFonts w:ascii="Gill Sans MT" w:hAnsi="Gill Sans MT"/>
        </w:rPr>
        <w:t>,</w:t>
      </w:r>
      <w:r w:rsidRPr="00866ED2">
        <w:rPr>
          <w:rFonts w:ascii="Gill Sans MT" w:hAnsi="Gill Sans MT"/>
        </w:rPr>
        <w:t xml:space="preserve">  but also to the role of victimhood discourses in the sex industry</w:t>
      </w:r>
      <w:r w:rsidR="00EF02EE">
        <w:rPr>
          <w:rFonts w:ascii="Gill Sans MT" w:hAnsi="Gill Sans MT"/>
        </w:rPr>
        <w:t xml:space="preserve"> (Holliday)</w:t>
      </w:r>
      <w:r w:rsidRPr="00866ED2">
        <w:rPr>
          <w:rFonts w:ascii="Gill Sans MT" w:hAnsi="Gill Sans MT"/>
        </w:rPr>
        <w:t>,</w:t>
      </w:r>
      <w:r w:rsidR="00EF02EE">
        <w:rPr>
          <w:rFonts w:ascii="Gill Sans MT" w:hAnsi="Gill Sans MT"/>
        </w:rPr>
        <w:t xml:space="preserve"> in Trump’s rhetoric towards China (Coulson), in the </w:t>
      </w:r>
      <w:r w:rsidR="00F91C1A">
        <w:rPr>
          <w:rFonts w:ascii="Gill Sans MT" w:hAnsi="Gill Sans MT"/>
        </w:rPr>
        <w:t xml:space="preserve">1987 </w:t>
      </w:r>
      <w:r w:rsidR="00EF02EE">
        <w:rPr>
          <w:rFonts w:ascii="Gill Sans MT" w:hAnsi="Gill Sans MT"/>
        </w:rPr>
        <w:t>bombing of a South Korean aircraft (Park-Kang),</w:t>
      </w:r>
      <w:r w:rsidRPr="00866ED2">
        <w:rPr>
          <w:rFonts w:ascii="Gill Sans MT" w:hAnsi="Gill Sans MT"/>
        </w:rPr>
        <w:t xml:space="preserve"> </w:t>
      </w:r>
      <w:r>
        <w:rPr>
          <w:rFonts w:ascii="Gill Sans MT" w:hAnsi="Gill Sans MT"/>
        </w:rPr>
        <w:t>in European policy towards refugees and</w:t>
      </w:r>
      <w:r w:rsidRPr="00866ED2">
        <w:rPr>
          <w:rFonts w:ascii="Gill Sans MT" w:hAnsi="Gill Sans MT"/>
        </w:rPr>
        <w:t xml:space="preserve"> migrants</w:t>
      </w:r>
      <w:r w:rsidR="00EF02EE">
        <w:rPr>
          <w:rFonts w:ascii="Gill Sans MT" w:hAnsi="Gill Sans MT"/>
        </w:rPr>
        <w:t xml:space="preserve"> (Bird)</w:t>
      </w:r>
      <w:r w:rsidRPr="00866ED2">
        <w:rPr>
          <w:rFonts w:ascii="Gill Sans MT" w:hAnsi="Gill Sans MT"/>
        </w:rPr>
        <w:t>,</w:t>
      </w:r>
      <w:r w:rsidR="00EF02EE">
        <w:rPr>
          <w:rFonts w:ascii="Gill Sans MT" w:hAnsi="Gill Sans MT"/>
        </w:rPr>
        <w:t xml:space="preserve"> </w:t>
      </w:r>
      <w:r>
        <w:rPr>
          <w:rFonts w:ascii="Gill Sans MT" w:hAnsi="Gill Sans MT"/>
        </w:rPr>
        <w:t>in contestations over the value of Black lives</w:t>
      </w:r>
      <w:r w:rsidR="00EF02EE">
        <w:rPr>
          <w:rFonts w:ascii="Gill Sans MT" w:hAnsi="Gill Sans MT"/>
        </w:rPr>
        <w:t xml:space="preserve"> (Perez and Salter)</w:t>
      </w:r>
      <w:r w:rsidR="00D25FD1">
        <w:rPr>
          <w:rFonts w:ascii="Gill Sans MT" w:hAnsi="Gill Sans MT"/>
        </w:rPr>
        <w:t xml:space="preserve"> and </w:t>
      </w:r>
      <w:r w:rsidR="00D25FD1" w:rsidRPr="00866ED2">
        <w:rPr>
          <w:rFonts w:ascii="Gill Sans MT" w:hAnsi="Gill Sans MT"/>
        </w:rPr>
        <w:t>in gender mainstreaming programmes</w:t>
      </w:r>
      <w:r w:rsidR="00D25FD1">
        <w:rPr>
          <w:rFonts w:ascii="Gill Sans MT" w:hAnsi="Gill Sans MT"/>
        </w:rPr>
        <w:t xml:space="preserve"> (</w:t>
      </w:r>
      <w:r w:rsidR="00F91C1A" w:rsidRPr="00AF55B0">
        <w:rPr>
          <w:rFonts w:ascii="Gill Sans MT" w:hAnsi="Gill Sans MT"/>
        </w:rPr>
        <w:t>Kebaïli</w:t>
      </w:r>
      <w:r w:rsidR="00D25FD1">
        <w:rPr>
          <w:rFonts w:ascii="Gill Sans MT" w:hAnsi="Gill Sans MT"/>
        </w:rPr>
        <w:t>)</w:t>
      </w:r>
      <w:r w:rsidRPr="00866ED2">
        <w:rPr>
          <w:rFonts w:ascii="Gill Sans MT" w:hAnsi="Gill Sans MT"/>
        </w:rPr>
        <w:t xml:space="preserve">. </w:t>
      </w:r>
    </w:p>
    <w:p w14:paraId="471BE8C3" w14:textId="72F14691" w:rsidR="004D351A" w:rsidRPr="00192D5C" w:rsidRDefault="004D351A" w:rsidP="00FB3ED1">
      <w:pPr>
        <w:spacing w:line="480" w:lineRule="auto"/>
        <w:ind w:firstLine="720"/>
        <w:jc w:val="both"/>
        <w:rPr>
          <w:rFonts w:ascii="Gill Sans MT" w:hAnsi="Gill Sans MT"/>
        </w:rPr>
      </w:pPr>
      <w:r>
        <w:rPr>
          <w:rFonts w:ascii="Gill Sans MT" w:hAnsi="Gill Sans MT"/>
        </w:rPr>
        <w:t xml:space="preserve">To illustrate the last </w:t>
      </w:r>
      <w:r w:rsidR="00D25FD1">
        <w:rPr>
          <w:rFonts w:ascii="Gill Sans MT" w:hAnsi="Gill Sans MT"/>
        </w:rPr>
        <w:t xml:space="preserve">two </w:t>
      </w:r>
      <w:r>
        <w:rPr>
          <w:rFonts w:ascii="Gill Sans MT" w:hAnsi="Gill Sans MT"/>
        </w:rPr>
        <w:t xml:space="preserve">of these, Perez and Salter in this volume </w:t>
      </w:r>
      <w:r w:rsidRPr="00866ED2">
        <w:rPr>
          <w:rFonts w:ascii="Gill Sans MT" w:hAnsi="Gill Sans MT"/>
        </w:rPr>
        <w:t xml:space="preserve">show how the legitimacy of movements like Black Lives Matter is determined by racialised notions of </w:t>
      </w:r>
      <w:r>
        <w:rPr>
          <w:rFonts w:ascii="Gill Sans MT" w:hAnsi="Gill Sans MT"/>
        </w:rPr>
        <w:lastRenderedPageBreak/>
        <w:t>“</w:t>
      </w:r>
      <w:r w:rsidRPr="00866ED2">
        <w:rPr>
          <w:rFonts w:ascii="Gill Sans MT" w:hAnsi="Gill Sans MT"/>
        </w:rPr>
        <w:t>respectability</w:t>
      </w:r>
      <w:r>
        <w:rPr>
          <w:rFonts w:ascii="Gill Sans MT" w:hAnsi="Gill Sans MT"/>
        </w:rPr>
        <w:t>”</w:t>
      </w:r>
      <w:r w:rsidRPr="00866ED2">
        <w:rPr>
          <w:rFonts w:ascii="Gill Sans MT" w:hAnsi="Gill Sans MT"/>
        </w:rPr>
        <w:t xml:space="preserve"> that privilege a particular (largely non-disruptive) way of doing protest. As </w:t>
      </w:r>
      <w:r>
        <w:rPr>
          <w:rFonts w:ascii="Gill Sans MT" w:hAnsi="Gill Sans MT"/>
        </w:rPr>
        <w:t>they</w:t>
      </w:r>
      <w:r w:rsidRPr="00866ED2">
        <w:rPr>
          <w:rFonts w:ascii="Gill Sans MT" w:hAnsi="Gill Sans MT"/>
        </w:rPr>
        <w:t xml:space="preserve"> argue, BLM’s critique of police violence, white supremacy and the carceral state insists that Black people have the right to claim victimhood </w:t>
      </w:r>
      <w:r>
        <w:rPr>
          <w:rFonts w:ascii="Gill Sans MT" w:hAnsi="Gill Sans MT"/>
        </w:rPr>
        <w:t>“</w:t>
      </w:r>
      <w:r w:rsidRPr="00866ED2">
        <w:rPr>
          <w:rFonts w:ascii="Gill Sans MT" w:hAnsi="Gill Sans MT"/>
        </w:rPr>
        <w:t xml:space="preserve">regardless of any potential </w:t>
      </w:r>
      <w:r>
        <w:rPr>
          <w:rFonts w:ascii="Gill Sans MT" w:hAnsi="Gill Sans MT"/>
        </w:rPr>
        <w:t>‘</w:t>
      </w:r>
      <w:r w:rsidRPr="00866ED2">
        <w:rPr>
          <w:rFonts w:ascii="Gill Sans MT" w:hAnsi="Gill Sans MT"/>
        </w:rPr>
        <w:t>non-respectable</w:t>
      </w:r>
      <w:r>
        <w:rPr>
          <w:rFonts w:ascii="Gill Sans MT" w:hAnsi="Gill Sans MT"/>
        </w:rPr>
        <w:t>’</w:t>
      </w:r>
      <w:r w:rsidRPr="00866ED2">
        <w:rPr>
          <w:rFonts w:ascii="Gill Sans MT" w:hAnsi="Gill Sans MT"/>
        </w:rPr>
        <w:t xml:space="preserve"> behaviors in their past</w:t>
      </w:r>
      <w:r>
        <w:rPr>
          <w:rFonts w:ascii="Gill Sans MT" w:hAnsi="Gill Sans MT"/>
        </w:rPr>
        <w:t>”</w:t>
      </w:r>
      <w:r w:rsidRPr="00866ED2">
        <w:rPr>
          <w:rFonts w:ascii="Gill Sans MT" w:hAnsi="Gill Sans MT"/>
        </w:rPr>
        <w:t>.</w:t>
      </w:r>
      <w:r>
        <w:rPr>
          <w:rStyle w:val="FootnoteReference"/>
          <w:rFonts w:ascii="Gill Sans MT" w:hAnsi="Gill Sans MT"/>
        </w:rPr>
        <w:footnoteReference w:id="19"/>
      </w:r>
      <w:r w:rsidR="00D25FD1">
        <w:rPr>
          <w:rFonts w:ascii="Gill Sans MT" w:hAnsi="Gill Sans MT"/>
        </w:rPr>
        <w:t xml:space="preserve"> </w:t>
      </w:r>
      <w:r w:rsidR="00F91C1A" w:rsidRPr="00AF55B0">
        <w:rPr>
          <w:rFonts w:ascii="Gill Sans MT" w:hAnsi="Gill Sans MT"/>
        </w:rPr>
        <w:t>Kebaïli</w:t>
      </w:r>
      <w:r w:rsidR="005B0688">
        <w:rPr>
          <w:rFonts w:ascii="Gill Sans MT" w:hAnsi="Gill Sans MT"/>
        </w:rPr>
        <w:t>,</w:t>
      </w:r>
      <w:r>
        <w:rPr>
          <w:rFonts w:ascii="Gill Sans MT" w:hAnsi="Gill Sans MT"/>
        </w:rPr>
        <w:t xml:space="preserve"> </w:t>
      </w:r>
      <w:r w:rsidR="00D25FD1">
        <w:rPr>
          <w:rFonts w:ascii="Gill Sans MT" w:hAnsi="Gill Sans MT"/>
        </w:rPr>
        <w:t xml:space="preserve">meanwhile, </w:t>
      </w:r>
      <w:r w:rsidRPr="00AF55B0">
        <w:rPr>
          <w:rFonts w:ascii="Gill Sans MT" w:hAnsi="Gill Sans MT"/>
        </w:rPr>
        <w:t>de</w:t>
      </w:r>
      <w:r>
        <w:rPr>
          <w:rFonts w:ascii="Gill Sans MT" w:hAnsi="Gill Sans MT"/>
        </w:rPr>
        <w:t>scribe</w:t>
      </w:r>
      <w:r w:rsidRPr="00AF55B0">
        <w:rPr>
          <w:rFonts w:ascii="Gill Sans MT" w:hAnsi="Gill Sans MT"/>
        </w:rPr>
        <w:t>s how</w:t>
      </w:r>
      <w:r>
        <w:rPr>
          <w:rFonts w:ascii="Gill Sans MT" w:hAnsi="Gill Sans MT"/>
        </w:rPr>
        <w:t xml:space="preserve"> </w:t>
      </w:r>
      <w:r w:rsidRPr="00AF55B0">
        <w:rPr>
          <w:rFonts w:ascii="Gill Sans MT" w:hAnsi="Gill Sans MT"/>
        </w:rPr>
        <w:t>gender</w:t>
      </w:r>
      <w:r>
        <w:rPr>
          <w:rFonts w:ascii="Gill Sans MT" w:hAnsi="Gill Sans MT"/>
        </w:rPr>
        <w:t>-mainstreaming</w:t>
      </w:r>
      <w:r w:rsidRPr="00AF55B0">
        <w:rPr>
          <w:rFonts w:ascii="Gill Sans MT" w:hAnsi="Gill Sans MT"/>
        </w:rPr>
        <w:t xml:space="preserve"> projects in post-revolutionary Tunisia </w:t>
      </w:r>
      <w:r>
        <w:rPr>
          <w:rFonts w:ascii="Gill Sans MT" w:hAnsi="Gill Sans MT"/>
        </w:rPr>
        <w:t>imagine</w:t>
      </w:r>
      <w:r w:rsidRPr="00AF55B0">
        <w:rPr>
          <w:rFonts w:ascii="Gill Sans MT" w:hAnsi="Gill Sans MT"/>
        </w:rPr>
        <w:t xml:space="preserve"> Tunisian women as </w:t>
      </w:r>
      <w:r>
        <w:rPr>
          <w:rFonts w:ascii="Gill Sans MT" w:hAnsi="Gill Sans MT"/>
        </w:rPr>
        <w:t xml:space="preserve">the passive </w:t>
      </w:r>
      <w:r w:rsidRPr="00AF55B0">
        <w:rPr>
          <w:rFonts w:ascii="Gill Sans MT" w:hAnsi="Gill Sans MT"/>
        </w:rPr>
        <w:t>victims of a patriarchal Islamic culture</w:t>
      </w:r>
      <w:r w:rsidR="00F91C1A">
        <w:rPr>
          <w:rFonts w:ascii="Gill Sans MT" w:hAnsi="Gill Sans MT"/>
        </w:rPr>
        <w:t>. In</w:t>
      </w:r>
      <w:r w:rsidR="000F30F4">
        <w:rPr>
          <w:rFonts w:ascii="Gill Sans MT" w:hAnsi="Gill Sans MT"/>
        </w:rPr>
        <w:t xml:space="preserve"> the process</w:t>
      </w:r>
      <w:r w:rsidR="00F91C1A">
        <w:rPr>
          <w:rFonts w:ascii="Gill Sans MT" w:hAnsi="Gill Sans MT"/>
        </w:rPr>
        <w:t>, they not only</w:t>
      </w:r>
      <w:r w:rsidR="000F30F4">
        <w:rPr>
          <w:rFonts w:ascii="Gill Sans MT" w:hAnsi="Gill Sans MT"/>
        </w:rPr>
        <w:t xml:space="preserve"> essentiali</w:t>
      </w:r>
      <w:r w:rsidR="00F91C1A">
        <w:rPr>
          <w:rFonts w:ascii="Gill Sans MT" w:hAnsi="Gill Sans MT"/>
        </w:rPr>
        <w:t>ze</w:t>
      </w:r>
      <w:r w:rsidRPr="00AF55B0">
        <w:rPr>
          <w:rFonts w:ascii="Gill Sans MT" w:hAnsi="Gill Sans MT"/>
        </w:rPr>
        <w:t xml:space="preserve"> Tunisian culture</w:t>
      </w:r>
      <w:r w:rsidR="00F91C1A">
        <w:rPr>
          <w:rFonts w:ascii="Gill Sans MT" w:hAnsi="Gill Sans MT"/>
        </w:rPr>
        <w:t>, but also</w:t>
      </w:r>
      <w:r w:rsidR="000F30F4">
        <w:rPr>
          <w:rFonts w:ascii="Gill Sans MT" w:hAnsi="Gill Sans MT"/>
        </w:rPr>
        <w:t xml:space="preserve"> obscur</w:t>
      </w:r>
      <w:r w:rsidR="00F91C1A">
        <w:rPr>
          <w:rFonts w:ascii="Gill Sans MT" w:hAnsi="Gill Sans MT"/>
        </w:rPr>
        <w:t>e</w:t>
      </w:r>
      <w:r>
        <w:rPr>
          <w:rFonts w:ascii="Gill Sans MT" w:hAnsi="Gill Sans MT"/>
        </w:rPr>
        <w:t xml:space="preserve"> </w:t>
      </w:r>
      <w:r w:rsidR="00D2780F">
        <w:rPr>
          <w:rFonts w:ascii="Gill Sans MT" w:hAnsi="Gill Sans MT"/>
        </w:rPr>
        <w:t>Tunisian women’s</w:t>
      </w:r>
      <w:r w:rsidRPr="00AF55B0">
        <w:rPr>
          <w:rFonts w:ascii="Gill Sans MT" w:hAnsi="Gill Sans MT"/>
        </w:rPr>
        <w:t xml:space="preserve"> </w:t>
      </w:r>
      <w:r w:rsidR="006B5C99">
        <w:rPr>
          <w:rFonts w:ascii="Gill Sans MT" w:hAnsi="Gill Sans MT"/>
        </w:rPr>
        <w:t xml:space="preserve">agency </w:t>
      </w:r>
      <w:r w:rsidR="00D2780F">
        <w:rPr>
          <w:rFonts w:ascii="Gill Sans MT" w:hAnsi="Gill Sans MT"/>
        </w:rPr>
        <w:t>and activism</w:t>
      </w:r>
      <w:r>
        <w:rPr>
          <w:rFonts w:ascii="Gill Sans MT" w:hAnsi="Gill Sans MT"/>
        </w:rPr>
        <w:t>.</w:t>
      </w:r>
      <w:r w:rsidRPr="00AF55B0">
        <w:rPr>
          <w:rFonts w:ascii="Gill Sans MT" w:hAnsi="Gill Sans MT"/>
        </w:rPr>
        <w:t xml:space="preserve"> </w:t>
      </w:r>
    </w:p>
    <w:p w14:paraId="2DC65D14" w14:textId="1E6726F9" w:rsidR="00D25FD1" w:rsidRDefault="008B4CFB" w:rsidP="00FB3ED1">
      <w:pPr>
        <w:spacing w:line="480" w:lineRule="auto"/>
        <w:ind w:firstLine="720"/>
        <w:jc w:val="both"/>
        <w:rPr>
          <w:rFonts w:ascii="Gill Sans MT" w:hAnsi="Gill Sans MT"/>
        </w:rPr>
      </w:pPr>
      <w:r>
        <w:rPr>
          <w:rFonts w:ascii="Gill Sans MT" w:hAnsi="Gill Sans MT"/>
        </w:rPr>
        <w:t>Second</w:t>
      </w:r>
      <w:r w:rsidR="004D351A" w:rsidRPr="00AF55B0">
        <w:rPr>
          <w:rFonts w:ascii="Gill Sans MT" w:hAnsi="Gill Sans MT"/>
        </w:rPr>
        <w:t xml:space="preserve">, </w:t>
      </w:r>
      <w:r w:rsidR="00A91882">
        <w:rPr>
          <w:rFonts w:ascii="Gill Sans MT" w:hAnsi="Gill Sans MT"/>
        </w:rPr>
        <w:t xml:space="preserve">the Symposium </w:t>
      </w:r>
      <w:r w:rsidR="00352EFA">
        <w:rPr>
          <w:rFonts w:ascii="Gill Sans MT" w:hAnsi="Gill Sans MT"/>
        </w:rPr>
        <w:t>emphasises the instability of</w:t>
      </w:r>
      <w:r w:rsidR="00A91882">
        <w:rPr>
          <w:rFonts w:ascii="Gill Sans MT" w:hAnsi="Gill Sans MT"/>
        </w:rPr>
        <w:t xml:space="preserve"> </w:t>
      </w:r>
      <w:r w:rsidR="004D351A">
        <w:rPr>
          <w:rFonts w:ascii="Gill Sans MT" w:hAnsi="Gill Sans MT"/>
        </w:rPr>
        <w:t>all articulations of victimhood</w:t>
      </w:r>
      <w:r w:rsidR="00352EFA">
        <w:rPr>
          <w:rFonts w:ascii="Gill Sans MT" w:hAnsi="Gill Sans MT"/>
        </w:rPr>
        <w:t xml:space="preserve">, </w:t>
      </w:r>
      <w:r w:rsidR="00D25FD1">
        <w:rPr>
          <w:rFonts w:ascii="Gill Sans MT" w:hAnsi="Gill Sans MT"/>
        </w:rPr>
        <w:t xml:space="preserve">and </w:t>
      </w:r>
      <w:r w:rsidR="00352EFA">
        <w:rPr>
          <w:rFonts w:ascii="Gill Sans MT" w:hAnsi="Gill Sans MT"/>
        </w:rPr>
        <w:t xml:space="preserve">the ways in which they are </w:t>
      </w:r>
      <w:r w:rsidR="00D25FD1">
        <w:rPr>
          <w:rFonts w:ascii="Gill Sans MT" w:hAnsi="Gill Sans MT"/>
        </w:rPr>
        <w:t xml:space="preserve">thereby subject to </w:t>
      </w:r>
      <w:r w:rsidR="00352EFA">
        <w:rPr>
          <w:rFonts w:ascii="Gill Sans MT" w:hAnsi="Gill Sans MT"/>
        </w:rPr>
        <w:t xml:space="preserve">ongoing </w:t>
      </w:r>
      <w:r w:rsidR="00D25FD1">
        <w:rPr>
          <w:rFonts w:ascii="Gill Sans MT" w:hAnsi="Gill Sans MT"/>
        </w:rPr>
        <w:t>resignification and contestation</w:t>
      </w:r>
      <w:r w:rsidR="004D351A">
        <w:rPr>
          <w:rFonts w:ascii="Gill Sans MT" w:hAnsi="Gill Sans MT"/>
        </w:rPr>
        <w:t xml:space="preserve">. </w:t>
      </w:r>
      <w:r w:rsidR="00FE6411">
        <w:rPr>
          <w:rFonts w:ascii="Gill Sans MT" w:hAnsi="Gill Sans MT"/>
        </w:rPr>
        <w:t>An example</w:t>
      </w:r>
      <w:r w:rsidR="00307758">
        <w:rPr>
          <w:rFonts w:ascii="Gill Sans MT" w:hAnsi="Gill Sans MT"/>
        </w:rPr>
        <w:t xml:space="preserve"> </w:t>
      </w:r>
      <w:r w:rsidR="00834B12">
        <w:rPr>
          <w:rFonts w:ascii="Gill Sans MT" w:hAnsi="Gill Sans MT"/>
        </w:rPr>
        <w:t xml:space="preserve">is </w:t>
      </w:r>
      <w:r w:rsidR="00D25FD1">
        <w:rPr>
          <w:rFonts w:ascii="Gill Sans MT" w:hAnsi="Gill Sans MT"/>
        </w:rPr>
        <w:t>provid</w:t>
      </w:r>
      <w:r w:rsidR="00834B12">
        <w:rPr>
          <w:rFonts w:ascii="Gill Sans MT" w:hAnsi="Gill Sans MT"/>
        </w:rPr>
        <w:t>ed by Holliday, who points out that sex workers in the Mekong region have reshaped their labou</w:t>
      </w:r>
      <w:r w:rsidR="00EC6E16">
        <w:rPr>
          <w:rFonts w:ascii="Gill Sans MT" w:hAnsi="Gill Sans MT"/>
        </w:rPr>
        <w:t>r</w:t>
      </w:r>
      <w:r w:rsidR="00834B12">
        <w:rPr>
          <w:rFonts w:ascii="Gill Sans MT" w:hAnsi="Gill Sans MT"/>
        </w:rPr>
        <w:t xml:space="preserve"> as “entertainment”</w:t>
      </w:r>
      <w:r w:rsidR="00D25FD1">
        <w:rPr>
          <w:rFonts w:ascii="Gill Sans MT" w:hAnsi="Gill Sans MT"/>
        </w:rPr>
        <w:t xml:space="preserve"> in order to resituate themselves in relation to a hostile legal system that conflates sex workers with trafficked women and takes little interest in the </w:t>
      </w:r>
      <w:r w:rsidR="005A1F9F">
        <w:rPr>
          <w:rFonts w:ascii="Gill Sans MT" w:hAnsi="Gill Sans MT"/>
        </w:rPr>
        <w:t>challenges</w:t>
      </w:r>
      <w:r w:rsidR="00D25FD1">
        <w:rPr>
          <w:rFonts w:ascii="Gill Sans MT" w:hAnsi="Gill Sans MT"/>
        </w:rPr>
        <w:t xml:space="preserve"> faced by those who occupy the first category but not the second. In this context, who is or is not a victim, and what precisely they are a victim </w:t>
      </w:r>
      <w:r w:rsidR="00D25FD1">
        <w:rPr>
          <w:rFonts w:ascii="Gill Sans MT" w:hAnsi="Gill Sans MT"/>
          <w:i/>
          <w:iCs/>
        </w:rPr>
        <w:t>of</w:t>
      </w:r>
      <w:r w:rsidR="00D25FD1">
        <w:rPr>
          <w:rFonts w:ascii="Gill Sans MT" w:hAnsi="Gill Sans MT"/>
        </w:rPr>
        <w:t xml:space="preserve">, is subjected to constant interrogation. </w:t>
      </w:r>
    </w:p>
    <w:p w14:paraId="14BD5ECE" w14:textId="44EA8DB8" w:rsidR="004D351A" w:rsidRDefault="00B707D4" w:rsidP="00FB3ED1">
      <w:pPr>
        <w:spacing w:line="480" w:lineRule="auto"/>
        <w:ind w:firstLine="720"/>
        <w:jc w:val="both"/>
        <w:rPr>
          <w:rFonts w:ascii="Gill Sans MT" w:hAnsi="Gill Sans MT"/>
        </w:rPr>
      </w:pPr>
      <w:r>
        <w:rPr>
          <w:rFonts w:ascii="Gill Sans MT" w:hAnsi="Gill Sans MT"/>
        </w:rPr>
        <w:t>Of course, to speak of victimhood’s instability build</w:t>
      </w:r>
      <w:r w:rsidR="00F32607">
        <w:rPr>
          <w:rFonts w:ascii="Gill Sans MT" w:hAnsi="Gill Sans MT"/>
        </w:rPr>
        <w:t>s</w:t>
      </w:r>
      <w:r>
        <w:rPr>
          <w:rFonts w:ascii="Gill Sans MT" w:hAnsi="Gill Sans MT"/>
        </w:rPr>
        <w:t xml:space="preserve"> neatly on the principles outlined above: like all discourses, victimhood provides structure to meaning and identity but cannot finally fix them in place</w:t>
      </w:r>
      <w:r w:rsidRPr="00AF55B0">
        <w:rPr>
          <w:rFonts w:ascii="Gill Sans MT" w:hAnsi="Gill Sans MT"/>
        </w:rPr>
        <w:t>.</w:t>
      </w:r>
      <w:r w:rsidRPr="001E6DEF">
        <w:rPr>
          <w:rStyle w:val="FootnoteReference"/>
          <w:rFonts w:ascii="Gill Sans MT" w:hAnsi="Gill Sans MT"/>
        </w:rPr>
        <w:footnoteReference w:id="20"/>
      </w:r>
      <w:r>
        <w:rPr>
          <w:rFonts w:ascii="Gill Sans MT" w:hAnsi="Gill Sans MT"/>
        </w:rPr>
        <w:t xml:space="preserve"> However, o</w:t>
      </w:r>
      <w:r w:rsidR="00D25FD1">
        <w:rPr>
          <w:rFonts w:ascii="Gill Sans MT" w:hAnsi="Gill Sans MT"/>
        </w:rPr>
        <w:t xml:space="preserve">ne reason it </w:t>
      </w:r>
      <w:r>
        <w:rPr>
          <w:rFonts w:ascii="Gill Sans MT" w:hAnsi="Gill Sans MT"/>
        </w:rPr>
        <w:t>remains</w:t>
      </w:r>
      <w:r w:rsidR="00D25FD1">
        <w:rPr>
          <w:rFonts w:ascii="Gill Sans MT" w:hAnsi="Gill Sans MT"/>
        </w:rPr>
        <w:t xml:space="preserve"> </w:t>
      </w:r>
      <w:r w:rsidR="004D351A" w:rsidRPr="001E6DEF">
        <w:rPr>
          <w:rFonts w:ascii="Gill Sans MT" w:hAnsi="Gill Sans MT"/>
        </w:rPr>
        <w:t>important</w:t>
      </w:r>
      <w:r w:rsidR="004D351A">
        <w:rPr>
          <w:rFonts w:ascii="Gill Sans MT" w:hAnsi="Gill Sans MT"/>
        </w:rPr>
        <w:t xml:space="preserve"> to foreground victimhood’s instability</w:t>
      </w:r>
      <w:r w:rsidR="004D351A" w:rsidRPr="001E6DEF">
        <w:rPr>
          <w:rFonts w:ascii="Gill Sans MT" w:hAnsi="Gill Sans MT"/>
        </w:rPr>
        <w:t xml:space="preserve"> </w:t>
      </w:r>
      <w:r w:rsidR="00D25FD1">
        <w:rPr>
          <w:rFonts w:ascii="Gill Sans MT" w:hAnsi="Gill Sans MT"/>
        </w:rPr>
        <w:t>is that</w:t>
      </w:r>
      <w:r w:rsidR="004D351A" w:rsidRPr="00AF55B0">
        <w:rPr>
          <w:rFonts w:ascii="Gill Sans MT" w:hAnsi="Gill Sans MT"/>
        </w:rPr>
        <w:t xml:space="preserve"> the</w:t>
      </w:r>
      <w:r w:rsidR="004D351A">
        <w:rPr>
          <w:rFonts w:ascii="Gill Sans MT" w:hAnsi="Gill Sans MT"/>
        </w:rPr>
        <w:t xml:space="preserve"> contradictions and disputes to which it gives rise</w:t>
      </w:r>
      <w:r w:rsidR="004D351A" w:rsidRPr="00AF55B0">
        <w:rPr>
          <w:rFonts w:ascii="Gill Sans MT" w:hAnsi="Gill Sans MT"/>
        </w:rPr>
        <w:t xml:space="preserve"> open space for alternative </w:t>
      </w:r>
      <w:r w:rsidR="004D351A">
        <w:rPr>
          <w:rFonts w:ascii="Gill Sans MT" w:hAnsi="Gill Sans MT"/>
        </w:rPr>
        <w:t>analytic and political possibilities</w:t>
      </w:r>
      <w:r w:rsidR="004D351A" w:rsidRPr="00AF55B0">
        <w:rPr>
          <w:rFonts w:ascii="Gill Sans MT" w:hAnsi="Gill Sans MT"/>
        </w:rPr>
        <w:t xml:space="preserve">. </w:t>
      </w:r>
      <w:r w:rsidR="00352EFA">
        <w:rPr>
          <w:rFonts w:ascii="Gill Sans MT" w:hAnsi="Gill Sans MT"/>
        </w:rPr>
        <w:t>These possibilities are exemplified</w:t>
      </w:r>
      <w:r w:rsidR="00446433">
        <w:rPr>
          <w:rFonts w:ascii="Gill Sans MT" w:hAnsi="Gill Sans MT"/>
        </w:rPr>
        <w:t xml:space="preserve"> </w:t>
      </w:r>
      <w:r w:rsidR="00352EFA">
        <w:rPr>
          <w:rFonts w:ascii="Gill Sans MT" w:hAnsi="Gill Sans MT"/>
        </w:rPr>
        <w:t>by</w:t>
      </w:r>
      <w:r w:rsidR="00446433">
        <w:rPr>
          <w:rFonts w:ascii="Gill Sans MT" w:hAnsi="Gill Sans MT"/>
        </w:rPr>
        <w:t xml:space="preserve"> Bird’s </w:t>
      </w:r>
      <w:r w:rsidR="00352EFA">
        <w:rPr>
          <w:rFonts w:ascii="Gill Sans MT" w:hAnsi="Gill Sans MT"/>
        </w:rPr>
        <w:t>contribution, which explores</w:t>
      </w:r>
      <w:r w:rsidR="00354F47">
        <w:rPr>
          <w:rFonts w:ascii="Gill Sans MT" w:hAnsi="Gill Sans MT"/>
        </w:rPr>
        <w:t xml:space="preserve"> </w:t>
      </w:r>
      <w:r w:rsidR="00446433">
        <w:rPr>
          <w:rFonts w:ascii="Gill Sans MT" w:hAnsi="Gill Sans MT"/>
        </w:rPr>
        <w:t>the ways in which</w:t>
      </w:r>
      <w:r w:rsidR="00354F47">
        <w:rPr>
          <w:rFonts w:ascii="Gill Sans MT" w:hAnsi="Gill Sans MT"/>
        </w:rPr>
        <w:t xml:space="preserve"> discourses of victimhood</w:t>
      </w:r>
      <w:r w:rsidR="00D25FD1">
        <w:rPr>
          <w:rFonts w:ascii="Gill Sans MT" w:hAnsi="Gill Sans MT"/>
        </w:rPr>
        <w:t xml:space="preserve"> press upon</w:t>
      </w:r>
      <w:r w:rsidR="00097DBD">
        <w:rPr>
          <w:rFonts w:ascii="Gill Sans MT" w:hAnsi="Gill Sans MT"/>
        </w:rPr>
        <w:t xml:space="preserve"> </w:t>
      </w:r>
      <w:r w:rsidR="00BE7041">
        <w:rPr>
          <w:rFonts w:ascii="Gill Sans MT" w:hAnsi="Gill Sans MT"/>
        </w:rPr>
        <w:t xml:space="preserve">migrants </w:t>
      </w:r>
      <w:r w:rsidR="00097DBD">
        <w:rPr>
          <w:rFonts w:ascii="Gill Sans MT" w:hAnsi="Gill Sans MT"/>
        </w:rPr>
        <w:t>at the</w:t>
      </w:r>
      <w:r w:rsidR="00354F47">
        <w:rPr>
          <w:rFonts w:ascii="Gill Sans MT" w:hAnsi="Gill Sans MT"/>
        </w:rPr>
        <w:t xml:space="preserve"> </w:t>
      </w:r>
      <w:r w:rsidR="00D25FD1">
        <w:rPr>
          <w:rFonts w:ascii="Gill Sans MT" w:hAnsi="Gill Sans MT"/>
        </w:rPr>
        <w:t xml:space="preserve">borders of the </w:t>
      </w:r>
      <w:r w:rsidR="00354F47">
        <w:rPr>
          <w:rFonts w:ascii="Gill Sans MT" w:hAnsi="Gill Sans MT"/>
        </w:rPr>
        <w:t>European Union</w:t>
      </w:r>
      <w:r w:rsidR="00446433">
        <w:rPr>
          <w:rFonts w:ascii="Gill Sans MT" w:hAnsi="Gill Sans MT"/>
        </w:rPr>
        <w:t xml:space="preserve">. </w:t>
      </w:r>
      <w:r w:rsidR="00097DBD">
        <w:rPr>
          <w:rFonts w:ascii="Gill Sans MT" w:hAnsi="Gill Sans MT"/>
        </w:rPr>
        <w:t xml:space="preserve">Bird </w:t>
      </w:r>
      <w:r w:rsidR="000B33B3">
        <w:rPr>
          <w:rFonts w:ascii="Gill Sans MT" w:hAnsi="Gill Sans MT"/>
        </w:rPr>
        <w:t>encourages us to</w:t>
      </w:r>
      <w:r w:rsidR="00097DBD">
        <w:rPr>
          <w:rFonts w:ascii="Gill Sans MT" w:hAnsi="Gill Sans MT"/>
        </w:rPr>
        <w:t xml:space="preserve"> </w:t>
      </w:r>
      <w:r w:rsidR="000B33B3">
        <w:rPr>
          <w:rFonts w:ascii="Gill Sans MT" w:hAnsi="Gill Sans MT"/>
        </w:rPr>
        <w:t>consider</w:t>
      </w:r>
      <w:r w:rsidR="00BE7041">
        <w:rPr>
          <w:rFonts w:ascii="Gill Sans MT" w:hAnsi="Gill Sans MT"/>
        </w:rPr>
        <w:t xml:space="preserve"> the material aspect</w:t>
      </w:r>
      <w:r w:rsidR="00D25FD1">
        <w:rPr>
          <w:rFonts w:ascii="Gill Sans MT" w:hAnsi="Gill Sans MT"/>
        </w:rPr>
        <w:t>s</w:t>
      </w:r>
      <w:r w:rsidR="00BE7041">
        <w:rPr>
          <w:rFonts w:ascii="Gill Sans MT" w:hAnsi="Gill Sans MT"/>
        </w:rPr>
        <w:t xml:space="preserve"> of</w:t>
      </w:r>
      <w:r w:rsidR="00097DBD">
        <w:rPr>
          <w:rFonts w:ascii="Gill Sans MT" w:hAnsi="Gill Sans MT"/>
        </w:rPr>
        <w:t xml:space="preserve"> victimhood </w:t>
      </w:r>
      <w:r w:rsidR="00BE7041">
        <w:rPr>
          <w:rFonts w:ascii="Gill Sans MT" w:hAnsi="Gill Sans MT"/>
        </w:rPr>
        <w:t xml:space="preserve">and precarity, emphasising the </w:t>
      </w:r>
      <w:r w:rsidR="00BE7041" w:rsidRPr="000B33B3">
        <w:rPr>
          <w:rFonts w:ascii="Gill Sans MT" w:hAnsi="Gill Sans MT"/>
        </w:rPr>
        <w:t>conditions and context</w:t>
      </w:r>
      <w:r w:rsidR="000B33B3" w:rsidRPr="00311445">
        <w:rPr>
          <w:rFonts w:ascii="Gill Sans MT" w:hAnsi="Gill Sans MT"/>
        </w:rPr>
        <w:t>s</w:t>
      </w:r>
      <w:r w:rsidR="00BE7041">
        <w:rPr>
          <w:rFonts w:ascii="Gill Sans MT" w:hAnsi="Gill Sans MT"/>
        </w:rPr>
        <w:t xml:space="preserve"> that render people </w:t>
      </w:r>
      <w:r w:rsidR="00BE7041">
        <w:rPr>
          <w:rFonts w:ascii="Gill Sans MT" w:hAnsi="Gill Sans MT"/>
        </w:rPr>
        <w:lastRenderedPageBreak/>
        <w:t>v</w:t>
      </w:r>
      <w:r w:rsidR="000B33B3">
        <w:rPr>
          <w:rFonts w:ascii="Gill Sans MT" w:hAnsi="Gill Sans MT"/>
        </w:rPr>
        <w:t>ulnerable</w:t>
      </w:r>
      <w:r w:rsidR="00963693">
        <w:rPr>
          <w:rFonts w:ascii="Gill Sans MT" w:hAnsi="Gill Sans MT"/>
        </w:rPr>
        <w:t xml:space="preserve"> instead of focusing on individuals as </w:t>
      </w:r>
      <w:r>
        <w:rPr>
          <w:rFonts w:ascii="Gill Sans MT" w:hAnsi="Gill Sans MT"/>
        </w:rPr>
        <w:t xml:space="preserve">passive or unfortunate </w:t>
      </w:r>
      <w:r w:rsidR="00963693">
        <w:rPr>
          <w:rFonts w:ascii="Gill Sans MT" w:hAnsi="Gill Sans MT"/>
        </w:rPr>
        <w:t>victims</w:t>
      </w:r>
      <w:r>
        <w:rPr>
          <w:rFonts w:ascii="Gill Sans MT" w:hAnsi="Gill Sans MT"/>
        </w:rPr>
        <w:t xml:space="preserve"> of circumstance</w:t>
      </w:r>
      <w:r w:rsidR="00963693">
        <w:rPr>
          <w:rFonts w:ascii="Gill Sans MT" w:hAnsi="Gill Sans MT"/>
        </w:rPr>
        <w:t>.</w:t>
      </w:r>
      <w:r w:rsidR="00710A2D">
        <w:rPr>
          <w:rFonts w:ascii="Gill Sans MT" w:hAnsi="Gill Sans MT"/>
        </w:rPr>
        <w:t xml:space="preserve"> </w:t>
      </w:r>
      <w:r w:rsidR="00352EFA">
        <w:rPr>
          <w:rFonts w:ascii="Gill Sans MT" w:hAnsi="Gill Sans MT"/>
        </w:rPr>
        <w:t>Here and elsewhere, the</w:t>
      </w:r>
      <w:r w:rsidR="000B33B3">
        <w:rPr>
          <w:rFonts w:ascii="Gill Sans MT" w:hAnsi="Gill Sans MT"/>
        </w:rPr>
        <w:t xml:space="preserve"> Symposium does valuable work by</w:t>
      </w:r>
      <w:r w:rsidR="004D351A" w:rsidRPr="00192D5C">
        <w:rPr>
          <w:rFonts w:ascii="Gill Sans MT" w:hAnsi="Gill Sans MT"/>
        </w:rPr>
        <w:t xml:space="preserve"> stak</w:t>
      </w:r>
      <w:r w:rsidR="000B33B3">
        <w:rPr>
          <w:rFonts w:ascii="Gill Sans MT" w:hAnsi="Gill Sans MT"/>
        </w:rPr>
        <w:t>ing</w:t>
      </w:r>
      <w:r w:rsidR="004D351A" w:rsidRPr="00192D5C">
        <w:rPr>
          <w:rFonts w:ascii="Gill Sans MT" w:hAnsi="Gill Sans MT"/>
        </w:rPr>
        <w:t xml:space="preserve"> out terrain from which to consider victimhood as a dynamic, variable</w:t>
      </w:r>
      <w:r w:rsidR="004D351A">
        <w:rPr>
          <w:rFonts w:ascii="Gill Sans MT" w:hAnsi="Gill Sans MT"/>
        </w:rPr>
        <w:t xml:space="preserve"> </w:t>
      </w:r>
      <w:r w:rsidR="004D351A" w:rsidRPr="00192D5C">
        <w:rPr>
          <w:rFonts w:ascii="Gill Sans MT" w:hAnsi="Gill Sans MT"/>
        </w:rPr>
        <w:t>and global phenomenon implicated in attempts to</w:t>
      </w:r>
      <w:r w:rsidR="004D351A">
        <w:rPr>
          <w:rFonts w:ascii="Gill Sans MT" w:hAnsi="Gill Sans MT"/>
        </w:rPr>
        <w:t xml:space="preserve"> </w:t>
      </w:r>
      <w:r w:rsidR="004D351A" w:rsidRPr="00192D5C">
        <w:rPr>
          <w:rFonts w:ascii="Gill Sans MT" w:hAnsi="Gill Sans MT"/>
        </w:rPr>
        <w:t>imagine ways of living otherwise</w:t>
      </w:r>
      <w:r w:rsidR="00352EFA">
        <w:rPr>
          <w:rFonts w:ascii="Gill Sans MT" w:hAnsi="Gill Sans MT"/>
        </w:rPr>
        <w:t xml:space="preserve">, as well as in circumscriptive </w:t>
      </w:r>
      <w:r w:rsidR="00352EFA" w:rsidRPr="00192D5C">
        <w:rPr>
          <w:rFonts w:ascii="Gill Sans MT" w:hAnsi="Gill Sans MT"/>
        </w:rPr>
        <w:t>practices of violence</w:t>
      </w:r>
      <w:r w:rsidR="004D351A" w:rsidRPr="00192D5C">
        <w:rPr>
          <w:rFonts w:ascii="Gill Sans MT" w:hAnsi="Gill Sans MT"/>
        </w:rPr>
        <w:t>.</w:t>
      </w:r>
    </w:p>
    <w:p w14:paraId="1B0F5A3A" w14:textId="1B07F0E6" w:rsidR="0016572C" w:rsidRDefault="00352EFA" w:rsidP="00FB3ED1">
      <w:pPr>
        <w:spacing w:line="480" w:lineRule="auto"/>
        <w:ind w:firstLine="720"/>
        <w:jc w:val="both"/>
        <w:rPr>
          <w:rFonts w:ascii="Gill Sans MT" w:hAnsi="Gill Sans MT"/>
        </w:rPr>
      </w:pPr>
      <w:r>
        <w:rPr>
          <w:rFonts w:ascii="Gill Sans MT" w:hAnsi="Gill Sans MT"/>
        </w:rPr>
        <w:t xml:space="preserve">Questions remain, therefore, about whether victimhood is a desirable framework with which to </w:t>
      </w:r>
      <w:r w:rsidR="004D351A" w:rsidRPr="00866ED2">
        <w:rPr>
          <w:rFonts w:ascii="Gill Sans MT" w:hAnsi="Gill Sans MT"/>
        </w:rPr>
        <w:t>recko</w:t>
      </w:r>
      <w:r>
        <w:rPr>
          <w:rFonts w:ascii="Gill Sans MT" w:hAnsi="Gill Sans MT"/>
        </w:rPr>
        <w:t>n</w:t>
      </w:r>
      <w:r w:rsidR="004D351A" w:rsidRPr="00866ED2">
        <w:rPr>
          <w:rFonts w:ascii="Gill Sans MT" w:hAnsi="Gill Sans MT"/>
        </w:rPr>
        <w:t xml:space="preserve"> with the vectors and patterns of suffering that characterise our world’s political relations, systems, and institutions</w:t>
      </w:r>
      <w:r w:rsidR="000A4EBC">
        <w:rPr>
          <w:rFonts w:ascii="Gill Sans MT" w:hAnsi="Gill Sans MT"/>
        </w:rPr>
        <w:t>.</w:t>
      </w:r>
      <w:r w:rsidR="004D351A" w:rsidRPr="001E6DEF">
        <w:rPr>
          <w:rFonts w:ascii="Gill Sans MT" w:hAnsi="Gill Sans MT"/>
        </w:rPr>
        <w:t xml:space="preserve"> </w:t>
      </w:r>
      <w:r w:rsidR="007D5C89">
        <w:rPr>
          <w:rFonts w:ascii="Gill Sans MT" w:hAnsi="Gill Sans MT"/>
        </w:rPr>
        <w:t xml:space="preserve">By showing how Trump’s victimhood nationalism empowers those in positions of power, Coulson </w:t>
      </w:r>
      <w:r w:rsidR="00703B54">
        <w:rPr>
          <w:rFonts w:ascii="Gill Sans MT" w:hAnsi="Gill Sans MT"/>
        </w:rPr>
        <w:t>suggests</w:t>
      </w:r>
      <w:r w:rsidR="007D5C89">
        <w:rPr>
          <w:rFonts w:ascii="Gill Sans MT" w:hAnsi="Gill Sans MT"/>
        </w:rPr>
        <w:t xml:space="preserve"> that victimhood discourses </w:t>
      </w:r>
      <w:r w:rsidR="00703B54">
        <w:rPr>
          <w:rFonts w:ascii="Gill Sans MT" w:hAnsi="Gill Sans MT"/>
        </w:rPr>
        <w:t>can entrench social hierarchies</w:t>
      </w:r>
      <w:r w:rsidR="007D5C89">
        <w:rPr>
          <w:rFonts w:ascii="Gill Sans MT" w:hAnsi="Gill Sans MT"/>
        </w:rPr>
        <w:t>.</w:t>
      </w:r>
      <w:r w:rsidR="007D5C89" w:rsidRPr="001E6DEF">
        <w:rPr>
          <w:rFonts w:ascii="Gill Sans MT" w:hAnsi="Gill Sans MT"/>
        </w:rPr>
        <w:t xml:space="preserve"> </w:t>
      </w:r>
      <w:r w:rsidR="007D5C89">
        <w:rPr>
          <w:rFonts w:ascii="Gill Sans MT" w:hAnsi="Gill Sans MT"/>
        </w:rPr>
        <w:t>Park</w:t>
      </w:r>
      <w:r w:rsidR="009152FB">
        <w:rPr>
          <w:rFonts w:ascii="Gill Sans MT" w:hAnsi="Gill Sans MT"/>
        </w:rPr>
        <w:t>-Kang</w:t>
      </w:r>
      <w:r w:rsidR="007D5C89">
        <w:rPr>
          <w:rFonts w:ascii="Gill Sans MT" w:hAnsi="Gill Sans MT"/>
        </w:rPr>
        <w:t xml:space="preserve"> </w:t>
      </w:r>
      <w:r w:rsidR="009152FB">
        <w:rPr>
          <w:rFonts w:ascii="Gill Sans MT" w:hAnsi="Gill Sans MT"/>
        </w:rPr>
        <w:t xml:space="preserve">is similarly circumspect, </w:t>
      </w:r>
      <w:r w:rsidR="007D5C89">
        <w:rPr>
          <w:rFonts w:ascii="Gill Sans MT" w:hAnsi="Gill Sans MT"/>
        </w:rPr>
        <w:t>highlight</w:t>
      </w:r>
      <w:r w:rsidR="009152FB">
        <w:rPr>
          <w:rFonts w:ascii="Gill Sans MT" w:hAnsi="Gill Sans MT"/>
        </w:rPr>
        <w:t>ing</w:t>
      </w:r>
      <w:r w:rsidR="007D5C89">
        <w:rPr>
          <w:rFonts w:ascii="Gill Sans MT" w:hAnsi="Gill Sans MT"/>
        </w:rPr>
        <w:t xml:space="preserve"> how </w:t>
      </w:r>
      <w:r w:rsidR="009152FB">
        <w:rPr>
          <w:rFonts w:ascii="Gill Sans MT" w:hAnsi="Gill Sans MT"/>
        </w:rPr>
        <w:t xml:space="preserve">the </w:t>
      </w:r>
      <w:r w:rsidR="007D5C89">
        <w:rPr>
          <w:rFonts w:ascii="Gill Sans MT" w:hAnsi="Gill Sans MT"/>
        </w:rPr>
        <w:t>gendered depiction</w:t>
      </w:r>
      <w:r w:rsidR="009152FB">
        <w:rPr>
          <w:rFonts w:ascii="Gill Sans MT" w:hAnsi="Gill Sans MT"/>
        </w:rPr>
        <w:t xml:space="preserve"> of plane bomber Hyunhee Kim</w:t>
      </w:r>
      <w:r w:rsidR="007D5C89">
        <w:rPr>
          <w:rFonts w:ascii="Gill Sans MT" w:hAnsi="Gill Sans MT"/>
        </w:rPr>
        <w:t xml:space="preserve"> as a naïve and innocent “virgin” granted her a special pardon at the expense of the people she killed, whose families continue to seek justice</w:t>
      </w:r>
      <w:r w:rsidR="007D5C89" w:rsidRPr="00AF55B0">
        <w:rPr>
          <w:rFonts w:ascii="Gill Sans MT" w:hAnsi="Gill Sans MT"/>
        </w:rPr>
        <w:t>.</w:t>
      </w:r>
      <w:r w:rsidR="007D5C89">
        <w:rPr>
          <w:rFonts w:ascii="Gill Sans MT" w:hAnsi="Gill Sans MT"/>
        </w:rPr>
        <w:t xml:space="preserve"> </w:t>
      </w:r>
      <w:r>
        <w:rPr>
          <w:rFonts w:ascii="Gill Sans MT" w:hAnsi="Gill Sans MT"/>
        </w:rPr>
        <w:t xml:space="preserve">One </w:t>
      </w:r>
      <w:r w:rsidR="009152FB">
        <w:rPr>
          <w:rFonts w:ascii="Gill Sans MT" w:hAnsi="Gill Sans MT"/>
        </w:rPr>
        <w:t xml:space="preserve">motivation for Coulson and Park-Kang’s doubts lies in the way that </w:t>
      </w:r>
      <w:r>
        <w:rPr>
          <w:rFonts w:ascii="Gill Sans MT" w:hAnsi="Gill Sans MT"/>
        </w:rPr>
        <w:t>claims to victimhood often function as</w:t>
      </w:r>
      <w:r w:rsidR="004D351A">
        <w:rPr>
          <w:rFonts w:ascii="Gill Sans MT" w:hAnsi="Gill Sans MT"/>
        </w:rPr>
        <w:t xml:space="preserve"> </w:t>
      </w:r>
      <w:r w:rsidR="004D351A" w:rsidRPr="00866ED2">
        <w:rPr>
          <w:rFonts w:ascii="Gill Sans MT" w:hAnsi="Gill Sans MT"/>
        </w:rPr>
        <w:t>demand</w:t>
      </w:r>
      <w:r w:rsidR="0016572C">
        <w:rPr>
          <w:rFonts w:ascii="Gill Sans MT" w:hAnsi="Gill Sans MT"/>
        </w:rPr>
        <w:t>s for</w:t>
      </w:r>
      <w:r w:rsidR="004D351A" w:rsidRPr="00866ED2">
        <w:rPr>
          <w:rFonts w:ascii="Gill Sans MT" w:hAnsi="Gill Sans MT"/>
        </w:rPr>
        <w:t xml:space="preserve"> moral clarity</w:t>
      </w:r>
      <w:r w:rsidR="004D351A">
        <w:rPr>
          <w:rFonts w:ascii="Gill Sans MT" w:hAnsi="Gill Sans MT"/>
        </w:rPr>
        <w:t xml:space="preserve">. </w:t>
      </w:r>
      <w:r w:rsidR="0016572C">
        <w:rPr>
          <w:rFonts w:ascii="Gill Sans MT" w:hAnsi="Gill Sans MT"/>
        </w:rPr>
        <w:t xml:space="preserve">To say that such a person or group are “victims” is to </w:t>
      </w:r>
      <w:r w:rsidR="004D351A">
        <w:rPr>
          <w:rFonts w:ascii="Gill Sans MT" w:hAnsi="Gill Sans MT"/>
        </w:rPr>
        <w:t>state that</w:t>
      </w:r>
      <w:r w:rsidR="004D351A" w:rsidRPr="00866ED2">
        <w:rPr>
          <w:rFonts w:ascii="Gill Sans MT" w:hAnsi="Gill Sans MT"/>
        </w:rPr>
        <w:t xml:space="preserve"> harm has been directed in </w:t>
      </w:r>
      <w:r w:rsidR="004D351A" w:rsidRPr="00866ED2">
        <w:rPr>
          <w:rFonts w:ascii="Gill Sans MT" w:hAnsi="Gill Sans MT"/>
          <w:i/>
          <w:iCs/>
        </w:rPr>
        <w:t>this</w:t>
      </w:r>
      <w:r w:rsidR="004D351A" w:rsidRPr="00866ED2">
        <w:rPr>
          <w:rFonts w:ascii="Gill Sans MT" w:hAnsi="Gill Sans MT"/>
        </w:rPr>
        <w:t xml:space="preserve"> direction, towards </w:t>
      </w:r>
      <w:r w:rsidR="004D351A" w:rsidRPr="00866ED2">
        <w:rPr>
          <w:rFonts w:ascii="Gill Sans MT" w:hAnsi="Gill Sans MT"/>
          <w:i/>
          <w:iCs/>
        </w:rPr>
        <w:t xml:space="preserve">these </w:t>
      </w:r>
      <w:r w:rsidR="004D351A" w:rsidRPr="00866ED2">
        <w:rPr>
          <w:rFonts w:ascii="Gill Sans MT" w:hAnsi="Gill Sans MT"/>
        </w:rPr>
        <w:t xml:space="preserve">people, by </w:t>
      </w:r>
      <w:r w:rsidR="004D351A" w:rsidRPr="00866ED2">
        <w:rPr>
          <w:rFonts w:ascii="Gill Sans MT" w:hAnsi="Gill Sans MT"/>
          <w:i/>
          <w:iCs/>
        </w:rPr>
        <w:t>this</w:t>
      </w:r>
      <w:r w:rsidR="004D351A" w:rsidRPr="00866ED2">
        <w:rPr>
          <w:rFonts w:ascii="Gill Sans MT" w:hAnsi="Gill Sans MT"/>
        </w:rPr>
        <w:t xml:space="preserve"> responsible part</w:t>
      </w:r>
      <w:r w:rsidR="004D351A">
        <w:rPr>
          <w:rFonts w:ascii="Gill Sans MT" w:hAnsi="Gill Sans MT"/>
        </w:rPr>
        <w:t xml:space="preserve">y. Our </w:t>
      </w:r>
      <w:r w:rsidR="00703B54">
        <w:rPr>
          <w:rFonts w:ascii="Gill Sans MT" w:hAnsi="Gill Sans MT"/>
        </w:rPr>
        <w:t xml:space="preserve">discussion </w:t>
      </w:r>
      <w:r w:rsidR="004D351A">
        <w:rPr>
          <w:rFonts w:ascii="Gill Sans MT" w:hAnsi="Gill Sans MT"/>
        </w:rPr>
        <w:t>suggests that the m</w:t>
      </w:r>
      <w:r w:rsidR="004D351A" w:rsidRPr="00866ED2">
        <w:rPr>
          <w:rFonts w:ascii="Gill Sans MT" w:hAnsi="Gill Sans MT"/>
        </w:rPr>
        <w:t>oral clarity</w:t>
      </w:r>
      <w:r w:rsidR="0016572C">
        <w:rPr>
          <w:rFonts w:ascii="Gill Sans MT" w:hAnsi="Gill Sans MT"/>
        </w:rPr>
        <w:t xml:space="preserve"> </w:t>
      </w:r>
      <w:r w:rsidR="004D351A">
        <w:rPr>
          <w:rFonts w:ascii="Gill Sans MT" w:hAnsi="Gill Sans MT"/>
        </w:rPr>
        <w:t>the “victim” label</w:t>
      </w:r>
      <w:r w:rsidR="0016572C">
        <w:rPr>
          <w:rFonts w:ascii="Gill Sans MT" w:hAnsi="Gill Sans MT"/>
        </w:rPr>
        <w:t xml:space="preserve"> often seeks to </w:t>
      </w:r>
      <w:r w:rsidR="00F32607">
        <w:rPr>
          <w:rFonts w:ascii="Gill Sans MT" w:hAnsi="Gill Sans MT"/>
        </w:rPr>
        <w:t xml:space="preserve">provide </w:t>
      </w:r>
      <w:r w:rsidR="004D351A" w:rsidRPr="00866ED2">
        <w:rPr>
          <w:rFonts w:ascii="Gill Sans MT" w:hAnsi="Gill Sans MT"/>
        </w:rPr>
        <w:t xml:space="preserve">rarely maps neatly onto the sorts of disputes that </w:t>
      </w:r>
      <w:r w:rsidR="004D351A">
        <w:rPr>
          <w:rFonts w:ascii="Gill Sans MT" w:hAnsi="Gill Sans MT"/>
        </w:rPr>
        <w:t>it is mobilised to</w:t>
      </w:r>
      <w:r w:rsidR="004D351A" w:rsidRPr="00866ED2">
        <w:rPr>
          <w:rFonts w:ascii="Gill Sans MT" w:hAnsi="Gill Sans MT"/>
        </w:rPr>
        <w:t xml:space="preserve"> decide upon.</w:t>
      </w:r>
      <w:r w:rsidR="004D351A" w:rsidRPr="001E6DEF">
        <w:rPr>
          <w:rStyle w:val="FootnoteReference"/>
          <w:rFonts w:ascii="Gill Sans MT" w:hAnsi="Gill Sans MT"/>
        </w:rPr>
        <w:footnoteReference w:id="21"/>
      </w:r>
      <w:r w:rsidR="004D351A" w:rsidRPr="001E6DEF">
        <w:rPr>
          <w:rFonts w:ascii="Gill Sans MT" w:hAnsi="Gill Sans MT"/>
        </w:rPr>
        <w:t xml:space="preserve"> </w:t>
      </w:r>
    </w:p>
    <w:p w14:paraId="2965F57B" w14:textId="2FB37A7F" w:rsidR="004D351A" w:rsidRPr="00AF55B0" w:rsidRDefault="004D351A" w:rsidP="00FB3ED1">
      <w:pPr>
        <w:spacing w:line="480" w:lineRule="auto"/>
        <w:ind w:firstLine="720"/>
        <w:jc w:val="both"/>
        <w:rPr>
          <w:rFonts w:ascii="Gill Sans MT" w:hAnsi="Gill Sans MT"/>
        </w:rPr>
      </w:pPr>
      <w:r>
        <w:rPr>
          <w:rFonts w:ascii="Gill Sans MT" w:hAnsi="Gill Sans MT"/>
        </w:rPr>
        <w:t xml:space="preserve">On the other hand, however, </w:t>
      </w:r>
      <w:r w:rsidR="00F32607">
        <w:rPr>
          <w:rFonts w:ascii="Gill Sans MT" w:hAnsi="Gill Sans MT"/>
        </w:rPr>
        <w:t xml:space="preserve">the Symposium also shows how a direct engagement with the terms and stakes of victimhood discourses – whether by bodily resistance, discursive resignification or a combination of the two – can also contest the underlying patterns of harm that it describes, organises or obscures. </w:t>
      </w:r>
      <w:r>
        <w:rPr>
          <w:rFonts w:ascii="Gill Sans MT" w:hAnsi="Gill Sans MT"/>
        </w:rPr>
        <w:t xml:space="preserve">Perez and Salter, for example, show decisively how recent assertions of Black lives’ value have challenged frameworks that impose stringent demands on what sorts of injuries (in particular, those directed at Black bodies, subjects and communities) can be recognised and responded to. </w:t>
      </w:r>
      <w:r w:rsidR="001A5F02">
        <w:rPr>
          <w:rFonts w:ascii="Gill Sans MT" w:hAnsi="Gill Sans MT"/>
        </w:rPr>
        <w:t>While</w:t>
      </w:r>
      <w:r w:rsidR="006C35C1">
        <w:rPr>
          <w:rFonts w:ascii="Gill Sans MT" w:hAnsi="Gill Sans MT"/>
        </w:rPr>
        <w:t xml:space="preserve"> the contributors to this Symposium are largely circumspect</w:t>
      </w:r>
      <w:r w:rsidR="001A5F02">
        <w:rPr>
          <w:rFonts w:ascii="Gill Sans MT" w:hAnsi="Gill Sans MT"/>
        </w:rPr>
        <w:t xml:space="preserve"> about whether the language of victimhood </w:t>
      </w:r>
      <w:r w:rsidR="001A5F02" w:rsidRPr="00352715">
        <w:rPr>
          <w:rFonts w:ascii="Gill Sans MT" w:hAnsi="Gill Sans MT"/>
        </w:rPr>
        <w:t>can</w:t>
      </w:r>
      <w:r w:rsidR="001A5F02" w:rsidRPr="00E36182">
        <w:rPr>
          <w:rFonts w:ascii="Gill Sans MT" w:hAnsi="Gill Sans MT"/>
        </w:rPr>
        <w:t xml:space="preserve"> </w:t>
      </w:r>
      <w:r w:rsidR="001A5F02">
        <w:rPr>
          <w:rFonts w:ascii="Gill Sans MT" w:hAnsi="Gill Sans MT"/>
        </w:rPr>
        <w:t xml:space="preserve">be jettisoned or </w:t>
      </w:r>
      <w:r w:rsidR="001A5F02">
        <w:rPr>
          <w:rFonts w:ascii="Gill Sans MT" w:hAnsi="Gill Sans MT"/>
        </w:rPr>
        <w:lastRenderedPageBreak/>
        <w:t>overcome, here and elsewhere they make clear th</w:t>
      </w:r>
      <w:r w:rsidR="00D42C07">
        <w:rPr>
          <w:rFonts w:ascii="Gill Sans MT" w:hAnsi="Gill Sans MT"/>
        </w:rPr>
        <w:t>at there remains scope for its re-evaluation.</w:t>
      </w:r>
      <w:r w:rsidR="00F520F2">
        <w:rPr>
          <w:rFonts w:ascii="Gill Sans MT" w:hAnsi="Gill Sans MT"/>
        </w:rPr>
        <w:t xml:space="preserve"> Such efforts not only gesture towards alternative modalities through which the systemic harms and injuries that continue to define global politics can be identified, but also prefigure alternative modes of solidarity through which they can be resisted and transfigured.</w:t>
      </w:r>
    </w:p>
    <w:p w14:paraId="47872C27" w14:textId="77777777" w:rsidR="004D351A" w:rsidRPr="00A107A2" w:rsidRDefault="004D351A" w:rsidP="00FB3ED1">
      <w:pPr>
        <w:autoSpaceDE w:val="0"/>
        <w:autoSpaceDN w:val="0"/>
        <w:adjustRightInd w:val="0"/>
        <w:spacing w:line="480" w:lineRule="auto"/>
        <w:rPr>
          <w:rFonts w:ascii="Gill Sans MT" w:hAnsi="Gill Sans MT" w:cs="Calibri"/>
          <w:color w:val="000000"/>
          <w:sz w:val="22"/>
          <w:szCs w:val="22"/>
        </w:rPr>
      </w:pPr>
    </w:p>
    <w:p w14:paraId="6A2C6F37" w14:textId="77777777" w:rsidR="00783668" w:rsidRDefault="00783668" w:rsidP="00FB3ED1">
      <w:pPr>
        <w:spacing w:line="480" w:lineRule="auto"/>
      </w:pPr>
    </w:p>
    <w:sectPr w:rsidR="0078366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659D" w14:textId="77777777" w:rsidR="00545170" w:rsidRDefault="00545170" w:rsidP="004D351A">
      <w:r>
        <w:separator/>
      </w:r>
    </w:p>
  </w:endnote>
  <w:endnote w:type="continuationSeparator" w:id="0">
    <w:p w14:paraId="430319FD" w14:textId="77777777" w:rsidR="00545170" w:rsidRDefault="00545170" w:rsidP="004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51210"/>
      <w:docPartObj>
        <w:docPartGallery w:val="Page Numbers (Bottom of Page)"/>
        <w:docPartUnique/>
      </w:docPartObj>
    </w:sdtPr>
    <w:sdtEndPr>
      <w:rPr>
        <w:noProof/>
      </w:rPr>
    </w:sdtEndPr>
    <w:sdtContent>
      <w:p w14:paraId="4DB5EC55" w14:textId="77777777" w:rsidR="00BC5875" w:rsidRDefault="001374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846E1" w14:textId="77777777" w:rsidR="00BC5875" w:rsidRDefault="0054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6251" w14:textId="77777777" w:rsidR="00545170" w:rsidRDefault="00545170" w:rsidP="004D351A">
      <w:r>
        <w:separator/>
      </w:r>
    </w:p>
  </w:footnote>
  <w:footnote w:type="continuationSeparator" w:id="0">
    <w:p w14:paraId="1435C185" w14:textId="77777777" w:rsidR="00545170" w:rsidRDefault="00545170" w:rsidP="004D351A">
      <w:r>
        <w:continuationSeparator/>
      </w:r>
    </w:p>
  </w:footnote>
  <w:footnote w:id="1">
    <w:p w14:paraId="41D98BBC" w14:textId="462A4ABA"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See e.g.</w:t>
      </w:r>
      <w:r w:rsidR="00493767">
        <w:rPr>
          <w:rFonts w:ascii="Calibri" w:hAnsi="Calibri" w:cs="Calibri"/>
        </w:rPr>
        <w:t xml:space="preserve"> </w:t>
      </w:r>
      <w:r w:rsidRPr="00311445">
        <w:rPr>
          <w:rFonts w:ascii="Calibri" w:hAnsi="Calibri" w:cs="Calibri"/>
        </w:rPr>
        <w:t>Tami Amanda Jacoby, “A Theory of Victimhood: Politics, Conflict and the Construction of Victim-based</w:t>
      </w:r>
      <w:r w:rsidR="00493767">
        <w:rPr>
          <w:rFonts w:ascii="Calibri" w:hAnsi="Calibri" w:cs="Calibri"/>
        </w:rPr>
        <w:t xml:space="preserve"> </w:t>
      </w:r>
      <w:r w:rsidRPr="00311445">
        <w:rPr>
          <w:rFonts w:ascii="Calibri" w:hAnsi="Calibri" w:cs="Calibri"/>
        </w:rPr>
        <w:t xml:space="preserve">Identity”, </w:t>
      </w:r>
      <w:r w:rsidRPr="00311445">
        <w:rPr>
          <w:rFonts w:ascii="Calibri" w:hAnsi="Calibri" w:cs="Calibri"/>
          <w:i/>
          <w:iCs/>
        </w:rPr>
        <w:t xml:space="preserve">Millennium: Journal of International Studies </w:t>
      </w:r>
      <w:r w:rsidRPr="00311445">
        <w:rPr>
          <w:rFonts w:ascii="Calibri" w:hAnsi="Calibri" w:cs="Calibri"/>
        </w:rPr>
        <w:t xml:space="preserve">43 (2015): 511-530; Roxani C. Krystalli, </w:t>
      </w:r>
      <w:r w:rsidR="00B55F54" w:rsidRPr="00311445">
        <w:rPr>
          <w:rFonts w:ascii="Calibri" w:hAnsi="Calibri" w:cs="Calibri"/>
        </w:rPr>
        <w:t>“</w:t>
      </w:r>
      <w:r w:rsidRPr="00311445">
        <w:rPr>
          <w:rFonts w:ascii="Calibri" w:hAnsi="Calibri" w:cs="Calibri"/>
        </w:rPr>
        <w:t>Narrating victimhood: dilemmas and (in)dignities</w:t>
      </w:r>
      <w:r w:rsidR="00B55F54" w:rsidRPr="00311445">
        <w:rPr>
          <w:rFonts w:ascii="Calibri" w:hAnsi="Calibri" w:cs="Calibri"/>
        </w:rPr>
        <w:t>”</w:t>
      </w:r>
      <w:r w:rsidRPr="00311445">
        <w:rPr>
          <w:rFonts w:ascii="Calibri" w:hAnsi="Calibri" w:cs="Calibri"/>
        </w:rPr>
        <w:t xml:space="preserve">, </w:t>
      </w:r>
      <w:r w:rsidRPr="00311445">
        <w:rPr>
          <w:rFonts w:ascii="Calibri" w:hAnsi="Calibri" w:cs="Calibri"/>
          <w:i/>
          <w:iCs/>
        </w:rPr>
        <w:t>International Feminist Journal of Politics</w:t>
      </w:r>
      <w:r w:rsidRPr="00311445">
        <w:rPr>
          <w:rFonts w:ascii="Calibri" w:hAnsi="Calibri" w:cs="Calibri"/>
        </w:rPr>
        <w:t xml:space="preserve">, no issue number (2021): 1-22; Adam B. Lerner, “The uses and abuses of victimhood nationalism in international politics”, </w:t>
      </w:r>
      <w:r w:rsidRPr="00311445">
        <w:rPr>
          <w:rFonts w:ascii="Calibri" w:hAnsi="Calibri" w:cs="Calibri"/>
          <w:i/>
          <w:iCs/>
        </w:rPr>
        <w:t>European Journal of International Relations</w:t>
      </w:r>
      <w:r w:rsidRPr="00311445">
        <w:rPr>
          <w:rFonts w:ascii="Calibri" w:hAnsi="Calibri" w:cs="Calibri"/>
        </w:rPr>
        <w:t xml:space="preserve"> 26 (2020): 62-87. See also Bird, this volume, &amp; Holliday, this volume.</w:t>
      </w:r>
    </w:p>
  </w:footnote>
  <w:footnote w:id="2">
    <w:p w14:paraId="1D2B4D5A" w14:textId="77777777" w:rsidR="00D26E36" w:rsidRPr="00352715" w:rsidRDefault="00D26E36" w:rsidP="00D26E36">
      <w:pPr>
        <w:pStyle w:val="FootnoteText"/>
        <w:rPr>
          <w:rFonts w:ascii="Calibri" w:hAnsi="Calibri" w:cs="Calibri"/>
        </w:rPr>
      </w:pPr>
      <w:r w:rsidRPr="00352715">
        <w:rPr>
          <w:rStyle w:val="FootnoteReference"/>
          <w:rFonts w:ascii="Calibri" w:hAnsi="Calibri" w:cs="Calibri"/>
        </w:rPr>
        <w:footnoteRef/>
      </w:r>
      <w:r w:rsidRPr="00352715">
        <w:rPr>
          <w:rFonts w:ascii="Calibri" w:hAnsi="Calibri" w:cs="Calibri"/>
        </w:rPr>
        <w:t xml:space="preserve"> Alyson Cole, </w:t>
      </w:r>
      <w:r w:rsidRPr="00352715">
        <w:rPr>
          <w:rFonts w:ascii="Calibri" w:hAnsi="Calibri" w:cs="Calibri"/>
          <w:i/>
          <w:iCs/>
        </w:rPr>
        <w:t>The Cult of True Victimhood: From the War on Welfare to the War on Terror</w:t>
      </w:r>
      <w:r w:rsidRPr="00352715">
        <w:rPr>
          <w:rFonts w:ascii="Calibri" w:hAnsi="Calibri" w:cs="Calibri"/>
        </w:rPr>
        <w:t xml:space="preserve"> (Stanford CA: Stanford University Press, 2006), 36</w:t>
      </w:r>
    </w:p>
  </w:footnote>
  <w:footnote w:id="3">
    <w:p w14:paraId="3972DFF0" w14:textId="77777777" w:rsidR="00D26E36" w:rsidRPr="00352715" w:rsidRDefault="00D26E36" w:rsidP="00D26E36">
      <w:pPr>
        <w:pStyle w:val="FootnoteText"/>
        <w:rPr>
          <w:rFonts w:ascii="Calibri" w:hAnsi="Calibri" w:cs="Calibri"/>
        </w:rPr>
      </w:pPr>
      <w:r w:rsidRPr="00352715">
        <w:rPr>
          <w:rStyle w:val="FootnoteReference"/>
          <w:rFonts w:ascii="Calibri" w:hAnsi="Calibri" w:cs="Calibri"/>
        </w:rPr>
        <w:footnoteRef/>
      </w:r>
      <w:r w:rsidRPr="00352715">
        <w:rPr>
          <w:rFonts w:ascii="Calibri" w:hAnsi="Calibri" w:cs="Calibri"/>
        </w:rPr>
        <w:t xml:space="preserve"> Lilie </w:t>
      </w:r>
      <w:r w:rsidRPr="00352715">
        <w:rPr>
          <w:rFonts w:ascii="Calibri" w:hAnsi="Calibri" w:cs="Calibri"/>
          <w:color w:val="333333"/>
          <w:shd w:val="clear" w:color="auto" w:fill="FFFFFF"/>
        </w:rPr>
        <w:t>Chouliaraki and Sarah Banet-Weiser “Introduction to special issue: The logic of victimhood” </w:t>
      </w:r>
      <w:r w:rsidRPr="00352715">
        <w:rPr>
          <w:rFonts w:ascii="Calibri" w:hAnsi="Calibri" w:cs="Calibri"/>
          <w:i/>
          <w:iCs/>
          <w:color w:val="333333"/>
          <w:shd w:val="clear" w:color="auto" w:fill="FFFFFF"/>
        </w:rPr>
        <w:t>European Journal of Cultural Studies</w:t>
      </w:r>
      <w:r w:rsidRPr="00352715">
        <w:rPr>
          <w:rFonts w:ascii="Calibri" w:hAnsi="Calibri" w:cs="Calibri"/>
          <w:color w:val="333333"/>
          <w:shd w:val="clear" w:color="auto" w:fill="FFFFFF"/>
        </w:rPr>
        <w:t>. 2021;24(1):3-9</w:t>
      </w:r>
    </w:p>
  </w:footnote>
  <w:footnote w:id="4">
    <w:p w14:paraId="0A3611E0" w14:textId="77777777" w:rsidR="00AA14B1" w:rsidRPr="00352715" w:rsidRDefault="00AA14B1" w:rsidP="00AA14B1">
      <w:pPr>
        <w:pStyle w:val="FootnoteText"/>
        <w:rPr>
          <w:rFonts w:ascii="Calibri" w:hAnsi="Calibri" w:cs="Calibri"/>
        </w:rPr>
      </w:pPr>
      <w:r w:rsidRPr="00352715">
        <w:rPr>
          <w:rStyle w:val="FootnoteReference"/>
          <w:rFonts w:ascii="Calibri" w:hAnsi="Calibri" w:cs="Calibri"/>
        </w:rPr>
        <w:footnoteRef/>
      </w:r>
      <w:r w:rsidRPr="00352715">
        <w:rPr>
          <w:rFonts w:ascii="Calibri" w:hAnsi="Calibri" w:cs="Calibri"/>
        </w:rPr>
        <w:t xml:space="preserve"> Chouliaraki and Banet-Weiser, p.4.</w:t>
      </w:r>
    </w:p>
  </w:footnote>
  <w:footnote w:id="5">
    <w:p w14:paraId="51D27673"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All quotations taken from James A. Lindsay, Peter Boghossian and Helen Pluckrose, “Academic Grievance Studies and the Corruption of Scholarship”, </w:t>
      </w:r>
      <w:r w:rsidRPr="00311445">
        <w:rPr>
          <w:rFonts w:ascii="Calibri" w:hAnsi="Calibri" w:cs="Calibri"/>
          <w:i/>
          <w:iCs/>
        </w:rPr>
        <w:t>Areo</w:t>
      </w:r>
      <w:r w:rsidRPr="00311445">
        <w:rPr>
          <w:rFonts w:ascii="Calibri" w:hAnsi="Calibri" w:cs="Calibri"/>
        </w:rPr>
        <w:t>, 2 October 2018. Available at https://areomagazine.com/2018/10/02/academic-grievance-studies-and-the-corruption-of-scholarship/ (last accessed 17 November 2021).</w:t>
      </w:r>
    </w:p>
  </w:footnote>
  <w:footnote w:id="6">
    <w:p w14:paraId="1216FABD"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Mikko Lagerspetz, “‘The Grievance Studies Affair’ Project: Reconstructing and Assessing the Experimental Design”, </w:t>
      </w:r>
      <w:r w:rsidRPr="00311445">
        <w:rPr>
          <w:rFonts w:ascii="Calibri" w:hAnsi="Calibri" w:cs="Calibri"/>
          <w:i/>
          <w:iCs/>
        </w:rPr>
        <w:t>Science, Technology and Human Values</w:t>
      </w:r>
      <w:r w:rsidRPr="00311445">
        <w:rPr>
          <w:rFonts w:ascii="Calibri" w:hAnsi="Calibri" w:cs="Calibri"/>
        </w:rPr>
        <w:t xml:space="preserve"> 46 (2021): 402-424; cf.</w:t>
      </w:r>
      <w:r w:rsidRPr="00311445">
        <w:rPr>
          <w:rFonts w:ascii="Calibri" w:hAnsi="Calibri" w:cs="Calibri"/>
          <w:i/>
          <w:iCs/>
        </w:rPr>
        <w:t xml:space="preserve"> </w:t>
      </w:r>
      <w:r w:rsidRPr="00311445">
        <w:rPr>
          <w:rFonts w:ascii="Calibri" w:hAnsi="Calibri" w:cs="Calibri"/>
        </w:rPr>
        <w:t xml:space="preserve"> Joel P. Christensen and Matthew A. Sears, “The Overlooked Messages of the Sokal-Squared Hoax”, </w:t>
      </w:r>
      <w:r w:rsidRPr="00311445">
        <w:rPr>
          <w:rFonts w:ascii="Calibri" w:hAnsi="Calibri" w:cs="Calibri"/>
          <w:i/>
          <w:iCs/>
        </w:rPr>
        <w:t>Inside Higher Ed</w:t>
      </w:r>
      <w:r w:rsidRPr="00311445">
        <w:rPr>
          <w:rFonts w:ascii="Calibri" w:hAnsi="Calibri" w:cs="Calibri"/>
        </w:rPr>
        <w:t>, October 30 2018. Available at https://www.insidehighered.com/views/2018/10/30/sokal-squared-hoax-was-put-down-scholars-concerned-racial-issues-opinion (last accessed 17 November 2021).</w:t>
      </w:r>
    </w:p>
  </w:footnote>
  <w:footnote w:id="7">
    <w:p w14:paraId="169DD9CA"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For a prominent recent example of research misconduct in the natural sciences, see Jeremy Berg, “Editorial Retraction”, </w:t>
      </w:r>
      <w:r w:rsidRPr="00311445">
        <w:rPr>
          <w:rFonts w:ascii="Calibri" w:hAnsi="Calibri" w:cs="Calibri"/>
          <w:i/>
          <w:iCs/>
        </w:rPr>
        <w:t>Science</w:t>
      </w:r>
      <w:r w:rsidRPr="00311445">
        <w:rPr>
          <w:rFonts w:ascii="Calibri" w:hAnsi="Calibri" w:cs="Calibri"/>
        </w:rPr>
        <w:t xml:space="preserve"> 356 (2017): 812</w:t>
      </w:r>
    </w:p>
  </w:footnote>
  <w:footnote w:id="8">
    <w:p w14:paraId="40B8C58B"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Helen Pluckrose and James Lindsay, </w:t>
      </w:r>
      <w:r w:rsidRPr="00311445">
        <w:rPr>
          <w:rFonts w:ascii="Calibri" w:hAnsi="Calibri" w:cs="Calibri"/>
          <w:i/>
          <w:iCs/>
        </w:rPr>
        <w:t>Cynical Theories: How Activist Scholarship Made Everything about Race, Gender, and Identity – and Why This Harms Everybody</w:t>
      </w:r>
      <w:r w:rsidRPr="00311445">
        <w:rPr>
          <w:rFonts w:ascii="Calibri" w:hAnsi="Calibri" w:cs="Calibri"/>
        </w:rPr>
        <w:t xml:space="preserve"> (Durham, NC: Pitchstone Publishing, 2020), 229; cf. Bradley Campbell and Jason Manning, </w:t>
      </w:r>
      <w:r w:rsidRPr="00311445">
        <w:rPr>
          <w:rFonts w:ascii="Calibri" w:hAnsi="Calibri" w:cs="Calibri"/>
          <w:i/>
          <w:iCs/>
        </w:rPr>
        <w:t>The Rise of Victimhood Culture: Microaggressions, Safe Spaces, and the New Culture Wars</w:t>
      </w:r>
      <w:r w:rsidRPr="00311445">
        <w:rPr>
          <w:rFonts w:ascii="Calibri" w:hAnsi="Calibri" w:cs="Calibri"/>
        </w:rPr>
        <w:t xml:space="preserve"> (Cham, Switzerland: Palgrave MacMillan, 2018). Cf. Alyson Cole, </w:t>
      </w:r>
      <w:r w:rsidRPr="00311445">
        <w:rPr>
          <w:rFonts w:ascii="Calibri" w:hAnsi="Calibri" w:cs="Calibri"/>
          <w:i/>
          <w:iCs/>
        </w:rPr>
        <w:t>The Cult of True Victimhood: From the War on Welfare to the War on Terror</w:t>
      </w:r>
      <w:r w:rsidRPr="00311445">
        <w:rPr>
          <w:rFonts w:ascii="Calibri" w:hAnsi="Calibri" w:cs="Calibri"/>
        </w:rPr>
        <w:t xml:space="preserve"> (Stanford CA: Stanford University Press, 2006).</w:t>
      </w:r>
    </w:p>
  </w:footnote>
  <w:footnote w:id="9">
    <w:p w14:paraId="0B7F30F4"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The President’s Advisory 1776 Commission, </w:t>
      </w:r>
      <w:r w:rsidRPr="00311445">
        <w:rPr>
          <w:rFonts w:ascii="Calibri" w:hAnsi="Calibri" w:cs="Calibri"/>
          <w:i/>
          <w:iCs/>
        </w:rPr>
        <w:t>The 1776 Report</w:t>
      </w:r>
      <w:r w:rsidRPr="00311445">
        <w:rPr>
          <w:rFonts w:ascii="Calibri" w:hAnsi="Calibri" w:cs="Calibri"/>
        </w:rPr>
        <w:t>, available at https://trumpwhitehouse.archives.gov/wp-content/uploads/2021/01/The-Presidents-Advisory-1776-Commission-Final-Report.pdf (last accessed 17 November 2021), 18.</w:t>
      </w:r>
    </w:p>
  </w:footnote>
  <w:footnote w:id="10">
    <w:p w14:paraId="2985B0BF"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Nigel Biggar “Don’t feel guilty about our colonial history” </w:t>
      </w:r>
      <w:r w:rsidRPr="00311445">
        <w:rPr>
          <w:rFonts w:ascii="Calibri" w:hAnsi="Calibri" w:cs="Calibri"/>
          <w:i/>
          <w:iCs/>
        </w:rPr>
        <w:t>The Times</w:t>
      </w:r>
      <w:r w:rsidRPr="00311445">
        <w:rPr>
          <w:rFonts w:ascii="Calibri" w:hAnsi="Calibri" w:cs="Calibri"/>
        </w:rPr>
        <w:t xml:space="preserve">, available at: </w:t>
      </w:r>
      <w:hyperlink r:id="rId1" w:history="1">
        <w:r w:rsidRPr="00311445">
          <w:rPr>
            <w:rStyle w:val="Hyperlink"/>
            <w:rFonts w:ascii="Calibri" w:hAnsi="Calibri" w:cs="Calibri"/>
          </w:rPr>
          <w:t>https://www.thetimes.co.uk/article/don-t-feel-guilty-about-our-colonial-history-ghvstdhmj</w:t>
        </w:r>
      </w:hyperlink>
      <w:r w:rsidRPr="00311445">
        <w:rPr>
          <w:rFonts w:ascii="Calibri" w:hAnsi="Calibri" w:cs="Calibri"/>
        </w:rPr>
        <w:t xml:space="preserve"> (last accessed 31/11/21)</w:t>
      </w:r>
    </w:p>
  </w:footnote>
  <w:footnote w:id="11">
    <w:p w14:paraId="08DA5A65"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UK Commission on Race and Ethnic Disparities “The Report”, March 2021, available at </w:t>
      </w:r>
      <w:hyperlink r:id="rId2" w:history="1">
        <w:r w:rsidRPr="00311445">
          <w:rPr>
            <w:rStyle w:val="Hyperlink"/>
            <w:rFonts w:ascii="Calibri" w:hAnsi="Calibri" w:cs="Calibri"/>
          </w:rPr>
          <w:t>https://assets.publishing.service.gov.uk/government/uploads/system/uploads/attachment_data/file/974507/20210331_-_CRED_Report_-_FINAL_-_Web_Accessible.pdf</w:t>
        </w:r>
      </w:hyperlink>
      <w:r w:rsidRPr="00311445">
        <w:rPr>
          <w:rFonts w:ascii="Calibri" w:hAnsi="Calibri" w:cs="Calibri"/>
        </w:rPr>
        <w:t xml:space="preserve"> (last accessed 30/11/21), pp.1-258, p.8 and p.34.</w:t>
      </w:r>
    </w:p>
  </w:footnote>
  <w:footnote w:id="12">
    <w:p w14:paraId="3BCA8159"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The House of Commons “Higher Education Freedom of Speech Explanatory Notes”, May 2021, available at </w:t>
      </w:r>
      <w:hyperlink r:id="rId3" w:history="1">
        <w:r w:rsidRPr="00311445">
          <w:rPr>
            <w:rStyle w:val="Hyperlink"/>
            <w:rFonts w:ascii="Calibri" w:hAnsi="Calibri" w:cs="Calibri"/>
          </w:rPr>
          <w:t>https://bills.parliament.uk/publications/41480/documents/213</w:t>
        </w:r>
      </w:hyperlink>
      <w:r w:rsidRPr="00311445">
        <w:rPr>
          <w:rFonts w:ascii="Calibri" w:hAnsi="Calibri" w:cs="Calibri"/>
        </w:rPr>
        <w:t xml:space="preserve"> (last accessed 30/11/21), pp. 1-15. </w:t>
      </w:r>
    </w:p>
  </w:footnote>
  <w:footnote w:id="13">
    <w:p w14:paraId="62D1170F"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UK Department for Education “Higher Education: Free Speech and Academic Freedom”. UK Department for Education Policy Paper, 17 February 2021. Available at </w:t>
      </w:r>
      <w:hyperlink r:id="rId4" w:history="1">
        <w:r w:rsidRPr="00311445">
          <w:rPr>
            <w:rStyle w:val="Hyperlink"/>
            <w:rFonts w:ascii="Calibri" w:hAnsi="Calibri" w:cs="Calibri"/>
          </w:rPr>
          <w:t>https://www.gov.uk/government/publications/higher-education-free-speech-and-academic-freedom</w:t>
        </w:r>
      </w:hyperlink>
      <w:r w:rsidRPr="00311445">
        <w:rPr>
          <w:rFonts w:ascii="Calibri" w:hAnsi="Calibri" w:cs="Calibri"/>
        </w:rPr>
        <w:t xml:space="preserve"> (accessed 12 December 2021)</w:t>
      </w:r>
    </w:p>
  </w:footnote>
  <w:footnote w:id="14">
    <w:p w14:paraId="352A383A"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Cole, </w:t>
      </w:r>
      <w:r w:rsidRPr="00311445">
        <w:rPr>
          <w:rFonts w:ascii="Calibri" w:hAnsi="Calibri" w:cs="Calibri"/>
          <w:i/>
          <w:iCs/>
        </w:rPr>
        <w:t>The Cult of True Victimhood</w:t>
      </w:r>
      <w:r w:rsidRPr="00311445">
        <w:rPr>
          <w:rFonts w:ascii="Calibri" w:hAnsi="Calibri" w:cs="Calibri"/>
        </w:rPr>
        <w:t>, 6.</w:t>
      </w:r>
    </w:p>
  </w:footnote>
  <w:footnote w:id="15">
    <w:p w14:paraId="088B8351" w14:textId="178F2F0B" w:rsidR="009F6382" w:rsidRPr="00311445" w:rsidRDefault="009F6382">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Chouliaraki and Banet-Weiser, 5.</w:t>
      </w:r>
    </w:p>
  </w:footnote>
  <w:footnote w:id="16">
    <w:p w14:paraId="2FBBD054"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Charlotte Lydia Riley “Introduction: the free speech wars” in Charlotte Lydia Riley (ed) </w:t>
      </w:r>
      <w:r w:rsidRPr="00311445">
        <w:rPr>
          <w:rFonts w:ascii="Calibri" w:hAnsi="Calibri" w:cs="Calibri"/>
          <w:i/>
          <w:iCs/>
        </w:rPr>
        <w:t>The free speech wars: How did we get here and why does it matter?</w:t>
      </w:r>
      <w:r w:rsidRPr="00311445">
        <w:rPr>
          <w:rFonts w:ascii="Calibri" w:hAnsi="Calibri" w:cs="Calibri"/>
        </w:rPr>
        <w:t xml:space="preserve"> (Manchester: Manchester University Press),1-19, 6</w:t>
      </w:r>
    </w:p>
  </w:footnote>
  <w:footnote w:id="17">
    <w:p w14:paraId="5333F663"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Alison Phipps, </w:t>
      </w:r>
      <w:r w:rsidRPr="00311445">
        <w:rPr>
          <w:rFonts w:ascii="Calibri" w:hAnsi="Calibri" w:cs="Calibri"/>
          <w:i/>
          <w:iCs/>
        </w:rPr>
        <w:t>Me Not You : The Trouble with Mainstream Feminism</w:t>
      </w:r>
      <w:r w:rsidRPr="00311445">
        <w:rPr>
          <w:rFonts w:ascii="Calibri" w:hAnsi="Calibri" w:cs="Calibri"/>
        </w:rPr>
        <w:t xml:space="preserve"> (Manchester: Manchester University Press, 2020), 68</w:t>
      </w:r>
    </w:p>
  </w:footnote>
  <w:footnote w:id="18">
    <w:p w14:paraId="0B8025EF"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Laura Jeffery &amp; Matei Candea, “The Politics of Victimhood”, </w:t>
      </w:r>
      <w:r w:rsidRPr="00311445">
        <w:rPr>
          <w:rFonts w:ascii="Calibri" w:hAnsi="Calibri" w:cs="Calibri"/>
          <w:i/>
          <w:iCs/>
        </w:rPr>
        <w:t xml:space="preserve">History and Anthropology </w:t>
      </w:r>
      <w:r w:rsidRPr="00311445">
        <w:rPr>
          <w:rFonts w:ascii="Calibri" w:hAnsi="Calibri" w:cs="Calibri"/>
        </w:rPr>
        <w:t>17 (2006): 288.</w:t>
      </w:r>
    </w:p>
  </w:footnote>
  <w:footnote w:id="19">
    <w:p w14:paraId="4E3BFFDD"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Perez and Salter, this Symposium.</w:t>
      </w:r>
    </w:p>
  </w:footnote>
  <w:footnote w:id="20">
    <w:p w14:paraId="65F3CCCE" w14:textId="77777777" w:rsidR="00B707D4" w:rsidRPr="00352715" w:rsidRDefault="00B707D4" w:rsidP="00B707D4">
      <w:pPr>
        <w:pStyle w:val="FootnoteText"/>
        <w:rPr>
          <w:rFonts w:ascii="Calibri" w:hAnsi="Calibri" w:cs="Calibri"/>
        </w:rPr>
      </w:pPr>
      <w:r w:rsidRPr="00352715">
        <w:rPr>
          <w:rStyle w:val="FootnoteReference"/>
          <w:rFonts w:ascii="Calibri" w:hAnsi="Calibri" w:cs="Calibri"/>
        </w:rPr>
        <w:footnoteRef/>
      </w:r>
      <w:r w:rsidRPr="00352715">
        <w:rPr>
          <w:rFonts w:ascii="Calibri" w:hAnsi="Calibri" w:cs="Calibri"/>
        </w:rPr>
        <w:t xml:space="preserve"> Lene Hansen, </w:t>
      </w:r>
      <w:r w:rsidRPr="00352715">
        <w:rPr>
          <w:rFonts w:ascii="Calibri" w:hAnsi="Calibri" w:cs="Calibri"/>
          <w:i/>
          <w:iCs/>
        </w:rPr>
        <w:t>Security as Practice: Discourse Analysis and the Bosnian War</w:t>
      </w:r>
      <w:r w:rsidRPr="00352715">
        <w:rPr>
          <w:rFonts w:ascii="Calibri" w:hAnsi="Calibri" w:cs="Calibri"/>
        </w:rPr>
        <w:t xml:space="preserve"> (London: Routledge, 2006), 18.</w:t>
      </w:r>
    </w:p>
  </w:footnote>
  <w:footnote w:id="21">
    <w:p w14:paraId="507C5AD8" w14:textId="77777777" w:rsidR="004D351A" w:rsidRPr="00311445" w:rsidRDefault="004D351A" w:rsidP="004D351A">
      <w:pPr>
        <w:pStyle w:val="FootnoteText"/>
        <w:rPr>
          <w:rFonts w:ascii="Calibri" w:hAnsi="Calibri" w:cs="Calibri"/>
        </w:rPr>
      </w:pPr>
      <w:r w:rsidRPr="00311445">
        <w:rPr>
          <w:rStyle w:val="FootnoteReference"/>
          <w:rFonts w:ascii="Calibri" w:hAnsi="Calibri" w:cs="Calibri"/>
        </w:rPr>
        <w:footnoteRef/>
      </w:r>
      <w:r w:rsidRPr="00311445">
        <w:rPr>
          <w:rFonts w:ascii="Calibri" w:hAnsi="Calibri" w:cs="Calibri"/>
        </w:rPr>
        <w:t xml:space="preserve"> Jacoby, “A Theory of Victimhood”, 511.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3E33"/>
    <w:multiLevelType w:val="hybridMultilevel"/>
    <w:tmpl w:val="EE9087EC"/>
    <w:lvl w:ilvl="0" w:tplc="E01C4EAE">
      <w:start w:val="1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50054"/>
    <w:multiLevelType w:val="hybridMultilevel"/>
    <w:tmpl w:val="37AC181E"/>
    <w:lvl w:ilvl="0" w:tplc="BC409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493738">
    <w:abstractNumId w:val="0"/>
  </w:num>
  <w:num w:numId="2" w16cid:durableId="398746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1A"/>
    <w:rsid w:val="00000381"/>
    <w:rsid w:val="00010C86"/>
    <w:rsid w:val="00011DB4"/>
    <w:rsid w:val="00022D33"/>
    <w:rsid w:val="00043BB4"/>
    <w:rsid w:val="00074BFE"/>
    <w:rsid w:val="00093B6C"/>
    <w:rsid w:val="00097DBD"/>
    <w:rsid w:val="000A4EBC"/>
    <w:rsid w:val="000B33B3"/>
    <w:rsid w:val="000C0759"/>
    <w:rsid w:val="000D1E55"/>
    <w:rsid w:val="000D4940"/>
    <w:rsid w:val="000E7F14"/>
    <w:rsid w:val="000F30F4"/>
    <w:rsid w:val="00114CB0"/>
    <w:rsid w:val="00135E66"/>
    <w:rsid w:val="001374CE"/>
    <w:rsid w:val="0016572C"/>
    <w:rsid w:val="0017624E"/>
    <w:rsid w:val="00180707"/>
    <w:rsid w:val="001A5F02"/>
    <w:rsid w:val="001E25E0"/>
    <w:rsid w:val="002171B6"/>
    <w:rsid w:val="002279B4"/>
    <w:rsid w:val="002435E3"/>
    <w:rsid w:val="00251C96"/>
    <w:rsid w:val="00267210"/>
    <w:rsid w:val="00283684"/>
    <w:rsid w:val="002873CB"/>
    <w:rsid w:val="002A4AE3"/>
    <w:rsid w:val="002B603E"/>
    <w:rsid w:val="002F7DA2"/>
    <w:rsid w:val="00303698"/>
    <w:rsid w:val="00307758"/>
    <w:rsid w:val="00311445"/>
    <w:rsid w:val="0035137B"/>
    <w:rsid w:val="00352EFA"/>
    <w:rsid w:val="00354F47"/>
    <w:rsid w:val="003A150C"/>
    <w:rsid w:val="003A3891"/>
    <w:rsid w:val="003E12F8"/>
    <w:rsid w:val="004150AB"/>
    <w:rsid w:val="00446433"/>
    <w:rsid w:val="0046512B"/>
    <w:rsid w:val="00466340"/>
    <w:rsid w:val="0047430B"/>
    <w:rsid w:val="0047690B"/>
    <w:rsid w:val="00493767"/>
    <w:rsid w:val="00497D57"/>
    <w:rsid w:val="004A78F9"/>
    <w:rsid w:val="004B425B"/>
    <w:rsid w:val="004D351A"/>
    <w:rsid w:val="00514B58"/>
    <w:rsid w:val="00541C59"/>
    <w:rsid w:val="00545170"/>
    <w:rsid w:val="0055298F"/>
    <w:rsid w:val="005A1F9F"/>
    <w:rsid w:val="005B0688"/>
    <w:rsid w:val="005B590F"/>
    <w:rsid w:val="005B6E7A"/>
    <w:rsid w:val="005C099A"/>
    <w:rsid w:val="0065544E"/>
    <w:rsid w:val="006A391A"/>
    <w:rsid w:val="006B5C99"/>
    <w:rsid w:val="006C35C1"/>
    <w:rsid w:val="006E5EE5"/>
    <w:rsid w:val="00700E96"/>
    <w:rsid w:val="00703B54"/>
    <w:rsid w:val="00710A2D"/>
    <w:rsid w:val="00711CBF"/>
    <w:rsid w:val="00741E93"/>
    <w:rsid w:val="007448AD"/>
    <w:rsid w:val="00783668"/>
    <w:rsid w:val="007D5C89"/>
    <w:rsid w:val="00831C4D"/>
    <w:rsid w:val="00834B12"/>
    <w:rsid w:val="00884C05"/>
    <w:rsid w:val="00895F7A"/>
    <w:rsid w:val="008A24B0"/>
    <w:rsid w:val="008A53F9"/>
    <w:rsid w:val="008B35FA"/>
    <w:rsid w:val="008B4CFB"/>
    <w:rsid w:val="008C0505"/>
    <w:rsid w:val="00902103"/>
    <w:rsid w:val="009152FB"/>
    <w:rsid w:val="00924794"/>
    <w:rsid w:val="009345F2"/>
    <w:rsid w:val="00960375"/>
    <w:rsid w:val="00963693"/>
    <w:rsid w:val="00965780"/>
    <w:rsid w:val="00995E9E"/>
    <w:rsid w:val="009B09BA"/>
    <w:rsid w:val="009D1F07"/>
    <w:rsid w:val="009F6382"/>
    <w:rsid w:val="00A02202"/>
    <w:rsid w:val="00A23D6B"/>
    <w:rsid w:val="00A31D27"/>
    <w:rsid w:val="00A31D58"/>
    <w:rsid w:val="00A8754E"/>
    <w:rsid w:val="00A91882"/>
    <w:rsid w:val="00AA14B1"/>
    <w:rsid w:val="00AE6797"/>
    <w:rsid w:val="00B0653B"/>
    <w:rsid w:val="00B14DE5"/>
    <w:rsid w:val="00B32ADA"/>
    <w:rsid w:val="00B3507F"/>
    <w:rsid w:val="00B55F54"/>
    <w:rsid w:val="00B707D4"/>
    <w:rsid w:val="00BB3802"/>
    <w:rsid w:val="00BC13C8"/>
    <w:rsid w:val="00BD04E7"/>
    <w:rsid w:val="00BD0808"/>
    <w:rsid w:val="00BE7041"/>
    <w:rsid w:val="00C3389B"/>
    <w:rsid w:val="00C40200"/>
    <w:rsid w:val="00C43B27"/>
    <w:rsid w:val="00C54239"/>
    <w:rsid w:val="00C649C5"/>
    <w:rsid w:val="00CC1AFE"/>
    <w:rsid w:val="00CD41B9"/>
    <w:rsid w:val="00D0722C"/>
    <w:rsid w:val="00D13405"/>
    <w:rsid w:val="00D25FD1"/>
    <w:rsid w:val="00D26E36"/>
    <w:rsid w:val="00D2780F"/>
    <w:rsid w:val="00D42C07"/>
    <w:rsid w:val="00D618FD"/>
    <w:rsid w:val="00D83569"/>
    <w:rsid w:val="00E07228"/>
    <w:rsid w:val="00E36182"/>
    <w:rsid w:val="00E67670"/>
    <w:rsid w:val="00EB45EB"/>
    <w:rsid w:val="00EC6E16"/>
    <w:rsid w:val="00EF02EE"/>
    <w:rsid w:val="00F32607"/>
    <w:rsid w:val="00F520F2"/>
    <w:rsid w:val="00F53BB8"/>
    <w:rsid w:val="00F5625C"/>
    <w:rsid w:val="00F56C17"/>
    <w:rsid w:val="00F91C1A"/>
    <w:rsid w:val="00FB3ED1"/>
    <w:rsid w:val="00FE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3DFF"/>
  <w15:chartTrackingRefBased/>
  <w15:docId w15:val="{CF2AD3A2-42F6-49D5-B08D-A35DB98C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51A"/>
    <w:pPr>
      <w:spacing w:after="0" w:line="240" w:lineRule="auto"/>
    </w:pPr>
    <w:rPr>
      <w:sz w:val="24"/>
      <w:szCs w:val="24"/>
    </w:rPr>
  </w:style>
  <w:style w:type="paragraph" w:styleId="Heading1">
    <w:name w:val="heading 1"/>
    <w:basedOn w:val="Normal"/>
    <w:link w:val="Heading1Char"/>
    <w:uiPriority w:val="9"/>
    <w:qFormat/>
    <w:rsid w:val="004D351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1A"/>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4D351A"/>
    <w:rPr>
      <w:sz w:val="20"/>
      <w:szCs w:val="20"/>
    </w:rPr>
  </w:style>
  <w:style w:type="character" w:customStyle="1" w:styleId="FootnoteTextChar">
    <w:name w:val="Footnote Text Char"/>
    <w:basedOn w:val="DefaultParagraphFont"/>
    <w:link w:val="FootnoteText"/>
    <w:uiPriority w:val="99"/>
    <w:semiHidden/>
    <w:rsid w:val="004D351A"/>
    <w:rPr>
      <w:sz w:val="20"/>
      <w:szCs w:val="20"/>
    </w:rPr>
  </w:style>
  <w:style w:type="character" w:styleId="FootnoteReference">
    <w:name w:val="footnote reference"/>
    <w:basedOn w:val="DefaultParagraphFont"/>
    <w:uiPriority w:val="99"/>
    <w:semiHidden/>
    <w:unhideWhenUsed/>
    <w:rsid w:val="004D351A"/>
    <w:rPr>
      <w:vertAlign w:val="superscript"/>
    </w:rPr>
  </w:style>
  <w:style w:type="character" w:styleId="Hyperlink">
    <w:name w:val="Hyperlink"/>
    <w:basedOn w:val="DefaultParagraphFont"/>
    <w:uiPriority w:val="99"/>
    <w:unhideWhenUsed/>
    <w:rsid w:val="004D351A"/>
    <w:rPr>
      <w:color w:val="0563C1" w:themeColor="hyperlink"/>
      <w:u w:val="single"/>
    </w:rPr>
  </w:style>
  <w:style w:type="paragraph" w:styleId="Footer">
    <w:name w:val="footer"/>
    <w:basedOn w:val="Normal"/>
    <w:link w:val="FooterChar"/>
    <w:uiPriority w:val="99"/>
    <w:unhideWhenUsed/>
    <w:rsid w:val="004D351A"/>
    <w:pPr>
      <w:tabs>
        <w:tab w:val="center" w:pos="4513"/>
        <w:tab w:val="right" w:pos="9026"/>
      </w:tabs>
    </w:pPr>
  </w:style>
  <w:style w:type="character" w:customStyle="1" w:styleId="FooterChar">
    <w:name w:val="Footer Char"/>
    <w:basedOn w:val="DefaultParagraphFont"/>
    <w:link w:val="Footer"/>
    <w:uiPriority w:val="99"/>
    <w:rsid w:val="004D351A"/>
    <w:rPr>
      <w:sz w:val="24"/>
      <w:szCs w:val="24"/>
    </w:rPr>
  </w:style>
  <w:style w:type="paragraph" w:styleId="Revision">
    <w:name w:val="Revision"/>
    <w:hidden/>
    <w:uiPriority w:val="99"/>
    <w:semiHidden/>
    <w:rsid w:val="004D351A"/>
    <w:pPr>
      <w:spacing w:after="0" w:line="240" w:lineRule="auto"/>
    </w:pPr>
    <w:rPr>
      <w:sz w:val="24"/>
      <w:szCs w:val="24"/>
    </w:rPr>
  </w:style>
  <w:style w:type="paragraph" w:styleId="ListParagraph">
    <w:name w:val="List Paragraph"/>
    <w:basedOn w:val="Normal"/>
    <w:uiPriority w:val="34"/>
    <w:qFormat/>
    <w:rsid w:val="00541C59"/>
    <w:pPr>
      <w:ind w:left="720"/>
      <w:contextualSpacing/>
    </w:pPr>
  </w:style>
  <w:style w:type="paragraph" w:styleId="EndnoteText">
    <w:name w:val="endnote text"/>
    <w:basedOn w:val="Normal"/>
    <w:link w:val="EndnoteTextChar"/>
    <w:uiPriority w:val="99"/>
    <w:semiHidden/>
    <w:unhideWhenUsed/>
    <w:rsid w:val="00B32ADA"/>
    <w:rPr>
      <w:sz w:val="20"/>
      <w:szCs w:val="20"/>
    </w:rPr>
  </w:style>
  <w:style w:type="character" w:customStyle="1" w:styleId="EndnoteTextChar">
    <w:name w:val="Endnote Text Char"/>
    <w:basedOn w:val="DefaultParagraphFont"/>
    <w:link w:val="EndnoteText"/>
    <w:uiPriority w:val="99"/>
    <w:semiHidden/>
    <w:rsid w:val="00B32ADA"/>
    <w:rPr>
      <w:sz w:val="20"/>
      <w:szCs w:val="20"/>
    </w:rPr>
  </w:style>
  <w:style w:type="character" w:styleId="EndnoteReference">
    <w:name w:val="endnote reference"/>
    <w:basedOn w:val="DefaultParagraphFont"/>
    <w:uiPriority w:val="99"/>
    <w:semiHidden/>
    <w:unhideWhenUsed/>
    <w:rsid w:val="00B32ADA"/>
    <w:rPr>
      <w:vertAlign w:val="superscript"/>
    </w:rPr>
  </w:style>
  <w:style w:type="character" w:styleId="CommentReference">
    <w:name w:val="annotation reference"/>
    <w:basedOn w:val="DefaultParagraphFont"/>
    <w:uiPriority w:val="99"/>
    <w:semiHidden/>
    <w:unhideWhenUsed/>
    <w:rsid w:val="00884C05"/>
    <w:rPr>
      <w:sz w:val="16"/>
      <w:szCs w:val="16"/>
    </w:rPr>
  </w:style>
  <w:style w:type="paragraph" w:styleId="CommentText">
    <w:name w:val="annotation text"/>
    <w:basedOn w:val="Normal"/>
    <w:link w:val="CommentTextChar"/>
    <w:uiPriority w:val="99"/>
    <w:semiHidden/>
    <w:unhideWhenUsed/>
    <w:rsid w:val="00884C05"/>
    <w:rPr>
      <w:sz w:val="20"/>
      <w:szCs w:val="20"/>
    </w:rPr>
  </w:style>
  <w:style w:type="character" w:customStyle="1" w:styleId="CommentTextChar">
    <w:name w:val="Comment Text Char"/>
    <w:basedOn w:val="DefaultParagraphFont"/>
    <w:link w:val="CommentText"/>
    <w:uiPriority w:val="99"/>
    <w:semiHidden/>
    <w:rsid w:val="00884C05"/>
    <w:rPr>
      <w:sz w:val="20"/>
      <w:szCs w:val="20"/>
    </w:rPr>
  </w:style>
  <w:style w:type="paragraph" w:styleId="CommentSubject">
    <w:name w:val="annotation subject"/>
    <w:basedOn w:val="CommentText"/>
    <w:next w:val="CommentText"/>
    <w:link w:val="CommentSubjectChar"/>
    <w:uiPriority w:val="99"/>
    <w:semiHidden/>
    <w:unhideWhenUsed/>
    <w:rsid w:val="00884C05"/>
    <w:rPr>
      <w:b/>
      <w:bCs/>
    </w:rPr>
  </w:style>
  <w:style w:type="character" w:customStyle="1" w:styleId="CommentSubjectChar">
    <w:name w:val="Comment Subject Char"/>
    <w:basedOn w:val="CommentTextChar"/>
    <w:link w:val="CommentSubject"/>
    <w:uiPriority w:val="99"/>
    <w:semiHidden/>
    <w:rsid w:val="00884C05"/>
    <w:rPr>
      <w:b/>
      <w:bCs/>
      <w:sz w:val="20"/>
      <w:szCs w:val="20"/>
    </w:rPr>
  </w:style>
  <w:style w:type="paragraph" w:styleId="BalloonText">
    <w:name w:val="Balloon Text"/>
    <w:basedOn w:val="Normal"/>
    <w:link w:val="BalloonTextChar"/>
    <w:uiPriority w:val="99"/>
    <w:semiHidden/>
    <w:unhideWhenUsed/>
    <w:rsid w:val="008A53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53F9"/>
    <w:rPr>
      <w:rFonts w:ascii="Times New Roman" w:hAnsi="Times New Roman" w:cs="Times New Roman"/>
      <w:sz w:val="18"/>
      <w:szCs w:val="18"/>
    </w:rPr>
  </w:style>
  <w:style w:type="paragraph" w:styleId="NormalWeb">
    <w:name w:val="Normal (Web)"/>
    <w:basedOn w:val="Normal"/>
    <w:uiPriority w:val="99"/>
    <w:semiHidden/>
    <w:unhideWhenUsed/>
    <w:rsid w:val="008A53F9"/>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40200"/>
    <w:rPr>
      <w:color w:val="605E5C"/>
      <w:shd w:val="clear" w:color="auto" w:fill="E1DFDD"/>
    </w:rPr>
  </w:style>
  <w:style w:type="character" w:styleId="FollowedHyperlink">
    <w:name w:val="FollowedHyperlink"/>
    <w:basedOn w:val="DefaultParagraphFont"/>
    <w:uiPriority w:val="99"/>
    <w:semiHidden/>
    <w:unhideWhenUsed/>
    <w:rsid w:val="00C40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8310">
      <w:bodyDiv w:val="1"/>
      <w:marLeft w:val="0"/>
      <w:marRight w:val="0"/>
      <w:marTop w:val="0"/>
      <w:marBottom w:val="0"/>
      <w:divBdr>
        <w:top w:val="none" w:sz="0" w:space="0" w:color="auto"/>
        <w:left w:val="none" w:sz="0" w:space="0" w:color="auto"/>
        <w:bottom w:val="none" w:sz="0" w:space="0" w:color="auto"/>
        <w:right w:val="none" w:sz="0" w:space="0" w:color="auto"/>
      </w:divBdr>
    </w:div>
    <w:div w:id="21014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ukhmc@lsb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ster.wedderburn@glasgow.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lls.parliament.uk/publications/41480/documents/213" TargetMode="External"/><Relationship Id="rId2" Type="http://schemas.openxmlformats.org/officeDocument/2006/relationships/hyperlink" Target="https://assets.publishing.service.gov.uk/government/uploads/system/uploads/attachment_data/file/974507/20210331_-_CRED_Report_-_FINAL_-_Web_Accessible.pdf" TargetMode="External"/><Relationship Id="rId1" Type="http://schemas.openxmlformats.org/officeDocument/2006/relationships/hyperlink" Target="https://www.thetimes.co.uk/article/don-t-feel-guilty-about-our-colonial-history-ghvstdhmj" TargetMode="External"/><Relationship Id="rId4" Type="http://schemas.openxmlformats.org/officeDocument/2006/relationships/hyperlink" Target="https://www.gov.uk/government/publications/higher-education-free-speech-and-academic-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9F2F-4AD1-4E20-9096-747CD8CD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Eroukhmanoff, Clara</dc:creator>
  <cp:keywords/>
  <dc:description/>
  <cp:lastModifiedBy>Eroukhmanoff, Clara</cp:lastModifiedBy>
  <cp:revision>4</cp:revision>
  <dcterms:created xsi:type="dcterms:W3CDTF">2022-05-24T08:22:00Z</dcterms:created>
  <dcterms:modified xsi:type="dcterms:W3CDTF">2022-05-24T10:28:00Z</dcterms:modified>
</cp:coreProperties>
</file>